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仿宋_GB2312"/>
          <w:color w:val="auto"/>
          <w:sz w:val="36"/>
          <w:szCs w:val="36"/>
        </w:rPr>
      </w:pPr>
    </w:p>
    <w:p>
      <w:pPr>
        <w:rPr>
          <w:rFonts w:eastAsia="仿宋_GB2312"/>
          <w:color w:val="auto"/>
          <w:sz w:val="36"/>
          <w:szCs w:val="36"/>
        </w:rPr>
      </w:pPr>
    </w:p>
    <w:p>
      <w:pPr>
        <w:rPr>
          <w:rFonts w:eastAsia="仿宋_GB2312"/>
          <w:color w:val="auto"/>
          <w:sz w:val="36"/>
          <w:szCs w:val="36"/>
        </w:rPr>
      </w:pPr>
    </w:p>
    <w:p>
      <w:pPr>
        <w:rPr>
          <w:rFonts w:eastAsia="仿宋_GB2312"/>
          <w:color w:val="auto"/>
          <w:sz w:val="36"/>
          <w:szCs w:val="36"/>
        </w:rPr>
      </w:pPr>
    </w:p>
    <w:p>
      <w:pPr>
        <w:rPr>
          <w:rFonts w:eastAsia="仿宋_GB2312"/>
          <w:color w:val="auto"/>
          <w:sz w:val="36"/>
          <w:szCs w:val="36"/>
        </w:rPr>
      </w:pPr>
    </w:p>
    <w:p>
      <w:pPr>
        <w:adjustRightInd w:val="0"/>
        <w:snapToGrid w:val="0"/>
        <w:jc w:val="center"/>
        <w:outlineLvl w:val="0"/>
        <w:rPr>
          <w:rFonts w:eastAsia="方正小标宋_GBK"/>
          <w:bCs/>
          <w:color w:val="auto"/>
          <w:sz w:val="72"/>
          <w:szCs w:val="72"/>
        </w:rPr>
      </w:pPr>
      <w:bookmarkStart w:id="0" w:name="_Toc71360642"/>
      <w:r>
        <w:rPr>
          <w:rFonts w:eastAsia="方正小标宋_GBK"/>
          <w:bCs/>
          <w:color w:val="auto"/>
          <w:sz w:val="72"/>
          <w:szCs w:val="72"/>
        </w:rPr>
        <w:t>建设项目环境影响报告表</w:t>
      </w:r>
      <w:bookmarkEnd w:id="0"/>
    </w:p>
    <w:p>
      <w:pPr>
        <w:adjustRightInd w:val="0"/>
        <w:snapToGrid w:val="0"/>
        <w:spacing w:before="192" w:beforeLines="80"/>
        <w:jc w:val="center"/>
        <w:rPr>
          <w:rFonts w:eastAsia="楷体_GB2312"/>
          <w:bCs/>
          <w:color w:val="auto"/>
          <w:sz w:val="48"/>
          <w:szCs w:val="48"/>
        </w:rPr>
      </w:pPr>
      <w:r>
        <w:rPr>
          <w:rFonts w:eastAsia="楷体_GB2312"/>
          <w:bCs/>
          <w:color w:val="auto"/>
          <w:sz w:val="48"/>
          <w:szCs w:val="48"/>
        </w:rPr>
        <w:t>（污染影响类）</w:t>
      </w:r>
    </w:p>
    <w:p>
      <w:pPr>
        <w:adjustRightInd w:val="0"/>
        <w:snapToGrid w:val="0"/>
        <w:spacing w:line="288" w:lineRule="auto"/>
        <w:jc w:val="center"/>
        <w:rPr>
          <w:rFonts w:eastAsia="华文仿宋"/>
          <w:color w:val="auto"/>
          <w:kern w:val="44"/>
          <w:sz w:val="44"/>
          <w:szCs w:val="44"/>
        </w:rPr>
      </w:pPr>
    </w:p>
    <w:p>
      <w:pPr>
        <w:jc w:val="center"/>
        <w:rPr>
          <w:rFonts w:eastAsia="仿宋"/>
          <w:color w:val="auto"/>
          <w:sz w:val="52"/>
          <w:szCs w:val="52"/>
        </w:rPr>
      </w:pPr>
    </w:p>
    <w:p>
      <w:pPr>
        <w:ind w:firstLine="1040"/>
        <w:rPr>
          <w:rFonts w:eastAsia="仿宋"/>
          <w:color w:val="auto"/>
          <w:sz w:val="44"/>
          <w:szCs w:val="44"/>
        </w:rPr>
      </w:pPr>
    </w:p>
    <w:p>
      <w:pPr>
        <w:ind w:firstLine="1040"/>
        <w:rPr>
          <w:rFonts w:eastAsia="仿宋"/>
          <w:color w:val="auto"/>
          <w:sz w:val="44"/>
          <w:szCs w:val="44"/>
        </w:rPr>
      </w:pPr>
    </w:p>
    <w:p>
      <w:pPr>
        <w:ind w:firstLine="1040"/>
        <w:rPr>
          <w:rFonts w:eastAsia="仿宋"/>
          <w:color w:val="auto"/>
          <w:sz w:val="44"/>
          <w:szCs w:val="44"/>
        </w:rPr>
      </w:pPr>
    </w:p>
    <w:p>
      <w:pPr>
        <w:ind w:firstLine="1040"/>
        <w:rPr>
          <w:rFonts w:eastAsia="仿宋"/>
          <w:color w:val="auto"/>
          <w:sz w:val="44"/>
          <w:szCs w:val="44"/>
        </w:rPr>
      </w:pPr>
    </w:p>
    <w:p>
      <w:pPr>
        <w:adjustRightInd w:val="0"/>
        <w:snapToGrid w:val="0"/>
        <w:spacing w:line="288" w:lineRule="auto"/>
        <w:ind w:left="2324" w:leftChars="303" w:hanging="1688" w:hangingChars="469"/>
        <w:jc w:val="left"/>
        <w:rPr>
          <w:rFonts w:eastAsia="仿宋_GB2312"/>
          <w:color w:val="auto"/>
          <w:sz w:val="36"/>
          <w:szCs w:val="36"/>
          <w:u w:val="single"/>
        </w:rPr>
      </w:pPr>
      <w:r>
        <w:rPr>
          <w:rFonts w:eastAsia="仿宋_GB2312"/>
          <w:color w:val="auto"/>
          <w:sz w:val="36"/>
          <w:szCs w:val="36"/>
        </w:rPr>
        <w:t>项目名称：</w:t>
      </w:r>
      <w:r>
        <w:rPr>
          <w:rFonts w:hint="eastAsia" w:eastAsia="仿宋_GB2312"/>
          <w:color w:val="auto"/>
          <w:sz w:val="36"/>
          <w:szCs w:val="36"/>
          <w:u w:val="single"/>
          <w:lang w:eastAsia="zh-CN"/>
        </w:rPr>
        <w:t>衡阳铭峰陶瓷原料经营有限公司年产机制砂10万吨、陶瓷原料10万吨建设</w:t>
      </w:r>
      <w:r>
        <w:rPr>
          <w:rFonts w:eastAsia="仿宋_GB2312"/>
          <w:color w:val="auto"/>
          <w:sz w:val="36"/>
          <w:szCs w:val="36"/>
          <w:u w:val="single"/>
        </w:rPr>
        <w:t xml:space="preserve">项目                            </w:t>
      </w:r>
    </w:p>
    <w:p>
      <w:pPr>
        <w:adjustRightInd w:val="0"/>
        <w:snapToGrid w:val="0"/>
        <w:spacing w:line="288" w:lineRule="auto"/>
        <w:ind w:left="0" w:leftChars="0" w:firstLine="640" w:firstLineChars="0"/>
        <w:rPr>
          <w:rFonts w:eastAsia="仿宋_GB2312"/>
          <w:color w:val="auto"/>
          <w:sz w:val="36"/>
          <w:szCs w:val="36"/>
          <w:u w:val="single"/>
        </w:rPr>
      </w:pPr>
      <w:r>
        <w:rPr>
          <w:rFonts w:eastAsia="仿宋_GB2312"/>
          <w:color w:val="auto"/>
          <w:sz w:val="36"/>
          <w:szCs w:val="36"/>
        </w:rPr>
        <w:t>建设单位（盖章）：</w:t>
      </w:r>
      <w:r>
        <w:rPr>
          <w:rFonts w:hint="eastAsia" w:eastAsia="仿宋_GB2312"/>
          <w:color w:val="auto"/>
          <w:sz w:val="36"/>
          <w:szCs w:val="36"/>
          <w:u w:val="single"/>
          <w:lang w:eastAsia="zh-CN"/>
        </w:rPr>
        <w:t>衡阳铭峰陶瓷原料经营有限公司</w:t>
      </w:r>
      <w:r>
        <w:rPr>
          <w:rFonts w:eastAsia="仿宋_GB2312"/>
          <w:color w:val="auto"/>
          <w:sz w:val="36"/>
          <w:szCs w:val="36"/>
          <w:u w:val="single"/>
        </w:rPr>
        <w:t xml:space="preserve">   </w:t>
      </w:r>
    </w:p>
    <w:p>
      <w:pPr>
        <w:adjustRightInd w:val="0"/>
        <w:snapToGrid w:val="0"/>
        <w:spacing w:line="288" w:lineRule="auto"/>
        <w:ind w:left="0" w:leftChars="0" w:firstLine="640" w:firstLineChars="0"/>
        <w:jc w:val="left"/>
        <w:rPr>
          <w:rFonts w:eastAsia="仿宋_GB2312"/>
          <w:color w:val="auto"/>
          <w:sz w:val="36"/>
          <w:szCs w:val="36"/>
          <w:u w:val="single"/>
        </w:rPr>
      </w:pPr>
      <w:r>
        <w:rPr>
          <w:rFonts w:eastAsia="仿宋_GB2312"/>
          <w:color w:val="auto"/>
          <w:sz w:val="36"/>
          <w:szCs w:val="36"/>
        </w:rPr>
        <w:t>编制日期：</w:t>
      </w:r>
      <w:r>
        <w:rPr>
          <w:rFonts w:eastAsia="仿宋_GB2312"/>
          <w:color w:val="auto"/>
          <w:sz w:val="36"/>
          <w:szCs w:val="36"/>
          <w:u w:val="single"/>
        </w:rPr>
        <w:t xml:space="preserve">        二〇二一年</w:t>
      </w:r>
      <w:r>
        <w:rPr>
          <w:rFonts w:hint="eastAsia" w:eastAsia="仿宋_GB2312"/>
          <w:color w:val="auto"/>
          <w:sz w:val="36"/>
          <w:szCs w:val="36"/>
          <w:u w:val="single"/>
          <w:lang w:eastAsia="zh-CN"/>
        </w:rPr>
        <w:t>十一</w:t>
      </w:r>
      <w:r>
        <w:rPr>
          <w:rFonts w:eastAsia="仿宋_GB2312"/>
          <w:color w:val="auto"/>
          <w:sz w:val="36"/>
          <w:szCs w:val="36"/>
          <w:u w:val="single"/>
        </w:rPr>
        <w:t xml:space="preserve">月            </w:t>
      </w:r>
    </w:p>
    <w:p>
      <w:pPr>
        <w:adjustRightInd w:val="0"/>
        <w:snapToGrid w:val="0"/>
        <w:spacing w:line="288" w:lineRule="auto"/>
        <w:ind w:firstLine="1040"/>
        <w:rPr>
          <w:rFonts w:eastAsia="仿宋_GB2312"/>
          <w:color w:val="auto"/>
          <w:sz w:val="36"/>
          <w:szCs w:val="36"/>
          <w:u w:val="single"/>
        </w:rPr>
      </w:pPr>
      <w:bookmarkStart w:id="1" w:name="_Hlk57884087"/>
    </w:p>
    <w:p>
      <w:pPr>
        <w:adjustRightInd w:val="0"/>
        <w:snapToGrid w:val="0"/>
        <w:spacing w:line="288" w:lineRule="auto"/>
        <w:ind w:firstLine="1040"/>
        <w:rPr>
          <w:rFonts w:eastAsia="仿宋_GB2312"/>
          <w:color w:val="auto"/>
          <w:sz w:val="36"/>
          <w:szCs w:val="36"/>
        </w:rPr>
      </w:pPr>
    </w:p>
    <w:p>
      <w:pPr>
        <w:adjustRightInd w:val="0"/>
        <w:snapToGrid w:val="0"/>
        <w:spacing w:line="288" w:lineRule="auto"/>
        <w:ind w:firstLine="1040"/>
        <w:rPr>
          <w:rFonts w:eastAsia="仿宋_GB2312"/>
          <w:color w:val="auto"/>
          <w:sz w:val="36"/>
          <w:szCs w:val="36"/>
        </w:rPr>
      </w:pPr>
    </w:p>
    <w:p>
      <w:pPr>
        <w:adjustRightInd w:val="0"/>
        <w:snapToGrid w:val="0"/>
        <w:spacing w:line="288" w:lineRule="auto"/>
        <w:ind w:firstLine="1040"/>
        <w:rPr>
          <w:rFonts w:eastAsia="仿宋_GB2312"/>
          <w:color w:val="auto"/>
          <w:sz w:val="36"/>
          <w:szCs w:val="36"/>
        </w:rPr>
      </w:pPr>
    </w:p>
    <w:p>
      <w:pPr>
        <w:adjustRightInd w:val="0"/>
        <w:snapToGrid w:val="0"/>
        <w:spacing w:line="288" w:lineRule="auto"/>
        <w:ind w:firstLine="1040"/>
        <w:rPr>
          <w:rFonts w:eastAsia="仿宋_GB2312"/>
          <w:color w:val="auto"/>
          <w:sz w:val="36"/>
          <w:szCs w:val="36"/>
        </w:rPr>
      </w:pPr>
    </w:p>
    <w:bookmarkEnd w:id="1"/>
    <w:p>
      <w:pPr>
        <w:pStyle w:val="56"/>
        <w:spacing w:line="480" w:lineRule="auto"/>
        <w:jc w:val="center"/>
        <w:rPr>
          <w:rFonts w:eastAsia="楷体_GB2312"/>
          <w:color w:val="auto"/>
          <w:sz w:val="36"/>
          <w:szCs w:val="36"/>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r>
        <w:rPr>
          <w:rFonts w:eastAsia="楷体_GB2312"/>
          <w:color w:val="auto"/>
          <w:sz w:val="36"/>
          <w:szCs w:val="36"/>
        </w:rPr>
        <w:t>中华人民共和国生态环境部制</w:t>
      </w:r>
    </w:p>
    <w:p>
      <w:pPr>
        <w:jc w:val="center"/>
        <w:rPr>
          <w:rFonts w:hint="eastAsia"/>
          <w:b/>
          <w:bCs/>
          <w:color w:val="auto"/>
          <w:sz w:val="36"/>
          <w:szCs w:val="36"/>
          <w:lang w:eastAsia="zh-CN"/>
        </w:rPr>
        <w:sectPr>
          <w:pgSz w:w="11906" w:h="16838"/>
          <w:pgMar w:top="363" w:right="386" w:bottom="363" w:left="386" w:header="851" w:footer="1077" w:gutter="0"/>
          <w:pgNumType w:start="3"/>
          <w:cols w:space="720" w:num="1"/>
          <w:docGrid w:linePitch="312" w:charSpace="0"/>
        </w:sectPr>
      </w:pPr>
      <w:r>
        <w:rPr>
          <w:rFonts w:hint="eastAsia"/>
          <w:b/>
          <w:bCs/>
          <w:color w:val="auto"/>
          <w:sz w:val="36"/>
          <w:szCs w:val="36"/>
          <w:lang w:eastAsia="zh-CN"/>
        </w:rPr>
        <w:drawing>
          <wp:anchor distT="0" distB="0" distL="114300" distR="114300" simplePos="0" relativeHeight="251667456" behindDoc="0" locked="0" layoutInCell="1" allowOverlap="1">
            <wp:simplePos x="0" y="0"/>
            <wp:positionH relativeFrom="column">
              <wp:posOffset>-9525</wp:posOffset>
            </wp:positionH>
            <wp:positionV relativeFrom="paragraph">
              <wp:posOffset>166370</wp:posOffset>
            </wp:positionV>
            <wp:extent cx="7131685" cy="10092055"/>
            <wp:effectExtent l="0" t="0" r="12065" b="4445"/>
            <wp:wrapNone/>
            <wp:docPr id="28" name="图片 28" descr="资质页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资质页_00"/>
                    <pic:cNvPicPr>
                      <a:picLocks noChangeAspect="1"/>
                    </pic:cNvPicPr>
                  </pic:nvPicPr>
                  <pic:blipFill>
                    <a:blip r:embed="rId9"/>
                    <a:stretch>
                      <a:fillRect/>
                    </a:stretch>
                  </pic:blipFill>
                  <pic:spPr>
                    <a:xfrm>
                      <a:off x="0" y="0"/>
                      <a:ext cx="7131685" cy="10092055"/>
                    </a:xfrm>
                    <a:prstGeom prst="rect">
                      <a:avLst/>
                    </a:prstGeom>
                  </pic:spPr>
                </pic:pic>
              </a:graphicData>
            </a:graphic>
          </wp:anchor>
        </w:drawing>
      </w:r>
    </w:p>
    <w:p>
      <w:pPr>
        <w:jc w:val="center"/>
        <w:rPr>
          <w:rFonts w:hint="eastAsia"/>
          <w:b/>
          <w:bCs/>
          <w:color w:val="auto"/>
          <w:sz w:val="36"/>
          <w:szCs w:val="36"/>
          <w:lang w:eastAsia="zh-CN"/>
        </w:rPr>
        <w:sectPr>
          <w:pgSz w:w="11906" w:h="16838"/>
          <w:pgMar w:top="1440" w:right="1800" w:bottom="1440" w:left="1800" w:header="851" w:footer="1077" w:gutter="0"/>
          <w:pgNumType w:start="3"/>
          <w:cols w:space="720" w:num="1"/>
          <w:docGrid w:linePitch="312" w:charSpace="0"/>
        </w:sectPr>
      </w:pPr>
      <w:r>
        <w:rPr>
          <w:rFonts w:hint="eastAsia"/>
          <w:b/>
          <w:bCs/>
          <w:color w:val="auto"/>
          <w:sz w:val="36"/>
          <w:szCs w:val="36"/>
          <w:lang w:eastAsia="zh-CN"/>
        </w:rPr>
        <w:drawing>
          <wp:anchor distT="0" distB="0" distL="114300" distR="114300" simplePos="0" relativeHeight="251665408" behindDoc="0" locked="0" layoutInCell="1" allowOverlap="1">
            <wp:simplePos x="0" y="0"/>
            <wp:positionH relativeFrom="column">
              <wp:posOffset>-342900</wp:posOffset>
            </wp:positionH>
            <wp:positionV relativeFrom="paragraph">
              <wp:posOffset>-38100</wp:posOffset>
            </wp:positionV>
            <wp:extent cx="5774055" cy="8983980"/>
            <wp:effectExtent l="0" t="0" r="17145" b="7620"/>
            <wp:wrapNone/>
            <wp:docPr id="29" name="图片 29" descr="承诺书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承诺书_00"/>
                    <pic:cNvPicPr>
                      <a:picLocks noChangeAspect="1"/>
                    </pic:cNvPicPr>
                  </pic:nvPicPr>
                  <pic:blipFill>
                    <a:blip r:embed="rId10"/>
                    <a:srcRect l="8341"/>
                    <a:stretch>
                      <a:fillRect/>
                    </a:stretch>
                  </pic:blipFill>
                  <pic:spPr>
                    <a:xfrm>
                      <a:off x="0" y="0"/>
                      <a:ext cx="5774055" cy="8983980"/>
                    </a:xfrm>
                    <a:prstGeom prst="rect">
                      <a:avLst/>
                    </a:prstGeom>
                  </pic:spPr>
                </pic:pic>
              </a:graphicData>
            </a:graphic>
          </wp:anchor>
        </w:drawing>
      </w:r>
    </w:p>
    <w:p>
      <w:pPr>
        <w:rPr>
          <w:rFonts w:hint="eastAsia" w:ascii="宋体" w:eastAsia="宋体"/>
          <w:b/>
          <w:color w:val="auto"/>
          <w:sz w:val="38"/>
          <w:lang w:val="en-US" w:eastAsia="zh-CN"/>
        </w:rPr>
      </w:pPr>
    </w:p>
    <w:p>
      <w:pPr>
        <w:rPr>
          <w:rFonts w:hint="eastAsia" w:ascii="宋体" w:eastAsia="宋体"/>
          <w:b/>
          <w:color w:val="auto"/>
          <w:sz w:val="38"/>
          <w:lang w:val="en-US" w:eastAsia="zh-CN"/>
        </w:rPr>
      </w:pPr>
      <w:r>
        <w:rPr>
          <w:rFonts w:hint="eastAsia" w:ascii="宋体" w:eastAsia="宋体"/>
          <w:b/>
          <w:color w:val="auto"/>
          <w:sz w:val="38"/>
          <w:lang w:val="en-US" w:eastAsia="zh-CN"/>
        </w:rPr>
        <w:drawing>
          <wp:inline distT="0" distB="0" distL="114300" distR="114300">
            <wp:extent cx="5424170" cy="7543165"/>
            <wp:effectExtent l="0" t="0" r="5080" b="635"/>
            <wp:docPr id="30" name="图片 30" descr="承诺书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承诺书_0001"/>
                    <pic:cNvPicPr>
                      <a:picLocks noChangeAspect="1"/>
                    </pic:cNvPicPr>
                  </pic:nvPicPr>
                  <pic:blipFill>
                    <a:blip r:embed="rId11"/>
                    <a:srcRect l="8853" b="11146"/>
                    <a:stretch>
                      <a:fillRect/>
                    </a:stretch>
                  </pic:blipFill>
                  <pic:spPr>
                    <a:xfrm>
                      <a:off x="0" y="0"/>
                      <a:ext cx="5424170" cy="7543165"/>
                    </a:xfrm>
                    <a:prstGeom prst="rect">
                      <a:avLst/>
                    </a:prstGeom>
                  </pic:spPr>
                </pic:pic>
              </a:graphicData>
            </a:graphic>
          </wp:inline>
        </w:drawing>
      </w:r>
    </w:p>
    <w:p>
      <w:pPr>
        <w:rPr>
          <w:rFonts w:hint="eastAsia" w:ascii="宋体" w:eastAsia="宋体"/>
          <w:b/>
          <w:color w:val="auto"/>
          <w:sz w:val="38"/>
          <w:lang w:val="en-US" w:eastAsia="zh-CN"/>
        </w:rPr>
      </w:pPr>
      <w:r>
        <w:rPr>
          <w:rFonts w:hint="eastAsia" w:ascii="宋体" w:eastAsia="宋体"/>
          <w:b/>
          <w:color w:val="auto"/>
          <w:sz w:val="38"/>
          <w:lang w:val="en-US" w:eastAsia="zh-CN"/>
        </w:rPr>
        <w:br w:type="page"/>
      </w:r>
    </w:p>
    <w:p>
      <w:pPr>
        <w:rPr>
          <w:rFonts w:hint="eastAsia"/>
          <w:color w:val="auto"/>
          <w:lang w:val="en-US" w:eastAsia="zh-CN"/>
        </w:rPr>
      </w:pPr>
    </w:p>
    <w:p>
      <w:pPr>
        <w:pStyle w:val="2"/>
        <w:numPr>
          <w:ilvl w:val="1"/>
          <w:numId w:val="0"/>
        </w:numPr>
        <w:ind w:leftChars="0"/>
        <w:rPr>
          <w:rFonts w:hint="eastAsia"/>
          <w:color w:val="auto"/>
          <w:lang w:val="en-US" w:eastAsia="zh-CN"/>
        </w:rPr>
      </w:pPr>
      <w:r>
        <w:rPr>
          <w:rFonts w:hint="eastAsia"/>
          <w:color w:val="auto"/>
          <w:lang w:val="en-US" w:eastAsia="zh-CN"/>
        </w:rPr>
        <w:drawing>
          <wp:anchor distT="0" distB="0" distL="114300" distR="114300" simplePos="0" relativeHeight="251666432" behindDoc="0" locked="0" layoutInCell="1" allowOverlap="1">
            <wp:simplePos x="0" y="0"/>
            <wp:positionH relativeFrom="column">
              <wp:posOffset>133350</wp:posOffset>
            </wp:positionH>
            <wp:positionV relativeFrom="paragraph">
              <wp:posOffset>-9525</wp:posOffset>
            </wp:positionV>
            <wp:extent cx="5457190" cy="7408545"/>
            <wp:effectExtent l="0" t="0" r="10160" b="1905"/>
            <wp:wrapNone/>
            <wp:docPr id="31" name="图片 31" descr="承诺书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承诺书_0002"/>
                    <pic:cNvPicPr>
                      <a:picLocks noChangeAspect="1"/>
                    </pic:cNvPicPr>
                  </pic:nvPicPr>
                  <pic:blipFill>
                    <a:blip r:embed="rId12"/>
                    <a:srcRect l="7301" b="11784"/>
                    <a:stretch>
                      <a:fillRect/>
                    </a:stretch>
                  </pic:blipFill>
                  <pic:spPr>
                    <a:xfrm>
                      <a:off x="0" y="0"/>
                      <a:ext cx="5457190" cy="7408545"/>
                    </a:xfrm>
                    <a:prstGeom prst="rect">
                      <a:avLst/>
                    </a:prstGeom>
                  </pic:spPr>
                </pic:pic>
              </a:graphicData>
            </a:graphic>
          </wp:anchor>
        </w:drawing>
      </w:r>
    </w:p>
    <w:p>
      <w:pPr>
        <w:rPr>
          <w:rFonts w:hint="eastAsia" w:ascii="宋体" w:eastAsia="宋体"/>
          <w:b/>
          <w:color w:val="auto"/>
          <w:sz w:val="38"/>
          <w:lang w:val="en-US" w:eastAsia="zh-CN"/>
        </w:rPr>
      </w:pPr>
      <w:r>
        <w:rPr>
          <w:rFonts w:hint="eastAsia" w:ascii="宋体" w:eastAsia="宋体"/>
          <w:b/>
          <w:color w:val="auto"/>
          <w:sz w:val="38"/>
          <w:lang w:val="en-US" w:eastAsia="zh-CN"/>
        </w:rPr>
        <w:br w:type="page"/>
      </w:r>
    </w:p>
    <w:p>
      <w:pPr>
        <w:pStyle w:val="18"/>
        <w:jc w:val="center"/>
        <w:outlineLvl w:val="0"/>
        <w:rPr>
          <w:rFonts w:hint="eastAsia" w:ascii="宋体" w:eastAsia="宋体"/>
          <w:b/>
          <w:color w:val="auto"/>
          <w:sz w:val="38"/>
          <w:lang w:val="en-US" w:eastAsia="zh-CN"/>
        </w:rPr>
        <w:sectPr>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18"/>
        <w:jc w:val="center"/>
        <w:outlineLvl w:val="0"/>
        <w:rPr>
          <w:rFonts w:hint="eastAsia" w:ascii="宋体" w:eastAsia="宋体"/>
          <w:b/>
          <w:color w:val="auto"/>
          <w:sz w:val="38"/>
          <w:lang w:val="en-US" w:eastAsia="zh-CN"/>
        </w:rPr>
      </w:pPr>
      <w:r>
        <w:rPr>
          <w:rFonts w:hint="eastAsia" w:ascii="宋体" w:eastAsia="宋体"/>
          <w:b/>
          <w:color w:val="auto"/>
          <w:sz w:val="38"/>
          <w:lang w:val="en-US" w:eastAsia="zh-CN"/>
        </w:rPr>
        <w:t xml:space="preserve">        </w:t>
      </w:r>
    </w:p>
    <w:p>
      <w:pPr>
        <w:pStyle w:val="18"/>
        <w:jc w:val="center"/>
        <w:outlineLvl w:val="0"/>
        <w:rPr>
          <w:rFonts w:hint="eastAsia" w:ascii="Times New Roman" w:hAnsi="Times New Roman" w:eastAsia="黑体" w:cs="Times New Roman"/>
          <w:snapToGrid w:val="0"/>
          <w:color w:val="auto"/>
          <w:sz w:val="30"/>
          <w:szCs w:val="30"/>
          <w:lang w:eastAsia="zh-CN"/>
        </w:rPr>
        <w:sectPr>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r>
        <w:rPr>
          <w:rFonts w:hint="eastAsia" w:ascii="Times New Roman" w:hAnsi="Times New Roman" w:eastAsia="宋体" w:cs="Times New Roman"/>
          <w:b/>
          <w:bCs/>
          <w:color w:val="auto"/>
          <w:sz w:val="36"/>
          <w:szCs w:val="36"/>
          <w:lang w:val="en-US" w:eastAsia="zh-CN"/>
        </w:rPr>
        <w:t xml:space="preserve"> </w:t>
      </w:r>
      <w:r>
        <w:rPr>
          <w:rFonts w:hint="eastAsia" w:ascii="Times New Roman" w:hAnsi="Times New Roman" w:eastAsia="黑体" w:cs="Times New Roman"/>
          <w:snapToGrid w:val="0"/>
          <w:color w:val="auto"/>
          <w:sz w:val="30"/>
          <w:szCs w:val="30"/>
          <w:lang w:eastAsia="zh-CN"/>
        </w:rPr>
        <w:drawing>
          <wp:anchor distT="0" distB="0" distL="114300" distR="114300" simplePos="0" relativeHeight="251668480" behindDoc="0" locked="0" layoutInCell="1" allowOverlap="1">
            <wp:simplePos x="0" y="0"/>
            <wp:positionH relativeFrom="column">
              <wp:posOffset>0</wp:posOffset>
            </wp:positionH>
            <wp:positionV relativeFrom="paragraph">
              <wp:posOffset>262255</wp:posOffset>
            </wp:positionV>
            <wp:extent cx="5608320" cy="8046720"/>
            <wp:effectExtent l="0" t="0" r="11430" b="11430"/>
            <wp:wrapNone/>
            <wp:docPr id="32" name="图片 32" descr="杨淑义工程师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杨淑义工程师证"/>
                    <pic:cNvPicPr>
                      <a:picLocks noChangeAspect="1"/>
                    </pic:cNvPicPr>
                  </pic:nvPicPr>
                  <pic:blipFill>
                    <a:blip r:embed="rId13"/>
                    <a:stretch>
                      <a:fillRect/>
                    </a:stretch>
                  </pic:blipFill>
                  <pic:spPr>
                    <a:xfrm>
                      <a:off x="0" y="0"/>
                      <a:ext cx="5608320" cy="8046720"/>
                    </a:xfrm>
                    <a:prstGeom prst="rect">
                      <a:avLst/>
                    </a:prstGeom>
                  </pic:spPr>
                </pic:pic>
              </a:graphicData>
            </a:graphic>
          </wp:anchor>
        </w:drawing>
      </w:r>
    </w:p>
    <w:p>
      <w:pPr>
        <w:rPr>
          <w:rFonts w:hint="eastAsia" w:ascii="Times New Roman" w:hAnsi="Times New Roman" w:eastAsia="宋体" w:cs="Times New Roman"/>
          <w:b/>
          <w:bCs/>
          <w:i w:val="0"/>
          <w:iCs w:val="0"/>
          <w:color w:val="auto"/>
          <w:sz w:val="28"/>
          <w:szCs w:val="36"/>
          <w:u w:val="none" w:color="auto"/>
          <w:lang w:eastAsia="zh-CN"/>
        </w:rPr>
      </w:pPr>
    </w:p>
    <w:p>
      <w:pPr>
        <w:pStyle w:val="18"/>
        <w:jc w:val="center"/>
        <w:outlineLvl w:val="0"/>
        <w:rPr>
          <w:rFonts w:hint="eastAsia" w:ascii="Times New Roman" w:hAnsi="Times New Roman" w:eastAsia="宋体" w:cs="Times New Roman"/>
          <w:b/>
          <w:bCs/>
          <w:i w:val="0"/>
          <w:iCs w:val="0"/>
          <w:color w:val="auto"/>
          <w:sz w:val="28"/>
          <w:szCs w:val="36"/>
          <w:u w:val="none" w:color="auto"/>
          <w:lang w:eastAsia="zh-CN"/>
        </w:rPr>
        <w:sectPr>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r>
        <w:rPr>
          <w:rFonts w:hint="eastAsia" w:ascii="Times New Roman" w:hAnsi="Times New Roman" w:eastAsia="宋体" w:cs="Times New Roman"/>
          <w:b/>
          <w:bCs/>
          <w:i w:val="0"/>
          <w:iCs w:val="0"/>
          <w:color w:val="auto"/>
          <w:sz w:val="28"/>
          <w:szCs w:val="36"/>
          <w:u w:val="none" w:color="auto"/>
          <w:lang w:eastAsia="zh-CN"/>
        </w:rPr>
        <w:drawing>
          <wp:inline distT="0" distB="0" distL="114300" distR="114300">
            <wp:extent cx="5610860" cy="7999095"/>
            <wp:effectExtent l="0" t="0" r="8890" b="1905"/>
            <wp:docPr id="33" name="图片 33" descr="展至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展至营业执照"/>
                    <pic:cNvPicPr>
                      <a:picLocks noChangeAspect="1"/>
                    </pic:cNvPicPr>
                  </pic:nvPicPr>
                  <pic:blipFill>
                    <a:blip r:embed="rId14"/>
                    <a:stretch>
                      <a:fillRect/>
                    </a:stretch>
                  </pic:blipFill>
                  <pic:spPr>
                    <a:xfrm>
                      <a:off x="0" y="0"/>
                      <a:ext cx="5610860" cy="7999095"/>
                    </a:xfrm>
                    <a:prstGeom prst="rect">
                      <a:avLst/>
                    </a:prstGeom>
                  </pic:spPr>
                </pic:pic>
              </a:graphicData>
            </a:graphic>
          </wp:inline>
        </w:drawing>
      </w:r>
    </w:p>
    <w:p>
      <w:pPr>
        <w:pStyle w:val="18"/>
        <w:jc w:val="center"/>
        <w:outlineLvl w:val="0"/>
        <w:rPr>
          <w:rFonts w:hint="default" w:ascii="Times New Roman" w:hAnsi="Times New Roman" w:eastAsia="宋体" w:cs="Times New Roman"/>
          <w:b/>
          <w:bCs/>
          <w:i w:val="0"/>
          <w:iCs w:val="0"/>
          <w:color w:val="auto"/>
          <w:sz w:val="28"/>
          <w:szCs w:val="36"/>
          <w:u w:val="none" w:color="auto"/>
          <w:lang w:eastAsia="zh-CN"/>
        </w:rPr>
        <w:sectPr>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r>
        <w:rPr>
          <w:rFonts w:hint="default" w:ascii="Times New Roman" w:hAnsi="Times New Roman" w:eastAsia="宋体" w:cs="Times New Roman"/>
          <w:b/>
          <w:bCs/>
          <w:i w:val="0"/>
          <w:iCs w:val="0"/>
          <w:color w:val="auto"/>
          <w:sz w:val="28"/>
          <w:szCs w:val="36"/>
          <w:u w:val="none" w:color="auto"/>
          <w:lang w:eastAsia="zh-CN"/>
        </w:rPr>
        <w:drawing>
          <wp:inline distT="0" distB="0" distL="114300" distR="114300">
            <wp:extent cx="5609590" cy="7999095"/>
            <wp:effectExtent l="0" t="0" r="10160" b="1905"/>
            <wp:docPr id="34" name="图片 34" descr="杨淑义社保证明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杨淑义社保证明_00"/>
                    <pic:cNvPicPr>
                      <a:picLocks noChangeAspect="1"/>
                    </pic:cNvPicPr>
                  </pic:nvPicPr>
                  <pic:blipFill>
                    <a:blip r:embed="rId15"/>
                    <a:stretch>
                      <a:fillRect/>
                    </a:stretch>
                  </pic:blipFill>
                  <pic:spPr>
                    <a:xfrm>
                      <a:off x="0" y="0"/>
                      <a:ext cx="5609590" cy="7999095"/>
                    </a:xfrm>
                    <a:prstGeom prst="rect">
                      <a:avLst/>
                    </a:prstGeom>
                  </pic:spPr>
                </pic:pic>
              </a:graphicData>
            </a:graphic>
          </wp:inline>
        </w:drawing>
      </w:r>
    </w:p>
    <w:p>
      <w:pPr>
        <w:rPr>
          <w:rFonts w:hint="eastAsia" w:eastAsia="宋体"/>
          <w:color w:val="auto"/>
          <w:lang w:eastAsia="zh-CN"/>
        </w:rPr>
      </w:pPr>
      <w:r>
        <w:rPr>
          <w:rFonts w:hint="eastAsia" w:eastAsia="宋体"/>
          <w:color w:val="auto"/>
          <w:lang w:eastAsia="zh-CN"/>
        </w:rPr>
        <w:drawing>
          <wp:anchor distT="0" distB="0" distL="114300" distR="114300" simplePos="0" relativeHeight="251669504" behindDoc="0" locked="0" layoutInCell="1" allowOverlap="1">
            <wp:simplePos x="0" y="0"/>
            <wp:positionH relativeFrom="column">
              <wp:posOffset>-447675</wp:posOffset>
            </wp:positionH>
            <wp:positionV relativeFrom="paragraph">
              <wp:posOffset>-7620</wp:posOffset>
            </wp:positionV>
            <wp:extent cx="6186170" cy="8824595"/>
            <wp:effectExtent l="0" t="0" r="5080" b="14605"/>
            <wp:wrapNone/>
            <wp:docPr id="35" name="图片 35" descr="铭峰修改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铭峰修改说明"/>
                    <pic:cNvPicPr>
                      <a:picLocks noChangeAspect="1"/>
                    </pic:cNvPicPr>
                  </pic:nvPicPr>
                  <pic:blipFill>
                    <a:blip r:embed="rId16"/>
                    <a:stretch>
                      <a:fillRect/>
                    </a:stretch>
                  </pic:blipFill>
                  <pic:spPr>
                    <a:xfrm>
                      <a:off x="0" y="0"/>
                      <a:ext cx="6186170" cy="8824595"/>
                    </a:xfrm>
                    <a:prstGeom prst="rect">
                      <a:avLst/>
                    </a:prstGeom>
                  </pic:spPr>
                </pic:pic>
              </a:graphicData>
            </a:graphic>
          </wp:anchor>
        </w:drawing>
      </w:r>
    </w:p>
    <w:p>
      <w:pPr>
        <w:pStyle w:val="56"/>
        <w:spacing w:line="480" w:lineRule="auto"/>
        <w:jc w:val="center"/>
        <w:rPr>
          <w:rFonts w:ascii="Times New Roman" w:hAnsi="Times New Roman" w:eastAsia="宋体" w:cs="Times New Roman"/>
          <w:color w:val="auto"/>
          <w:lang w:val="zh-CN"/>
        </w:rPr>
        <w:sectPr>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56"/>
        <w:spacing w:line="480" w:lineRule="auto"/>
        <w:jc w:val="center"/>
        <w:rPr>
          <w:rFonts w:ascii="Times New Roman" w:hAnsi="Times New Roman" w:eastAsia="宋体" w:cs="Times New Roman"/>
          <w:color w:val="auto"/>
        </w:rPr>
      </w:pPr>
      <w:r>
        <w:rPr>
          <w:rFonts w:ascii="Times New Roman" w:hAnsi="Times New Roman" w:eastAsia="宋体" w:cs="Times New Roman"/>
          <w:color w:val="auto"/>
          <w:lang w:val="zh-CN"/>
        </w:rPr>
        <w:t>目  录</w:t>
      </w:r>
      <w:r>
        <w:rPr>
          <w:rFonts w:ascii="Times New Roman" w:hAnsi="Times New Roman" w:eastAsia="宋体" w:cs="Times New Roman"/>
          <w:color w:val="auto"/>
          <w:sz w:val="24"/>
          <w:szCs w:val="24"/>
        </w:rPr>
        <w:fldChar w:fldCharType="begin"/>
      </w:r>
      <w:r>
        <w:rPr>
          <w:rFonts w:ascii="Times New Roman" w:hAnsi="Times New Roman" w:eastAsia="宋体" w:cs="Times New Roman"/>
          <w:color w:val="auto"/>
          <w:sz w:val="24"/>
          <w:szCs w:val="24"/>
        </w:rPr>
        <w:instrText xml:space="preserve"> TOC \o "1-3" \h \z \u </w:instrText>
      </w:r>
      <w:r>
        <w:rPr>
          <w:rFonts w:ascii="Times New Roman" w:hAnsi="Times New Roman" w:eastAsia="宋体" w:cs="Times New Roman"/>
          <w:color w:val="auto"/>
          <w:sz w:val="24"/>
          <w:szCs w:val="24"/>
        </w:rPr>
        <w:fldChar w:fldCharType="separate"/>
      </w:r>
      <w:r>
        <w:rPr>
          <w:color w:val="auto"/>
        </w:rPr>
        <w:fldChar w:fldCharType="begin"/>
      </w:r>
      <w:r>
        <w:rPr>
          <w:color w:val="auto"/>
        </w:rPr>
        <w:instrText xml:space="preserve"> HYPERLINK \l "_Toc71360642" </w:instrText>
      </w:r>
      <w:r>
        <w:rPr>
          <w:color w:val="auto"/>
        </w:rPr>
        <w:fldChar w:fldCharType="separate"/>
      </w:r>
      <w:r>
        <w:rPr>
          <w:color w:val="auto"/>
        </w:rPr>
        <w:fldChar w:fldCharType="end"/>
      </w:r>
    </w:p>
    <w:p>
      <w:pPr>
        <w:pStyle w:val="17"/>
        <w:tabs>
          <w:tab w:val="right" w:leader="dot" w:pos="8834"/>
        </w:tabs>
        <w:spacing w:line="480" w:lineRule="auto"/>
        <w:rPr>
          <w:color w:val="auto"/>
          <w:sz w:val="24"/>
        </w:rPr>
      </w:pPr>
      <w:r>
        <w:rPr>
          <w:color w:val="auto"/>
        </w:rPr>
        <w:fldChar w:fldCharType="begin"/>
      </w:r>
      <w:r>
        <w:rPr>
          <w:color w:val="auto"/>
        </w:rPr>
        <w:instrText xml:space="preserve"> HYPERLINK \l "_Toc71360643" </w:instrText>
      </w:r>
      <w:r>
        <w:rPr>
          <w:color w:val="auto"/>
        </w:rPr>
        <w:fldChar w:fldCharType="separate"/>
      </w:r>
      <w:r>
        <w:rPr>
          <w:rStyle w:val="24"/>
          <w:snapToGrid w:val="0"/>
          <w:color w:val="auto"/>
          <w:sz w:val="24"/>
        </w:rPr>
        <w:t>一、建设项目基本情况</w:t>
      </w:r>
      <w:r>
        <w:rPr>
          <w:color w:val="auto"/>
          <w:sz w:val="24"/>
        </w:rPr>
        <w:tab/>
      </w:r>
      <w:r>
        <w:rPr>
          <w:color w:val="auto"/>
          <w:sz w:val="24"/>
        </w:rPr>
        <w:fldChar w:fldCharType="begin"/>
      </w:r>
      <w:r>
        <w:rPr>
          <w:color w:val="auto"/>
          <w:sz w:val="24"/>
        </w:rPr>
        <w:instrText xml:space="preserve"> PAGEREF _Toc71360643 \h </w:instrText>
      </w:r>
      <w:r>
        <w:rPr>
          <w:color w:val="auto"/>
          <w:sz w:val="24"/>
        </w:rPr>
        <w:fldChar w:fldCharType="separate"/>
      </w:r>
      <w:r>
        <w:rPr>
          <w:color w:val="auto"/>
          <w:sz w:val="24"/>
        </w:rPr>
        <w:t>2</w:t>
      </w:r>
      <w:r>
        <w:rPr>
          <w:color w:val="auto"/>
          <w:sz w:val="24"/>
        </w:rPr>
        <w:fldChar w:fldCharType="end"/>
      </w:r>
      <w:r>
        <w:rPr>
          <w:color w:val="auto"/>
          <w:sz w:val="24"/>
        </w:rPr>
        <w:fldChar w:fldCharType="end"/>
      </w:r>
    </w:p>
    <w:p>
      <w:pPr>
        <w:pStyle w:val="17"/>
        <w:tabs>
          <w:tab w:val="right" w:leader="dot" w:pos="8834"/>
        </w:tabs>
        <w:spacing w:line="480" w:lineRule="auto"/>
        <w:rPr>
          <w:color w:val="auto"/>
          <w:sz w:val="24"/>
        </w:rPr>
      </w:pPr>
      <w:r>
        <w:rPr>
          <w:color w:val="auto"/>
        </w:rPr>
        <w:fldChar w:fldCharType="begin"/>
      </w:r>
      <w:r>
        <w:rPr>
          <w:color w:val="auto"/>
        </w:rPr>
        <w:instrText xml:space="preserve"> HYPERLINK \l "_Toc71360644" </w:instrText>
      </w:r>
      <w:r>
        <w:rPr>
          <w:color w:val="auto"/>
        </w:rPr>
        <w:fldChar w:fldCharType="separate"/>
      </w:r>
      <w:r>
        <w:rPr>
          <w:rStyle w:val="24"/>
          <w:snapToGrid w:val="0"/>
          <w:color w:val="auto"/>
          <w:sz w:val="24"/>
        </w:rPr>
        <w:t>二、建设项目工程分析</w:t>
      </w:r>
      <w:r>
        <w:rPr>
          <w:color w:val="auto"/>
          <w:sz w:val="24"/>
        </w:rPr>
        <w:tab/>
      </w:r>
      <w:r>
        <w:rPr>
          <w:color w:val="auto"/>
          <w:sz w:val="24"/>
        </w:rPr>
        <w:fldChar w:fldCharType="begin"/>
      </w:r>
      <w:r>
        <w:rPr>
          <w:color w:val="auto"/>
          <w:sz w:val="24"/>
        </w:rPr>
        <w:instrText xml:space="preserve"> PAGEREF _Toc71360644 \h </w:instrText>
      </w:r>
      <w:r>
        <w:rPr>
          <w:color w:val="auto"/>
          <w:sz w:val="24"/>
        </w:rPr>
        <w:fldChar w:fldCharType="separate"/>
      </w:r>
      <w:r>
        <w:rPr>
          <w:color w:val="auto"/>
          <w:sz w:val="24"/>
        </w:rPr>
        <w:t>6</w:t>
      </w:r>
      <w:r>
        <w:rPr>
          <w:color w:val="auto"/>
          <w:sz w:val="24"/>
        </w:rPr>
        <w:fldChar w:fldCharType="end"/>
      </w:r>
      <w:r>
        <w:rPr>
          <w:color w:val="auto"/>
          <w:sz w:val="24"/>
        </w:rPr>
        <w:fldChar w:fldCharType="end"/>
      </w:r>
    </w:p>
    <w:p>
      <w:pPr>
        <w:pStyle w:val="17"/>
        <w:tabs>
          <w:tab w:val="right" w:leader="dot" w:pos="8834"/>
        </w:tabs>
        <w:spacing w:line="480" w:lineRule="auto"/>
        <w:rPr>
          <w:color w:val="auto"/>
          <w:sz w:val="24"/>
        </w:rPr>
      </w:pPr>
      <w:r>
        <w:rPr>
          <w:color w:val="auto"/>
        </w:rPr>
        <w:fldChar w:fldCharType="begin"/>
      </w:r>
      <w:r>
        <w:rPr>
          <w:color w:val="auto"/>
        </w:rPr>
        <w:instrText xml:space="preserve"> HYPERLINK \l "_Toc71360645" </w:instrText>
      </w:r>
      <w:r>
        <w:rPr>
          <w:color w:val="auto"/>
        </w:rPr>
        <w:fldChar w:fldCharType="separate"/>
      </w:r>
      <w:r>
        <w:rPr>
          <w:rStyle w:val="24"/>
          <w:snapToGrid w:val="0"/>
          <w:color w:val="auto"/>
          <w:sz w:val="24"/>
        </w:rPr>
        <w:t>三、区域环境质量现状、环境保护目标及评价标准</w:t>
      </w:r>
      <w:r>
        <w:rPr>
          <w:color w:val="auto"/>
          <w:sz w:val="24"/>
        </w:rPr>
        <w:tab/>
      </w:r>
      <w:r>
        <w:rPr>
          <w:color w:val="auto"/>
          <w:sz w:val="24"/>
        </w:rPr>
        <w:fldChar w:fldCharType="begin"/>
      </w:r>
      <w:r>
        <w:rPr>
          <w:color w:val="auto"/>
          <w:sz w:val="24"/>
        </w:rPr>
        <w:instrText xml:space="preserve"> PAGEREF _Toc71360645 \h </w:instrText>
      </w:r>
      <w:r>
        <w:rPr>
          <w:color w:val="auto"/>
          <w:sz w:val="24"/>
        </w:rPr>
        <w:fldChar w:fldCharType="separate"/>
      </w:r>
      <w:r>
        <w:rPr>
          <w:color w:val="auto"/>
          <w:sz w:val="24"/>
        </w:rPr>
        <w:t>14</w:t>
      </w:r>
      <w:r>
        <w:rPr>
          <w:color w:val="auto"/>
          <w:sz w:val="24"/>
        </w:rPr>
        <w:fldChar w:fldCharType="end"/>
      </w:r>
      <w:r>
        <w:rPr>
          <w:color w:val="auto"/>
          <w:sz w:val="24"/>
        </w:rPr>
        <w:fldChar w:fldCharType="end"/>
      </w:r>
    </w:p>
    <w:p>
      <w:pPr>
        <w:pStyle w:val="17"/>
        <w:tabs>
          <w:tab w:val="right" w:leader="dot" w:pos="8834"/>
        </w:tabs>
        <w:spacing w:line="480" w:lineRule="auto"/>
        <w:rPr>
          <w:color w:val="auto"/>
          <w:sz w:val="24"/>
        </w:rPr>
      </w:pPr>
      <w:r>
        <w:rPr>
          <w:color w:val="auto"/>
        </w:rPr>
        <w:fldChar w:fldCharType="begin"/>
      </w:r>
      <w:r>
        <w:rPr>
          <w:color w:val="auto"/>
        </w:rPr>
        <w:instrText xml:space="preserve"> HYPERLINK \l "_Toc71360646" </w:instrText>
      </w:r>
      <w:r>
        <w:rPr>
          <w:color w:val="auto"/>
        </w:rPr>
        <w:fldChar w:fldCharType="separate"/>
      </w:r>
      <w:r>
        <w:rPr>
          <w:rStyle w:val="24"/>
          <w:snapToGrid w:val="0"/>
          <w:color w:val="auto"/>
          <w:sz w:val="24"/>
        </w:rPr>
        <w:t>四、主要环境影响和保护措施</w:t>
      </w:r>
      <w:r>
        <w:rPr>
          <w:color w:val="auto"/>
          <w:sz w:val="24"/>
        </w:rPr>
        <w:tab/>
      </w:r>
      <w:r>
        <w:rPr>
          <w:color w:val="auto"/>
          <w:sz w:val="24"/>
        </w:rPr>
        <w:fldChar w:fldCharType="begin"/>
      </w:r>
      <w:r>
        <w:rPr>
          <w:color w:val="auto"/>
          <w:sz w:val="24"/>
        </w:rPr>
        <w:instrText xml:space="preserve"> PAGEREF _Toc71360646 \h </w:instrText>
      </w:r>
      <w:r>
        <w:rPr>
          <w:color w:val="auto"/>
          <w:sz w:val="24"/>
        </w:rPr>
        <w:fldChar w:fldCharType="separate"/>
      </w:r>
      <w:r>
        <w:rPr>
          <w:color w:val="auto"/>
          <w:sz w:val="24"/>
        </w:rPr>
        <w:t>19</w:t>
      </w:r>
      <w:r>
        <w:rPr>
          <w:color w:val="auto"/>
          <w:sz w:val="24"/>
        </w:rPr>
        <w:fldChar w:fldCharType="end"/>
      </w:r>
      <w:r>
        <w:rPr>
          <w:color w:val="auto"/>
          <w:sz w:val="24"/>
        </w:rPr>
        <w:fldChar w:fldCharType="end"/>
      </w:r>
    </w:p>
    <w:p>
      <w:pPr>
        <w:pStyle w:val="17"/>
        <w:tabs>
          <w:tab w:val="right" w:leader="dot" w:pos="8834"/>
        </w:tabs>
        <w:spacing w:line="480" w:lineRule="auto"/>
        <w:rPr>
          <w:color w:val="auto"/>
          <w:sz w:val="24"/>
        </w:rPr>
      </w:pPr>
      <w:r>
        <w:rPr>
          <w:color w:val="auto"/>
        </w:rPr>
        <w:fldChar w:fldCharType="begin"/>
      </w:r>
      <w:r>
        <w:rPr>
          <w:color w:val="auto"/>
        </w:rPr>
        <w:instrText xml:space="preserve"> HYPERLINK \l "_Toc71360647" </w:instrText>
      </w:r>
      <w:r>
        <w:rPr>
          <w:color w:val="auto"/>
        </w:rPr>
        <w:fldChar w:fldCharType="separate"/>
      </w:r>
      <w:r>
        <w:rPr>
          <w:rStyle w:val="24"/>
          <w:snapToGrid w:val="0"/>
          <w:color w:val="auto"/>
          <w:sz w:val="24"/>
        </w:rPr>
        <w:t>五、环境保护措施监督检查清单</w:t>
      </w:r>
      <w:r>
        <w:rPr>
          <w:color w:val="auto"/>
          <w:sz w:val="24"/>
        </w:rPr>
        <w:tab/>
      </w:r>
      <w:r>
        <w:rPr>
          <w:color w:val="auto"/>
          <w:sz w:val="24"/>
        </w:rPr>
        <w:fldChar w:fldCharType="begin"/>
      </w:r>
      <w:r>
        <w:rPr>
          <w:color w:val="auto"/>
          <w:sz w:val="24"/>
        </w:rPr>
        <w:instrText xml:space="preserve"> PAGEREF _Toc71360647 \h </w:instrText>
      </w:r>
      <w:r>
        <w:rPr>
          <w:color w:val="auto"/>
          <w:sz w:val="24"/>
        </w:rPr>
        <w:fldChar w:fldCharType="separate"/>
      </w:r>
      <w:r>
        <w:rPr>
          <w:color w:val="auto"/>
          <w:sz w:val="24"/>
        </w:rPr>
        <w:t>33</w:t>
      </w:r>
      <w:r>
        <w:rPr>
          <w:color w:val="auto"/>
          <w:sz w:val="24"/>
        </w:rPr>
        <w:fldChar w:fldCharType="end"/>
      </w:r>
      <w:r>
        <w:rPr>
          <w:color w:val="auto"/>
          <w:sz w:val="24"/>
        </w:rPr>
        <w:fldChar w:fldCharType="end"/>
      </w:r>
    </w:p>
    <w:p>
      <w:pPr>
        <w:pStyle w:val="17"/>
        <w:tabs>
          <w:tab w:val="right" w:leader="dot" w:pos="8834"/>
        </w:tabs>
        <w:spacing w:line="480" w:lineRule="auto"/>
        <w:rPr>
          <w:color w:val="auto"/>
          <w:sz w:val="24"/>
        </w:rPr>
      </w:pPr>
      <w:r>
        <w:rPr>
          <w:color w:val="auto"/>
        </w:rPr>
        <w:fldChar w:fldCharType="begin"/>
      </w:r>
      <w:r>
        <w:rPr>
          <w:color w:val="auto"/>
        </w:rPr>
        <w:instrText xml:space="preserve"> HYPERLINK \l "_Toc71360648" </w:instrText>
      </w:r>
      <w:r>
        <w:rPr>
          <w:color w:val="auto"/>
        </w:rPr>
        <w:fldChar w:fldCharType="separate"/>
      </w:r>
      <w:r>
        <w:rPr>
          <w:rStyle w:val="24"/>
          <w:snapToGrid w:val="0"/>
          <w:color w:val="auto"/>
          <w:sz w:val="24"/>
        </w:rPr>
        <w:t>六、结论</w:t>
      </w:r>
      <w:r>
        <w:rPr>
          <w:color w:val="auto"/>
          <w:sz w:val="24"/>
        </w:rPr>
        <w:tab/>
      </w:r>
      <w:r>
        <w:rPr>
          <w:color w:val="auto"/>
          <w:sz w:val="24"/>
        </w:rPr>
        <w:fldChar w:fldCharType="begin"/>
      </w:r>
      <w:r>
        <w:rPr>
          <w:color w:val="auto"/>
          <w:sz w:val="24"/>
        </w:rPr>
        <w:instrText xml:space="preserve"> PAGEREF _Toc71360648 \h </w:instrText>
      </w:r>
      <w:r>
        <w:rPr>
          <w:color w:val="auto"/>
          <w:sz w:val="24"/>
        </w:rPr>
        <w:fldChar w:fldCharType="separate"/>
      </w:r>
      <w:r>
        <w:rPr>
          <w:color w:val="auto"/>
          <w:sz w:val="24"/>
        </w:rPr>
        <w:t>35</w:t>
      </w:r>
      <w:r>
        <w:rPr>
          <w:color w:val="auto"/>
          <w:sz w:val="24"/>
        </w:rPr>
        <w:fldChar w:fldCharType="end"/>
      </w:r>
      <w:r>
        <w:rPr>
          <w:color w:val="auto"/>
          <w:sz w:val="24"/>
        </w:rPr>
        <w:fldChar w:fldCharType="end"/>
      </w:r>
    </w:p>
    <w:p>
      <w:pPr>
        <w:spacing w:line="480" w:lineRule="auto"/>
        <w:rPr>
          <w:color w:val="auto"/>
          <w:sz w:val="24"/>
        </w:rPr>
      </w:pPr>
      <w:r>
        <w:rPr>
          <w:b/>
          <w:bCs/>
          <w:color w:val="auto"/>
          <w:sz w:val="24"/>
          <w:lang w:val="zh-CN"/>
        </w:rPr>
        <w:fldChar w:fldCharType="end"/>
      </w:r>
    </w:p>
    <w:p>
      <w:pPr>
        <w:spacing w:line="360" w:lineRule="auto"/>
        <w:rPr>
          <w:rFonts w:ascii="Times New Roman" w:hAnsi="Times New Roman"/>
          <w:b/>
          <w:bCs/>
          <w:color w:val="auto"/>
          <w:kern w:val="13"/>
          <w:sz w:val="24"/>
          <w:szCs w:val="24"/>
        </w:rPr>
      </w:pPr>
      <w:r>
        <w:rPr>
          <w:rFonts w:ascii="Times New Roman"/>
          <w:b/>
          <w:bCs/>
          <w:color w:val="auto"/>
          <w:kern w:val="13"/>
          <w:sz w:val="24"/>
          <w:szCs w:val="24"/>
        </w:rPr>
        <w:t>附图</w:t>
      </w:r>
    </w:p>
    <w:p>
      <w:pPr>
        <w:pStyle w:val="5"/>
        <w:ind w:firstLine="480"/>
        <w:rPr>
          <w:rFonts w:hint="eastAsia"/>
          <w:color w:val="auto"/>
        </w:rPr>
      </w:pPr>
      <w:r>
        <w:rPr>
          <w:rFonts w:hint="eastAsia"/>
          <w:color w:val="auto"/>
        </w:rPr>
        <w:t>附图1：项目地理位置示意图</w:t>
      </w:r>
    </w:p>
    <w:p>
      <w:pPr>
        <w:pStyle w:val="5"/>
        <w:ind w:firstLine="480"/>
        <w:rPr>
          <w:rFonts w:hint="eastAsia"/>
          <w:color w:val="auto"/>
        </w:rPr>
      </w:pPr>
      <w:r>
        <w:rPr>
          <w:rFonts w:hint="eastAsia"/>
          <w:color w:val="auto"/>
        </w:rPr>
        <w:t>附图2：</w:t>
      </w:r>
      <w:r>
        <w:rPr>
          <w:rFonts w:hint="eastAsia"/>
          <w:color w:val="auto"/>
          <w:lang w:eastAsia="zh-CN"/>
        </w:rPr>
        <w:t>厂区</w:t>
      </w:r>
      <w:r>
        <w:rPr>
          <w:rFonts w:hint="eastAsia"/>
          <w:color w:val="auto"/>
        </w:rPr>
        <w:t>平面布置图</w:t>
      </w:r>
    </w:p>
    <w:p>
      <w:pPr>
        <w:pStyle w:val="5"/>
        <w:ind w:firstLine="480"/>
        <w:rPr>
          <w:rFonts w:hint="eastAsia"/>
          <w:color w:val="auto"/>
          <w:lang w:eastAsia="zh-CN"/>
        </w:rPr>
      </w:pPr>
      <w:r>
        <w:rPr>
          <w:rFonts w:hint="eastAsia"/>
          <w:color w:val="auto"/>
        </w:rPr>
        <w:t>附图3：环境</w:t>
      </w:r>
      <w:r>
        <w:rPr>
          <w:rFonts w:hint="eastAsia"/>
          <w:color w:val="auto"/>
          <w:lang w:eastAsia="zh-CN"/>
        </w:rPr>
        <w:t>敏感</w:t>
      </w:r>
      <w:r>
        <w:rPr>
          <w:rFonts w:hint="eastAsia"/>
          <w:color w:val="auto"/>
        </w:rPr>
        <w:t>保护目标图</w:t>
      </w:r>
    </w:p>
    <w:p>
      <w:pPr>
        <w:pStyle w:val="5"/>
        <w:ind w:firstLine="480"/>
        <w:rPr>
          <w:rFonts w:hint="eastAsia"/>
          <w:color w:val="auto"/>
        </w:rPr>
      </w:pPr>
      <w:r>
        <w:rPr>
          <w:rFonts w:hint="eastAsia"/>
          <w:color w:val="auto"/>
        </w:rPr>
        <w:t>附图4：</w:t>
      </w:r>
      <w:r>
        <w:rPr>
          <w:rFonts w:hint="eastAsia"/>
          <w:color w:val="auto"/>
          <w:lang w:eastAsia="zh-CN"/>
        </w:rPr>
        <w:t>环境</w:t>
      </w:r>
      <w:r>
        <w:rPr>
          <w:rFonts w:hint="eastAsia"/>
          <w:color w:val="auto"/>
        </w:rPr>
        <w:t>现状监测布点图</w:t>
      </w:r>
    </w:p>
    <w:p>
      <w:pPr>
        <w:pStyle w:val="5"/>
        <w:ind w:firstLine="480"/>
        <w:rPr>
          <w:rFonts w:hint="eastAsia"/>
          <w:color w:val="auto"/>
          <w:lang w:val="en-US" w:eastAsia="zh-CN"/>
        </w:rPr>
      </w:pPr>
      <w:r>
        <w:rPr>
          <w:rFonts w:hint="eastAsia"/>
          <w:color w:val="auto"/>
          <w:lang w:val="en-US" w:eastAsia="zh-CN"/>
        </w:rPr>
        <w:t>附图5：卫生防护距离包络图</w:t>
      </w:r>
    </w:p>
    <w:p>
      <w:pPr>
        <w:pStyle w:val="5"/>
        <w:ind w:firstLine="480"/>
        <w:rPr>
          <w:rFonts w:hint="eastAsia"/>
          <w:color w:val="auto"/>
          <w:lang w:val="en-US" w:eastAsia="zh-CN"/>
        </w:rPr>
      </w:pPr>
      <w:r>
        <w:rPr>
          <w:rFonts w:hint="eastAsia"/>
          <w:color w:val="auto"/>
          <w:lang w:val="en-US" w:eastAsia="zh-CN"/>
        </w:rPr>
        <w:t>附图6：项目位置生态保护红线图</w:t>
      </w:r>
    </w:p>
    <w:p>
      <w:pPr>
        <w:spacing w:line="360" w:lineRule="auto"/>
        <w:rPr>
          <w:rFonts w:ascii="Times New Roman" w:hAnsi="Times New Roman"/>
          <w:b/>
          <w:bCs/>
          <w:color w:val="auto"/>
          <w:kern w:val="13"/>
          <w:sz w:val="24"/>
          <w:szCs w:val="24"/>
        </w:rPr>
      </w:pPr>
      <w:r>
        <w:rPr>
          <w:rFonts w:ascii="Times New Roman"/>
          <w:b/>
          <w:bCs/>
          <w:color w:val="auto"/>
          <w:kern w:val="13"/>
          <w:sz w:val="24"/>
          <w:szCs w:val="24"/>
        </w:rPr>
        <w:t>附件</w:t>
      </w:r>
    </w:p>
    <w:p>
      <w:pPr>
        <w:pStyle w:val="5"/>
        <w:ind w:firstLine="480"/>
        <w:rPr>
          <w:rFonts w:hint="eastAsia"/>
          <w:color w:val="auto"/>
          <w:lang w:eastAsia="zh-CN"/>
        </w:rPr>
      </w:pPr>
      <w:r>
        <w:rPr>
          <w:rFonts w:hint="eastAsia"/>
          <w:color w:val="auto"/>
          <w:lang w:eastAsia="zh-CN"/>
        </w:rPr>
        <w:t>附件1：营业执照</w:t>
      </w:r>
    </w:p>
    <w:p>
      <w:pPr>
        <w:pStyle w:val="5"/>
        <w:ind w:firstLine="480"/>
        <w:rPr>
          <w:rFonts w:hint="default"/>
          <w:color w:val="auto"/>
          <w:lang w:val="en-US" w:eastAsia="zh-CN"/>
        </w:rPr>
      </w:pPr>
      <w:r>
        <w:rPr>
          <w:rFonts w:hint="eastAsia"/>
          <w:color w:val="auto"/>
          <w:lang w:eastAsia="zh-CN"/>
        </w:rPr>
        <w:t>附件</w:t>
      </w:r>
      <w:r>
        <w:rPr>
          <w:rFonts w:hint="eastAsia"/>
          <w:color w:val="auto"/>
          <w:lang w:val="en-US" w:eastAsia="zh-CN"/>
        </w:rPr>
        <w:t>2：委托书</w:t>
      </w:r>
    </w:p>
    <w:p>
      <w:pPr>
        <w:pStyle w:val="5"/>
        <w:ind w:firstLine="480"/>
        <w:rPr>
          <w:rFonts w:hint="default"/>
          <w:color w:val="auto"/>
          <w:lang w:val="en-US" w:eastAsia="zh-CN"/>
        </w:rPr>
      </w:pPr>
      <w:r>
        <w:rPr>
          <w:rFonts w:hint="eastAsia"/>
          <w:color w:val="auto"/>
          <w:lang w:eastAsia="zh-CN"/>
        </w:rPr>
        <w:t>附件</w:t>
      </w:r>
      <w:r>
        <w:rPr>
          <w:rFonts w:hint="eastAsia"/>
          <w:color w:val="auto"/>
          <w:lang w:val="en-US" w:eastAsia="zh-CN"/>
        </w:rPr>
        <w:t>3：</w:t>
      </w:r>
      <w:r>
        <w:rPr>
          <w:rFonts w:hint="eastAsia"/>
          <w:color w:val="auto"/>
          <w:lang w:eastAsia="zh-CN"/>
        </w:rPr>
        <w:t>规划红线图</w:t>
      </w:r>
    </w:p>
    <w:p>
      <w:pPr>
        <w:pStyle w:val="5"/>
        <w:ind w:firstLine="480"/>
        <w:rPr>
          <w:rFonts w:hint="eastAsia"/>
          <w:color w:val="auto"/>
          <w:lang w:eastAsia="zh-CN"/>
        </w:rPr>
      </w:pPr>
      <w:r>
        <w:rPr>
          <w:rFonts w:hint="eastAsia"/>
          <w:color w:val="auto"/>
          <w:lang w:eastAsia="zh-CN"/>
        </w:rPr>
        <w:t>附件</w:t>
      </w:r>
      <w:r>
        <w:rPr>
          <w:rFonts w:hint="eastAsia"/>
          <w:color w:val="auto"/>
          <w:lang w:val="en-US" w:eastAsia="zh-CN"/>
        </w:rPr>
        <w:t>4</w:t>
      </w:r>
      <w:r>
        <w:rPr>
          <w:rFonts w:hint="eastAsia"/>
          <w:color w:val="auto"/>
          <w:lang w:eastAsia="zh-CN"/>
        </w:rPr>
        <w:t>：土地租赁协议</w:t>
      </w:r>
    </w:p>
    <w:p>
      <w:pPr>
        <w:pStyle w:val="5"/>
        <w:ind w:firstLine="480"/>
        <w:rPr>
          <w:rFonts w:hint="eastAsia"/>
          <w:color w:val="auto"/>
          <w:lang w:eastAsia="zh-CN"/>
        </w:rPr>
      </w:pPr>
      <w:r>
        <w:rPr>
          <w:rFonts w:hint="eastAsia"/>
          <w:color w:val="auto"/>
          <w:lang w:eastAsia="zh-CN"/>
        </w:rPr>
        <w:t>附件</w:t>
      </w:r>
      <w:r>
        <w:rPr>
          <w:rFonts w:hint="eastAsia"/>
          <w:color w:val="auto"/>
          <w:lang w:val="en-US" w:eastAsia="zh-CN"/>
        </w:rPr>
        <w:t>5</w:t>
      </w:r>
      <w:r>
        <w:rPr>
          <w:rFonts w:hint="eastAsia"/>
          <w:color w:val="auto"/>
          <w:lang w:eastAsia="zh-CN"/>
        </w:rPr>
        <w:t>：产权证明</w:t>
      </w:r>
    </w:p>
    <w:p>
      <w:pPr>
        <w:pStyle w:val="5"/>
        <w:ind w:firstLine="480"/>
        <w:rPr>
          <w:rFonts w:hint="eastAsia"/>
          <w:color w:val="auto"/>
          <w:lang w:eastAsia="zh-CN"/>
        </w:rPr>
      </w:pPr>
      <w:r>
        <w:rPr>
          <w:rFonts w:hint="eastAsia"/>
          <w:color w:val="auto"/>
          <w:lang w:eastAsia="zh-CN"/>
        </w:rPr>
        <w:t>附件</w:t>
      </w:r>
      <w:r>
        <w:rPr>
          <w:rFonts w:hint="eastAsia"/>
          <w:color w:val="auto"/>
          <w:lang w:val="en-US" w:eastAsia="zh-CN"/>
        </w:rPr>
        <w:t>6</w:t>
      </w:r>
      <w:r>
        <w:rPr>
          <w:rFonts w:hint="eastAsia"/>
          <w:color w:val="auto"/>
          <w:lang w:eastAsia="zh-CN"/>
        </w:rPr>
        <w:t>：监测报告</w:t>
      </w:r>
    </w:p>
    <w:p>
      <w:pPr>
        <w:pStyle w:val="5"/>
        <w:ind w:firstLine="480"/>
        <w:rPr>
          <w:rFonts w:hint="eastAsia"/>
          <w:color w:val="auto"/>
          <w:lang w:eastAsia="zh-CN"/>
        </w:rPr>
      </w:pPr>
      <w:r>
        <w:rPr>
          <w:rFonts w:hint="eastAsia"/>
          <w:color w:val="auto"/>
          <w:lang w:eastAsia="zh-CN"/>
        </w:rPr>
        <w:t>附件</w:t>
      </w:r>
      <w:r>
        <w:rPr>
          <w:rFonts w:hint="eastAsia"/>
          <w:color w:val="auto"/>
          <w:lang w:val="en-US" w:eastAsia="zh-CN"/>
        </w:rPr>
        <w:t>7：</w:t>
      </w:r>
      <w:r>
        <w:rPr>
          <w:rFonts w:hint="eastAsia"/>
          <w:color w:val="auto"/>
          <w:lang w:eastAsia="zh-CN"/>
        </w:rPr>
        <w:t>质量保证单</w:t>
      </w:r>
    </w:p>
    <w:p>
      <w:pPr>
        <w:pStyle w:val="5"/>
        <w:ind w:firstLine="480"/>
        <w:rPr>
          <w:rFonts w:hint="eastAsia"/>
          <w:color w:val="auto"/>
          <w:lang w:val="en-US" w:eastAsia="zh-CN"/>
        </w:rPr>
      </w:pPr>
      <w:r>
        <w:rPr>
          <w:rFonts w:hint="eastAsia"/>
          <w:color w:val="auto"/>
          <w:lang w:val="en-US" w:eastAsia="zh-CN"/>
        </w:rPr>
        <w:t>附件8：原料来源协议</w:t>
      </w:r>
    </w:p>
    <w:p>
      <w:pPr>
        <w:pStyle w:val="5"/>
        <w:ind w:firstLine="480"/>
        <w:rPr>
          <w:rFonts w:hint="eastAsia"/>
          <w:color w:val="auto"/>
          <w:lang w:val="en-US" w:eastAsia="zh-CN"/>
        </w:rPr>
      </w:pPr>
      <w:r>
        <w:rPr>
          <w:rFonts w:hint="eastAsia"/>
          <w:color w:val="auto"/>
          <w:lang w:val="en-US" w:eastAsia="zh-CN"/>
        </w:rPr>
        <w:t>附件9：专家意见</w:t>
      </w:r>
    </w:p>
    <w:p>
      <w:pPr>
        <w:pStyle w:val="5"/>
        <w:ind w:firstLine="480"/>
        <w:rPr>
          <w:rFonts w:hint="eastAsia"/>
          <w:color w:val="auto"/>
          <w:lang w:val="en-US" w:eastAsia="zh-CN"/>
        </w:rPr>
      </w:pPr>
      <w:r>
        <w:rPr>
          <w:rFonts w:hint="eastAsia"/>
          <w:color w:val="auto"/>
          <w:lang w:val="en-US" w:eastAsia="zh-CN"/>
        </w:rPr>
        <w:t>附件10：专家签到表</w:t>
      </w:r>
    </w:p>
    <w:p>
      <w:pPr>
        <w:pStyle w:val="5"/>
        <w:ind w:firstLine="480"/>
        <w:rPr>
          <w:rFonts w:hint="eastAsia"/>
          <w:color w:val="auto"/>
          <w:lang w:val="en-US" w:eastAsia="zh-CN"/>
        </w:rPr>
      </w:pPr>
    </w:p>
    <w:p>
      <w:pPr>
        <w:pStyle w:val="5"/>
        <w:ind w:firstLine="480"/>
        <w:rPr>
          <w:rFonts w:hint="default"/>
          <w:color w:val="auto"/>
          <w:lang w:val="en-US" w:eastAsia="zh-CN"/>
        </w:rPr>
      </w:pPr>
    </w:p>
    <w:p>
      <w:pPr>
        <w:pStyle w:val="18"/>
        <w:jc w:val="center"/>
        <w:outlineLvl w:val="0"/>
        <w:rPr>
          <w:rFonts w:ascii="Times New Roman" w:hAnsi="Times New Roman" w:eastAsia="黑体"/>
          <w:snapToGrid w:val="0"/>
          <w:color w:val="auto"/>
          <w:sz w:val="30"/>
          <w:szCs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bookmarkStart w:id="2" w:name="_Toc71360643"/>
    </w:p>
    <w:p>
      <w:pPr>
        <w:pStyle w:val="18"/>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一、建设项目基本情况</w:t>
      </w:r>
      <w:bookmarkEnd w:id="2"/>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382"/>
        <w:gridCol w:w="1637"/>
        <w:gridCol w:w="2212"/>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keepNext w:val="0"/>
              <w:keepLines w:val="0"/>
              <w:pageBreakBefore w:val="0"/>
              <w:kinsoku/>
              <w:wordWrap/>
              <w:overflowPunct/>
              <w:topLinePunct w:val="0"/>
              <w:bidi w:val="0"/>
              <w:adjustRightInd w:val="0"/>
              <w:snapToGrid w:val="0"/>
              <w:ind w:left="21" w:leftChars="10"/>
              <w:jc w:val="center"/>
              <w:textAlignment w:val="auto"/>
              <w:rPr>
                <w:color w:val="auto"/>
                <w:szCs w:val="21"/>
              </w:rPr>
            </w:pPr>
            <w:r>
              <w:rPr>
                <w:color w:val="auto"/>
                <w:szCs w:val="21"/>
              </w:rPr>
              <w:t>建设项目名称</w:t>
            </w:r>
          </w:p>
        </w:tc>
        <w:tc>
          <w:tcPr>
            <w:tcW w:w="6488" w:type="dxa"/>
            <w:gridSpan w:val="3"/>
            <w:vAlign w:val="center"/>
          </w:tcPr>
          <w:p>
            <w:pPr>
              <w:keepNext w:val="0"/>
              <w:keepLines w:val="0"/>
              <w:pageBreakBefore w:val="0"/>
              <w:kinsoku/>
              <w:wordWrap/>
              <w:overflowPunct/>
              <w:topLinePunct w:val="0"/>
              <w:bidi w:val="0"/>
              <w:adjustRightInd w:val="0"/>
              <w:snapToGrid w:val="0"/>
              <w:ind w:left="21" w:leftChars="10"/>
              <w:jc w:val="center"/>
              <w:textAlignment w:val="auto"/>
              <w:rPr>
                <w:color w:val="auto"/>
                <w:szCs w:val="21"/>
              </w:rPr>
            </w:pPr>
            <w:r>
              <w:rPr>
                <w:rFonts w:hint="eastAsia"/>
                <w:color w:val="auto"/>
                <w:szCs w:val="21"/>
                <w:lang w:eastAsia="zh-CN"/>
              </w:rPr>
              <w:t>衡阳铭峰陶瓷原料经营有限公司年产机制砂10万吨、陶瓷原料10万吨建设项目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keepNext w:val="0"/>
              <w:keepLines w:val="0"/>
              <w:pageBreakBefore w:val="0"/>
              <w:kinsoku/>
              <w:wordWrap/>
              <w:overflowPunct/>
              <w:topLinePunct w:val="0"/>
              <w:bidi w:val="0"/>
              <w:adjustRightInd w:val="0"/>
              <w:snapToGrid w:val="0"/>
              <w:ind w:left="21" w:leftChars="10"/>
              <w:jc w:val="center"/>
              <w:textAlignment w:val="auto"/>
              <w:rPr>
                <w:color w:val="auto"/>
                <w:szCs w:val="21"/>
              </w:rPr>
            </w:pPr>
            <w:r>
              <w:rPr>
                <w:color w:val="auto"/>
                <w:szCs w:val="21"/>
              </w:rPr>
              <w:t>项目代码</w:t>
            </w:r>
          </w:p>
        </w:tc>
        <w:tc>
          <w:tcPr>
            <w:tcW w:w="6488" w:type="dxa"/>
            <w:gridSpan w:val="3"/>
            <w:vAlign w:val="center"/>
          </w:tcPr>
          <w:p>
            <w:pPr>
              <w:keepNext w:val="0"/>
              <w:keepLines w:val="0"/>
              <w:pageBreakBefore w:val="0"/>
              <w:kinsoku/>
              <w:wordWrap/>
              <w:overflowPunct/>
              <w:topLinePunct w:val="0"/>
              <w:bidi w:val="0"/>
              <w:adjustRightInd w:val="0"/>
              <w:snapToGrid w:val="0"/>
              <w:ind w:left="21" w:leftChars="10"/>
              <w:jc w:val="center"/>
              <w:textAlignment w:val="auto"/>
              <w:rPr>
                <w:color w:val="auto"/>
                <w:szCs w:val="21"/>
              </w:rPr>
            </w:pPr>
            <w:r>
              <w:rPr>
                <w:color w:val="auto"/>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keepNext w:val="0"/>
              <w:keepLines w:val="0"/>
              <w:pageBreakBefore w:val="0"/>
              <w:kinsoku/>
              <w:wordWrap/>
              <w:overflowPunct/>
              <w:topLinePunct w:val="0"/>
              <w:bidi w:val="0"/>
              <w:adjustRightInd w:val="0"/>
              <w:snapToGrid w:val="0"/>
              <w:ind w:left="21" w:leftChars="10"/>
              <w:jc w:val="center"/>
              <w:textAlignment w:val="auto"/>
              <w:rPr>
                <w:color w:val="auto"/>
                <w:szCs w:val="21"/>
              </w:rPr>
            </w:pPr>
            <w:r>
              <w:rPr>
                <w:color w:val="auto"/>
                <w:szCs w:val="21"/>
              </w:rPr>
              <w:t>建设单位联系人</w:t>
            </w:r>
          </w:p>
        </w:tc>
        <w:tc>
          <w:tcPr>
            <w:tcW w:w="1637" w:type="dxa"/>
            <w:vAlign w:val="center"/>
          </w:tcPr>
          <w:p>
            <w:pPr>
              <w:keepNext w:val="0"/>
              <w:keepLines w:val="0"/>
              <w:pageBreakBefore w:val="0"/>
              <w:kinsoku/>
              <w:wordWrap/>
              <w:overflowPunct/>
              <w:topLinePunct w:val="0"/>
              <w:bidi w:val="0"/>
              <w:adjustRightInd w:val="0"/>
              <w:snapToGrid w:val="0"/>
              <w:ind w:left="21" w:leftChars="10"/>
              <w:jc w:val="center"/>
              <w:textAlignment w:val="auto"/>
              <w:rPr>
                <w:rFonts w:hint="eastAsia" w:eastAsia="宋体"/>
                <w:color w:val="auto"/>
                <w:szCs w:val="21"/>
                <w:lang w:val="en-US" w:eastAsia="zh-CN"/>
              </w:rPr>
            </w:pPr>
            <w:r>
              <w:rPr>
                <w:rFonts w:hint="eastAsia"/>
                <w:color w:val="auto"/>
                <w:szCs w:val="21"/>
                <w:lang w:eastAsia="zh-CN"/>
              </w:rPr>
              <w:t>王俞铭</w:t>
            </w:r>
          </w:p>
        </w:tc>
        <w:tc>
          <w:tcPr>
            <w:tcW w:w="2212" w:type="dxa"/>
            <w:vAlign w:val="center"/>
          </w:tcPr>
          <w:p>
            <w:pPr>
              <w:keepNext w:val="0"/>
              <w:keepLines w:val="0"/>
              <w:pageBreakBefore w:val="0"/>
              <w:kinsoku/>
              <w:wordWrap/>
              <w:overflowPunct/>
              <w:topLinePunct w:val="0"/>
              <w:bidi w:val="0"/>
              <w:adjustRightInd w:val="0"/>
              <w:snapToGrid w:val="0"/>
              <w:ind w:left="21" w:leftChars="10"/>
              <w:jc w:val="center"/>
              <w:textAlignment w:val="auto"/>
              <w:rPr>
                <w:color w:val="auto"/>
                <w:szCs w:val="21"/>
              </w:rPr>
            </w:pPr>
            <w:r>
              <w:rPr>
                <w:color w:val="auto"/>
                <w:szCs w:val="21"/>
              </w:rPr>
              <w:t>联系方式</w:t>
            </w:r>
          </w:p>
        </w:tc>
        <w:tc>
          <w:tcPr>
            <w:tcW w:w="2639" w:type="dxa"/>
            <w:vAlign w:val="center"/>
          </w:tcPr>
          <w:p>
            <w:pPr>
              <w:keepNext w:val="0"/>
              <w:keepLines w:val="0"/>
              <w:pageBreakBefore w:val="0"/>
              <w:kinsoku/>
              <w:wordWrap/>
              <w:overflowPunct/>
              <w:topLinePunct w:val="0"/>
              <w:bidi w:val="0"/>
              <w:adjustRightInd w:val="0"/>
              <w:snapToGrid w:val="0"/>
              <w:ind w:left="21" w:leftChars="10"/>
              <w:jc w:val="center"/>
              <w:textAlignment w:val="auto"/>
              <w:rPr>
                <w:rFonts w:hint="default" w:eastAsia="宋体"/>
                <w:color w:val="auto"/>
                <w:szCs w:val="21"/>
                <w:lang w:val="en-US" w:eastAsia="zh-CN"/>
              </w:rPr>
            </w:pPr>
            <w:r>
              <w:rPr>
                <w:rFonts w:hint="eastAsia"/>
                <w:color w:val="auto"/>
                <w:szCs w:val="21"/>
                <w:lang w:val="en-US" w:eastAsia="zh-CN"/>
              </w:rPr>
              <w:t>18175877775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keepNext w:val="0"/>
              <w:keepLines w:val="0"/>
              <w:pageBreakBefore w:val="0"/>
              <w:kinsoku/>
              <w:wordWrap/>
              <w:overflowPunct/>
              <w:topLinePunct w:val="0"/>
              <w:bidi w:val="0"/>
              <w:adjustRightInd w:val="0"/>
              <w:snapToGrid w:val="0"/>
              <w:ind w:left="21" w:leftChars="10"/>
              <w:jc w:val="center"/>
              <w:textAlignment w:val="auto"/>
              <w:rPr>
                <w:color w:val="auto"/>
                <w:szCs w:val="21"/>
                <w:u w:val="none"/>
              </w:rPr>
            </w:pPr>
            <w:r>
              <w:rPr>
                <w:color w:val="auto"/>
                <w:szCs w:val="21"/>
                <w:u w:val="none"/>
              </w:rPr>
              <w:t>建设地点</w:t>
            </w:r>
          </w:p>
        </w:tc>
        <w:tc>
          <w:tcPr>
            <w:tcW w:w="6488" w:type="dxa"/>
            <w:gridSpan w:val="3"/>
            <w:vAlign w:val="center"/>
          </w:tcPr>
          <w:p>
            <w:pPr>
              <w:keepNext w:val="0"/>
              <w:keepLines w:val="0"/>
              <w:pageBreakBefore w:val="0"/>
              <w:kinsoku/>
              <w:wordWrap/>
              <w:overflowPunct/>
              <w:topLinePunct w:val="0"/>
              <w:bidi w:val="0"/>
              <w:adjustRightInd w:val="0"/>
              <w:snapToGrid w:val="0"/>
              <w:ind w:left="21" w:leftChars="10"/>
              <w:jc w:val="left"/>
              <w:textAlignment w:val="auto"/>
              <w:rPr>
                <w:color w:val="auto"/>
                <w:szCs w:val="21"/>
                <w:u w:val="none"/>
              </w:rPr>
            </w:pPr>
            <w:r>
              <w:rPr>
                <w:color w:val="auto"/>
                <w:szCs w:val="21"/>
                <w:u w:val="none"/>
              </w:rPr>
              <w:t xml:space="preserve">湖南省 衡阳市 衡阳县 </w:t>
            </w:r>
            <w:r>
              <w:rPr>
                <w:rFonts w:hint="eastAsia"/>
                <w:color w:val="auto"/>
                <w:szCs w:val="21"/>
                <w:u w:val="none"/>
                <w:lang w:eastAsia="zh-CN"/>
              </w:rPr>
              <w:t>界牌</w:t>
            </w:r>
            <w:r>
              <w:rPr>
                <w:color w:val="auto"/>
                <w:szCs w:val="21"/>
                <w:u w:val="none"/>
              </w:rPr>
              <w:t xml:space="preserve">镇 </w:t>
            </w:r>
            <w:r>
              <w:rPr>
                <w:rFonts w:hint="eastAsia"/>
                <w:color w:val="auto"/>
                <w:szCs w:val="21"/>
                <w:u w:val="none"/>
                <w:lang w:eastAsia="zh-CN"/>
              </w:rPr>
              <w:t>桐梓坪社区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keepNext w:val="0"/>
              <w:keepLines w:val="0"/>
              <w:pageBreakBefore w:val="0"/>
              <w:kinsoku/>
              <w:wordWrap/>
              <w:overflowPunct/>
              <w:topLinePunct w:val="0"/>
              <w:bidi w:val="0"/>
              <w:adjustRightInd w:val="0"/>
              <w:snapToGrid w:val="0"/>
              <w:ind w:left="21" w:leftChars="10"/>
              <w:jc w:val="center"/>
              <w:textAlignment w:val="auto"/>
              <w:rPr>
                <w:color w:val="auto"/>
                <w:szCs w:val="21"/>
              </w:rPr>
            </w:pPr>
            <w:r>
              <w:rPr>
                <w:color w:val="auto"/>
                <w:szCs w:val="21"/>
              </w:rPr>
              <w:t>地理坐标</w:t>
            </w:r>
          </w:p>
        </w:tc>
        <w:tc>
          <w:tcPr>
            <w:tcW w:w="6488" w:type="dxa"/>
            <w:gridSpan w:val="3"/>
            <w:vAlign w:val="center"/>
          </w:tcPr>
          <w:p>
            <w:pPr>
              <w:keepNext w:val="0"/>
              <w:keepLines w:val="0"/>
              <w:pageBreakBefore w:val="0"/>
              <w:kinsoku/>
              <w:wordWrap/>
              <w:overflowPunct/>
              <w:topLinePunct w:val="0"/>
              <w:bidi w:val="0"/>
              <w:ind w:left="21" w:leftChars="10"/>
              <w:jc w:val="center"/>
              <w:textAlignment w:val="auto"/>
              <w:rPr>
                <w:color w:val="auto"/>
                <w:szCs w:val="21"/>
              </w:rPr>
            </w:pPr>
            <w:r>
              <w:rPr>
                <w:color w:val="auto"/>
                <w:szCs w:val="21"/>
              </w:rPr>
              <w:t>（</w:t>
            </w:r>
            <w:r>
              <w:rPr>
                <w:color w:val="auto"/>
                <w:szCs w:val="21"/>
                <w:u w:val="single"/>
              </w:rPr>
              <w:t>112</w:t>
            </w:r>
            <w:r>
              <w:rPr>
                <w:color w:val="auto"/>
                <w:szCs w:val="21"/>
              </w:rPr>
              <w:t>度</w:t>
            </w:r>
            <w:r>
              <w:rPr>
                <w:color w:val="auto"/>
                <w:szCs w:val="21"/>
                <w:u w:val="single"/>
              </w:rPr>
              <w:t>3</w:t>
            </w:r>
            <w:r>
              <w:rPr>
                <w:rFonts w:hint="eastAsia"/>
                <w:color w:val="auto"/>
                <w:szCs w:val="21"/>
                <w:u w:val="single"/>
                <w:lang w:val="en-US" w:eastAsia="zh-CN"/>
              </w:rPr>
              <w:t>3</w:t>
            </w:r>
            <w:r>
              <w:rPr>
                <w:color w:val="auto"/>
                <w:szCs w:val="21"/>
              </w:rPr>
              <w:t>分</w:t>
            </w:r>
            <w:r>
              <w:rPr>
                <w:rFonts w:hint="eastAsia"/>
                <w:color w:val="auto"/>
                <w:szCs w:val="21"/>
                <w:u w:val="single"/>
                <w:lang w:val="en-US" w:eastAsia="zh-CN"/>
              </w:rPr>
              <w:t>7.69</w:t>
            </w:r>
            <w:r>
              <w:rPr>
                <w:rFonts w:hint="default"/>
                <w:color w:val="auto"/>
                <w:szCs w:val="21"/>
                <w:u w:val="single"/>
                <w:lang w:val="en-US" w:eastAsia="zh-CN"/>
              </w:rPr>
              <w:t>4</w:t>
            </w:r>
            <w:r>
              <w:rPr>
                <w:color w:val="auto"/>
                <w:szCs w:val="21"/>
              </w:rPr>
              <w:t>秒，</w:t>
            </w:r>
            <w:r>
              <w:rPr>
                <w:color w:val="auto"/>
                <w:szCs w:val="21"/>
                <w:u w:val="single"/>
              </w:rPr>
              <w:t>2</w:t>
            </w:r>
            <w:r>
              <w:rPr>
                <w:rFonts w:hint="eastAsia"/>
                <w:color w:val="auto"/>
                <w:szCs w:val="21"/>
                <w:u w:val="single"/>
                <w:lang w:val="en-US" w:eastAsia="zh-CN"/>
              </w:rPr>
              <w:t>7</w:t>
            </w:r>
            <w:r>
              <w:rPr>
                <w:color w:val="auto"/>
                <w:szCs w:val="21"/>
              </w:rPr>
              <w:t>度</w:t>
            </w:r>
            <w:r>
              <w:rPr>
                <w:rFonts w:hint="eastAsia"/>
                <w:color w:val="auto"/>
                <w:szCs w:val="21"/>
                <w:u w:val="single"/>
                <w:lang w:val="en-US" w:eastAsia="zh-CN"/>
              </w:rPr>
              <w:t>14</w:t>
            </w:r>
            <w:r>
              <w:rPr>
                <w:color w:val="auto"/>
                <w:szCs w:val="21"/>
              </w:rPr>
              <w:t>分</w:t>
            </w:r>
            <w:r>
              <w:rPr>
                <w:rFonts w:hint="eastAsia"/>
                <w:color w:val="auto"/>
                <w:szCs w:val="21"/>
                <w:u w:val="single"/>
                <w:lang w:val="en-US" w:eastAsia="zh-CN"/>
              </w:rPr>
              <w:t>30.</w:t>
            </w:r>
            <w:r>
              <w:rPr>
                <w:rFonts w:hint="default"/>
                <w:color w:val="auto"/>
                <w:szCs w:val="21"/>
                <w:u w:val="single"/>
                <w:lang w:val="en-US" w:eastAsia="zh-CN"/>
              </w:rPr>
              <w:t>894</w:t>
            </w:r>
            <w:r>
              <w:rPr>
                <w:color w:val="auto"/>
                <w:szCs w:val="21"/>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382" w:type="dxa"/>
            <w:tcMar>
              <w:top w:w="16" w:type="dxa"/>
              <w:left w:w="16" w:type="dxa"/>
              <w:right w:w="16" w:type="dxa"/>
            </w:tcMar>
            <w:vAlign w:val="center"/>
          </w:tcPr>
          <w:p>
            <w:pPr>
              <w:keepNext w:val="0"/>
              <w:keepLines w:val="0"/>
              <w:pageBreakBefore w:val="0"/>
              <w:kinsoku/>
              <w:wordWrap/>
              <w:overflowPunct/>
              <w:topLinePunct w:val="0"/>
              <w:bidi w:val="0"/>
              <w:adjustRightInd w:val="0"/>
              <w:snapToGrid w:val="0"/>
              <w:ind w:left="21" w:leftChars="10"/>
              <w:jc w:val="center"/>
              <w:textAlignment w:val="auto"/>
              <w:rPr>
                <w:color w:val="auto"/>
                <w:szCs w:val="21"/>
              </w:rPr>
            </w:pPr>
            <w:r>
              <w:rPr>
                <w:color w:val="auto"/>
                <w:szCs w:val="21"/>
              </w:rPr>
              <w:t>国民经济</w:t>
            </w:r>
          </w:p>
          <w:p>
            <w:pPr>
              <w:keepNext w:val="0"/>
              <w:keepLines w:val="0"/>
              <w:pageBreakBefore w:val="0"/>
              <w:kinsoku/>
              <w:wordWrap/>
              <w:overflowPunct/>
              <w:topLinePunct w:val="0"/>
              <w:bidi w:val="0"/>
              <w:adjustRightInd w:val="0"/>
              <w:snapToGrid w:val="0"/>
              <w:ind w:left="21" w:leftChars="10"/>
              <w:jc w:val="center"/>
              <w:textAlignment w:val="auto"/>
              <w:rPr>
                <w:color w:val="auto"/>
                <w:szCs w:val="21"/>
              </w:rPr>
            </w:pPr>
            <w:r>
              <w:rPr>
                <w:color w:val="auto"/>
                <w:szCs w:val="21"/>
              </w:rPr>
              <w:t>行业类别</w:t>
            </w:r>
          </w:p>
        </w:tc>
        <w:tc>
          <w:tcPr>
            <w:tcW w:w="1637" w:type="dxa"/>
            <w:vAlign w:val="center"/>
          </w:tcPr>
          <w:p>
            <w:pPr>
              <w:keepNext w:val="0"/>
              <w:keepLines w:val="0"/>
              <w:pageBreakBefore w:val="0"/>
              <w:kinsoku/>
              <w:wordWrap/>
              <w:overflowPunct/>
              <w:topLinePunct w:val="0"/>
              <w:bidi w:val="0"/>
              <w:adjustRightInd w:val="0"/>
              <w:snapToGrid w:val="0"/>
              <w:ind w:left="21" w:leftChars="10"/>
              <w:jc w:val="center"/>
              <w:textAlignment w:val="auto"/>
              <w:rPr>
                <w:rFonts w:hint="eastAsia"/>
                <w:color w:val="auto"/>
              </w:rPr>
            </w:pPr>
            <w:r>
              <w:rPr>
                <w:rFonts w:hint="eastAsia"/>
                <w:color w:val="auto"/>
              </w:rPr>
              <w:t>C3099其他非金属矿物制品制造</w:t>
            </w:r>
          </w:p>
          <w:p>
            <w:pPr>
              <w:pStyle w:val="26"/>
              <w:keepNext w:val="0"/>
              <w:keepLines w:val="0"/>
              <w:pageBreakBefore w:val="0"/>
              <w:kinsoku/>
              <w:wordWrap/>
              <w:overflowPunct/>
              <w:topLinePunct w:val="0"/>
              <w:bidi w:val="0"/>
              <w:ind w:left="21" w:leftChars="10" w:firstLine="0" w:firstLineChars="0"/>
              <w:jc w:val="center"/>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C3039其他建筑</w:t>
            </w:r>
          </w:p>
          <w:p>
            <w:pPr>
              <w:pStyle w:val="26"/>
              <w:keepNext w:val="0"/>
              <w:keepLines w:val="0"/>
              <w:pageBreakBefore w:val="0"/>
              <w:kinsoku/>
              <w:wordWrap/>
              <w:overflowPunct/>
              <w:topLinePunct w:val="0"/>
              <w:bidi w:val="0"/>
              <w:ind w:left="21" w:leftChars="10" w:firstLine="0" w:firstLineChars="0"/>
              <w:jc w:val="center"/>
              <w:textAlignment w:val="auto"/>
              <w:rPr>
                <w:color w:val="auto"/>
              </w:rPr>
            </w:pPr>
            <w:r>
              <w:rPr>
                <w:rFonts w:hint="eastAsia" w:ascii="Times New Roman" w:hAnsi="Times New Roman" w:eastAsia="宋体" w:cs="Times New Roman"/>
                <w:color w:val="auto"/>
                <w:kern w:val="2"/>
                <w:sz w:val="21"/>
                <w:szCs w:val="24"/>
                <w:lang w:val="en-US" w:eastAsia="zh-CN" w:bidi="ar-SA"/>
              </w:rPr>
              <w:t>材料制造</w:t>
            </w:r>
          </w:p>
        </w:tc>
        <w:tc>
          <w:tcPr>
            <w:tcW w:w="2212" w:type="dxa"/>
            <w:vAlign w:val="center"/>
          </w:tcPr>
          <w:p>
            <w:pPr>
              <w:keepNext w:val="0"/>
              <w:keepLines w:val="0"/>
              <w:pageBreakBefore w:val="0"/>
              <w:kinsoku/>
              <w:wordWrap/>
              <w:overflowPunct/>
              <w:topLinePunct w:val="0"/>
              <w:bidi w:val="0"/>
              <w:adjustRightInd w:val="0"/>
              <w:snapToGrid w:val="0"/>
              <w:ind w:left="21" w:leftChars="10"/>
              <w:jc w:val="center"/>
              <w:textAlignment w:val="auto"/>
              <w:rPr>
                <w:color w:val="auto"/>
                <w:szCs w:val="21"/>
              </w:rPr>
            </w:pPr>
            <w:bookmarkStart w:id="3" w:name="_Hlk49843745"/>
            <w:r>
              <w:rPr>
                <w:color w:val="auto"/>
                <w:szCs w:val="21"/>
              </w:rPr>
              <w:t>建设项目</w:t>
            </w:r>
          </w:p>
          <w:p>
            <w:pPr>
              <w:keepNext w:val="0"/>
              <w:keepLines w:val="0"/>
              <w:pageBreakBefore w:val="0"/>
              <w:kinsoku/>
              <w:wordWrap/>
              <w:overflowPunct/>
              <w:topLinePunct w:val="0"/>
              <w:bidi w:val="0"/>
              <w:adjustRightInd w:val="0"/>
              <w:snapToGrid w:val="0"/>
              <w:ind w:left="21" w:leftChars="10"/>
              <w:jc w:val="center"/>
              <w:textAlignment w:val="auto"/>
              <w:rPr>
                <w:color w:val="auto"/>
                <w:szCs w:val="21"/>
              </w:rPr>
            </w:pPr>
            <w:r>
              <w:rPr>
                <w:color w:val="auto"/>
                <w:szCs w:val="21"/>
              </w:rPr>
              <w:t>行业类别</w:t>
            </w:r>
            <w:bookmarkEnd w:id="3"/>
          </w:p>
        </w:tc>
        <w:tc>
          <w:tcPr>
            <w:tcW w:w="2639" w:type="dxa"/>
            <w:vAlign w:val="center"/>
          </w:tcPr>
          <w:p>
            <w:pPr>
              <w:keepNext w:val="0"/>
              <w:keepLines w:val="0"/>
              <w:pageBreakBefore w:val="0"/>
              <w:kinsoku/>
              <w:wordWrap/>
              <w:overflowPunct/>
              <w:topLinePunct w:val="0"/>
              <w:bidi w:val="0"/>
              <w:adjustRightInd w:val="0"/>
              <w:snapToGrid w:val="0"/>
              <w:ind w:left="21" w:leftChars="10"/>
              <w:textAlignment w:val="auto"/>
              <w:rPr>
                <w:rFonts w:hint="eastAsia"/>
                <w:color w:val="auto"/>
                <w:lang w:val="en-US" w:eastAsia="zh-CN"/>
              </w:rPr>
            </w:pPr>
            <w:r>
              <w:rPr>
                <w:rFonts w:hint="eastAsia"/>
                <w:color w:val="auto"/>
                <w:szCs w:val="21"/>
                <w:lang w:eastAsia="zh-CN"/>
              </w:rPr>
              <w:t>二十七、非金属矿物制品业；</w:t>
            </w:r>
            <w:r>
              <w:rPr>
                <w:rFonts w:hint="eastAsia"/>
                <w:color w:val="auto"/>
                <w:szCs w:val="21"/>
                <w:lang w:val="en-US" w:eastAsia="zh-CN"/>
              </w:rPr>
              <w:t>60.</w:t>
            </w:r>
            <w:r>
              <w:rPr>
                <w:rFonts w:hint="eastAsia"/>
                <w:color w:val="auto"/>
              </w:rPr>
              <w:t>石墨及其他非金属矿物制品</w:t>
            </w:r>
            <w:r>
              <w:rPr>
                <w:rFonts w:hint="eastAsia"/>
                <w:color w:val="auto"/>
                <w:lang w:val="en-US" w:eastAsia="zh-CN"/>
              </w:rPr>
              <w:t>309</w:t>
            </w:r>
          </w:p>
          <w:p>
            <w:pPr>
              <w:keepNext w:val="0"/>
              <w:keepLines w:val="0"/>
              <w:pageBreakBefore w:val="0"/>
              <w:kinsoku/>
              <w:wordWrap/>
              <w:overflowPunct/>
              <w:topLinePunct w:val="0"/>
              <w:bidi w:val="0"/>
              <w:adjustRightInd w:val="0"/>
              <w:snapToGrid w:val="0"/>
              <w:ind w:left="21" w:leftChars="10"/>
              <w:textAlignment w:val="auto"/>
              <w:rPr>
                <w:rFonts w:hint="default" w:eastAsia="宋体"/>
                <w:color w:val="auto"/>
                <w:szCs w:val="21"/>
                <w:lang w:val="en-US" w:eastAsia="zh-CN"/>
              </w:rPr>
            </w:pPr>
            <w:r>
              <w:rPr>
                <w:rFonts w:hint="eastAsia"/>
                <w:color w:val="auto"/>
                <w:szCs w:val="21"/>
                <w:lang w:eastAsia="zh-CN"/>
              </w:rPr>
              <w:t>56</w:t>
            </w:r>
            <w:r>
              <w:rPr>
                <w:rFonts w:hint="eastAsia"/>
                <w:color w:val="auto"/>
                <w:szCs w:val="21"/>
                <w:lang w:val="en-US" w:eastAsia="zh-CN"/>
              </w:rPr>
              <w:t>.</w:t>
            </w:r>
            <w:r>
              <w:rPr>
                <w:rFonts w:hint="eastAsia"/>
                <w:color w:val="auto"/>
                <w:szCs w:val="21"/>
                <w:lang w:eastAsia="zh-CN"/>
              </w:rPr>
              <w:t>砖瓦、石材等建筑材料制造 303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382" w:type="dxa"/>
            <w:tcMar>
              <w:top w:w="16" w:type="dxa"/>
              <w:left w:w="16" w:type="dxa"/>
              <w:right w:w="16" w:type="dxa"/>
            </w:tcMar>
            <w:vAlign w:val="center"/>
          </w:tcPr>
          <w:p>
            <w:pPr>
              <w:keepNext w:val="0"/>
              <w:keepLines w:val="0"/>
              <w:pageBreakBefore w:val="0"/>
              <w:kinsoku/>
              <w:wordWrap/>
              <w:overflowPunct/>
              <w:topLinePunct w:val="0"/>
              <w:bidi w:val="0"/>
              <w:adjustRightInd w:val="0"/>
              <w:snapToGrid w:val="0"/>
              <w:ind w:left="21" w:leftChars="10"/>
              <w:jc w:val="center"/>
              <w:textAlignment w:val="auto"/>
              <w:rPr>
                <w:color w:val="auto"/>
                <w:szCs w:val="21"/>
              </w:rPr>
            </w:pPr>
            <w:r>
              <w:rPr>
                <w:color w:val="auto"/>
                <w:szCs w:val="21"/>
              </w:rPr>
              <w:t>建设性质</w:t>
            </w:r>
          </w:p>
        </w:tc>
        <w:tc>
          <w:tcPr>
            <w:tcW w:w="1637" w:type="dxa"/>
            <w:vAlign w:val="center"/>
          </w:tcPr>
          <w:p>
            <w:pPr>
              <w:keepNext w:val="0"/>
              <w:keepLines w:val="0"/>
              <w:pageBreakBefore w:val="0"/>
              <w:kinsoku/>
              <w:wordWrap/>
              <w:overflowPunct/>
              <w:topLinePunct w:val="0"/>
              <w:bidi w:val="0"/>
              <w:ind w:left="21" w:leftChars="10"/>
              <w:jc w:val="left"/>
              <w:textAlignment w:val="auto"/>
              <w:rPr>
                <w:color w:val="auto"/>
                <w:szCs w:val="21"/>
              </w:rPr>
            </w:pPr>
            <w:r>
              <w:rPr>
                <w:color w:val="auto"/>
                <w:szCs w:val="21"/>
              </w:rPr>
              <w:sym w:font="Wingdings" w:char="00FE"/>
            </w:r>
            <w:r>
              <w:rPr>
                <w:color w:val="auto"/>
                <w:szCs w:val="21"/>
              </w:rPr>
              <w:t>新建（迁建）</w:t>
            </w:r>
          </w:p>
          <w:p>
            <w:pPr>
              <w:keepNext w:val="0"/>
              <w:keepLines w:val="0"/>
              <w:pageBreakBefore w:val="0"/>
              <w:kinsoku/>
              <w:wordWrap/>
              <w:overflowPunct/>
              <w:topLinePunct w:val="0"/>
              <w:bidi w:val="0"/>
              <w:ind w:left="21" w:leftChars="10"/>
              <w:jc w:val="left"/>
              <w:textAlignment w:val="auto"/>
              <w:rPr>
                <w:color w:val="auto"/>
                <w:szCs w:val="21"/>
              </w:rPr>
            </w:pPr>
            <w:r>
              <w:rPr>
                <w:color w:val="auto"/>
                <w:szCs w:val="21"/>
              </w:rPr>
              <w:sym w:font="Wingdings" w:char="00A8"/>
            </w:r>
            <w:r>
              <w:rPr>
                <w:color w:val="auto"/>
                <w:szCs w:val="21"/>
              </w:rPr>
              <w:t>改建</w:t>
            </w:r>
          </w:p>
          <w:p>
            <w:pPr>
              <w:keepNext w:val="0"/>
              <w:keepLines w:val="0"/>
              <w:pageBreakBefore w:val="0"/>
              <w:kinsoku/>
              <w:wordWrap/>
              <w:overflowPunct/>
              <w:topLinePunct w:val="0"/>
              <w:bidi w:val="0"/>
              <w:ind w:left="21" w:leftChars="10"/>
              <w:jc w:val="left"/>
              <w:textAlignment w:val="auto"/>
              <w:rPr>
                <w:color w:val="auto"/>
                <w:szCs w:val="21"/>
              </w:rPr>
            </w:pPr>
            <w:r>
              <w:rPr>
                <w:color w:val="auto"/>
                <w:szCs w:val="21"/>
              </w:rPr>
              <w:sym w:font="Wingdings" w:char="00A8"/>
            </w:r>
            <w:r>
              <w:rPr>
                <w:color w:val="auto"/>
                <w:szCs w:val="21"/>
              </w:rPr>
              <w:t>扩建</w:t>
            </w:r>
          </w:p>
          <w:p>
            <w:pPr>
              <w:keepNext w:val="0"/>
              <w:keepLines w:val="0"/>
              <w:pageBreakBefore w:val="0"/>
              <w:kinsoku/>
              <w:wordWrap/>
              <w:overflowPunct/>
              <w:topLinePunct w:val="0"/>
              <w:bidi w:val="0"/>
              <w:ind w:left="21" w:leftChars="10"/>
              <w:jc w:val="left"/>
              <w:textAlignment w:val="auto"/>
              <w:rPr>
                <w:color w:val="auto"/>
                <w:szCs w:val="21"/>
              </w:rPr>
            </w:pPr>
            <w:r>
              <w:rPr>
                <w:color w:val="auto"/>
                <w:szCs w:val="21"/>
              </w:rPr>
              <w:sym w:font="Wingdings" w:char="00A8"/>
            </w:r>
            <w:r>
              <w:rPr>
                <w:color w:val="auto"/>
                <w:szCs w:val="21"/>
              </w:rPr>
              <w:t>技术改造</w:t>
            </w:r>
          </w:p>
        </w:tc>
        <w:tc>
          <w:tcPr>
            <w:tcW w:w="2212" w:type="dxa"/>
            <w:vAlign w:val="center"/>
          </w:tcPr>
          <w:p>
            <w:pPr>
              <w:keepNext w:val="0"/>
              <w:keepLines w:val="0"/>
              <w:pageBreakBefore w:val="0"/>
              <w:kinsoku/>
              <w:wordWrap/>
              <w:overflowPunct/>
              <w:topLinePunct w:val="0"/>
              <w:bidi w:val="0"/>
              <w:adjustRightInd w:val="0"/>
              <w:snapToGrid w:val="0"/>
              <w:ind w:left="21" w:leftChars="10"/>
              <w:jc w:val="center"/>
              <w:textAlignment w:val="auto"/>
              <w:rPr>
                <w:color w:val="auto"/>
                <w:szCs w:val="21"/>
              </w:rPr>
            </w:pPr>
            <w:r>
              <w:rPr>
                <w:color w:val="auto"/>
                <w:szCs w:val="21"/>
              </w:rPr>
              <w:t>建设项目</w:t>
            </w:r>
          </w:p>
          <w:p>
            <w:pPr>
              <w:keepNext w:val="0"/>
              <w:keepLines w:val="0"/>
              <w:pageBreakBefore w:val="0"/>
              <w:kinsoku/>
              <w:wordWrap/>
              <w:overflowPunct/>
              <w:topLinePunct w:val="0"/>
              <w:bidi w:val="0"/>
              <w:adjustRightInd w:val="0"/>
              <w:snapToGrid w:val="0"/>
              <w:ind w:left="21" w:leftChars="10"/>
              <w:jc w:val="center"/>
              <w:textAlignment w:val="auto"/>
              <w:rPr>
                <w:color w:val="auto"/>
                <w:szCs w:val="21"/>
              </w:rPr>
            </w:pPr>
            <w:r>
              <w:rPr>
                <w:color w:val="auto"/>
                <w:szCs w:val="21"/>
              </w:rPr>
              <w:t>申报情形</w:t>
            </w:r>
          </w:p>
        </w:tc>
        <w:tc>
          <w:tcPr>
            <w:tcW w:w="2639" w:type="dxa"/>
            <w:vAlign w:val="center"/>
          </w:tcPr>
          <w:p>
            <w:pPr>
              <w:keepNext w:val="0"/>
              <w:keepLines w:val="0"/>
              <w:pageBreakBefore w:val="0"/>
              <w:kinsoku/>
              <w:wordWrap/>
              <w:overflowPunct/>
              <w:topLinePunct w:val="0"/>
              <w:bidi w:val="0"/>
              <w:ind w:left="21" w:leftChars="10"/>
              <w:jc w:val="left"/>
              <w:textAlignment w:val="auto"/>
              <w:rPr>
                <w:color w:val="auto"/>
                <w:szCs w:val="21"/>
              </w:rPr>
            </w:pPr>
            <w:r>
              <w:rPr>
                <w:color w:val="auto"/>
                <w:szCs w:val="21"/>
              </w:rPr>
              <w:sym w:font="Wingdings" w:char="00FE"/>
            </w:r>
            <w:r>
              <w:rPr>
                <w:color w:val="auto"/>
                <w:szCs w:val="21"/>
              </w:rPr>
              <w:t xml:space="preserve">首次申报项目             </w:t>
            </w:r>
          </w:p>
          <w:p>
            <w:pPr>
              <w:keepNext w:val="0"/>
              <w:keepLines w:val="0"/>
              <w:pageBreakBefore w:val="0"/>
              <w:kinsoku/>
              <w:wordWrap/>
              <w:overflowPunct/>
              <w:topLinePunct w:val="0"/>
              <w:bidi w:val="0"/>
              <w:ind w:left="21" w:leftChars="10"/>
              <w:jc w:val="left"/>
              <w:textAlignment w:val="auto"/>
              <w:rPr>
                <w:color w:val="auto"/>
                <w:szCs w:val="21"/>
              </w:rPr>
            </w:pPr>
            <w:r>
              <w:rPr>
                <w:color w:val="auto"/>
                <w:szCs w:val="21"/>
              </w:rPr>
              <w:sym w:font="Wingdings" w:char="00A8"/>
            </w:r>
            <w:r>
              <w:rPr>
                <w:color w:val="auto"/>
                <w:szCs w:val="21"/>
              </w:rPr>
              <w:t>不予批准后再次申报项目</w:t>
            </w:r>
          </w:p>
          <w:p>
            <w:pPr>
              <w:keepNext w:val="0"/>
              <w:keepLines w:val="0"/>
              <w:pageBreakBefore w:val="0"/>
              <w:kinsoku/>
              <w:wordWrap/>
              <w:overflowPunct/>
              <w:topLinePunct w:val="0"/>
              <w:bidi w:val="0"/>
              <w:ind w:left="21" w:leftChars="10"/>
              <w:jc w:val="left"/>
              <w:textAlignment w:val="auto"/>
              <w:rPr>
                <w:color w:val="auto"/>
                <w:szCs w:val="21"/>
              </w:rPr>
            </w:pPr>
            <w:r>
              <w:rPr>
                <w:color w:val="auto"/>
                <w:szCs w:val="21"/>
              </w:rPr>
              <w:sym w:font="Wingdings" w:char="00A8"/>
            </w:r>
            <w:r>
              <w:rPr>
                <w:color w:val="auto"/>
                <w:szCs w:val="21"/>
              </w:rPr>
              <w:t xml:space="preserve">超五年重新审核项目     </w:t>
            </w:r>
          </w:p>
          <w:p>
            <w:pPr>
              <w:keepNext w:val="0"/>
              <w:keepLines w:val="0"/>
              <w:pageBreakBefore w:val="0"/>
              <w:kinsoku/>
              <w:wordWrap/>
              <w:overflowPunct/>
              <w:topLinePunct w:val="0"/>
              <w:bidi w:val="0"/>
              <w:ind w:left="21" w:leftChars="10"/>
              <w:jc w:val="left"/>
              <w:textAlignment w:val="auto"/>
              <w:rPr>
                <w:color w:val="auto"/>
                <w:szCs w:val="21"/>
              </w:rPr>
            </w:pPr>
            <w:r>
              <w:rPr>
                <w:color w:val="auto"/>
                <w:szCs w:val="21"/>
              </w:rPr>
              <w:sym w:font="Wingdings" w:char="00A8"/>
            </w:r>
            <w:r>
              <w:rPr>
                <w:color w:val="auto"/>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382" w:type="dxa"/>
            <w:tcMar>
              <w:top w:w="16" w:type="dxa"/>
              <w:left w:w="16" w:type="dxa"/>
              <w:right w:w="16" w:type="dxa"/>
            </w:tcMar>
            <w:vAlign w:val="center"/>
          </w:tcPr>
          <w:p>
            <w:pPr>
              <w:keepNext w:val="0"/>
              <w:keepLines w:val="0"/>
              <w:pageBreakBefore w:val="0"/>
              <w:kinsoku/>
              <w:wordWrap/>
              <w:overflowPunct/>
              <w:topLinePunct w:val="0"/>
              <w:bidi w:val="0"/>
              <w:adjustRightInd w:val="0"/>
              <w:snapToGrid w:val="0"/>
              <w:ind w:left="21" w:leftChars="10"/>
              <w:jc w:val="center"/>
              <w:textAlignment w:val="auto"/>
              <w:rPr>
                <w:color w:val="auto"/>
                <w:szCs w:val="21"/>
              </w:rPr>
            </w:pPr>
            <w:r>
              <w:rPr>
                <w:color w:val="auto"/>
                <w:szCs w:val="21"/>
              </w:rPr>
              <w:t>项目审批（核准/</w:t>
            </w:r>
          </w:p>
          <w:p>
            <w:pPr>
              <w:keepNext w:val="0"/>
              <w:keepLines w:val="0"/>
              <w:pageBreakBefore w:val="0"/>
              <w:kinsoku/>
              <w:wordWrap/>
              <w:overflowPunct/>
              <w:topLinePunct w:val="0"/>
              <w:bidi w:val="0"/>
              <w:adjustRightInd w:val="0"/>
              <w:snapToGrid w:val="0"/>
              <w:ind w:left="21" w:leftChars="10"/>
              <w:jc w:val="center"/>
              <w:textAlignment w:val="auto"/>
              <w:rPr>
                <w:color w:val="auto"/>
                <w:szCs w:val="21"/>
              </w:rPr>
            </w:pPr>
            <w:r>
              <w:rPr>
                <w:color w:val="auto"/>
                <w:szCs w:val="21"/>
              </w:rPr>
              <w:t>备案）部门（选填）</w:t>
            </w:r>
          </w:p>
        </w:tc>
        <w:tc>
          <w:tcPr>
            <w:tcW w:w="1637" w:type="dxa"/>
            <w:vAlign w:val="center"/>
          </w:tcPr>
          <w:p>
            <w:pPr>
              <w:keepNext w:val="0"/>
              <w:keepLines w:val="0"/>
              <w:pageBreakBefore w:val="0"/>
              <w:kinsoku/>
              <w:wordWrap/>
              <w:overflowPunct/>
              <w:topLinePunct w:val="0"/>
              <w:bidi w:val="0"/>
              <w:adjustRightInd w:val="0"/>
              <w:snapToGrid w:val="0"/>
              <w:ind w:left="21" w:leftChars="10"/>
              <w:jc w:val="center"/>
              <w:textAlignment w:val="auto"/>
              <w:rPr>
                <w:rFonts w:hint="default" w:eastAsia="宋体"/>
                <w:color w:val="auto"/>
                <w:szCs w:val="21"/>
                <w:lang w:val="en-US" w:eastAsia="zh-CN"/>
              </w:rPr>
            </w:pPr>
            <w:r>
              <w:rPr>
                <w:rFonts w:hint="eastAsia"/>
                <w:color w:val="auto"/>
                <w:szCs w:val="21"/>
                <w:lang w:val="en-US" w:eastAsia="zh-CN"/>
              </w:rPr>
              <w:t>/</w:t>
            </w:r>
          </w:p>
        </w:tc>
        <w:tc>
          <w:tcPr>
            <w:tcW w:w="2212" w:type="dxa"/>
            <w:vAlign w:val="center"/>
          </w:tcPr>
          <w:p>
            <w:pPr>
              <w:keepNext w:val="0"/>
              <w:keepLines w:val="0"/>
              <w:pageBreakBefore w:val="0"/>
              <w:kinsoku/>
              <w:wordWrap/>
              <w:overflowPunct/>
              <w:topLinePunct w:val="0"/>
              <w:bidi w:val="0"/>
              <w:adjustRightInd w:val="0"/>
              <w:snapToGrid w:val="0"/>
              <w:ind w:left="21" w:leftChars="10"/>
              <w:jc w:val="center"/>
              <w:textAlignment w:val="auto"/>
              <w:rPr>
                <w:color w:val="auto"/>
                <w:szCs w:val="21"/>
              </w:rPr>
            </w:pPr>
            <w:r>
              <w:rPr>
                <w:color w:val="auto"/>
                <w:szCs w:val="21"/>
              </w:rPr>
              <w:t>项目审批（核准/</w:t>
            </w:r>
          </w:p>
          <w:p>
            <w:pPr>
              <w:keepNext w:val="0"/>
              <w:keepLines w:val="0"/>
              <w:pageBreakBefore w:val="0"/>
              <w:kinsoku/>
              <w:wordWrap/>
              <w:overflowPunct/>
              <w:topLinePunct w:val="0"/>
              <w:bidi w:val="0"/>
              <w:adjustRightInd w:val="0"/>
              <w:snapToGrid w:val="0"/>
              <w:ind w:left="21" w:leftChars="10"/>
              <w:jc w:val="center"/>
              <w:textAlignment w:val="auto"/>
              <w:rPr>
                <w:color w:val="auto"/>
                <w:szCs w:val="21"/>
              </w:rPr>
            </w:pPr>
            <w:r>
              <w:rPr>
                <w:color w:val="auto"/>
                <w:szCs w:val="21"/>
              </w:rPr>
              <w:t>备案）文号（选填）</w:t>
            </w:r>
          </w:p>
        </w:tc>
        <w:tc>
          <w:tcPr>
            <w:tcW w:w="2639" w:type="dxa"/>
            <w:vAlign w:val="center"/>
          </w:tcPr>
          <w:p>
            <w:pPr>
              <w:keepNext w:val="0"/>
              <w:keepLines w:val="0"/>
              <w:pageBreakBefore w:val="0"/>
              <w:kinsoku/>
              <w:wordWrap/>
              <w:overflowPunct/>
              <w:topLinePunct w:val="0"/>
              <w:bidi w:val="0"/>
              <w:adjustRightInd w:val="0"/>
              <w:snapToGrid w:val="0"/>
              <w:ind w:left="21" w:leftChars="10"/>
              <w:jc w:val="center"/>
              <w:textAlignment w:val="auto"/>
              <w:rPr>
                <w:rFonts w:hint="eastAsia" w:eastAsia="宋体"/>
                <w:color w:val="auto"/>
                <w:szCs w:val="21"/>
                <w:lang w:val="en-US" w:eastAsia="zh-CN"/>
              </w:rPr>
            </w:pPr>
            <w:r>
              <w:rPr>
                <w:rFonts w:hint="eastAsia"/>
                <w:color w:val="auto"/>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keepNext w:val="0"/>
              <w:keepLines w:val="0"/>
              <w:pageBreakBefore w:val="0"/>
              <w:kinsoku/>
              <w:wordWrap/>
              <w:overflowPunct/>
              <w:topLinePunct w:val="0"/>
              <w:bidi w:val="0"/>
              <w:adjustRightInd w:val="0"/>
              <w:snapToGrid w:val="0"/>
              <w:ind w:left="21" w:leftChars="10"/>
              <w:jc w:val="center"/>
              <w:textAlignment w:val="auto"/>
              <w:rPr>
                <w:color w:val="auto"/>
                <w:szCs w:val="21"/>
              </w:rPr>
            </w:pPr>
            <w:r>
              <w:rPr>
                <w:color w:val="auto"/>
                <w:szCs w:val="21"/>
              </w:rPr>
              <w:t>总投资（万元）</w:t>
            </w:r>
          </w:p>
        </w:tc>
        <w:tc>
          <w:tcPr>
            <w:tcW w:w="1637" w:type="dxa"/>
            <w:vAlign w:val="center"/>
          </w:tcPr>
          <w:p>
            <w:pPr>
              <w:keepNext w:val="0"/>
              <w:keepLines w:val="0"/>
              <w:pageBreakBefore w:val="0"/>
              <w:kinsoku/>
              <w:wordWrap/>
              <w:overflowPunct/>
              <w:topLinePunct w:val="0"/>
              <w:bidi w:val="0"/>
              <w:adjustRightInd w:val="0"/>
              <w:snapToGrid w:val="0"/>
              <w:ind w:left="21" w:leftChars="10"/>
              <w:jc w:val="center"/>
              <w:textAlignment w:val="auto"/>
              <w:rPr>
                <w:rFonts w:hint="default" w:eastAsia="宋体"/>
                <w:color w:val="auto"/>
                <w:szCs w:val="21"/>
                <w:lang w:val="en-US" w:eastAsia="zh-CN"/>
              </w:rPr>
            </w:pPr>
            <w:r>
              <w:rPr>
                <w:rFonts w:hint="eastAsia"/>
                <w:color w:val="auto"/>
                <w:szCs w:val="21"/>
                <w:lang w:val="en-US" w:eastAsia="zh-CN"/>
              </w:rPr>
              <w:t>2000</w:t>
            </w:r>
          </w:p>
        </w:tc>
        <w:tc>
          <w:tcPr>
            <w:tcW w:w="2212" w:type="dxa"/>
            <w:tcMar>
              <w:top w:w="16" w:type="dxa"/>
              <w:left w:w="16" w:type="dxa"/>
              <w:right w:w="16" w:type="dxa"/>
            </w:tcMar>
            <w:vAlign w:val="center"/>
          </w:tcPr>
          <w:p>
            <w:pPr>
              <w:keepNext w:val="0"/>
              <w:keepLines w:val="0"/>
              <w:pageBreakBefore w:val="0"/>
              <w:kinsoku/>
              <w:wordWrap/>
              <w:overflowPunct/>
              <w:topLinePunct w:val="0"/>
              <w:bidi w:val="0"/>
              <w:adjustRightInd w:val="0"/>
              <w:snapToGrid w:val="0"/>
              <w:ind w:left="21" w:leftChars="10"/>
              <w:jc w:val="center"/>
              <w:textAlignment w:val="auto"/>
              <w:rPr>
                <w:color w:val="auto"/>
                <w:szCs w:val="21"/>
              </w:rPr>
            </w:pPr>
            <w:r>
              <w:rPr>
                <w:color w:val="auto"/>
                <w:szCs w:val="21"/>
              </w:rPr>
              <w:t>环保投资（万元）</w:t>
            </w:r>
          </w:p>
        </w:tc>
        <w:tc>
          <w:tcPr>
            <w:tcW w:w="2639" w:type="dxa"/>
            <w:vAlign w:val="center"/>
          </w:tcPr>
          <w:p>
            <w:pPr>
              <w:keepNext w:val="0"/>
              <w:keepLines w:val="0"/>
              <w:pageBreakBefore w:val="0"/>
              <w:kinsoku/>
              <w:wordWrap/>
              <w:overflowPunct/>
              <w:topLinePunct w:val="0"/>
              <w:bidi w:val="0"/>
              <w:adjustRightInd w:val="0"/>
              <w:snapToGrid w:val="0"/>
              <w:ind w:left="21" w:leftChars="10"/>
              <w:jc w:val="center"/>
              <w:textAlignment w:val="auto"/>
              <w:rPr>
                <w:rFonts w:hint="default" w:eastAsia="宋体"/>
                <w:color w:val="auto"/>
                <w:szCs w:val="21"/>
                <w:lang w:val="en-US" w:eastAsia="zh-CN"/>
              </w:rPr>
            </w:pPr>
            <w:r>
              <w:rPr>
                <w:rFonts w:hint="default"/>
                <w:color w:val="auto"/>
                <w:szCs w:val="21"/>
                <w:lang w:val="en-US" w:eastAsia="zh-CN"/>
              </w:rPr>
              <w:t>500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keepNext w:val="0"/>
              <w:keepLines w:val="0"/>
              <w:pageBreakBefore w:val="0"/>
              <w:kinsoku/>
              <w:wordWrap/>
              <w:overflowPunct/>
              <w:topLinePunct w:val="0"/>
              <w:bidi w:val="0"/>
              <w:adjustRightInd w:val="0"/>
              <w:snapToGrid w:val="0"/>
              <w:ind w:left="21" w:leftChars="10"/>
              <w:jc w:val="center"/>
              <w:textAlignment w:val="auto"/>
              <w:rPr>
                <w:color w:val="auto"/>
                <w:szCs w:val="21"/>
              </w:rPr>
            </w:pPr>
            <w:r>
              <w:rPr>
                <w:color w:val="auto"/>
                <w:szCs w:val="21"/>
              </w:rPr>
              <w:t>环保投资占比（%）</w:t>
            </w:r>
          </w:p>
        </w:tc>
        <w:tc>
          <w:tcPr>
            <w:tcW w:w="1637" w:type="dxa"/>
            <w:vAlign w:val="center"/>
          </w:tcPr>
          <w:p>
            <w:pPr>
              <w:keepNext w:val="0"/>
              <w:keepLines w:val="0"/>
              <w:pageBreakBefore w:val="0"/>
              <w:kinsoku/>
              <w:wordWrap/>
              <w:overflowPunct/>
              <w:topLinePunct w:val="0"/>
              <w:bidi w:val="0"/>
              <w:adjustRightInd w:val="0"/>
              <w:snapToGrid w:val="0"/>
              <w:ind w:left="21" w:leftChars="10"/>
              <w:jc w:val="center"/>
              <w:textAlignment w:val="auto"/>
              <w:rPr>
                <w:rFonts w:hint="default" w:eastAsia="宋体"/>
                <w:color w:val="auto"/>
                <w:szCs w:val="21"/>
                <w:lang w:val="en-US" w:eastAsia="zh-CN"/>
              </w:rPr>
            </w:pPr>
            <w:r>
              <w:rPr>
                <w:rFonts w:hint="default"/>
                <w:color w:val="auto"/>
                <w:szCs w:val="21"/>
                <w:lang w:val="en-US" w:eastAsia="zh-CN"/>
              </w:rPr>
              <w:t>25</w:t>
            </w:r>
            <w:r>
              <w:rPr>
                <w:rFonts w:hint="eastAsia"/>
                <w:color w:val="auto"/>
                <w:szCs w:val="21"/>
                <w:lang w:val="en-US" w:eastAsia="zh-CN"/>
              </w:rPr>
              <w:t>%</w:t>
            </w:r>
          </w:p>
        </w:tc>
        <w:tc>
          <w:tcPr>
            <w:tcW w:w="2212" w:type="dxa"/>
            <w:tcMar>
              <w:top w:w="16" w:type="dxa"/>
              <w:left w:w="16" w:type="dxa"/>
              <w:right w:w="16" w:type="dxa"/>
            </w:tcMar>
            <w:vAlign w:val="center"/>
          </w:tcPr>
          <w:p>
            <w:pPr>
              <w:keepNext w:val="0"/>
              <w:keepLines w:val="0"/>
              <w:pageBreakBefore w:val="0"/>
              <w:kinsoku/>
              <w:wordWrap/>
              <w:overflowPunct/>
              <w:topLinePunct w:val="0"/>
              <w:bidi w:val="0"/>
              <w:adjustRightInd w:val="0"/>
              <w:snapToGrid w:val="0"/>
              <w:ind w:left="21" w:leftChars="10"/>
              <w:jc w:val="center"/>
              <w:textAlignment w:val="auto"/>
              <w:rPr>
                <w:color w:val="auto"/>
                <w:szCs w:val="21"/>
              </w:rPr>
            </w:pPr>
            <w:r>
              <w:rPr>
                <w:color w:val="auto"/>
                <w:szCs w:val="21"/>
              </w:rPr>
              <w:t>施工工期</w:t>
            </w:r>
          </w:p>
        </w:tc>
        <w:tc>
          <w:tcPr>
            <w:tcW w:w="2639" w:type="dxa"/>
            <w:vAlign w:val="center"/>
          </w:tcPr>
          <w:p>
            <w:pPr>
              <w:keepNext w:val="0"/>
              <w:keepLines w:val="0"/>
              <w:pageBreakBefore w:val="0"/>
              <w:kinsoku/>
              <w:wordWrap/>
              <w:overflowPunct/>
              <w:topLinePunct w:val="0"/>
              <w:bidi w:val="0"/>
              <w:adjustRightInd w:val="0"/>
              <w:snapToGrid w:val="0"/>
              <w:ind w:left="21" w:leftChars="10"/>
              <w:jc w:val="center"/>
              <w:textAlignment w:val="auto"/>
              <w:rPr>
                <w:rFonts w:hint="eastAsia" w:eastAsia="宋体"/>
                <w:color w:val="auto"/>
                <w:szCs w:val="21"/>
                <w:lang w:val="en-US" w:eastAsia="zh-CN"/>
              </w:rPr>
            </w:pPr>
            <w:r>
              <w:rPr>
                <w:rFonts w:hint="eastAsia"/>
                <w:color w:val="auto"/>
                <w:szCs w:val="21"/>
                <w:lang w:val="en-US" w:eastAsia="zh-CN"/>
              </w:rPr>
              <w:t>4个月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keepNext w:val="0"/>
              <w:keepLines w:val="0"/>
              <w:pageBreakBefore w:val="0"/>
              <w:kinsoku/>
              <w:wordWrap/>
              <w:overflowPunct/>
              <w:topLinePunct w:val="0"/>
              <w:bidi w:val="0"/>
              <w:adjustRightInd w:val="0"/>
              <w:snapToGrid w:val="0"/>
              <w:ind w:left="21" w:leftChars="10"/>
              <w:jc w:val="center"/>
              <w:textAlignment w:val="auto"/>
              <w:rPr>
                <w:color w:val="auto"/>
                <w:szCs w:val="21"/>
              </w:rPr>
            </w:pPr>
            <w:r>
              <w:rPr>
                <w:color w:val="auto"/>
                <w:szCs w:val="21"/>
              </w:rPr>
              <w:t>是否开工建设</w:t>
            </w:r>
          </w:p>
        </w:tc>
        <w:tc>
          <w:tcPr>
            <w:tcW w:w="1637" w:type="dxa"/>
            <w:vAlign w:val="center"/>
          </w:tcPr>
          <w:p>
            <w:pPr>
              <w:keepNext w:val="0"/>
              <w:keepLines w:val="0"/>
              <w:pageBreakBefore w:val="0"/>
              <w:kinsoku/>
              <w:wordWrap/>
              <w:overflowPunct/>
              <w:topLinePunct w:val="0"/>
              <w:bidi w:val="0"/>
              <w:adjustRightInd w:val="0"/>
              <w:snapToGrid w:val="0"/>
              <w:ind w:left="21" w:leftChars="10"/>
              <w:textAlignment w:val="auto"/>
              <w:rPr>
                <w:color w:val="auto"/>
                <w:szCs w:val="21"/>
              </w:rPr>
            </w:pPr>
            <w:r>
              <w:rPr>
                <w:color w:val="auto"/>
                <w:szCs w:val="21"/>
              </w:rPr>
              <w:sym w:font="Wingdings" w:char="00FE"/>
            </w:r>
            <w:r>
              <w:rPr>
                <w:color w:val="auto"/>
                <w:szCs w:val="21"/>
              </w:rPr>
              <w:t>否</w:t>
            </w:r>
          </w:p>
          <w:p>
            <w:pPr>
              <w:keepNext w:val="0"/>
              <w:keepLines w:val="0"/>
              <w:pageBreakBefore w:val="0"/>
              <w:kinsoku/>
              <w:wordWrap/>
              <w:overflowPunct/>
              <w:topLinePunct w:val="0"/>
              <w:bidi w:val="0"/>
              <w:adjustRightInd w:val="0"/>
              <w:snapToGrid w:val="0"/>
              <w:ind w:left="21" w:leftChars="10"/>
              <w:textAlignment w:val="auto"/>
              <w:rPr>
                <w:color w:val="auto"/>
                <w:szCs w:val="21"/>
              </w:rPr>
            </w:pPr>
            <w:r>
              <w:rPr>
                <w:color w:val="auto"/>
                <w:szCs w:val="21"/>
              </w:rPr>
              <w:sym w:font="Wingdings" w:char="00A8"/>
            </w:r>
            <w:r>
              <w:rPr>
                <w:color w:val="auto"/>
                <w:szCs w:val="21"/>
              </w:rPr>
              <w:t>是</w:t>
            </w:r>
          </w:p>
        </w:tc>
        <w:tc>
          <w:tcPr>
            <w:tcW w:w="2212" w:type="dxa"/>
            <w:tcMar>
              <w:top w:w="16" w:type="dxa"/>
              <w:left w:w="16" w:type="dxa"/>
              <w:right w:w="16" w:type="dxa"/>
            </w:tcMar>
            <w:vAlign w:val="center"/>
          </w:tcPr>
          <w:p>
            <w:pPr>
              <w:keepNext w:val="0"/>
              <w:keepLines w:val="0"/>
              <w:pageBreakBefore w:val="0"/>
              <w:kinsoku/>
              <w:wordWrap/>
              <w:overflowPunct/>
              <w:topLinePunct w:val="0"/>
              <w:bidi w:val="0"/>
              <w:adjustRightInd w:val="0"/>
              <w:snapToGrid w:val="0"/>
              <w:ind w:left="21" w:leftChars="10"/>
              <w:jc w:val="center"/>
              <w:textAlignment w:val="auto"/>
              <w:rPr>
                <w:color w:val="auto"/>
                <w:spacing w:val="-6"/>
                <w:szCs w:val="21"/>
              </w:rPr>
            </w:pPr>
            <w:r>
              <w:rPr>
                <w:color w:val="auto"/>
                <w:spacing w:val="-6"/>
                <w:szCs w:val="21"/>
              </w:rPr>
              <w:t>用地（用海）</w:t>
            </w:r>
          </w:p>
          <w:p>
            <w:pPr>
              <w:keepNext w:val="0"/>
              <w:keepLines w:val="0"/>
              <w:pageBreakBefore w:val="0"/>
              <w:kinsoku/>
              <w:wordWrap/>
              <w:overflowPunct/>
              <w:topLinePunct w:val="0"/>
              <w:bidi w:val="0"/>
              <w:adjustRightInd w:val="0"/>
              <w:snapToGrid w:val="0"/>
              <w:ind w:left="21" w:leftChars="10"/>
              <w:jc w:val="center"/>
              <w:textAlignment w:val="auto"/>
              <w:rPr>
                <w:color w:val="auto"/>
                <w:szCs w:val="21"/>
              </w:rPr>
            </w:pPr>
            <w:r>
              <w:rPr>
                <w:color w:val="auto"/>
                <w:spacing w:val="-6"/>
                <w:szCs w:val="21"/>
              </w:rPr>
              <w:t>面积（m</w:t>
            </w:r>
            <w:r>
              <w:rPr>
                <w:color w:val="auto"/>
                <w:spacing w:val="-6"/>
                <w:szCs w:val="21"/>
                <w:vertAlign w:val="superscript"/>
              </w:rPr>
              <w:t>2</w:t>
            </w:r>
            <w:r>
              <w:rPr>
                <w:color w:val="auto"/>
                <w:spacing w:val="-6"/>
                <w:szCs w:val="21"/>
              </w:rPr>
              <w:t>）</w:t>
            </w:r>
          </w:p>
        </w:tc>
        <w:tc>
          <w:tcPr>
            <w:tcW w:w="2639" w:type="dxa"/>
            <w:vAlign w:val="center"/>
          </w:tcPr>
          <w:p>
            <w:pPr>
              <w:keepNext w:val="0"/>
              <w:keepLines w:val="0"/>
              <w:pageBreakBefore w:val="0"/>
              <w:kinsoku/>
              <w:wordWrap/>
              <w:overflowPunct/>
              <w:topLinePunct w:val="0"/>
              <w:bidi w:val="0"/>
              <w:adjustRightInd w:val="0"/>
              <w:snapToGrid w:val="0"/>
              <w:ind w:left="21" w:leftChars="10"/>
              <w:jc w:val="center"/>
              <w:textAlignment w:val="auto"/>
              <w:rPr>
                <w:rFonts w:hint="default" w:eastAsia="宋体"/>
                <w:color w:val="auto"/>
                <w:szCs w:val="21"/>
                <w:lang w:val="en-US" w:eastAsia="zh-CN"/>
              </w:rPr>
            </w:pPr>
            <w:r>
              <w:rPr>
                <w:rFonts w:hint="eastAsia"/>
                <w:color w:val="auto"/>
                <w:szCs w:val="21"/>
                <w:lang w:val="en-US" w:eastAsia="zh-CN"/>
              </w:rPr>
              <w:t>9000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vAlign w:val="center"/>
          </w:tcPr>
          <w:p>
            <w:pPr>
              <w:keepNext w:val="0"/>
              <w:keepLines w:val="0"/>
              <w:pageBreakBefore w:val="0"/>
              <w:kinsoku/>
              <w:wordWrap/>
              <w:overflowPunct/>
              <w:topLinePunct w:val="0"/>
              <w:autoSpaceDE w:val="0"/>
              <w:autoSpaceDN w:val="0"/>
              <w:bidi w:val="0"/>
              <w:adjustRightInd w:val="0"/>
              <w:snapToGrid w:val="0"/>
              <w:ind w:left="21" w:leftChars="10"/>
              <w:jc w:val="center"/>
              <w:textAlignment w:val="auto"/>
              <w:rPr>
                <w:color w:val="auto"/>
                <w:kern w:val="0"/>
                <w:szCs w:val="21"/>
              </w:rPr>
            </w:pPr>
            <w:r>
              <w:rPr>
                <w:color w:val="auto"/>
                <w:kern w:val="0"/>
                <w:szCs w:val="21"/>
              </w:rPr>
              <w:t>专项评价设置情况</w:t>
            </w:r>
          </w:p>
        </w:tc>
        <w:tc>
          <w:tcPr>
            <w:tcW w:w="6488" w:type="dxa"/>
            <w:gridSpan w:val="3"/>
            <w:vAlign w:val="center"/>
          </w:tcPr>
          <w:p>
            <w:pPr>
              <w:keepNext w:val="0"/>
              <w:keepLines w:val="0"/>
              <w:pageBreakBefore w:val="0"/>
              <w:kinsoku/>
              <w:wordWrap/>
              <w:overflowPunct/>
              <w:topLinePunct w:val="0"/>
              <w:autoSpaceDE w:val="0"/>
              <w:autoSpaceDN w:val="0"/>
              <w:bidi w:val="0"/>
              <w:adjustRightInd w:val="0"/>
              <w:snapToGrid w:val="0"/>
              <w:ind w:left="21" w:leftChars="10"/>
              <w:jc w:val="center"/>
              <w:textAlignment w:val="auto"/>
              <w:rPr>
                <w:color w:val="auto"/>
                <w:kern w:val="0"/>
                <w:szCs w:val="21"/>
              </w:rPr>
            </w:pPr>
            <w:r>
              <w:rPr>
                <w:color w:val="auto"/>
                <w:kern w:val="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2382" w:type="dxa"/>
            <w:vAlign w:val="center"/>
          </w:tcPr>
          <w:p>
            <w:pPr>
              <w:keepNext w:val="0"/>
              <w:keepLines w:val="0"/>
              <w:pageBreakBefore w:val="0"/>
              <w:kinsoku/>
              <w:wordWrap/>
              <w:overflowPunct/>
              <w:topLinePunct w:val="0"/>
              <w:autoSpaceDE w:val="0"/>
              <w:autoSpaceDN w:val="0"/>
              <w:bidi w:val="0"/>
              <w:adjustRightInd w:val="0"/>
              <w:snapToGrid w:val="0"/>
              <w:ind w:left="21" w:leftChars="10"/>
              <w:jc w:val="center"/>
              <w:textAlignment w:val="auto"/>
              <w:rPr>
                <w:color w:val="auto"/>
                <w:kern w:val="0"/>
                <w:szCs w:val="21"/>
              </w:rPr>
            </w:pPr>
            <w:r>
              <w:rPr>
                <w:color w:val="auto"/>
                <w:szCs w:val="21"/>
              </w:rPr>
              <w:t>规划情况</w:t>
            </w:r>
          </w:p>
        </w:tc>
        <w:tc>
          <w:tcPr>
            <w:tcW w:w="6488" w:type="dxa"/>
            <w:gridSpan w:val="3"/>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ind w:left="21" w:leftChars="10"/>
              <w:jc w:val="left"/>
              <w:textAlignment w:val="auto"/>
              <w:rPr>
                <w:rFonts w:hint="eastAsia" w:eastAsia="宋体"/>
                <w:color w:val="auto"/>
                <w:kern w:val="0"/>
                <w:szCs w:val="21"/>
                <w:lang w:eastAsia="zh-CN"/>
              </w:rPr>
            </w:pPr>
            <w:r>
              <w:rPr>
                <w:rFonts w:hint="eastAsia"/>
                <w:color w:val="auto"/>
                <w:sz w:val="21"/>
                <w:szCs w:val="21"/>
                <w:u w:val="none"/>
                <w:lang w:val="en-US" w:eastAsia="zh-CN"/>
              </w:rPr>
              <w:t>2015年衡阳县人民政府对</w:t>
            </w:r>
            <w:r>
              <w:rPr>
                <w:rFonts w:hint="eastAsia"/>
                <w:color w:val="auto"/>
                <w:sz w:val="21"/>
                <w:szCs w:val="21"/>
                <w:u w:val="none"/>
              </w:rPr>
              <w:t>《衡阳界牌陶瓷循环经济特色工业园</w:t>
            </w:r>
            <w:r>
              <w:rPr>
                <w:rFonts w:hint="eastAsia"/>
                <w:color w:val="auto"/>
                <w:sz w:val="21"/>
                <w:szCs w:val="21"/>
                <w:u w:val="none"/>
                <w:lang w:eastAsia="zh-CN"/>
              </w:rPr>
              <w:t>区总体规划</w:t>
            </w:r>
            <w:r>
              <w:rPr>
                <w:rFonts w:hint="eastAsia"/>
                <w:color w:val="auto"/>
                <w:sz w:val="21"/>
                <w:szCs w:val="21"/>
                <w:u w:val="none"/>
              </w:rPr>
              <w:t>》</w:t>
            </w:r>
            <w:r>
              <w:rPr>
                <w:rFonts w:hint="eastAsia"/>
                <w:color w:val="auto"/>
                <w:sz w:val="21"/>
                <w:szCs w:val="21"/>
                <w:u w:val="none"/>
                <w:lang w:eastAsia="zh-CN"/>
              </w:rPr>
              <w:t>进行了批复</w:t>
            </w:r>
            <w:r>
              <w:rPr>
                <w:rFonts w:hint="eastAsia"/>
                <w:color w:val="auto"/>
                <w:sz w:val="21"/>
                <w:szCs w:val="21"/>
                <w:u w:val="none"/>
              </w:rPr>
              <w:t>。</w:t>
            </w:r>
            <w:r>
              <w:rPr>
                <w:rFonts w:hint="eastAsia"/>
                <w:color w:val="auto"/>
                <w:sz w:val="21"/>
                <w:szCs w:val="21"/>
                <w:u w:val="none"/>
                <w:lang w:eastAsia="zh-CN"/>
              </w:rPr>
              <w:t>本项目位于界牌镇区域，但不属于园区范围内。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vAlign w:val="center"/>
          </w:tcPr>
          <w:p>
            <w:pPr>
              <w:keepNext w:val="0"/>
              <w:keepLines w:val="0"/>
              <w:pageBreakBefore w:val="0"/>
              <w:kinsoku/>
              <w:wordWrap/>
              <w:overflowPunct/>
              <w:topLinePunct w:val="0"/>
              <w:bidi w:val="0"/>
              <w:adjustRightInd w:val="0"/>
              <w:snapToGrid w:val="0"/>
              <w:ind w:left="21" w:leftChars="10"/>
              <w:jc w:val="center"/>
              <w:textAlignment w:val="auto"/>
              <w:rPr>
                <w:color w:val="auto"/>
                <w:szCs w:val="21"/>
              </w:rPr>
            </w:pPr>
            <w:r>
              <w:rPr>
                <w:color w:val="auto"/>
                <w:szCs w:val="21"/>
              </w:rPr>
              <w:t>规划环境影响</w:t>
            </w:r>
          </w:p>
          <w:p>
            <w:pPr>
              <w:keepNext w:val="0"/>
              <w:keepLines w:val="0"/>
              <w:pageBreakBefore w:val="0"/>
              <w:kinsoku/>
              <w:wordWrap/>
              <w:overflowPunct/>
              <w:topLinePunct w:val="0"/>
              <w:bidi w:val="0"/>
              <w:adjustRightInd w:val="0"/>
              <w:snapToGrid w:val="0"/>
              <w:ind w:left="21" w:leftChars="10"/>
              <w:jc w:val="center"/>
              <w:textAlignment w:val="auto"/>
              <w:rPr>
                <w:color w:val="auto"/>
                <w:kern w:val="0"/>
                <w:szCs w:val="21"/>
              </w:rPr>
            </w:pPr>
            <w:r>
              <w:rPr>
                <w:color w:val="auto"/>
                <w:szCs w:val="21"/>
              </w:rPr>
              <w:t>评价情况</w:t>
            </w:r>
          </w:p>
        </w:tc>
        <w:tc>
          <w:tcPr>
            <w:tcW w:w="6488" w:type="dxa"/>
            <w:gridSpan w:val="3"/>
            <w:vAlign w:val="center"/>
          </w:tcPr>
          <w:p>
            <w:pPr>
              <w:keepNext w:val="0"/>
              <w:keepLines w:val="0"/>
              <w:pageBreakBefore w:val="0"/>
              <w:kinsoku/>
              <w:wordWrap/>
              <w:overflowPunct/>
              <w:topLinePunct w:val="0"/>
              <w:autoSpaceDE w:val="0"/>
              <w:autoSpaceDN w:val="0"/>
              <w:bidi w:val="0"/>
              <w:adjustRightInd w:val="0"/>
              <w:snapToGrid w:val="0"/>
              <w:ind w:left="21" w:leftChars="10"/>
              <w:jc w:val="center"/>
              <w:textAlignment w:val="auto"/>
              <w:rPr>
                <w:color w:val="auto"/>
                <w:kern w:val="0"/>
                <w:szCs w:val="21"/>
              </w:rPr>
            </w:pPr>
            <w:r>
              <w:rPr>
                <w:color w:val="auto"/>
                <w:kern w:val="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vAlign w:val="center"/>
          </w:tcPr>
          <w:p>
            <w:pPr>
              <w:keepNext w:val="0"/>
              <w:keepLines w:val="0"/>
              <w:pageBreakBefore w:val="0"/>
              <w:kinsoku/>
              <w:wordWrap/>
              <w:overflowPunct/>
              <w:topLinePunct w:val="0"/>
              <w:autoSpaceDE w:val="0"/>
              <w:autoSpaceDN w:val="0"/>
              <w:bidi w:val="0"/>
              <w:adjustRightInd w:val="0"/>
              <w:snapToGrid w:val="0"/>
              <w:ind w:left="21" w:leftChars="10"/>
              <w:jc w:val="center"/>
              <w:textAlignment w:val="auto"/>
              <w:rPr>
                <w:color w:val="auto"/>
                <w:kern w:val="0"/>
                <w:szCs w:val="21"/>
              </w:rPr>
            </w:pPr>
            <w:r>
              <w:rPr>
                <w:color w:val="auto"/>
                <w:kern w:val="0"/>
                <w:szCs w:val="21"/>
              </w:rPr>
              <w:t>规划及规划环境</w:t>
            </w:r>
          </w:p>
          <w:p>
            <w:pPr>
              <w:keepNext w:val="0"/>
              <w:keepLines w:val="0"/>
              <w:pageBreakBefore w:val="0"/>
              <w:kinsoku/>
              <w:wordWrap/>
              <w:overflowPunct/>
              <w:topLinePunct w:val="0"/>
              <w:autoSpaceDE w:val="0"/>
              <w:autoSpaceDN w:val="0"/>
              <w:bidi w:val="0"/>
              <w:adjustRightInd w:val="0"/>
              <w:snapToGrid w:val="0"/>
              <w:ind w:left="21" w:leftChars="10"/>
              <w:jc w:val="center"/>
              <w:textAlignment w:val="auto"/>
              <w:rPr>
                <w:color w:val="auto"/>
                <w:kern w:val="0"/>
                <w:szCs w:val="21"/>
              </w:rPr>
            </w:pPr>
            <w:r>
              <w:rPr>
                <w:color w:val="auto"/>
                <w:kern w:val="0"/>
                <w:szCs w:val="21"/>
              </w:rPr>
              <w:t>影响评价符合性分析</w:t>
            </w:r>
          </w:p>
        </w:tc>
        <w:tc>
          <w:tcPr>
            <w:tcW w:w="6488" w:type="dxa"/>
            <w:gridSpan w:val="3"/>
            <w:vAlign w:val="center"/>
          </w:tcPr>
          <w:p>
            <w:pPr>
              <w:keepNext w:val="0"/>
              <w:keepLines w:val="0"/>
              <w:pageBreakBefore w:val="0"/>
              <w:kinsoku/>
              <w:wordWrap/>
              <w:overflowPunct/>
              <w:topLinePunct w:val="0"/>
              <w:autoSpaceDE w:val="0"/>
              <w:autoSpaceDN w:val="0"/>
              <w:bidi w:val="0"/>
              <w:adjustRightInd w:val="0"/>
              <w:snapToGrid w:val="0"/>
              <w:ind w:left="21" w:leftChars="10"/>
              <w:jc w:val="center"/>
              <w:textAlignment w:val="auto"/>
              <w:rPr>
                <w:color w:val="auto"/>
                <w:kern w:val="0"/>
                <w:szCs w:val="21"/>
              </w:rPr>
            </w:pPr>
            <w:bookmarkStart w:id="18" w:name="_GoBack"/>
            <w:bookmarkEnd w:id="18"/>
            <w:r>
              <w:rPr>
                <w:color w:val="auto"/>
                <w:kern w:val="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83" w:hRule="atLeast"/>
          <w:jc w:val="center"/>
        </w:trPr>
        <w:tc>
          <w:tcPr>
            <w:tcW w:w="2382" w:type="dxa"/>
            <w:vAlign w:val="center"/>
          </w:tcPr>
          <w:p>
            <w:pPr>
              <w:keepNext w:val="0"/>
              <w:keepLines w:val="0"/>
              <w:pageBreakBefore w:val="0"/>
              <w:kinsoku/>
              <w:wordWrap/>
              <w:overflowPunct/>
              <w:topLinePunct w:val="0"/>
              <w:autoSpaceDE w:val="0"/>
              <w:autoSpaceDN w:val="0"/>
              <w:bidi w:val="0"/>
              <w:adjustRightInd w:val="0"/>
              <w:snapToGrid w:val="0"/>
              <w:ind w:left="21" w:leftChars="10"/>
              <w:jc w:val="center"/>
              <w:textAlignment w:val="auto"/>
              <w:rPr>
                <w:color w:val="auto"/>
                <w:kern w:val="0"/>
                <w:szCs w:val="21"/>
              </w:rPr>
            </w:pPr>
            <w:r>
              <w:rPr>
                <w:color w:val="auto"/>
                <w:kern w:val="0"/>
                <w:szCs w:val="21"/>
              </w:rPr>
              <w:t>其他符合性分析</w:t>
            </w:r>
          </w:p>
        </w:tc>
        <w:tc>
          <w:tcPr>
            <w:tcW w:w="6488" w:type="dxa"/>
            <w:gridSpan w:val="3"/>
            <w:vAlign w:val="center"/>
          </w:tcPr>
          <w:p>
            <w:pPr>
              <w:pStyle w:val="5"/>
              <w:keepNext w:val="0"/>
              <w:keepLines w:val="0"/>
              <w:pageBreakBefore w:val="0"/>
              <w:kinsoku/>
              <w:wordWrap/>
              <w:overflowPunct/>
              <w:topLinePunct w:val="0"/>
              <w:bidi w:val="0"/>
              <w:spacing w:after="0" w:line="360" w:lineRule="auto"/>
              <w:ind w:left="21" w:leftChars="10" w:firstLine="0" w:firstLineChars="0"/>
              <w:textAlignment w:val="auto"/>
              <w:rPr>
                <w:b/>
                <w:color w:val="auto"/>
                <w:szCs w:val="21"/>
              </w:rPr>
            </w:pPr>
            <w:r>
              <w:rPr>
                <w:b/>
                <w:color w:val="auto"/>
                <w:szCs w:val="21"/>
              </w:rPr>
              <w:t>1、产业政策</w:t>
            </w:r>
            <w:r>
              <w:rPr>
                <w:rFonts w:hint="eastAsia"/>
                <w:b/>
                <w:color w:val="auto"/>
                <w:szCs w:val="21"/>
                <w:lang w:eastAsia="zh-CN"/>
              </w:rPr>
              <w:t>及行业规范</w:t>
            </w:r>
            <w:r>
              <w:rPr>
                <w:b/>
                <w:color w:val="auto"/>
                <w:szCs w:val="21"/>
              </w:rPr>
              <w:t>符合性分析</w:t>
            </w:r>
          </w:p>
          <w:p>
            <w:pPr>
              <w:spacing w:line="360" w:lineRule="auto"/>
              <w:rPr>
                <w:rFonts w:hint="eastAsia"/>
                <w:color w:val="auto"/>
                <w:szCs w:val="21"/>
                <w:lang w:eastAsia="zh-CN"/>
              </w:rPr>
            </w:pPr>
            <w:r>
              <w:rPr>
                <w:rFonts w:hint="eastAsia" w:ascii="Times New Roman" w:hAnsi="Times New Roman"/>
                <w:color w:val="auto"/>
                <w:sz w:val="21"/>
                <w:szCs w:val="21"/>
                <w:lang w:val="en-US" w:eastAsia="zh-CN"/>
              </w:rPr>
              <w:t>(1)</w:t>
            </w:r>
            <w:r>
              <w:rPr>
                <w:rFonts w:hint="eastAsia"/>
                <w:color w:val="auto"/>
                <w:sz w:val="21"/>
                <w:szCs w:val="21"/>
                <w:lang w:val="en-US" w:eastAsia="zh-CN"/>
              </w:rPr>
              <w:t xml:space="preserve"> </w:t>
            </w:r>
            <w:r>
              <w:rPr>
                <w:rFonts w:hint="eastAsia" w:ascii="Times New Roman" w:hAnsi="Times New Roman"/>
                <w:color w:val="auto"/>
                <w:sz w:val="21"/>
                <w:szCs w:val="21"/>
              </w:rPr>
              <w:t>本</w:t>
            </w:r>
            <w:r>
              <w:rPr>
                <w:color w:val="auto"/>
              </w:rPr>
              <w:t>项目属于其他非金属矿物制品制造项目</w:t>
            </w:r>
            <w:r>
              <w:rPr>
                <w:color w:val="auto"/>
                <w:szCs w:val="21"/>
              </w:rPr>
              <w:t>，根据《产业结构调整指导目录》（2019年本），本项目不属于《产业结构调整指导目录（2019年本）》中的限制类和淘汰类产业，属于允许类，且未使用限制、淘汰类设备。因此，本项目符合国家相关产业政策。</w:t>
            </w:r>
            <w:r>
              <w:rPr>
                <w:rFonts w:hint="eastAsia"/>
                <w:color w:val="auto"/>
                <w:szCs w:val="21"/>
                <w:lang w:eastAsia="zh-CN"/>
              </w:rPr>
              <w:t>根据</w:t>
            </w:r>
            <w:r>
              <w:rPr>
                <w:rFonts w:hint="eastAsia"/>
                <w:color w:val="auto"/>
                <w:szCs w:val="21"/>
                <w:lang w:val="en-US" w:eastAsia="zh-CN"/>
              </w:rPr>
              <w:t>2021年7月30日</w:t>
            </w:r>
            <w:r>
              <w:rPr>
                <w:rFonts w:hint="eastAsia"/>
                <w:color w:val="auto"/>
                <w:szCs w:val="21"/>
                <w:lang w:eastAsia="zh-CN"/>
              </w:rPr>
              <w:t>湖南省发改委、工信厅、自然资源厅等十四部门联合发布《关于促进砂石行业健康有序发展的实施意见》：支持支持废石尾矿综合利用。在符合安全、生态环保要求的前提下，鼓励和支持综合利用废石和尾矿等砂石资源，实现“变废为宝”。本项目制砂利用钠长石废石进行制砂，符合国家的产业政策。</w:t>
            </w:r>
          </w:p>
          <w:p>
            <w:pPr>
              <w:spacing w:line="360" w:lineRule="auto"/>
              <w:rPr>
                <w:rFonts w:ascii="Times New Roman" w:hAnsi="Times New Roman"/>
                <w:color w:val="auto"/>
                <w:sz w:val="21"/>
                <w:szCs w:val="21"/>
              </w:rPr>
            </w:pPr>
            <w:r>
              <w:rPr>
                <w:rFonts w:hint="eastAsia" w:ascii="Times New Roman" w:hAnsi="Times New Roman"/>
                <w:color w:val="auto"/>
                <w:sz w:val="21"/>
                <w:szCs w:val="21"/>
              </w:rPr>
              <w:t>（2）</w:t>
            </w:r>
            <w:r>
              <w:rPr>
                <w:rFonts w:ascii="Times New Roman" w:hAnsi="Times New Roman"/>
                <w:color w:val="auto"/>
                <w:sz w:val="21"/>
                <w:szCs w:val="21"/>
              </w:rPr>
              <w:t>与《关于推进机制砂石行业高质量发展的若干意见》（工信部联原〔2019〕239号）相符性分析</w:t>
            </w:r>
          </w:p>
          <w:p>
            <w:pPr>
              <w:spacing w:line="360" w:lineRule="auto"/>
              <w:ind w:firstLine="420" w:firstLineChars="200"/>
              <w:rPr>
                <w:rFonts w:ascii="Times New Roman" w:hAnsi="Times New Roman"/>
                <w:color w:val="auto"/>
                <w:sz w:val="21"/>
                <w:szCs w:val="21"/>
              </w:rPr>
            </w:pPr>
            <w:r>
              <w:rPr>
                <w:rFonts w:ascii="Times New Roman" w:hAnsi="Times New Roman"/>
                <w:color w:val="auto"/>
                <w:sz w:val="21"/>
                <w:szCs w:val="21"/>
              </w:rPr>
              <w:t>根据《关于推进机制砂石行业高质量发展的若干意见》，要求拓展砂石来源，规范砂石资源管理，鼓励利用废石以及铁、钼、钒钛等矿山的尾矿生产机制砂石，节约天然资源，提高产业固体废物综合利用水平。根据建筑垃圾吸水率高等特点，鼓励生产满足海绵城市建设需要的砂石等产品。支持就地取材，利用开山、道路、隧洞、场地平整等建设工程产生的砂石料生产机制砂石，减少长距离运输外来砂石。本项目使用的机制砂原料是来源于</w:t>
            </w:r>
            <w:r>
              <w:rPr>
                <w:rFonts w:hint="eastAsia" w:ascii="Times New Roman" w:hAnsi="Times New Roman"/>
                <w:color w:val="auto"/>
                <w:sz w:val="21"/>
                <w:szCs w:val="21"/>
                <w:lang w:eastAsia="zh-CN"/>
              </w:rPr>
              <w:t>本地钠长石</w:t>
            </w:r>
            <w:r>
              <w:rPr>
                <w:rFonts w:ascii="Times New Roman" w:hAnsi="Times New Roman"/>
                <w:color w:val="auto"/>
                <w:sz w:val="21"/>
                <w:szCs w:val="21"/>
              </w:rPr>
              <w:t>矿山废弃的</w:t>
            </w:r>
            <w:r>
              <w:rPr>
                <w:rFonts w:hint="eastAsia" w:ascii="Times New Roman" w:hAnsi="Times New Roman"/>
                <w:color w:val="auto"/>
                <w:sz w:val="21"/>
                <w:szCs w:val="21"/>
                <w:lang w:eastAsia="zh-CN"/>
              </w:rPr>
              <w:t>低品位钠长石废石</w:t>
            </w:r>
            <w:r>
              <w:rPr>
                <w:rFonts w:ascii="Times New Roman" w:hAnsi="Times New Roman"/>
                <w:color w:val="auto"/>
                <w:sz w:val="21"/>
                <w:szCs w:val="21"/>
              </w:rPr>
              <w:t>，为就地取材，符合《关于推进机制砂石行业高质量发展的若干意见》（工信部联原〔2019〕239号）要求。</w:t>
            </w:r>
          </w:p>
          <w:p>
            <w:pPr>
              <w:spacing w:line="360" w:lineRule="auto"/>
              <w:rPr>
                <w:rFonts w:ascii="Times New Roman" w:hAnsi="Times New Roman"/>
                <w:color w:val="auto"/>
                <w:sz w:val="21"/>
                <w:szCs w:val="21"/>
              </w:rPr>
            </w:pPr>
            <w:r>
              <w:rPr>
                <w:rFonts w:hint="eastAsia" w:ascii="Times New Roman" w:hAnsi="Times New Roman"/>
                <w:color w:val="auto"/>
                <w:sz w:val="21"/>
                <w:szCs w:val="21"/>
              </w:rPr>
              <w:t>（3）</w:t>
            </w:r>
            <w:r>
              <w:rPr>
                <w:rFonts w:ascii="Times New Roman" w:hAnsi="Times New Roman"/>
                <w:color w:val="auto"/>
                <w:sz w:val="21"/>
                <w:szCs w:val="21"/>
              </w:rPr>
              <w:t>与《湖南省砂石骨料行业规范条件》相符性分析</w:t>
            </w:r>
          </w:p>
          <w:p>
            <w:pPr>
              <w:spacing w:line="360" w:lineRule="auto"/>
              <w:ind w:firstLine="420" w:firstLineChars="200"/>
              <w:rPr>
                <w:rFonts w:ascii="Times New Roman" w:hAnsi="Times New Roman"/>
                <w:color w:val="auto"/>
                <w:sz w:val="21"/>
                <w:szCs w:val="21"/>
              </w:rPr>
            </w:pPr>
            <w:r>
              <w:rPr>
                <w:rFonts w:ascii="Times New Roman" w:hAnsi="Times New Roman"/>
                <w:color w:val="auto"/>
                <w:sz w:val="21"/>
                <w:szCs w:val="21"/>
              </w:rPr>
              <w:t>根据《湖南省砂石骨料行业规范条件》，全省机制砂项目应满足如下表1-1要求。</w:t>
            </w:r>
          </w:p>
          <w:p>
            <w:pPr>
              <w:spacing w:line="360" w:lineRule="auto"/>
              <w:jc w:val="center"/>
              <w:rPr>
                <w:rFonts w:ascii="Times New Roman" w:hAnsi="Times New Roman"/>
                <w:color w:val="auto"/>
                <w:sz w:val="24"/>
              </w:rPr>
            </w:pPr>
            <w:r>
              <w:rPr>
                <w:rFonts w:ascii="Times New Roman" w:hAnsi="Times New Roman"/>
                <w:b/>
                <w:color w:val="auto"/>
                <w:spacing w:val="-2"/>
                <w:kern w:val="28"/>
                <w:szCs w:val="21"/>
              </w:rPr>
              <w:t>表1-1  湖南省砂石骨料行业规范条件</w:t>
            </w:r>
          </w:p>
          <w:tbl>
            <w:tblPr>
              <w:tblStyle w:val="20"/>
              <w:tblW w:w="4997"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22"/>
              <w:gridCol w:w="3043"/>
              <w:gridCol w:w="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pct"/>
                  <w:tcBorders>
                    <w:tl2br w:val="nil"/>
                    <w:tr2bl w:val="nil"/>
                  </w:tcBorders>
                  <w:noWrap w:val="0"/>
                  <w:vAlign w:val="center"/>
                </w:tcPr>
                <w:p>
                  <w:pPr>
                    <w:jc w:val="center"/>
                    <w:rPr>
                      <w:rFonts w:ascii="Times New Roman" w:hAnsi="Times New Roman"/>
                      <w:b/>
                      <w:color w:val="auto"/>
                      <w:sz w:val="18"/>
                      <w:szCs w:val="18"/>
                    </w:rPr>
                  </w:pPr>
                  <w:r>
                    <w:rPr>
                      <w:rFonts w:ascii="Times New Roman" w:hAnsi="Times New Roman"/>
                      <w:b/>
                      <w:bCs/>
                      <w:color w:val="auto"/>
                      <w:sz w:val="18"/>
                      <w:szCs w:val="18"/>
                    </w:rPr>
                    <w:t>规范要求内容</w:t>
                  </w:r>
                </w:p>
              </w:tc>
              <w:tc>
                <w:tcPr>
                  <w:tcW w:w="2430" w:type="pct"/>
                  <w:tcBorders>
                    <w:tl2br w:val="nil"/>
                    <w:tr2bl w:val="nil"/>
                  </w:tcBorders>
                  <w:noWrap w:val="0"/>
                  <w:vAlign w:val="center"/>
                </w:tcPr>
                <w:p>
                  <w:pPr>
                    <w:jc w:val="center"/>
                    <w:rPr>
                      <w:rFonts w:ascii="Times New Roman" w:hAnsi="Times New Roman"/>
                      <w:b/>
                      <w:color w:val="auto"/>
                      <w:sz w:val="18"/>
                      <w:szCs w:val="18"/>
                    </w:rPr>
                  </w:pPr>
                  <w:r>
                    <w:rPr>
                      <w:rFonts w:ascii="Times New Roman" w:hAnsi="Times New Roman"/>
                      <w:b/>
                      <w:color w:val="auto"/>
                      <w:sz w:val="18"/>
                      <w:szCs w:val="18"/>
                    </w:rPr>
                    <w:t>本项目实际情况</w:t>
                  </w:r>
                </w:p>
              </w:tc>
              <w:tc>
                <w:tcPr>
                  <w:tcW w:w="474" w:type="pct"/>
                  <w:tcBorders>
                    <w:tl2br w:val="nil"/>
                    <w:tr2bl w:val="nil"/>
                  </w:tcBorders>
                  <w:noWrap w:val="0"/>
                  <w:vAlign w:val="center"/>
                </w:tcPr>
                <w:p>
                  <w:pPr>
                    <w:jc w:val="center"/>
                    <w:rPr>
                      <w:rFonts w:ascii="Times New Roman" w:hAnsi="Times New Roman"/>
                      <w:b/>
                      <w:color w:val="auto"/>
                      <w:sz w:val="18"/>
                      <w:szCs w:val="18"/>
                    </w:rPr>
                  </w:pPr>
                  <w:r>
                    <w:rPr>
                      <w:rFonts w:ascii="Times New Roman" w:hAnsi="Times New Roman"/>
                      <w:b/>
                      <w:color w:val="auto"/>
                      <w:sz w:val="18"/>
                      <w:szCs w:val="18"/>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pct"/>
                  <w:tcBorders>
                    <w:tl2br w:val="nil"/>
                    <w:tr2bl w:val="nil"/>
                  </w:tcBorders>
                  <w:noWrap w:val="0"/>
                  <w:vAlign w:val="center"/>
                </w:tcPr>
                <w:p>
                  <w:pPr>
                    <w:jc w:val="center"/>
                    <w:rPr>
                      <w:rFonts w:ascii="Times New Roman" w:hAnsi="Times New Roman"/>
                      <w:color w:val="auto"/>
                      <w:sz w:val="18"/>
                      <w:szCs w:val="18"/>
                    </w:rPr>
                  </w:pPr>
                  <w:r>
                    <w:rPr>
                      <w:rFonts w:ascii="Times New Roman" w:hAnsi="Times New Roman"/>
                      <w:color w:val="auto"/>
                      <w:sz w:val="18"/>
                      <w:szCs w:val="18"/>
                    </w:rPr>
                    <w:t>新建、改扩建机制砂石骨料项目应符合国家产业政策和当地产业、矿产资源及土地利用总体规划要求，统筹资源、环境、物流和市场等因素合理布局,推动产业规模化、集约化、基地化发展</w:t>
                  </w:r>
                </w:p>
              </w:tc>
              <w:tc>
                <w:tcPr>
                  <w:tcW w:w="2430" w:type="pct"/>
                  <w:tcBorders>
                    <w:tl2br w:val="nil"/>
                    <w:tr2bl w:val="nil"/>
                  </w:tcBorders>
                  <w:noWrap w:val="0"/>
                  <w:vAlign w:val="center"/>
                </w:tcPr>
                <w:p>
                  <w:pPr>
                    <w:jc w:val="center"/>
                    <w:rPr>
                      <w:rFonts w:hint="eastAsia" w:ascii="Times New Roman" w:hAnsi="Times New Roman" w:eastAsia="宋体"/>
                      <w:color w:val="auto"/>
                      <w:sz w:val="18"/>
                      <w:szCs w:val="18"/>
                      <w:lang w:eastAsia="zh-CN"/>
                    </w:rPr>
                  </w:pPr>
                  <w:r>
                    <w:rPr>
                      <w:rFonts w:ascii="Times New Roman" w:hAnsi="Times New Roman"/>
                      <w:color w:val="auto"/>
                      <w:sz w:val="18"/>
                      <w:szCs w:val="18"/>
                    </w:rPr>
                    <w:t>本项目利用</w:t>
                  </w:r>
                  <w:r>
                    <w:rPr>
                      <w:rFonts w:hint="eastAsia" w:ascii="Times New Roman" w:hAnsi="Times New Roman"/>
                      <w:color w:val="auto"/>
                      <w:sz w:val="18"/>
                      <w:szCs w:val="18"/>
                      <w:lang w:eastAsia="zh-CN"/>
                    </w:rPr>
                    <w:t>低品位钠长石废石</w:t>
                  </w:r>
                  <w:r>
                    <w:rPr>
                      <w:rFonts w:ascii="Times New Roman" w:hAnsi="Times New Roman"/>
                      <w:color w:val="auto"/>
                      <w:sz w:val="18"/>
                      <w:szCs w:val="18"/>
                    </w:rPr>
                    <w:t>作为生产原料，项目符合国家产业政策，所在地</w:t>
                  </w:r>
                  <w:r>
                    <w:rPr>
                      <w:rFonts w:hint="eastAsia" w:ascii="Times New Roman" w:hAnsi="Times New Roman"/>
                      <w:color w:val="auto"/>
                      <w:sz w:val="18"/>
                      <w:szCs w:val="18"/>
                      <w:lang w:eastAsia="zh-CN"/>
                    </w:rPr>
                    <w:t>符合</w:t>
                  </w:r>
                  <w:r>
                    <w:rPr>
                      <w:rFonts w:ascii="Times New Roman" w:hAnsi="Times New Roman"/>
                      <w:color w:val="auto"/>
                      <w:sz w:val="18"/>
                      <w:szCs w:val="18"/>
                    </w:rPr>
                    <w:t>当地土地利用总体规划范围</w:t>
                  </w:r>
                  <w:r>
                    <w:rPr>
                      <w:rFonts w:hint="eastAsia" w:ascii="Times New Roman" w:hAnsi="Times New Roman"/>
                      <w:color w:val="auto"/>
                      <w:sz w:val="18"/>
                      <w:szCs w:val="18"/>
                      <w:lang w:eastAsia="zh-CN"/>
                    </w:rPr>
                    <w:t>，产业符合本地行业发展规划。</w:t>
                  </w:r>
                </w:p>
              </w:tc>
              <w:tc>
                <w:tcPr>
                  <w:tcW w:w="474" w:type="pct"/>
                  <w:tcBorders>
                    <w:tl2br w:val="nil"/>
                    <w:tr2bl w:val="nil"/>
                  </w:tcBorders>
                  <w:noWrap w:val="0"/>
                  <w:vAlign w:val="center"/>
                </w:tcPr>
                <w:p>
                  <w:pPr>
                    <w:jc w:val="center"/>
                    <w:rPr>
                      <w:rFonts w:ascii="Times New Roman" w:hAnsi="Times New Roman"/>
                      <w:color w:val="auto"/>
                      <w:sz w:val="18"/>
                      <w:szCs w:val="18"/>
                    </w:rPr>
                  </w:pPr>
                  <w:r>
                    <w:rPr>
                      <w:rFonts w:ascii="Times New Roman" w:hAnsi="Times New Roman"/>
                      <w:color w:val="auto"/>
                      <w:sz w:val="18"/>
                      <w:szCs w:val="18"/>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pct"/>
                  <w:tcBorders>
                    <w:tl2br w:val="nil"/>
                    <w:tr2bl w:val="nil"/>
                  </w:tcBorders>
                  <w:noWrap w:val="0"/>
                  <w:vAlign w:val="center"/>
                </w:tcPr>
                <w:p>
                  <w:pPr>
                    <w:jc w:val="center"/>
                    <w:rPr>
                      <w:rFonts w:ascii="Times New Roman" w:hAnsi="Times New Roman"/>
                      <w:color w:val="auto"/>
                      <w:sz w:val="18"/>
                      <w:szCs w:val="18"/>
                    </w:rPr>
                  </w:pPr>
                  <w:r>
                    <w:rPr>
                      <w:rFonts w:ascii="Times New Roman" w:hAnsi="Times New Roman"/>
                      <w:color w:val="auto"/>
                      <w:sz w:val="18"/>
                      <w:szCs w:val="18"/>
                    </w:rPr>
                    <w:t>新建机制砂石骨料项目宜选择接近矿山资源所在地，远离居民区。严禁在风景名胜区、地质公园、生态保护区、自然和文化遗产保护区、饮用水源保护区、城市建成区等区域</w:t>
                  </w:r>
                </w:p>
              </w:tc>
              <w:tc>
                <w:tcPr>
                  <w:tcW w:w="2430" w:type="pct"/>
                  <w:tcBorders>
                    <w:tl2br w:val="nil"/>
                    <w:tr2bl w:val="nil"/>
                  </w:tcBorders>
                  <w:noWrap w:val="0"/>
                  <w:vAlign w:val="center"/>
                </w:tcPr>
                <w:p>
                  <w:pPr>
                    <w:jc w:val="center"/>
                    <w:rPr>
                      <w:rFonts w:ascii="Times New Roman" w:hAnsi="Times New Roman"/>
                      <w:color w:val="auto"/>
                      <w:sz w:val="18"/>
                      <w:szCs w:val="18"/>
                    </w:rPr>
                  </w:pPr>
                  <w:r>
                    <w:rPr>
                      <w:rFonts w:ascii="Times New Roman" w:hAnsi="Times New Roman"/>
                      <w:color w:val="auto"/>
                      <w:sz w:val="18"/>
                      <w:szCs w:val="18"/>
                    </w:rPr>
                    <w:t>本项目</w:t>
                  </w:r>
                  <w:r>
                    <w:rPr>
                      <w:rFonts w:hint="eastAsia" w:ascii="Times New Roman" w:hAnsi="Times New Roman"/>
                      <w:color w:val="auto"/>
                      <w:sz w:val="18"/>
                      <w:szCs w:val="18"/>
                      <w:lang w:eastAsia="zh-CN"/>
                    </w:rPr>
                    <w:t>原料为界牌镇范围内矿石资源，</w:t>
                  </w:r>
                  <w:r>
                    <w:rPr>
                      <w:rFonts w:ascii="Times New Roman" w:hAnsi="Times New Roman"/>
                      <w:color w:val="auto"/>
                      <w:sz w:val="18"/>
                      <w:szCs w:val="18"/>
                    </w:rPr>
                    <w:t>租用地产权属</w:t>
                  </w:r>
                  <w:r>
                    <w:rPr>
                      <w:rFonts w:hint="eastAsia" w:ascii="Times New Roman" w:hAnsi="Times New Roman"/>
                      <w:color w:val="auto"/>
                      <w:sz w:val="18"/>
                      <w:szCs w:val="18"/>
                      <w:lang w:eastAsia="zh-CN"/>
                    </w:rPr>
                    <w:t>工业用地</w:t>
                  </w:r>
                  <w:r>
                    <w:rPr>
                      <w:rFonts w:ascii="Times New Roman" w:hAnsi="Times New Roman"/>
                      <w:color w:val="auto"/>
                      <w:sz w:val="18"/>
                      <w:szCs w:val="18"/>
                    </w:rPr>
                    <w:t>，选址不在风景名胜区、地质公园、生态保护区、饮用水源保护区和城市建成区等区域</w:t>
                  </w:r>
                </w:p>
              </w:tc>
              <w:tc>
                <w:tcPr>
                  <w:tcW w:w="474" w:type="pct"/>
                  <w:tcBorders>
                    <w:tl2br w:val="nil"/>
                    <w:tr2bl w:val="nil"/>
                  </w:tcBorders>
                  <w:noWrap w:val="0"/>
                  <w:vAlign w:val="center"/>
                </w:tcPr>
                <w:p>
                  <w:pPr>
                    <w:jc w:val="center"/>
                    <w:rPr>
                      <w:rFonts w:ascii="Times New Roman" w:hAnsi="Times New Roman"/>
                      <w:color w:val="auto"/>
                      <w:sz w:val="18"/>
                      <w:szCs w:val="18"/>
                    </w:rPr>
                  </w:pPr>
                  <w:r>
                    <w:rPr>
                      <w:rFonts w:ascii="Times New Roman" w:hAnsi="Times New Roman"/>
                      <w:color w:val="auto"/>
                      <w:sz w:val="18"/>
                      <w:szCs w:val="18"/>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pct"/>
                  <w:tcBorders>
                    <w:tl2br w:val="nil"/>
                    <w:tr2bl w:val="nil"/>
                  </w:tcBorders>
                  <w:noWrap w:val="0"/>
                  <w:vAlign w:val="center"/>
                </w:tcPr>
                <w:p>
                  <w:pPr>
                    <w:jc w:val="center"/>
                    <w:rPr>
                      <w:rFonts w:ascii="Times New Roman" w:hAnsi="Times New Roman"/>
                      <w:color w:val="auto"/>
                      <w:sz w:val="18"/>
                      <w:szCs w:val="18"/>
                    </w:rPr>
                  </w:pPr>
                  <w:r>
                    <w:rPr>
                      <w:rFonts w:ascii="Times New Roman" w:hAnsi="Times New Roman"/>
                      <w:color w:val="auto"/>
                      <w:sz w:val="18"/>
                      <w:szCs w:val="18"/>
                    </w:rPr>
                    <w:t>新建机制砂石骨料项目生产规模不低于60万t/年；对综合利用尾矿、废石、工业和建筑等废弃物生产砂石骨料，其生产规模可适当放宽</w:t>
                  </w:r>
                </w:p>
              </w:tc>
              <w:tc>
                <w:tcPr>
                  <w:tcW w:w="2430" w:type="pct"/>
                  <w:tcBorders>
                    <w:tl2br w:val="nil"/>
                    <w:tr2bl w:val="nil"/>
                  </w:tcBorders>
                  <w:noWrap w:val="0"/>
                  <w:vAlign w:val="center"/>
                </w:tcPr>
                <w:p>
                  <w:pPr>
                    <w:jc w:val="center"/>
                    <w:rPr>
                      <w:rFonts w:ascii="Times New Roman" w:hAnsi="Times New Roman"/>
                      <w:color w:val="auto"/>
                      <w:sz w:val="18"/>
                      <w:szCs w:val="18"/>
                    </w:rPr>
                  </w:pPr>
                  <w:r>
                    <w:rPr>
                      <w:rFonts w:ascii="Times New Roman" w:hAnsi="Times New Roman"/>
                      <w:color w:val="auto"/>
                      <w:sz w:val="18"/>
                      <w:szCs w:val="18"/>
                    </w:rPr>
                    <w:t>本项目为</w:t>
                  </w:r>
                  <w:r>
                    <w:rPr>
                      <w:rFonts w:hint="eastAsia" w:ascii="Times New Roman" w:hAnsi="Times New Roman"/>
                      <w:color w:val="auto"/>
                      <w:sz w:val="18"/>
                      <w:szCs w:val="18"/>
                      <w:lang w:eastAsia="zh-CN"/>
                    </w:rPr>
                    <w:t>新</w:t>
                  </w:r>
                  <w:r>
                    <w:rPr>
                      <w:rFonts w:hint="eastAsia" w:ascii="Times New Roman" w:hAnsi="Times New Roman"/>
                      <w:color w:val="auto"/>
                      <w:sz w:val="18"/>
                      <w:szCs w:val="18"/>
                    </w:rPr>
                    <w:t>建</w:t>
                  </w:r>
                  <w:r>
                    <w:rPr>
                      <w:rFonts w:ascii="Times New Roman" w:hAnsi="Times New Roman"/>
                      <w:color w:val="auto"/>
                      <w:sz w:val="18"/>
                      <w:szCs w:val="18"/>
                    </w:rPr>
                    <w:t>项目，</w:t>
                  </w:r>
                  <w:r>
                    <w:rPr>
                      <w:rFonts w:hint="eastAsia" w:ascii="Times New Roman" w:hAnsi="Times New Roman"/>
                      <w:color w:val="auto"/>
                      <w:sz w:val="18"/>
                      <w:szCs w:val="18"/>
                    </w:rPr>
                    <w:t>扩建</w:t>
                  </w:r>
                  <w:r>
                    <w:rPr>
                      <w:rFonts w:ascii="Times New Roman" w:hAnsi="Times New Roman"/>
                      <w:color w:val="auto"/>
                      <w:sz w:val="18"/>
                      <w:szCs w:val="18"/>
                    </w:rPr>
                    <w:t>机制砂石骨料年产</w:t>
                  </w:r>
                  <w:r>
                    <w:rPr>
                      <w:rFonts w:hint="eastAsia" w:ascii="Times New Roman" w:hAnsi="Times New Roman"/>
                      <w:color w:val="auto"/>
                      <w:sz w:val="18"/>
                      <w:szCs w:val="18"/>
                    </w:rPr>
                    <w:t>10吨</w:t>
                  </w:r>
                  <w:r>
                    <w:rPr>
                      <w:rFonts w:ascii="Times New Roman" w:hAnsi="Times New Roman"/>
                      <w:color w:val="auto"/>
                      <w:sz w:val="18"/>
                      <w:szCs w:val="18"/>
                    </w:rPr>
                    <w:t>，产品为砂及</w:t>
                  </w:r>
                  <w:r>
                    <w:rPr>
                      <w:rFonts w:hint="eastAsia" w:ascii="Times New Roman" w:hAnsi="Times New Roman"/>
                      <w:color w:val="auto"/>
                      <w:sz w:val="18"/>
                      <w:szCs w:val="18"/>
                      <w:lang w:eastAsia="zh-CN"/>
                    </w:rPr>
                    <w:t>碎石</w:t>
                  </w:r>
                  <w:r>
                    <w:rPr>
                      <w:rFonts w:ascii="Times New Roman" w:hAnsi="Times New Roman"/>
                      <w:color w:val="auto"/>
                      <w:sz w:val="18"/>
                      <w:szCs w:val="18"/>
                    </w:rPr>
                    <w:t>，原料为废弃的</w:t>
                  </w:r>
                  <w:r>
                    <w:rPr>
                      <w:rFonts w:hint="eastAsia" w:ascii="Times New Roman" w:hAnsi="Times New Roman"/>
                      <w:color w:val="auto"/>
                      <w:sz w:val="18"/>
                      <w:szCs w:val="18"/>
                      <w:lang w:eastAsia="zh-CN"/>
                    </w:rPr>
                    <w:t>低品位钠长石</w:t>
                  </w:r>
                  <w:r>
                    <w:rPr>
                      <w:rFonts w:ascii="Times New Roman" w:hAnsi="Times New Roman"/>
                      <w:color w:val="auto"/>
                      <w:sz w:val="18"/>
                      <w:szCs w:val="18"/>
                    </w:rPr>
                    <w:t>废石，本项目属于利用废石生产砂石骨料，符合规范中“可适当放宽”条件。</w:t>
                  </w:r>
                </w:p>
              </w:tc>
              <w:tc>
                <w:tcPr>
                  <w:tcW w:w="474" w:type="pct"/>
                  <w:tcBorders>
                    <w:tl2br w:val="nil"/>
                    <w:tr2bl w:val="nil"/>
                  </w:tcBorders>
                  <w:noWrap w:val="0"/>
                  <w:vAlign w:val="center"/>
                </w:tcPr>
                <w:p>
                  <w:pPr>
                    <w:jc w:val="center"/>
                    <w:rPr>
                      <w:rFonts w:ascii="Times New Roman" w:hAnsi="Times New Roman"/>
                      <w:color w:val="auto"/>
                      <w:sz w:val="18"/>
                      <w:szCs w:val="18"/>
                    </w:rPr>
                  </w:pPr>
                  <w:r>
                    <w:rPr>
                      <w:rFonts w:ascii="Times New Roman" w:hAnsi="Times New Roman"/>
                      <w:color w:val="auto"/>
                      <w:sz w:val="18"/>
                      <w:szCs w:val="18"/>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pct"/>
                  <w:tcBorders>
                    <w:tl2br w:val="nil"/>
                    <w:tr2bl w:val="nil"/>
                  </w:tcBorders>
                  <w:noWrap w:val="0"/>
                  <w:vAlign w:val="center"/>
                </w:tcPr>
                <w:p>
                  <w:pPr>
                    <w:jc w:val="center"/>
                    <w:rPr>
                      <w:rFonts w:ascii="Times New Roman" w:hAnsi="Times New Roman"/>
                      <w:color w:val="auto"/>
                      <w:sz w:val="18"/>
                      <w:szCs w:val="18"/>
                    </w:rPr>
                  </w:pPr>
                  <w:r>
                    <w:rPr>
                      <w:rFonts w:ascii="Times New Roman" w:hAnsi="Times New Roman"/>
                      <w:color w:val="auto"/>
                      <w:sz w:val="18"/>
                      <w:szCs w:val="18"/>
                    </w:rPr>
                    <w:t>砂石骨料生产线及产品技术指标应符合GB51186等相关标准要求；新建项目不得使用限制和淘汰技术设备；推广应用自动化、智能化制造技术</w:t>
                  </w:r>
                </w:p>
              </w:tc>
              <w:tc>
                <w:tcPr>
                  <w:tcW w:w="2430" w:type="pct"/>
                  <w:tcBorders>
                    <w:tl2br w:val="nil"/>
                    <w:tr2bl w:val="nil"/>
                  </w:tcBorders>
                  <w:noWrap w:val="0"/>
                  <w:vAlign w:val="center"/>
                </w:tcPr>
                <w:p>
                  <w:pPr>
                    <w:jc w:val="center"/>
                    <w:rPr>
                      <w:rFonts w:ascii="Times New Roman" w:hAnsi="Times New Roman"/>
                      <w:color w:val="auto"/>
                      <w:sz w:val="18"/>
                      <w:szCs w:val="18"/>
                    </w:rPr>
                  </w:pPr>
                  <w:r>
                    <w:rPr>
                      <w:rFonts w:ascii="Times New Roman" w:hAnsi="Times New Roman"/>
                      <w:color w:val="auto"/>
                      <w:sz w:val="18"/>
                      <w:szCs w:val="18"/>
                    </w:rPr>
                    <w:t>本项目生产区域用厂棚全封闭建设，通过筛网的孔径控制机制砂产品粒径，未使用限制或淘汰类工艺及设备，各项指标均符合GB51186标准要求</w:t>
                  </w:r>
                </w:p>
              </w:tc>
              <w:tc>
                <w:tcPr>
                  <w:tcW w:w="474" w:type="pct"/>
                  <w:tcBorders>
                    <w:tl2br w:val="nil"/>
                    <w:tr2bl w:val="nil"/>
                  </w:tcBorders>
                  <w:noWrap w:val="0"/>
                  <w:vAlign w:val="center"/>
                </w:tcPr>
                <w:p>
                  <w:pPr>
                    <w:jc w:val="center"/>
                    <w:rPr>
                      <w:rFonts w:ascii="Times New Roman" w:hAnsi="Times New Roman"/>
                      <w:color w:val="auto"/>
                      <w:sz w:val="18"/>
                      <w:szCs w:val="18"/>
                    </w:rPr>
                  </w:pPr>
                  <w:r>
                    <w:rPr>
                      <w:rFonts w:ascii="Times New Roman" w:hAnsi="Times New Roman"/>
                      <w:color w:val="auto"/>
                      <w:sz w:val="18"/>
                      <w:szCs w:val="18"/>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pct"/>
                  <w:tcBorders>
                    <w:tl2br w:val="nil"/>
                    <w:tr2bl w:val="nil"/>
                  </w:tcBorders>
                  <w:noWrap w:val="0"/>
                  <w:vAlign w:val="center"/>
                </w:tcPr>
                <w:p>
                  <w:pPr>
                    <w:jc w:val="center"/>
                    <w:rPr>
                      <w:rFonts w:ascii="Times New Roman" w:hAnsi="Times New Roman"/>
                      <w:color w:val="auto"/>
                      <w:sz w:val="18"/>
                      <w:szCs w:val="18"/>
                    </w:rPr>
                  </w:pPr>
                  <w:r>
                    <w:rPr>
                      <w:rFonts w:ascii="Times New Roman" w:hAnsi="Times New Roman"/>
                      <w:color w:val="auto"/>
                      <w:sz w:val="18"/>
                      <w:szCs w:val="18"/>
                    </w:rPr>
                    <w:t>机制砂石骨料生产线须配套收尘装置，采用喷雾、洒水、全封闭皮带运输等措施；破碎加工区、中间料库、成品库等区域实现厂房全封闭，机制砂石骨料生产线须配置消声、减振、隔振等设施</w:t>
                  </w:r>
                </w:p>
              </w:tc>
              <w:tc>
                <w:tcPr>
                  <w:tcW w:w="2430" w:type="pct"/>
                  <w:tcBorders>
                    <w:tl2br w:val="nil"/>
                    <w:tr2bl w:val="nil"/>
                  </w:tcBorders>
                  <w:noWrap w:val="0"/>
                  <w:vAlign w:val="center"/>
                </w:tcPr>
                <w:p>
                  <w:pPr>
                    <w:jc w:val="center"/>
                    <w:rPr>
                      <w:rFonts w:ascii="Times New Roman" w:hAnsi="Times New Roman"/>
                      <w:color w:val="auto"/>
                      <w:sz w:val="18"/>
                      <w:szCs w:val="18"/>
                    </w:rPr>
                  </w:pPr>
                  <w:r>
                    <w:rPr>
                      <w:rFonts w:ascii="Times New Roman" w:hAnsi="Times New Roman"/>
                      <w:color w:val="auto"/>
                      <w:sz w:val="18"/>
                      <w:szCs w:val="18"/>
                    </w:rPr>
                    <w:t>本项目原料堆场设顶部厂棚，三面围挡，其余生产区域均用室内厂房建设；制砂生产线原料堆存、交通运输、破碎筛分产出的废气采取集尘除尘措施，制砂车间配套</w:t>
                  </w:r>
                  <w:r>
                    <w:rPr>
                      <w:rFonts w:hint="eastAsia" w:ascii="Times New Roman" w:hAnsi="Times New Roman"/>
                      <w:color w:val="auto"/>
                      <w:sz w:val="18"/>
                      <w:szCs w:val="18"/>
                    </w:rPr>
                    <w:t>除尘</w:t>
                  </w:r>
                  <w:r>
                    <w:rPr>
                      <w:rFonts w:ascii="Times New Roman" w:hAnsi="Times New Roman"/>
                      <w:color w:val="auto"/>
                      <w:sz w:val="18"/>
                      <w:szCs w:val="18"/>
                    </w:rPr>
                    <w:t>设施；运输皮带密闭建设，中间物料投、卸料口设置落料管封闭连接；噪声防治采取基础减震、隔声措施</w:t>
                  </w:r>
                </w:p>
              </w:tc>
              <w:tc>
                <w:tcPr>
                  <w:tcW w:w="474" w:type="pct"/>
                  <w:tcBorders>
                    <w:tl2br w:val="nil"/>
                    <w:tr2bl w:val="nil"/>
                  </w:tcBorders>
                  <w:noWrap w:val="0"/>
                  <w:vAlign w:val="center"/>
                </w:tcPr>
                <w:p>
                  <w:pPr>
                    <w:jc w:val="center"/>
                    <w:rPr>
                      <w:rFonts w:ascii="Times New Roman" w:hAnsi="Times New Roman"/>
                      <w:color w:val="auto"/>
                      <w:sz w:val="18"/>
                      <w:szCs w:val="18"/>
                    </w:rPr>
                  </w:pPr>
                  <w:r>
                    <w:rPr>
                      <w:rFonts w:ascii="Times New Roman" w:hAnsi="Times New Roman"/>
                      <w:color w:val="auto"/>
                      <w:sz w:val="18"/>
                      <w:szCs w:val="18"/>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pct"/>
                  <w:tcBorders>
                    <w:tl2br w:val="nil"/>
                    <w:tr2bl w:val="nil"/>
                  </w:tcBorders>
                  <w:noWrap w:val="0"/>
                  <w:vAlign w:val="center"/>
                </w:tcPr>
                <w:p>
                  <w:pPr>
                    <w:jc w:val="center"/>
                    <w:rPr>
                      <w:rFonts w:ascii="Times New Roman" w:hAnsi="Times New Roman"/>
                      <w:color w:val="auto"/>
                      <w:sz w:val="18"/>
                      <w:szCs w:val="18"/>
                    </w:rPr>
                  </w:pPr>
                  <w:r>
                    <w:rPr>
                      <w:rFonts w:ascii="Times New Roman" w:hAnsi="Times New Roman"/>
                      <w:color w:val="auto"/>
                      <w:sz w:val="18"/>
                      <w:szCs w:val="18"/>
                    </w:rPr>
                    <w:t>砂石骨料生产线须配置废弃物综合利用及处置设施；鼓励企业利用尾矿、废石、工业和建筑垃圾开发生产满足相关要求的砂石骨料</w:t>
                  </w:r>
                </w:p>
              </w:tc>
              <w:tc>
                <w:tcPr>
                  <w:tcW w:w="2430" w:type="pct"/>
                  <w:tcBorders>
                    <w:tl2br w:val="nil"/>
                    <w:tr2bl w:val="nil"/>
                  </w:tcBorders>
                  <w:noWrap w:val="0"/>
                  <w:vAlign w:val="center"/>
                </w:tcPr>
                <w:p>
                  <w:pPr>
                    <w:jc w:val="center"/>
                    <w:rPr>
                      <w:rFonts w:ascii="Times New Roman" w:hAnsi="Times New Roman"/>
                      <w:color w:val="auto"/>
                      <w:sz w:val="18"/>
                      <w:szCs w:val="18"/>
                    </w:rPr>
                  </w:pPr>
                  <w:r>
                    <w:rPr>
                      <w:rFonts w:ascii="Times New Roman" w:hAnsi="Times New Roman"/>
                      <w:color w:val="auto"/>
                      <w:sz w:val="18"/>
                      <w:szCs w:val="18"/>
                    </w:rPr>
                    <w:t>本项目制砂、石所用原料为</w:t>
                  </w:r>
                  <w:r>
                    <w:rPr>
                      <w:rFonts w:hint="eastAsia" w:ascii="Times New Roman" w:hAnsi="Times New Roman"/>
                      <w:color w:val="auto"/>
                      <w:sz w:val="18"/>
                      <w:szCs w:val="18"/>
                      <w:lang w:eastAsia="zh-CN"/>
                    </w:rPr>
                    <w:t>低品位钠长石废石</w:t>
                  </w:r>
                  <w:r>
                    <w:rPr>
                      <w:rFonts w:ascii="Times New Roman" w:hAnsi="Times New Roman"/>
                      <w:color w:val="auto"/>
                      <w:sz w:val="18"/>
                      <w:szCs w:val="18"/>
                    </w:rPr>
                    <w:t>，满足相关要求</w:t>
                  </w:r>
                </w:p>
              </w:tc>
              <w:tc>
                <w:tcPr>
                  <w:tcW w:w="474" w:type="pct"/>
                  <w:tcBorders>
                    <w:tl2br w:val="nil"/>
                    <w:tr2bl w:val="nil"/>
                  </w:tcBorders>
                  <w:noWrap w:val="0"/>
                  <w:vAlign w:val="center"/>
                </w:tcPr>
                <w:p>
                  <w:pPr>
                    <w:jc w:val="center"/>
                    <w:rPr>
                      <w:rFonts w:ascii="Times New Roman" w:hAnsi="Times New Roman"/>
                      <w:color w:val="auto"/>
                      <w:sz w:val="18"/>
                      <w:szCs w:val="18"/>
                    </w:rPr>
                  </w:pPr>
                  <w:r>
                    <w:rPr>
                      <w:rFonts w:ascii="Times New Roman" w:hAnsi="Times New Roman"/>
                      <w:color w:val="auto"/>
                      <w:sz w:val="18"/>
                      <w:szCs w:val="18"/>
                    </w:rPr>
                    <w:t>相符</w:t>
                  </w:r>
                </w:p>
              </w:tc>
            </w:tr>
          </w:tbl>
          <w:p>
            <w:pPr>
              <w:spacing w:line="360" w:lineRule="auto"/>
              <w:ind w:firstLine="420" w:firstLineChars="200"/>
              <w:rPr>
                <w:rFonts w:ascii="Times New Roman" w:hAnsi="Times New Roman"/>
                <w:color w:val="auto"/>
                <w:sz w:val="21"/>
                <w:szCs w:val="21"/>
              </w:rPr>
            </w:pPr>
            <w:r>
              <w:rPr>
                <w:rFonts w:ascii="Times New Roman" w:hAnsi="Times New Roman"/>
                <w:color w:val="auto"/>
                <w:sz w:val="21"/>
                <w:szCs w:val="21"/>
              </w:rPr>
              <w:t>除上表内容外，规范中还提了一些矿石开采类的要求，由于本项目不涉及矿石开采，因此未列入表中。同理，评价也不再研判项目与相关矿石开发利用规划的相符性。综上所述，本项目属规范中鼓励的“利用尾矿、废石、工业和建筑垃圾等开发生产满足相关要求的砂石骨料”企业，符合行业规范条件。</w:t>
            </w:r>
          </w:p>
          <w:p>
            <w:pPr>
              <w:spacing w:line="360" w:lineRule="auto"/>
              <w:rPr>
                <w:rFonts w:hint="eastAsia" w:ascii="Times New Roman" w:hAnsi="Times New Roman"/>
                <w:bCs/>
                <w:color w:val="auto"/>
                <w:spacing w:val="-2"/>
                <w:kern w:val="28"/>
                <w:sz w:val="21"/>
                <w:szCs w:val="21"/>
              </w:rPr>
            </w:pPr>
            <w:r>
              <w:rPr>
                <w:rFonts w:hint="eastAsia" w:ascii="Times New Roman" w:hAnsi="Times New Roman"/>
                <w:bCs/>
                <w:color w:val="auto"/>
                <w:spacing w:val="-2"/>
                <w:kern w:val="28"/>
                <w:sz w:val="21"/>
                <w:szCs w:val="21"/>
              </w:rPr>
              <w:t>（4）与《机制砂砂石骨料工厂设计规范》（GB51186-2016）的符合性分析</w:t>
            </w:r>
          </w:p>
          <w:p>
            <w:pPr>
              <w:spacing w:line="360" w:lineRule="auto"/>
              <w:ind w:firstLine="420" w:firstLineChars="200"/>
              <w:rPr>
                <w:color w:val="auto"/>
                <w:sz w:val="21"/>
                <w:szCs w:val="21"/>
              </w:rPr>
            </w:pPr>
            <w:r>
              <w:rPr>
                <w:color w:val="auto"/>
                <w:sz w:val="21"/>
                <w:szCs w:val="21"/>
              </w:rPr>
              <w:t>本项目与《机制砂石骨料工厂设计规范》符合性分析详见下表。</w:t>
            </w:r>
          </w:p>
          <w:p>
            <w:pPr>
              <w:spacing w:line="360" w:lineRule="auto"/>
              <w:jc w:val="center"/>
              <w:rPr>
                <w:rFonts w:ascii="Times New Roman" w:hAnsi="Times New Roman"/>
                <w:b/>
                <w:bCs/>
                <w:color w:val="auto"/>
                <w:spacing w:val="-2"/>
                <w:kern w:val="28"/>
                <w:sz w:val="24"/>
              </w:rPr>
            </w:pPr>
            <w:r>
              <w:rPr>
                <w:b/>
                <w:color w:val="auto"/>
              </w:rPr>
              <w:t>表7-15   与《机制砂石骨料工厂设计规范》符合性分析</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7"/>
              <w:gridCol w:w="2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6" w:type="pct"/>
                  <w:tcBorders>
                    <w:tl2br w:val="nil"/>
                    <w:tr2bl w:val="nil"/>
                  </w:tcBorders>
                  <w:noWrap w:val="0"/>
                  <w:vAlign w:val="center"/>
                </w:tcPr>
                <w:p>
                  <w:pPr>
                    <w:adjustRightInd w:val="0"/>
                    <w:snapToGrid w:val="0"/>
                    <w:jc w:val="center"/>
                    <w:rPr>
                      <w:color w:val="auto"/>
                      <w:sz w:val="18"/>
                      <w:szCs w:val="18"/>
                    </w:rPr>
                  </w:pPr>
                  <w:r>
                    <w:rPr>
                      <w:color w:val="auto"/>
                      <w:sz w:val="18"/>
                      <w:szCs w:val="18"/>
                    </w:rPr>
                    <w:t>内容</w:t>
                  </w:r>
                </w:p>
              </w:tc>
              <w:tc>
                <w:tcPr>
                  <w:tcW w:w="2024" w:type="pct"/>
                  <w:tcBorders>
                    <w:tl2br w:val="nil"/>
                    <w:tr2bl w:val="nil"/>
                  </w:tcBorders>
                  <w:noWrap w:val="0"/>
                  <w:vAlign w:val="center"/>
                </w:tcPr>
                <w:p>
                  <w:pPr>
                    <w:adjustRightInd w:val="0"/>
                    <w:snapToGrid w:val="0"/>
                    <w:jc w:val="center"/>
                    <w:rPr>
                      <w:color w:val="auto"/>
                      <w:sz w:val="18"/>
                      <w:szCs w:val="18"/>
                    </w:rPr>
                  </w:pPr>
                  <w:r>
                    <w:rPr>
                      <w:color w:val="auto"/>
                      <w:sz w:val="18"/>
                      <w:szCs w:val="18"/>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976" w:type="pct"/>
                  <w:tcBorders>
                    <w:tl2br w:val="nil"/>
                    <w:tr2bl w:val="nil"/>
                  </w:tcBorders>
                  <w:noWrap w:val="0"/>
                  <w:vAlign w:val="center"/>
                </w:tcPr>
                <w:p>
                  <w:pPr>
                    <w:adjustRightInd w:val="0"/>
                    <w:snapToGrid w:val="0"/>
                    <w:jc w:val="center"/>
                    <w:rPr>
                      <w:color w:val="auto"/>
                      <w:sz w:val="18"/>
                      <w:szCs w:val="18"/>
                    </w:rPr>
                  </w:pPr>
                  <w:r>
                    <w:rPr>
                      <w:color w:val="auto"/>
                      <w:sz w:val="18"/>
                      <w:szCs w:val="18"/>
                    </w:rPr>
                    <w:t>机制砂石骨料生产线必须配有收尘系统，骨料生产线必须配有废水处理系统，并应循环用水</w:t>
                  </w:r>
                </w:p>
              </w:tc>
              <w:tc>
                <w:tcPr>
                  <w:tcW w:w="2024" w:type="pct"/>
                  <w:tcBorders>
                    <w:tl2br w:val="nil"/>
                    <w:tr2bl w:val="nil"/>
                  </w:tcBorders>
                  <w:noWrap w:val="0"/>
                  <w:vAlign w:val="center"/>
                </w:tcPr>
                <w:p>
                  <w:pPr>
                    <w:adjustRightInd w:val="0"/>
                    <w:snapToGrid w:val="0"/>
                    <w:jc w:val="center"/>
                    <w:rPr>
                      <w:color w:val="auto"/>
                      <w:sz w:val="18"/>
                      <w:szCs w:val="18"/>
                    </w:rPr>
                  </w:pPr>
                  <w:r>
                    <w:rPr>
                      <w:color w:val="auto"/>
                      <w:sz w:val="18"/>
                      <w:szCs w:val="18"/>
                    </w:rPr>
                    <w:t>项目生产线在采用喷淋装置降尘；项目工程</w:t>
                  </w:r>
                  <w:r>
                    <w:rPr>
                      <w:rFonts w:hint="eastAsia"/>
                      <w:color w:val="auto"/>
                      <w:sz w:val="18"/>
                      <w:szCs w:val="18"/>
                      <w:lang w:eastAsia="zh-CN"/>
                    </w:rPr>
                    <w:t>设置有废水处理系统，废水循环利用，</w:t>
                  </w:r>
                  <w:r>
                    <w:rPr>
                      <w:color w:val="auto"/>
                      <w:sz w:val="18"/>
                      <w:szCs w:val="18"/>
                    </w:rPr>
                    <w:t>无生产废水排放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976" w:type="pct"/>
                  <w:tcBorders>
                    <w:tl2br w:val="nil"/>
                    <w:tr2bl w:val="nil"/>
                  </w:tcBorders>
                  <w:noWrap w:val="0"/>
                  <w:vAlign w:val="center"/>
                </w:tcPr>
                <w:p>
                  <w:pPr>
                    <w:adjustRightInd w:val="0"/>
                    <w:snapToGrid w:val="0"/>
                    <w:jc w:val="center"/>
                    <w:rPr>
                      <w:color w:val="auto"/>
                      <w:sz w:val="18"/>
                      <w:szCs w:val="18"/>
                    </w:rPr>
                  </w:pPr>
                  <w:r>
                    <w:rPr>
                      <w:color w:val="auto"/>
                      <w:sz w:val="18"/>
                      <w:szCs w:val="18"/>
                    </w:rPr>
                    <w:t>机制砂石骨料工厂破碎、筛分及运输等生产环节采用封闭措施，骨料工厂应对破碎、筛分及输送等扬尘点设置收尘装置，粉尘排放浓度应符合国家标准《大气污染物综合排放标准》GB16297的有关规定，并满足厂区所在地的环境保护要求</w:t>
                  </w:r>
                </w:p>
              </w:tc>
              <w:tc>
                <w:tcPr>
                  <w:tcW w:w="2024" w:type="pct"/>
                  <w:tcBorders>
                    <w:tl2br w:val="nil"/>
                    <w:tr2bl w:val="nil"/>
                  </w:tcBorders>
                  <w:noWrap w:val="0"/>
                  <w:vAlign w:val="center"/>
                </w:tcPr>
                <w:p>
                  <w:pPr>
                    <w:adjustRightInd w:val="0"/>
                    <w:snapToGrid w:val="0"/>
                    <w:jc w:val="center"/>
                    <w:rPr>
                      <w:color w:val="auto"/>
                      <w:sz w:val="18"/>
                      <w:szCs w:val="18"/>
                    </w:rPr>
                  </w:pPr>
                  <w:r>
                    <w:rPr>
                      <w:color w:val="auto"/>
                      <w:sz w:val="18"/>
                      <w:szCs w:val="18"/>
                    </w:rPr>
                    <w:t>项目建设封闭式生产厂房，破碎、筛选设备置于厂房内，且设备采用封闭式并辅以喷淋装置，粉尘排放浓度符合《大气污染物综合排放标准》GB16297的2类标准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976" w:type="pct"/>
                  <w:tcBorders>
                    <w:tl2br w:val="nil"/>
                    <w:tr2bl w:val="nil"/>
                  </w:tcBorders>
                  <w:noWrap w:val="0"/>
                  <w:vAlign w:val="center"/>
                </w:tcPr>
                <w:p>
                  <w:pPr>
                    <w:adjustRightInd w:val="0"/>
                    <w:snapToGrid w:val="0"/>
                    <w:jc w:val="center"/>
                    <w:rPr>
                      <w:color w:val="auto"/>
                      <w:sz w:val="18"/>
                      <w:szCs w:val="18"/>
                    </w:rPr>
                  </w:pPr>
                  <w:r>
                    <w:rPr>
                      <w:color w:val="auto"/>
                      <w:sz w:val="18"/>
                      <w:szCs w:val="18"/>
                    </w:rPr>
                    <w:t>粗碎设备选型应符合下列规定：根据破碎能力可选择旋回破碎机、颚式破碎机；易碎性矿石可选择锤式破碎机、反击式破碎机</w:t>
                  </w:r>
                </w:p>
              </w:tc>
              <w:tc>
                <w:tcPr>
                  <w:tcW w:w="2024" w:type="pct"/>
                  <w:tcBorders>
                    <w:tl2br w:val="nil"/>
                    <w:tr2bl w:val="nil"/>
                  </w:tcBorders>
                  <w:noWrap w:val="0"/>
                  <w:vAlign w:val="center"/>
                </w:tcPr>
                <w:p>
                  <w:pPr>
                    <w:adjustRightInd w:val="0"/>
                    <w:snapToGrid w:val="0"/>
                    <w:jc w:val="center"/>
                    <w:rPr>
                      <w:color w:val="auto"/>
                      <w:sz w:val="18"/>
                      <w:szCs w:val="18"/>
                    </w:rPr>
                  </w:pPr>
                  <w:r>
                    <w:rPr>
                      <w:color w:val="auto"/>
                      <w:sz w:val="18"/>
                      <w:szCs w:val="18"/>
                    </w:rPr>
                    <w:t>本项目粗碎采用鄂式破碎机，符合要求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976" w:type="pct"/>
                  <w:tcBorders>
                    <w:tl2br w:val="nil"/>
                    <w:tr2bl w:val="nil"/>
                  </w:tcBorders>
                  <w:noWrap w:val="0"/>
                  <w:vAlign w:val="center"/>
                </w:tcPr>
                <w:p>
                  <w:pPr>
                    <w:adjustRightInd w:val="0"/>
                    <w:snapToGrid w:val="0"/>
                    <w:jc w:val="center"/>
                    <w:rPr>
                      <w:color w:val="auto"/>
                      <w:sz w:val="18"/>
                      <w:szCs w:val="18"/>
                    </w:rPr>
                  </w:pPr>
                  <w:r>
                    <w:rPr>
                      <w:color w:val="auto"/>
                      <w:sz w:val="18"/>
                      <w:szCs w:val="18"/>
                    </w:rPr>
                    <w:t>中碎、细碎设备选型应符合下列规定：难碎性和中等可碎性矿石的中碎、细碎设备宜选用圆锥破碎机；易碎性矿石的中碎、细碎设备宜选用反击式破碎机、锤式破碎机、立轴冲击式破碎机</w:t>
                  </w:r>
                </w:p>
              </w:tc>
              <w:tc>
                <w:tcPr>
                  <w:tcW w:w="2024" w:type="pct"/>
                  <w:tcBorders>
                    <w:tl2br w:val="nil"/>
                    <w:tr2bl w:val="nil"/>
                  </w:tcBorders>
                  <w:noWrap w:val="0"/>
                  <w:vAlign w:val="center"/>
                </w:tcPr>
                <w:p>
                  <w:pPr>
                    <w:adjustRightInd w:val="0"/>
                    <w:snapToGrid w:val="0"/>
                    <w:jc w:val="center"/>
                    <w:rPr>
                      <w:color w:val="auto"/>
                      <w:sz w:val="18"/>
                      <w:szCs w:val="18"/>
                    </w:rPr>
                  </w:pPr>
                  <w:r>
                    <w:rPr>
                      <w:color w:val="auto"/>
                      <w:sz w:val="18"/>
                      <w:szCs w:val="18"/>
                    </w:rPr>
                    <w:t>本项目细碎采用圆锥破碎机，符合要求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976" w:type="pct"/>
                  <w:tcBorders>
                    <w:tl2br w:val="nil"/>
                    <w:tr2bl w:val="nil"/>
                  </w:tcBorders>
                  <w:noWrap w:val="0"/>
                  <w:vAlign w:val="center"/>
                </w:tcPr>
                <w:p>
                  <w:pPr>
                    <w:adjustRightInd w:val="0"/>
                    <w:snapToGrid w:val="0"/>
                    <w:jc w:val="center"/>
                    <w:rPr>
                      <w:color w:val="auto"/>
                      <w:sz w:val="18"/>
                      <w:szCs w:val="18"/>
                    </w:rPr>
                  </w:pPr>
                  <w:r>
                    <w:rPr>
                      <w:color w:val="auto"/>
                      <w:sz w:val="18"/>
                      <w:szCs w:val="18"/>
                    </w:rPr>
                    <w:t>堆场(仓)应采用封闭式结构；堆场(仓)应设有防水、排水设施</w:t>
                  </w:r>
                </w:p>
              </w:tc>
              <w:tc>
                <w:tcPr>
                  <w:tcW w:w="2024" w:type="pct"/>
                  <w:tcBorders>
                    <w:tl2br w:val="nil"/>
                    <w:tr2bl w:val="nil"/>
                  </w:tcBorders>
                  <w:noWrap w:val="0"/>
                  <w:vAlign w:val="center"/>
                </w:tcPr>
                <w:p>
                  <w:pPr>
                    <w:adjustRightInd w:val="0"/>
                    <w:snapToGrid w:val="0"/>
                    <w:jc w:val="center"/>
                    <w:rPr>
                      <w:color w:val="auto"/>
                      <w:sz w:val="18"/>
                      <w:szCs w:val="18"/>
                    </w:rPr>
                  </w:pPr>
                  <w:r>
                    <w:rPr>
                      <w:color w:val="auto"/>
                      <w:sz w:val="18"/>
                      <w:szCs w:val="18"/>
                    </w:rPr>
                    <w:t>项目堆场拟采用封闭式三面围挡</w:t>
                  </w:r>
                  <w:r>
                    <w:rPr>
                      <w:rFonts w:hint="eastAsia"/>
                      <w:color w:val="auto"/>
                      <w:sz w:val="18"/>
                      <w:szCs w:val="18"/>
                    </w:rPr>
                    <w:t>，</w:t>
                  </w:r>
                  <w:r>
                    <w:rPr>
                      <w:color w:val="auto"/>
                      <w:sz w:val="18"/>
                      <w:szCs w:val="18"/>
                    </w:rPr>
                    <w:t>且地面硬化</w:t>
                  </w:r>
                  <w:r>
                    <w:rPr>
                      <w:rFonts w:hint="eastAsia"/>
                      <w:color w:val="auto"/>
                      <w:sz w:val="18"/>
                      <w:szCs w:val="18"/>
                    </w:rPr>
                    <w:t>；</w:t>
                  </w:r>
                  <w:r>
                    <w:rPr>
                      <w:color w:val="auto"/>
                      <w:sz w:val="18"/>
                      <w:szCs w:val="18"/>
                    </w:rPr>
                    <w:t>并设置有排水设施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976" w:type="pct"/>
                  <w:tcBorders>
                    <w:tl2br w:val="nil"/>
                    <w:tr2bl w:val="nil"/>
                  </w:tcBorders>
                  <w:noWrap w:val="0"/>
                  <w:vAlign w:val="center"/>
                </w:tcPr>
                <w:p>
                  <w:pPr>
                    <w:adjustRightInd w:val="0"/>
                    <w:snapToGrid w:val="0"/>
                    <w:jc w:val="center"/>
                    <w:rPr>
                      <w:color w:val="auto"/>
                      <w:sz w:val="18"/>
                      <w:szCs w:val="18"/>
                    </w:rPr>
                  </w:pPr>
                  <w:r>
                    <w:rPr>
                      <w:color w:val="auto"/>
                      <w:sz w:val="18"/>
                      <w:szCs w:val="18"/>
                    </w:rPr>
                    <w:t>生产排水、雨水和生活污水，应清污分流，污水排放标准应符合现行国家标准《污水综合排放标准》GB 8978的有关规定</w:t>
                  </w:r>
                </w:p>
              </w:tc>
              <w:tc>
                <w:tcPr>
                  <w:tcW w:w="2024" w:type="pct"/>
                  <w:tcBorders>
                    <w:tl2br w:val="nil"/>
                    <w:tr2bl w:val="nil"/>
                  </w:tcBorders>
                  <w:noWrap w:val="0"/>
                  <w:vAlign w:val="center"/>
                </w:tcPr>
                <w:p>
                  <w:pPr>
                    <w:adjustRightInd w:val="0"/>
                    <w:snapToGrid w:val="0"/>
                    <w:jc w:val="center"/>
                    <w:rPr>
                      <w:color w:val="auto"/>
                      <w:sz w:val="18"/>
                      <w:szCs w:val="18"/>
                    </w:rPr>
                  </w:pPr>
                  <w:r>
                    <w:rPr>
                      <w:color w:val="auto"/>
                      <w:sz w:val="18"/>
                      <w:szCs w:val="18"/>
                    </w:rPr>
                    <w:t>本项目采取雨污分流，清污分流，生活污水和生产废水不外排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976" w:type="pct"/>
                  <w:tcBorders>
                    <w:tl2br w:val="nil"/>
                    <w:tr2bl w:val="nil"/>
                  </w:tcBorders>
                  <w:noWrap w:val="0"/>
                  <w:vAlign w:val="center"/>
                </w:tcPr>
                <w:p>
                  <w:pPr>
                    <w:adjustRightInd w:val="0"/>
                    <w:snapToGrid w:val="0"/>
                    <w:jc w:val="center"/>
                    <w:rPr>
                      <w:color w:val="auto"/>
                      <w:sz w:val="18"/>
                      <w:szCs w:val="18"/>
                    </w:rPr>
                  </w:pPr>
                  <w:r>
                    <w:rPr>
                      <w:color w:val="auto"/>
                      <w:sz w:val="18"/>
                      <w:szCs w:val="18"/>
                    </w:rPr>
                    <w:t>厂区各类地点噪声限值应达到《工业企业厂界环境噪声排放标准》（GB12348-2008）的要求， 且符合企业所在地的相关地方标准和环境影响评价要求。</w:t>
                  </w:r>
                </w:p>
              </w:tc>
              <w:tc>
                <w:tcPr>
                  <w:tcW w:w="2024" w:type="pct"/>
                  <w:tcBorders>
                    <w:tl2br w:val="nil"/>
                    <w:tr2bl w:val="nil"/>
                  </w:tcBorders>
                  <w:noWrap w:val="0"/>
                  <w:vAlign w:val="center"/>
                </w:tcPr>
                <w:p>
                  <w:pPr>
                    <w:adjustRightInd w:val="0"/>
                    <w:snapToGrid w:val="0"/>
                    <w:jc w:val="center"/>
                    <w:rPr>
                      <w:color w:val="auto"/>
                      <w:sz w:val="18"/>
                      <w:szCs w:val="18"/>
                    </w:rPr>
                  </w:pPr>
                  <w:r>
                    <w:rPr>
                      <w:color w:val="auto"/>
                      <w:sz w:val="18"/>
                      <w:szCs w:val="18"/>
                    </w:rPr>
                    <w:t>项目采取相关降噪措施后，满足排放要求，符合要求。</w:t>
                  </w:r>
                </w:p>
              </w:tc>
            </w:tr>
          </w:tbl>
          <w:p>
            <w:pPr>
              <w:pStyle w:val="5"/>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textAlignment w:val="auto"/>
              <w:rPr>
                <w:rFonts w:hint="eastAsia"/>
                <w:b/>
                <w:color w:val="auto"/>
                <w:szCs w:val="21"/>
              </w:rPr>
            </w:pPr>
            <w:r>
              <w:rPr>
                <w:rFonts w:hint="eastAsia"/>
                <w:b/>
                <w:color w:val="auto"/>
                <w:szCs w:val="21"/>
                <w:lang w:val="en-US" w:eastAsia="zh-CN"/>
              </w:rPr>
              <w:t>2</w:t>
            </w:r>
            <w:r>
              <w:rPr>
                <w:rFonts w:hint="eastAsia"/>
                <w:b/>
                <w:color w:val="auto"/>
                <w:szCs w:val="21"/>
              </w:rPr>
              <w:t>、与“三线一单”符合性分析</w:t>
            </w:r>
          </w:p>
          <w:p>
            <w:pPr>
              <w:pStyle w:val="5"/>
              <w:keepNext w:val="0"/>
              <w:keepLines w:val="0"/>
              <w:pageBreakBefore w:val="0"/>
              <w:kinsoku/>
              <w:wordWrap/>
              <w:overflowPunct/>
              <w:topLinePunct w:val="0"/>
              <w:autoSpaceDE/>
              <w:autoSpaceDN/>
              <w:bidi w:val="0"/>
              <w:adjustRightInd/>
              <w:snapToGrid/>
              <w:spacing w:after="0" w:line="360" w:lineRule="auto"/>
              <w:ind w:left="0" w:leftChars="0" w:firstLine="630" w:firstLineChars="300"/>
              <w:textAlignment w:val="auto"/>
              <w:rPr>
                <w:rFonts w:hint="eastAsia"/>
                <w:color w:val="auto"/>
                <w:szCs w:val="21"/>
              </w:rPr>
            </w:pPr>
            <w:r>
              <w:rPr>
                <w:rFonts w:hint="eastAsia"/>
                <w:color w:val="auto"/>
                <w:szCs w:val="21"/>
              </w:rPr>
              <w:t xml:space="preserve">（1）生态红线相符性 </w:t>
            </w:r>
          </w:p>
          <w:p>
            <w:pPr>
              <w:pStyle w:val="5"/>
              <w:keepNext w:val="0"/>
              <w:keepLines w:val="0"/>
              <w:pageBreakBefore w:val="0"/>
              <w:kinsoku/>
              <w:wordWrap/>
              <w:overflowPunct/>
              <w:topLinePunct w:val="0"/>
              <w:autoSpaceDE/>
              <w:autoSpaceDN/>
              <w:bidi w:val="0"/>
              <w:adjustRightInd/>
              <w:snapToGrid/>
              <w:spacing w:after="0" w:line="360" w:lineRule="auto"/>
              <w:ind w:left="0" w:leftChars="0" w:firstLine="630" w:firstLineChars="300"/>
              <w:textAlignment w:val="auto"/>
              <w:rPr>
                <w:rFonts w:hint="eastAsia"/>
                <w:color w:val="auto"/>
                <w:szCs w:val="21"/>
              </w:rPr>
            </w:pPr>
            <w:r>
              <w:rPr>
                <w:rFonts w:hint="eastAsia"/>
                <w:color w:val="auto"/>
                <w:szCs w:val="21"/>
              </w:rPr>
              <w:t xml:space="preserve">根据《湖南省生态保护红线》，湖南省生态保护红线划定面积为4.28万平方公里，占全省国土面积的20.23%。全省生态保护红线空间格局为“一湖三山四水”：“一湖”为洞庭湖（主要包括东洞庭湖、南洞庭湖、横岭湖、西洞庭湖等自然保护区和长江岸线），主要生态功能为生物多样性维护、洪水调蓄。“三山”包括武陵—雪峰山脉生态屏障，主要生态功能为生物多样性维护与水土保持；罗霄—幕阜山脉生态屏障，主要生态功能为生物多样性维护、水源涵养和水土保持；南岭山脉生态屏障，主要生态功能为水源涵养和生物多样性维护，其中南岭山脉生态屏障是南方丘陵山地带的重要组成部分。“四水”为湘资沅澧（湘江、资水、沅江、澧水）的源头区及重要水域。 </w:t>
            </w:r>
          </w:p>
          <w:p>
            <w:pPr>
              <w:pStyle w:val="5"/>
              <w:keepNext w:val="0"/>
              <w:keepLines w:val="0"/>
              <w:pageBreakBefore w:val="0"/>
              <w:kinsoku/>
              <w:wordWrap/>
              <w:overflowPunct/>
              <w:topLinePunct w:val="0"/>
              <w:autoSpaceDE/>
              <w:autoSpaceDN/>
              <w:bidi w:val="0"/>
              <w:adjustRightInd/>
              <w:snapToGrid/>
              <w:spacing w:after="0" w:line="360" w:lineRule="auto"/>
              <w:ind w:left="0" w:leftChars="0" w:firstLine="630" w:firstLineChars="300"/>
              <w:textAlignment w:val="auto"/>
              <w:rPr>
                <w:rFonts w:hint="eastAsia"/>
                <w:color w:val="auto"/>
                <w:szCs w:val="21"/>
              </w:rPr>
            </w:pPr>
            <w:r>
              <w:rPr>
                <w:rFonts w:hint="eastAsia"/>
                <w:color w:val="auto"/>
                <w:szCs w:val="21"/>
              </w:rPr>
              <w:t>本项目位于湖南省衡阳市衡阳县</w:t>
            </w:r>
            <w:r>
              <w:rPr>
                <w:color w:val="auto"/>
                <w:szCs w:val="21"/>
                <w:u w:val="none"/>
              </w:rPr>
              <w:t>衡阳县</w:t>
            </w:r>
            <w:r>
              <w:rPr>
                <w:rFonts w:hint="eastAsia"/>
                <w:color w:val="auto"/>
                <w:szCs w:val="21"/>
                <w:u w:val="none"/>
                <w:lang w:eastAsia="zh-CN"/>
              </w:rPr>
              <w:t>界牌镇</w:t>
            </w:r>
            <w:r>
              <w:rPr>
                <w:rFonts w:hint="eastAsia" w:ascii="Times New Roman" w:hAnsi="Times New Roman" w:eastAsia="宋体" w:cs="Times New Roman"/>
                <w:color w:val="auto"/>
                <w:szCs w:val="21"/>
                <w:lang w:eastAsia="zh-CN"/>
              </w:rPr>
              <w:t>桐梓坪社区</w:t>
            </w:r>
            <w:r>
              <w:rPr>
                <w:rFonts w:hint="eastAsia" w:ascii="Times New Roman" w:hAnsi="Times New Roman" w:eastAsia="宋体" w:cs="Times New Roman"/>
                <w:color w:val="auto"/>
                <w:szCs w:val="21"/>
              </w:rPr>
              <w:t>，</w:t>
            </w:r>
            <w:r>
              <w:rPr>
                <w:rFonts w:hint="eastAsia"/>
                <w:color w:val="auto"/>
                <w:szCs w:val="21"/>
              </w:rPr>
              <w:t>不在上述生态保护红线范围内（见附件</w:t>
            </w:r>
            <w:r>
              <w:rPr>
                <w:rFonts w:hint="default"/>
                <w:color w:val="auto"/>
                <w:szCs w:val="21"/>
                <w:lang w:val="en-US"/>
              </w:rPr>
              <w:t>6</w:t>
            </w:r>
            <w:r>
              <w:rPr>
                <w:rFonts w:hint="eastAsia"/>
                <w:color w:val="auto"/>
                <w:szCs w:val="21"/>
                <w:lang w:eastAsia="zh-CN"/>
              </w:rPr>
              <w:t>）</w:t>
            </w:r>
            <w:r>
              <w:rPr>
                <w:rFonts w:hint="eastAsia"/>
                <w:color w:val="auto"/>
                <w:szCs w:val="21"/>
              </w:rPr>
              <w:t>，符合《湖南省生态保护红线》要求。</w:t>
            </w:r>
          </w:p>
          <w:p>
            <w:pPr>
              <w:pStyle w:val="5"/>
              <w:keepNext w:val="0"/>
              <w:keepLines w:val="0"/>
              <w:pageBreakBefore w:val="0"/>
              <w:kinsoku/>
              <w:wordWrap/>
              <w:overflowPunct/>
              <w:topLinePunct w:val="0"/>
              <w:autoSpaceDE/>
              <w:autoSpaceDN/>
              <w:bidi w:val="0"/>
              <w:adjustRightInd/>
              <w:snapToGrid/>
              <w:spacing w:after="0" w:line="360" w:lineRule="auto"/>
              <w:ind w:left="0" w:leftChars="0" w:firstLine="630" w:firstLineChars="300"/>
              <w:textAlignment w:val="auto"/>
              <w:rPr>
                <w:rFonts w:hint="eastAsia"/>
                <w:color w:val="auto"/>
                <w:szCs w:val="21"/>
              </w:rPr>
            </w:pPr>
            <w:r>
              <w:rPr>
                <w:rFonts w:hint="eastAsia"/>
                <w:color w:val="auto"/>
                <w:szCs w:val="21"/>
              </w:rPr>
              <w:t xml:space="preserve">（2）环境质量底线相符性分析 </w:t>
            </w:r>
          </w:p>
          <w:p>
            <w:pPr>
              <w:pStyle w:val="5"/>
              <w:keepNext w:val="0"/>
              <w:keepLines w:val="0"/>
              <w:pageBreakBefore w:val="0"/>
              <w:kinsoku/>
              <w:wordWrap/>
              <w:overflowPunct/>
              <w:topLinePunct w:val="0"/>
              <w:bidi w:val="0"/>
              <w:spacing w:after="0" w:line="360" w:lineRule="auto"/>
              <w:ind w:left="21" w:leftChars="10" w:firstLineChars="200"/>
              <w:textAlignment w:val="auto"/>
              <w:rPr>
                <w:rFonts w:hint="eastAsia"/>
                <w:color w:val="auto"/>
                <w:szCs w:val="21"/>
              </w:rPr>
            </w:pPr>
            <w:r>
              <w:rPr>
                <w:rFonts w:hint="eastAsia"/>
                <w:color w:val="auto"/>
                <w:szCs w:val="21"/>
              </w:rPr>
              <w:t>本报告以环境质量评价标准作为环境质量底线，环境空气质量目标为《环境空气质量标准》（GB3095-2012及2018修改单）二级标准，地表水环境质量目标为《地表水环境质量标准》（GB3838-2002）Ⅲ类标准。扩建项目无生产废水产生；生活污水经现有隔油池、化粪池后用于农肥，不外排，废气采取防治措施后均可实现达标排放，各项固体废物均可得到妥善处置。落实本环评提出的相关环保措施后，扩建项目污染物排放不会对区域环境质量底线造成冲击。综上，扩建项目建设符合环境质量底线要求的。</w:t>
            </w:r>
          </w:p>
          <w:p>
            <w:pPr>
              <w:autoSpaceDE w:val="0"/>
              <w:autoSpaceDN w:val="0"/>
              <w:spacing w:line="360" w:lineRule="auto"/>
              <w:ind w:firstLine="420" w:firstLineChars="200"/>
              <w:rPr>
                <w:rFonts w:hint="default" w:ascii="Times New Roman" w:hAnsi="Times New Roman" w:cs="Times New Roman"/>
                <w:color w:val="auto"/>
                <w:kern w:val="0"/>
                <w:szCs w:val="21"/>
                <w:u w:val="none"/>
              </w:rPr>
            </w:pPr>
            <w:r>
              <w:rPr>
                <w:rFonts w:hint="eastAsia"/>
                <w:color w:val="auto"/>
                <w:szCs w:val="21"/>
              </w:rPr>
              <w:t>（</w:t>
            </w:r>
            <w:r>
              <w:rPr>
                <w:rFonts w:hint="eastAsia"/>
                <w:color w:val="auto"/>
                <w:szCs w:val="21"/>
                <w:lang w:val="en-US" w:eastAsia="zh-CN"/>
              </w:rPr>
              <w:t>3</w:t>
            </w:r>
            <w:r>
              <w:rPr>
                <w:rFonts w:hint="eastAsia"/>
                <w:color w:val="auto"/>
                <w:szCs w:val="21"/>
              </w:rPr>
              <w:t>）</w:t>
            </w:r>
            <w:r>
              <w:rPr>
                <w:rFonts w:hint="default" w:ascii="Times New Roman" w:hAnsi="Times New Roman" w:cs="Times New Roman"/>
                <w:color w:val="auto"/>
                <w:kern w:val="0"/>
                <w:szCs w:val="21"/>
                <w:u w:val="none"/>
              </w:rPr>
              <w:t>资源利用上线</w:t>
            </w:r>
          </w:p>
          <w:p>
            <w:pPr>
              <w:autoSpaceDE w:val="0"/>
              <w:autoSpaceDN w:val="0"/>
              <w:spacing w:line="360" w:lineRule="auto"/>
              <w:ind w:firstLine="420" w:firstLineChars="200"/>
              <w:rPr>
                <w:rFonts w:hint="default" w:ascii="Times New Roman" w:hAnsi="Times New Roman" w:cs="Times New Roman"/>
                <w:color w:val="auto"/>
                <w:kern w:val="0"/>
                <w:szCs w:val="21"/>
                <w:u w:val="none"/>
              </w:rPr>
            </w:pPr>
            <w:r>
              <w:rPr>
                <w:rFonts w:hint="eastAsia" w:ascii="Times New Roman" w:hAnsi="Times New Roman" w:cs="Times New Roman"/>
                <w:color w:val="auto"/>
                <w:kern w:val="0"/>
                <w:szCs w:val="21"/>
                <w:u w:val="none"/>
                <w:lang w:eastAsia="zh-CN"/>
              </w:rPr>
              <w:t>扩建项目</w:t>
            </w:r>
            <w:r>
              <w:rPr>
                <w:rFonts w:hint="default" w:ascii="Times New Roman" w:hAnsi="Times New Roman" w:cs="Times New Roman"/>
                <w:color w:val="auto"/>
                <w:kern w:val="0"/>
                <w:szCs w:val="21"/>
                <w:u w:val="none"/>
              </w:rPr>
              <w:t>不属于高耗能、高污染型企业。</w:t>
            </w:r>
            <w:r>
              <w:rPr>
                <w:rFonts w:hint="eastAsia" w:ascii="Times New Roman" w:hAnsi="Times New Roman" w:cs="Times New Roman"/>
                <w:color w:val="auto"/>
                <w:kern w:val="0"/>
                <w:szCs w:val="21"/>
                <w:u w:val="none"/>
                <w:lang w:eastAsia="zh-CN"/>
              </w:rPr>
              <w:t>项目</w:t>
            </w:r>
            <w:r>
              <w:rPr>
                <w:rFonts w:hint="default" w:ascii="Times New Roman" w:hAnsi="Times New Roman" w:cs="Times New Roman"/>
                <w:color w:val="auto"/>
                <w:kern w:val="0"/>
                <w:szCs w:val="21"/>
                <w:u w:val="none"/>
              </w:rPr>
              <w:t>建设过程中所利用的资源主要为水、电，均为清洁能源，项目建成运行后通过内部管理、设备选用管理和污染治理等多方面采取合理可行的防治措施，以“节能、降耗、减污”为目标，有效的控制污染。项目的水、电等资源利用不会突破区域的资源利用上线。</w:t>
            </w:r>
          </w:p>
          <w:p>
            <w:pPr>
              <w:pStyle w:val="5"/>
              <w:keepNext w:val="0"/>
              <w:keepLines w:val="0"/>
              <w:pageBreakBefore w:val="0"/>
              <w:kinsoku/>
              <w:wordWrap/>
              <w:overflowPunct/>
              <w:topLinePunct w:val="0"/>
              <w:autoSpaceDE/>
              <w:autoSpaceDN/>
              <w:bidi w:val="0"/>
              <w:adjustRightInd/>
              <w:snapToGrid/>
              <w:spacing w:after="0" w:line="360" w:lineRule="auto"/>
              <w:ind w:left="0" w:leftChars="0" w:firstLine="420" w:firstLineChars="200"/>
              <w:textAlignment w:val="auto"/>
              <w:rPr>
                <w:rFonts w:hint="eastAsia"/>
                <w:color w:val="auto"/>
                <w:szCs w:val="21"/>
              </w:rPr>
            </w:pPr>
            <w:r>
              <w:rPr>
                <w:rFonts w:hint="eastAsia"/>
                <w:color w:val="auto"/>
                <w:szCs w:val="21"/>
              </w:rPr>
              <w:t xml:space="preserve">（4）生态环境准入清单相符性 </w:t>
            </w:r>
          </w:p>
          <w:p>
            <w:pPr>
              <w:pStyle w:val="5"/>
              <w:keepNext w:val="0"/>
              <w:keepLines w:val="0"/>
              <w:pageBreakBefore w:val="0"/>
              <w:kinsoku/>
              <w:wordWrap/>
              <w:overflowPunct/>
              <w:topLinePunct w:val="0"/>
              <w:bidi w:val="0"/>
              <w:spacing w:after="0" w:line="360" w:lineRule="auto"/>
              <w:ind w:left="21" w:leftChars="10" w:firstLineChars="200"/>
              <w:textAlignment w:val="auto"/>
              <w:rPr>
                <w:rFonts w:hint="eastAsia"/>
                <w:color w:val="auto"/>
                <w:szCs w:val="21"/>
              </w:rPr>
            </w:pPr>
            <w:r>
              <w:rPr>
                <w:color w:val="auto"/>
                <w:szCs w:val="21"/>
              </w:rPr>
              <w:t>根据《衡阳市人民政府关于实施“三线一单”生态环境分区管控的意见（衡政发〔2020〕9号）》中附件1：衡阳市环境管控单元图，可知本项目属于衡阳市一般管控单元。本环评对照衡阳市生态环境准入清单分析本项目是否与生态环境分区管控相适应，具体内容如下：</w:t>
            </w:r>
          </w:p>
          <w:p>
            <w:pPr>
              <w:pStyle w:val="8"/>
              <w:keepNext w:val="0"/>
              <w:keepLines w:val="0"/>
              <w:pageBreakBefore w:val="0"/>
              <w:kinsoku/>
              <w:wordWrap/>
              <w:overflowPunct/>
              <w:topLinePunct w:val="0"/>
              <w:bidi w:val="0"/>
              <w:ind w:left="21" w:leftChars="10" w:firstLine="210"/>
              <w:textAlignment w:val="auto"/>
              <w:rPr>
                <w:color w:val="auto"/>
                <w:sz w:val="21"/>
                <w:szCs w:val="21"/>
              </w:rPr>
            </w:pPr>
            <w:r>
              <w:rPr>
                <w:color w:val="auto"/>
                <w:sz w:val="21"/>
                <w:szCs w:val="21"/>
              </w:rPr>
              <w:t>表</w:t>
            </w:r>
            <w:r>
              <w:rPr>
                <w:color w:val="auto"/>
                <w:sz w:val="21"/>
                <w:szCs w:val="21"/>
                <w:lang w:eastAsia="zh-CN"/>
              </w:rPr>
              <w:t>1</w:t>
            </w:r>
            <w:r>
              <w:rPr>
                <w:color w:val="auto"/>
                <w:sz w:val="21"/>
                <w:szCs w:val="21"/>
              </w:rPr>
              <w:t>-1   建设项目与衡阳县</w:t>
            </w:r>
            <w:r>
              <w:rPr>
                <w:rFonts w:hint="eastAsia"/>
                <w:color w:val="auto"/>
                <w:sz w:val="21"/>
                <w:szCs w:val="21"/>
                <w:lang w:eastAsia="zh-CN"/>
              </w:rPr>
              <w:t>界牌镇</w:t>
            </w:r>
            <w:r>
              <w:rPr>
                <w:color w:val="auto"/>
                <w:sz w:val="21"/>
                <w:szCs w:val="21"/>
              </w:rPr>
              <w:t>环境管控要求对照一览表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7"/>
              <w:gridCol w:w="3685"/>
              <w:gridCol w:w="1276"/>
              <w:gridCol w:w="6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9" w:type="pct"/>
                  <w:shd w:val="clear" w:color="auto" w:fill="auto"/>
                  <w:vAlign w:val="center"/>
                </w:tcPr>
                <w:p>
                  <w:pPr>
                    <w:pStyle w:val="45"/>
                    <w:keepNext w:val="0"/>
                    <w:keepLines w:val="0"/>
                    <w:pageBreakBefore w:val="0"/>
                    <w:kinsoku/>
                    <w:wordWrap/>
                    <w:overflowPunct/>
                    <w:topLinePunct w:val="0"/>
                    <w:bidi w:val="0"/>
                    <w:ind w:left="21" w:leftChars="10"/>
                    <w:textAlignment w:val="auto"/>
                    <w:rPr>
                      <w:color w:val="auto"/>
                      <w:sz w:val="18"/>
                      <w:szCs w:val="18"/>
                    </w:rPr>
                  </w:pPr>
                  <w:r>
                    <w:rPr>
                      <w:color w:val="auto"/>
                      <w:sz w:val="18"/>
                      <w:szCs w:val="18"/>
                    </w:rPr>
                    <w:t>管控维度</w:t>
                  </w:r>
                </w:p>
              </w:tc>
              <w:tc>
                <w:tcPr>
                  <w:tcW w:w="2942" w:type="pct"/>
                  <w:shd w:val="clear" w:color="auto" w:fill="auto"/>
                  <w:vAlign w:val="center"/>
                </w:tcPr>
                <w:p>
                  <w:pPr>
                    <w:pStyle w:val="45"/>
                    <w:keepNext w:val="0"/>
                    <w:keepLines w:val="0"/>
                    <w:pageBreakBefore w:val="0"/>
                    <w:kinsoku/>
                    <w:wordWrap/>
                    <w:overflowPunct/>
                    <w:topLinePunct w:val="0"/>
                    <w:bidi w:val="0"/>
                    <w:ind w:left="21" w:leftChars="10"/>
                    <w:textAlignment w:val="auto"/>
                    <w:rPr>
                      <w:color w:val="auto"/>
                      <w:sz w:val="18"/>
                      <w:szCs w:val="18"/>
                    </w:rPr>
                  </w:pPr>
                  <w:r>
                    <w:rPr>
                      <w:color w:val="auto"/>
                      <w:sz w:val="18"/>
                      <w:szCs w:val="18"/>
                    </w:rPr>
                    <w:t>管控要求</w:t>
                  </w:r>
                </w:p>
              </w:tc>
              <w:tc>
                <w:tcPr>
                  <w:tcW w:w="1019" w:type="pct"/>
                  <w:shd w:val="clear" w:color="auto" w:fill="auto"/>
                  <w:vAlign w:val="center"/>
                </w:tcPr>
                <w:p>
                  <w:pPr>
                    <w:pStyle w:val="45"/>
                    <w:keepNext w:val="0"/>
                    <w:keepLines w:val="0"/>
                    <w:pageBreakBefore w:val="0"/>
                    <w:kinsoku/>
                    <w:wordWrap/>
                    <w:overflowPunct/>
                    <w:topLinePunct w:val="0"/>
                    <w:bidi w:val="0"/>
                    <w:ind w:left="21" w:leftChars="10"/>
                    <w:textAlignment w:val="auto"/>
                    <w:rPr>
                      <w:color w:val="auto"/>
                      <w:sz w:val="18"/>
                      <w:szCs w:val="18"/>
                    </w:rPr>
                  </w:pPr>
                  <w:r>
                    <w:rPr>
                      <w:color w:val="auto"/>
                      <w:sz w:val="18"/>
                      <w:szCs w:val="18"/>
                    </w:rPr>
                    <w:t>本项目情况</w:t>
                  </w:r>
                </w:p>
              </w:tc>
              <w:tc>
                <w:tcPr>
                  <w:tcW w:w="530" w:type="pct"/>
                  <w:shd w:val="clear" w:color="auto" w:fill="auto"/>
                  <w:vAlign w:val="center"/>
                </w:tcPr>
                <w:p>
                  <w:pPr>
                    <w:pStyle w:val="45"/>
                    <w:keepNext w:val="0"/>
                    <w:keepLines w:val="0"/>
                    <w:pageBreakBefore w:val="0"/>
                    <w:kinsoku/>
                    <w:wordWrap/>
                    <w:overflowPunct/>
                    <w:topLinePunct w:val="0"/>
                    <w:bidi w:val="0"/>
                    <w:ind w:left="21" w:leftChars="10"/>
                    <w:textAlignment w:val="auto"/>
                    <w:rPr>
                      <w:color w:val="auto"/>
                      <w:sz w:val="18"/>
                      <w:szCs w:val="18"/>
                    </w:rPr>
                  </w:pPr>
                  <w:r>
                    <w:rPr>
                      <w:color w:val="auto"/>
                      <w:sz w:val="18"/>
                      <w:szCs w:val="18"/>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9" w:type="pct"/>
                  <w:shd w:val="clear" w:color="auto" w:fill="auto"/>
                  <w:vAlign w:val="center"/>
                </w:tcPr>
                <w:p>
                  <w:pPr>
                    <w:pStyle w:val="45"/>
                    <w:keepNext w:val="0"/>
                    <w:keepLines w:val="0"/>
                    <w:pageBreakBefore w:val="0"/>
                    <w:kinsoku/>
                    <w:wordWrap/>
                    <w:overflowPunct/>
                    <w:topLinePunct w:val="0"/>
                    <w:bidi w:val="0"/>
                    <w:ind w:left="21" w:leftChars="10"/>
                    <w:textAlignment w:val="auto"/>
                    <w:rPr>
                      <w:color w:val="auto"/>
                      <w:sz w:val="18"/>
                      <w:szCs w:val="18"/>
                    </w:rPr>
                  </w:pPr>
                  <w:r>
                    <w:rPr>
                      <w:color w:val="auto"/>
                      <w:sz w:val="18"/>
                      <w:szCs w:val="18"/>
                    </w:rPr>
                    <w:t>空间布局约束</w:t>
                  </w:r>
                </w:p>
              </w:tc>
              <w:tc>
                <w:tcPr>
                  <w:tcW w:w="2942" w:type="pct"/>
                  <w:shd w:val="clear" w:color="auto" w:fill="auto"/>
                  <w:vAlign w:val="center"/>
                </w:tcPr>
                <w:p>
                  <w:pPr>
                    <w:pStyle w:val="45"/>
                    <w:keepNext w:val="0"/>
                    <w:keepLines w:val="0"/>
                    <w:pageBreakBefore w:val="0"/>
                    <w:kinsoku/>
                    <w:wordWrap/>
                    <w:overflowPunct/>
                    <w:topLinePunct w:val="0"/>
                    <w:bidi w:val="0"/>
                    <w:ind w:left="21" w:leftChars="10"/>
                    <w:jc w:val="both"/>
                    <w:textAlignment w:val="auto"/>
                    <w:rPr>
                      <w:color w:val="auto"/>
                      <w:sz w:val="18"/>
                      <w:szCs w:val="18"/>
                    </w:rPr>
                  </w:pPr>
                  <w:r>
                    <w:rPr>
                      <w:rFonts w:hint="eastAsia" w:ascii="宋体" w:hAnsi="宋体" w:cs="宋体"/>
                      <w:color w:val="auto"/>
                      <w:sz w:val="18"/>
                      <w:szCs w:val="18"/>
                      <w:lang w:eastAsia="zh-CN"/>
                    </w:rPr>
                    <w:t>①</w:t>
                  </w:r>
                  <w:r>
                    <w:rPr>
                      <w:color w:val="auto"/>
                      <w:sz w:val="18"/>
                      <w:szCs w:val="18"/>
                    </w:rPr>
                    <w:t>新建涉VOCs排放的工业企业要入园区；</w:t>
                  </w:r>
                </w:p>
                <w:p>
                  <w:pPr>
                    <w:pStyle w:val="45"/>
                    <w:keepNext w:val="0"/>
                    <w:keepLines w:val="0"/>
                    <w:pageBreakBefore w:val="0"/>
                    <w:kinsoku/>
                    <w:wordWrap/>
                    <w:overflowPunct/>
                    <w:topLinePunct w:val="0"/>
                    <w:bidi w:val="0"/>
                    <w:ind w:left="21" w:leftChars="10"/>
                    <w:jc w:val="both"/>
                    <w:textAlignment w:val="auto"/>
                    <w:rPr>
                      <w:color w:val="auto"/>
                      <w:sz w:val="18"/>
                      <w:szCs w:val="18"/>
                    </w:rPr>
                  </w:pPr>
                  <w:r>
                    <w:rPr>
                      <w:rFonts w:hint="eastAsia" w:ascii="宋体" w:hAnsi="宋体" w:cs="宋体"/>
                      <w:color w:val="auto"/>
                      <w:sz w:val="18"/>
                      <w:szCs w:val="18"/>
                      <w:lang w:eastAsia="zh-CN"/>
                    </w:rPr>
                    <w:t>②</w:t>
                  </w:r>
                  <w:r>
                    <w:rPr>
                      <w:color w:val="auto"/>
                      <w:sz w:val="18"/>
                      <w:szCs w:val="18"/>
                    </w:rPr>
                    <w:t>养殖业按划定的禁养区、限养区、适养区实施分类管理。</w:t>
                  </w:r>
                </w:p>
              </w:tc>
              <w:tc>
                <w:tcPr>
                  <w:tcW w:w="1019" w:type="pct"/>
                  <w:shd w:val="clear" w:color="auto" w:fill="auto"/>
                  <w:vAlign w:val="center"/>
                </w:tcPr>
                <w:p>
                  <w:pPr>
                    <w:pStyle w:val="45"/>
                    <w:keepNext w:val="0"/>
                    <w:keepLines w:val="0"/>
                    <w:pageBreakBefore w:val="0"/>
                    <w:kinsoku/>
                    <w:wordWrap/>
                    <w:overflowPunct/>
                    <w:topLinePunct w:val="0"/>
                    <w:bidi w:val="0"/>
                    <w:ind w:left="21" w:leftChars="10"/>
                    <w:textAlignment w:val="auto"/>
                    <w:rPr>
                      <w:color w:val="auto"/>
                      <w:sz w:val="18"/>
                      <w:szCs w:val="18"/>
                      <w:lang w:eastAsia="zh-CN"/>
                    </w:rPr>
                  </w:pPr>
                  <w:r>
                    <w:rPr>
                      <w:color w:val="auto"/>
                      <w:sz w:val="18"/>
                      <w:szCs w:val="18"/>
                      <w:lang w:eastAsia="zh-CN"/>
                    </w:rPr>
                    <w:t>本项目为本项目为</w:t>
                  </w:r>
                  <w:r>
                    <w:rPr>
                      <w:rFonts w:ascii="Times New Roman" w:hAnsi="Times New Roman" w:cs="Times New Roman"/>
                      <w:color w:val="auto"/>
                      <w:sz w:val="18"/>
                      <w:szCs w:val="18"/>
                      <w:lang w:eastAsia="zh-CN"/>
                    </w:rPr>
                    <w:t>其他非金属矿物制品制造项目，不涉及VOCs排放</w:t>
                  </w:r>
                </w:p>
              </w:tc>
              <w:tc>
                <w:tcPr>
                  <w:tcW w:w="530" w:type="pct"/>
                  <w:shd w:val="clear" w:color="auto" w:fill="auto"/>
                  <w:vAlign w:val="center"/>
                </w:tcPr>
                <w:p>
                  <w:pPr>
                    <w:pStyle w:val="45"/>
                    <w:keepNext w:val="0"/>
                    <w:keepLines w:val="0"/>
                    <w:pageBreakBefore w:val="0"/>
                    <w:kinsoku/>
                    <w:wordWrap/>
                    <w:overflowPunct/>
                    <w:topLinePunct w:val="0"/>
                    <w:bidi w:val="0"/>
                    <w:ind w:left="21" w:leftChars="10"/>
                    <w:textAlignment w:val="auto"/>
                    <w:rPr>
                      <w:color w:val="auto"/>
                      <w:sz w:val="18"/>
                      <w:szCs w:val="18"/>
                      <w:lang w:eastAsia="zh-CN"/>
                    </w:rPr>
                  </w:pPr>
                  <w:r>
                    <w:rPr>
                      <w:color w:val="auto"/>
                      <w:sz w:val="18"/>
                      <w:szCs w:val="18"/>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9" w:type="pct"/>
                  <w:shd w:val="clear" w:color="auto" w:fill="auto"/>
                  <w:vAlign w:val="center"/>
                </w:tcPr>
                <w:p>
                  <w:pPr>
                    <w:pStyle w:val="45"/>
                    <w:keepNext w:val="0"/>
                    <w:keepLines w:val="0"/>
                    <w:pageBreakBefore w:val="0"/>
                    <w:kinsoku/>
                    <w:wordWrap/>
                    <w:overflowPunct/>
                    <w:topLinePunct w:val="0"/>
                    <w:bidi w:val="0"/>
                    <w:ind w:left="21" w:leftChars="10"/>
                    <w:textAlignment w:val="auto"/>
                    <w:rPr>
                      <w:color w:val="auto"/>
                      <w:sz w:val="18"/>
                      <w:szCs w:val="18"/>
                    </w:rPr>
                  </w:pPr>
                  <w:r>
                    <w:rPr>
                      <w:color w:val="auto"/>
                      <w:sz w:val="18"/>
                      <w:szCs w:val="18"/>
                    </w:rPr>
                    <w:t>污染物排放管控</w:t>
                  </w:r>
                </w:p>
              </w:tc>
              <w:tc>
                <w:tcPr>
                  <w:tcW w:w="2942" w:type="pct"/>
                  <w:shd w:val="clear" w:color="auto" w:fill="auto"/>
                  <w:vAlign w:val="center"/>
                </w:tcPr>
                <w:p>
                  <w:pPr>
                    <w:pStyle w:val="45"/>
                    <w:keepNext w:val="0"/>
                    <w:keepLines w:val="0"/>
                    <w:pageBreakBefore w:val="0"/>
                    <w:kinsoku/>
                    <w:wordWrap/>
                    <w:overflowPunct/>
                    <w:topLinePunct w:val="0"/>
                    <w:bidi w:val="0"/>
                    <w:ind w:left="21" w:leftChars="10"/>
                    <w:jc w:val="both"/>
                    <w:textAlignment w:val="auto"/>
                    <w:rPr>
                      <w:color w:val="auto"/>
                      <w:sz w:val="18"/>
                      <w:szCs w:val="18"/>
                      <w:lang w:eastAsia="zh-CN"/>
                    </w:rPr>
                  </w:pPr>
                  <w:r>
                    <w:rPr>
                      <w:rFonts w:hint="eastAsia" w:ascii="宋体" w:hAnsi="宋体" w:cs="宋体"/>
                      <w:color w:val="auto"/>
                      <w:sz w:val="18"/>
                      <w:szCs w:val="18"/>
                      <w:lang w:eastAsia="zh-CN"/>
                    </w:rPr>
                    <w:t>①</w:t>
                  </w:r>
                  <w:r>
                    <w:rPr>
                      <w:color w:val="auto"/>
                      <w:sz w:val="18"/>
                      <w:szCs w:val="18"/>
                      <w:lang w:eastAsia="zh-CN"/>
                    </w:rPr>
                    <w:t>完善污水收集配套管网，工业集聚区要建立水环境管理档案，实现“一园一档”。新建、升级园区应同步规划和建设污水、垃圾集中处理等污染治理设施。加强城镇污水管网建设，提高城镇污水处理率。启动乡镇污水处理设施及配套管网建设，建制镇污水处理率达到55%，污水处理设施产生的污泥应进行稳定化、无害化和资源化处理处置。</w:t>
                  </w:r>
                </w:p>
                <w:p>
                  <w:pPr>
                    <w:pStyle w:val="45"/>
                    <w:keepNext w:val="0"/>
                    <w:keepLines w:val="0"/>
                    <w:pageBreakBefore w:val="0"/>
                    <w:kinsoku/>
                    <w:wordWrap/>
                    <w:overflowPunct/>
                    <w:topLinePunct w:val="0"/>
                    <w:bidi w:val="0"/>
                    <w:ind w:left="21" w:leftChars="10"/>
                    <w:jc w:val="both"/>
                    <w:textAlignment w:val="auto"/>
                    <w:rPr>
                      <w:color w:val="auto"/>
                      <w:sz w:val="18"/>
                      <w:szCs w:val="18"/>
                      <w:lang w:eastAsia="zh-CN"/>
                    </w:rPr>
                  </w:pPr>
                  <w:r>
                    <w:rPr>
                      <w:rFonts w:hint="eastAsia" w:ascii="宋体" w:hAnsi="宋体" w:cs="宋体"/>
                      <w:color w:val="auto"/>
                      <w:sz w:val="18"/>
                      <w:szCs w:val="18"/>
                      <w:lang w:eastAsia="zh-CN"/>
                    </w:rPr>
                    <w:t>②</w:t>
                  </w:r>
                  <w:r>
                    <w:rPr>
                      <w:color w:val="auto"/>
                      <w:sz w:val="18"/>
                      <w:szCs w:val="18"/>
                      <w:lang w:eastAsia="zh-CN"/>
                    </w:rPr>
                    <w:t>完成“散乱污”涉气企业整治工作，重点工业企业完成无组织排放治理改造，强制推进清洁生产审核；实行区域内VOCs 排放等量或倍量削减替代，交通运输设备制造、工程机械制造和家具制造行业全面推行油性漆改水性漆。加快推进园区内淘汰取缔燃煤小锅炉、实施集中供热、清洁能源替代。禁止露天烧烤直排，禁止垃圾、秸秆和落叶露天焚烧。</w:t>
                  </w:r>
                </w:p>
                <w:p>
                  <w:pPr>
                    <w:pStyle w:val="45"/>
                    <w:keepNext w:val="0"/>
                    <w:keepLines w:val="0"/>
                    <w:pageBreakBefore w:val="0"/>
                    <w:kinsoku/>
                    <w:wordWrap/>
                    <w:overflowPunct/>
                    <w:topLinePunct w:val="0"/>
                    <w:bidi w:val="0"/>
                    <w:ind w:left="21" w:leftChars="10"/>
                    <w:jc w:val="both"/>
                    <w:textAlignment w:val="auto"/>
                    <w:rPr>
                      <w:color w:val="auto"/>
                      <w:sz w:val="18"/>
                      <w:szCs w:val="18"/>
                      <w:lang w:eastAsia="zh-CN"/>
                    </w:rPr>
                  </w:pPr>
                  <w:r>
                    <w:rPr>
                      <w:rFonts w:hint="eastAsia" w:ascii="宋体" w:hAnsi="宋体" w:cs="宋体"/>
                      <w:color w:val="auto"/>
                      <w:sz w:val="18"/>
                      <w:szCs w:val="18"/>
                      <w:lang w:eastAsia="zh-CN"/>
                    </w:rPr>
                    <w:t>③</w:t>
                  </w:r>
                  <w:r>
                    <w:rPr>
                      <w:color w:val="auto"/>
                      <w:sz w:val="18"/>
                      <w:szCs w:val="18"/>
                      <w:lang w:eastAsia="zh-CN"/>
                    </w:rPr>
                    <w:t>积极推进垃圾收运体系建设，建设覆盖城乡的垃圾收运系统；严格监督分类垃圾分类收集、分类处理。推进农村环境综合整治全县域覆盖；畜禽规模养殖场（小区）配套建设废弃物处理设施的比例达到85%以上。</w:t>
                  </w:r>
                </w:p>
              </w:tc>
              <w:tc>
                <w:tcPr>
                  <w:tcW w:w="1019" w:type="pct"/>
                  <w:shd w:val="clear" w:color="auto" w:fill="auto"/>
                  <w:vAlign w:val="center"/>
                </w:tcPr>
                <w:p>
                  <w:pPr>
                    <w:pStyle w:val="45"/>
                    <w:keepNext w:val="0"/>
                    <w:keepLines w:val="0"/>
                    <w:pageBreakBefore w:val="0"/>
                    <w:kinsoku/>
                    <w:wordWrap/>
                    <w:overflowPunct/>
                    <w:topLinePunct w:val="0"/>
                    <w:bidi w:val="0"/>
                    <w:ind w:left="21" w:leftChars="10"/>
                    <w:textAlignment w:val="auto"/>
                    <w:rPr>
                      <w:color w:val="auto"/>
                      <w:sz w:val="18"/>
                      <w:szCs w:val="18"/>
                      <w:lang w:eastAsia="zh-CN"/>
                    </w:rPr>
                  </w:pPr>
                  <w:r>
                    <w:rPr>
                      <w:color w:val="auto"/>
                      <w:sz w:val="18"/>
                      <w:szCs w:val="18"/>
                      <w:lang w:eastAsia="zh-CN"/>
                    </w:rPr>
                    <w:t>本项目位于衡阳县</w:t>
                  </w:r>
                  <w:r>
                    <w:rPr>
                      <w:rFonts w:hint="eastAsia"/>
                      <w:color w:val="auto"/>
                      <w:sz w:val="18"/>
                      <w:szCs w:val="18"/>
                      <w:lang w:eastAsia="zh-CN"/>
                    </w:rPr>
                    <w:t>界牌镇桐梓坪社区</w:t>
                  </w:r>
                  <w:r>
                    <w:rPr>
                      <w:color w:val="auto"/>
                      <w:sz w:val="18"/>
                      <w:szCs w:val="18"/>
                      <w:lang w:eastAsia="zh-CN"/>
                    </w:rPr>
                    <w:t>，不属于工业园区范围，同时本项目无生产废水产生；本项目不属于重点工业企业，项目区域已覆盖垃圾收运体系</w:t>
                  </w:r>
                </w:p>
              </w:tc>
              <w:tc>
                <w:tcPr>
                  <w:tcW w:w="530" w:type="pct"/>
                  <w:shd w:val="clear" w:color="auto" w:fill="auto"/>
                  <w:vAlign w:val="center"/>
                </w:tcPr>
                <w:p>
                  <w:pPr>
                    <w:pStyle w:val="45"/>
                    <w:keepNext w:val="0"/>
                    <w:keepLines w:val="0"/>
                    <w:pageBreakBefore w:val="0"/>
                    <w:kinsoku/>
                    <w:wordWrap/>
                    <w:overflowPunct/>
                    <w:topLinePunct w:val="0"/>
                    <w:bidi w:val="0"/>
                    <w:ind w:left="21" w:leftChars="10"/>
                    <w:textAlignment w:val="auto"/>
                    <w:rPr>
                      <w:color w:val="auto"/>
                      <w:sz w:val="18"/>
                      <w:szCs w:val="18"/>
                      <w:lang w:eastAsia="zh-CN"/>
                    </w:rPr>
                  </w:pPr>
                  <w:r>
                    <w:rPr>
                      <w:color w:val="auto"/>
                      <w:sz w:val="18"/>
                      <w:szCs w:val="18"/>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9" w:type="pct"/>
                  <w:shd w:val="clear" w:color="auto" w:fill="auto"/>
                  <w:vAlign w:val="center"/>
                </w:tcPr>
                <w:p>
                  <w:pPr>
                    <w:pStyle w:val="45"/>
                    <w:keepNext w:val="0"/>
                    <w:keepLines w:val="0"/>
                    <w:pageBreakBefore w:val="0"/>
                    <w:kinsoku/>
                    <w:wordWrap/>
                    <w:overflowPunct/>
                    <w:topLinePunct w:val="0"/>
                    <w:bidi w:val="0"/>
                    <w:ind w:left="21" w:leftChars="10"/>
                    <w:textAlignment w:val="auto"/>
                    <w:rPr>
                      <w:color w:val="auto"/>
                      <w:sz w:val="18"/>
                      <w:szCs w:val="18"/>
                    </w:rPr>
                  </w:pPr>
                  <w:r>
                    <w:rPr>
                      <w:color w:val="auto"/>
                      <w:sz w:val="18"/>
                      <w:szCs w:val="18"/>
                    </w:rPr>
                    <w:t>环境风险防控</w:t>
                  </w:r>
                </w:p>
              </w:tc>
              <w:tc>
                <w:tcPr>
                  <w:tcW w:w="2942" w:type="pct"/>
                  <w:shd w:val="clear" w:color="auto" w:fill="auto"/>
                  <w:vAlign w:val="center"/>
                </w:tcPr>
                <w:p>
                  <w:pPr>
                    <w:pStyle w:val="45"/>
                    <w:keepNext w:val="0"/>
                    <w:keepLines w:val="0"/>
                    <w:pageBreakBefore w:val="0"/>
                    <w:kinsoku/>
                    <w:wordWrap/>
                    <w:overflowPunct/>
                    <w:topLinePunct w:val="0"/>
                    <w:bidi w:val="0"/>
                    <w:ind w:left="21" w:leftChars="10"/>
                    <w:jc w:val="both"/>
                    <w:textAlignment w:val="auto"/>
                    <w:rPr>
                      <w:rFonts w:hint="default"/>
                      <w:color w:val="auto"/>
                      <w:sz w:val="18"/>
                      <w:szCs w:val="18"/>
                      <w:lang w:val="en-US"/>
                    </w:rPr>
                  </w:pPr>
                  <w:r>
                    <w:rPr>
                      <w:rFonts w:hint="eastAsia" w:ascii="宋体" w:hAnsi="宋体" w:cs="宋体"/>
                      <w:color w:val="auto"/>
                      <w:sz w:val="18"/>
                      <w:szCs w:val="18"/>
                      <w:lang w:eastAsia="zh-CN"/>
                    </w:rPr>
                    <w:t>①</w:t>
                  </w:r>
                  <w:r>
                    <w:rPr>
                      <w:color w:val="auto"/>
                      <w:sz w:val="18"/>
                      <w:szCs w:val="18"/>
                    </w:rPr>
                    <w:t>加强环境风险防控和应急管理，制定和完善突发环境事件和饮用水水源地突发环境事件应急预案，加强风险防控和突发环境事件应急处理处置能力。</w:t>
                  </w:r>
                </w:p>
                <w:p>
                  <w:pPr>
                    <w:pStyle w:val="45"/>
                    <w:keepNext w:val="0"/>
                    <w:keepLines w:val="0"/>
                    <w:pageBreakBefore w:val="0"/>
                    <w:kinsoku/>
                    <w:wordWrap/>
                    <w:overflowPunct/>
                    <w:topLinePunct w:val="0"/>
                    <w:bidi w:val="0"/>
                    <w:ind w:left="21" w:leftChars="10"/>
                    <w:jc w:val="both"/>
                    <w:textAlignment w:val="auto"/>
                    <w:rPr>
                      <w:color w:val="auto"/>
                      <w:sz w:val="18"/>
                      <w:szCs w:val="18"/>
                      <w:lang w:eastAsia="zh-CN"/>
                    </w:rPr>
                  </w:pPr>
                  <w:r>
                    <w:rPr>
                      <w:rFonts w:hint="eastAsia" w:ascii="宋体" w:hAnsi="宋体" w:cs="宋体"/>
                      <w:color w:val="auto"/>
                      <w:sz w:val="18"/>
                      <w:szCs w:val="18"/>
                      <w:lang w:eastAsia="zh-CN"/>
                    </w:rPr>
                    <w:t>②</w:t>
                  </w:r>
                  <w:r>
                    <w:rPr>
                      <w:bCs/>
                      <w:color w:val="auto"/>
                      <w:sz w:val="18"/>
                      <w:szCs w:val="18"/>
                    </w:rPr>
                    <w:t>根据建设用地土壤环境调查评估及现有重金属污染场地调查结果，逐步建立污染地块名录及其开发利用的负面清单，合理确定土地用途。土地开发利用必须符合土壤环境质量要求。各部门在编制土地利用总体规划、城市总体规划、控制性详细规划等相关规划时，应充分考虑污染地块的环境风险，合理确定土地用途。制定实施受污染耕地安全利用方案，采取农艺调控、化学阻控、替代种植等措施，降低农产品重金属超标风险。</w:t>
                  </w:r>
                  <w:r>
                    <w:rPr>
                      <w:color w:val="auto"/>
                      <w:sz w:val="18"/>
                      <w:szCs w:val="18"/>
                    </w:rPr>
                    <w:t>暂时不能进行治理修复的污染地块，设置标志标识围栏，根据各地块的环境因地制宜采取建设撇洪导流沟渠、地表覆盖等措施减少雨水冲刷等风险管控措施。在未完成治理并通过验收前，不得用于农业、畜牧业以及工商业开发建设。</w:t>
                  </w:r>
                </w:p>
              </w:tc>
              <w:tc>
                <w:tcPr>
                  <w:tcW w:w="1019" w:type="pct"/>
                  <w:shd w:val="clear" w:color="auto" w:fill="auto"/>
                  <w:vAlign w:val="center"/>
                </w:tcPr>
                <w:p>
                  <w:pPr>
                    <w:pStyle w:val="45"/>
                    <w:keepNext w:val="0"/>
                    <w:keepLines w:val="0"/>
                    <w:pageBreakBefore w:val="0"/>
                    <w:kinsoku/>
                    <w:wordWrap/>
                    <w:overflowPunct/>
                    <w:topLinePunct w:val="0"/>
                    <w:bidi w:val="0"/>
                    <w:ind w:left="21" w:leftChars="10"/>
                    <w:textAlignment w:val="auto"/>
                    <w:rPr>
                      <w:color w:val="auto"/>
                      <w:sz w:val="18"/>
                      <w:szCs w:val="18"/>
                      <w:lang w:eastAsia="zh-CN"/>
                    </w:rPr>
                  </w:pPr>
                  <w:r>
                    <w:rPr>
                      <w:color w:val="auto"/>
                      <w:sz w:val="18"/>
                      <w:szCs w:val="18"/>
                      <w:lang w:eastAsia="zh-CN"/>
                    </w:rPr>
                    <w:t>本项目原料为固体，对周边环境基本无影响，不存在泄露风险，建议制定突发环境事件应急预案</w:t>
                  </w:r>
                </w:p>
              </w:tc>
              <w:tc>
                <w:tcPr>
                  <w:tcW w:w="530" w:type="pct"/>
                  <w:shd w:val="clear" w:color="auto" w:fill="auto"/>
                  <w:vAlign w:val="center"/>
                </w:tcPr>
                <w:p>
                  <w:pPr>
                    <w:pStyle w:val="45"/>
                    <w:keepNext w:val="0"/>
                    <w:keepLines w:val="0"/>
                    <w:pageBreakBefore w:val="0"/>
                    <w:kinsoku/>
                    <w:wordWrap/>
                    <w:overflowPunct/>
                    <w:topLinePunct w:val="0"/>
                    <w:bidi w:val="0"/>
                    <w:ind w:left="21" w:leftChars="10"/>
                    <w:textAlignment w:val="auto"/>
                    <w:rPr>
                      <w:color w:val="auto"/>
                      <w:sz w:val="18"/>
                      <w:szCs w:val="18"/>
                      <w:lang w:eastAsia="zh-CN"/>
                    </w:rPr>
                  </w:pPr>
                  <w:r>
                    <w:rPr>
                      <w:color w:val="auto"/>
                      <w:sz w:val="18"/>
                      <w:szCs w:val="18"/>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9" w:type="pct"/>
                  <w:shd w:val="clear" w:color="auto" w:fill="auto"/>
                  <w:vAlign w:val="center"/>
                </w:tcPr>
                <w:p>
                  <w:pPr>
                    <w:pStyle w:val="45"/>
                    <w:keepNext w:val="0"/>
                    <w:keepLines w:val="0"/>
                    <w:pageBreakBefore w:val="0"/>
                    <w:kinsoku/>
                    <w:wordWrap/>
                    <w:overflowPunct/>
                    <w:topLinePunct w:val="0"/>
                    <w:bidi w:val="0"/>
                    <w:ind w:left="21" w:leftChars="10"/>
                    <w:textAlignment w:val="auto"/>
                    <w:rPr>
                      <w:color w:val="auto"/>
                      <w:sz w:val="18"/>
                      <w:szCs w:val="18"/>
                    </w:rPr>
                  </w:pPr>
                  <w:r>
                    <w:rPr>
                      <w:color w:val="auto"/>
                      <w:sz w:val="18"/>
                      <w:szCs w:val="18"/>
                    </w:rPr>
                    <w:t>资源开发效率要求</w:t>
                  </w:r>
                </w:p>
              </w:tc>
              <w:tc>
                <w:tcPr>
                  <w:tcW w:w="2942" w:type="pct"/>
                  <w:shd w:val="clear" w:color="auto" w:fill="auto"/>
                  <w:vAlign w:val="center"/>
                </w:tcPr>
                <w:p>
                  <w:pPr>
                    <w:pStyle w:val="45"/>
                    <w:keepNext w:val="0"/>
                    <w:keepLines w:val="0"/>
                    <w:pageBreakBefore w:val="0"/>
                    <w:kinsoku/>
                    <w:wordWrap/>
                    <w:overflowPunct/>
                    <w:topLinePunct w:val="0"/>
                    <w:bidi w:val="0"/>
                    <w:ind w:left="21" w:leftChars="10"/>
                    <w:jc w:val="both"/>
                    <w:textAlignment w:val="auto"/>
                    <w:rPr>
                      <w:rFonts w:hint="default"/>
                      <w:color w:val="auto"/>
                      <w:sz w:val="18"/>
                      <w:szCs w:val="18"/>
                      <w:lang w:val="en-US"/>
                    </w:rPr>
                  </w:pPr>
                  <w:r>
                    <w:rPr>
                      <w:rFonts w:hint="eastAsia" w:ascii="宋体" w:hAnsi="宋体" w:cs="宋体"/>
                      <w:color w:val="auto"/>
                      <w:sz w:val="18"/>
                      <w:szCs w:val="18"/>
                      <w:lang w:eastAsia="zh-CN"/>
                    </w:rPr>
                    <w:t>①</w:t>
                  </w:r>
                  <w:r>
                    <w:rPr>
                      <w:color w:val="auto"/>
                      <w:sz w:val="18"/>
                      <w:szCs w:val="18"/>
                    </w:rPr>
                    <w:t>能源：强化节能环保标准约束，严格行业规范、准入管理和节能审查，对电力、钢铁、建材、有色、化工、石油石化、煤炭、造纸等行业中，环保、能耗、安全等不达标或生产、使用淘汰类产品的企业和产能，依法依规改造升级或有序退出。推广使用优质煤、洁净型煤，推进煤改气、煤改电，鼓励利用可再生能源、天然气、电力等优质能源替代燃煤使用。</w:t>
                  </w:r>
                </w:p>
                <w:p>
                  <w:pPr>
                    <w:pStyle w:val="45"/>
                    <w:keepNext w:val="0"/>
                    <w:keepLines w:val="0"/>
                    <w:pageBreakBefore w:val="0"/>
                    <w:kinsoku/>
                    <w:wordWrap/>
                    <w:overflowPunct/>
                    <w:topLinePunct w:val="0"/>
                    <w:bidi w:val="0"/>
                    <w:ind w:left="21" w:leftChars="10"/>
                    <w:jc w:val="both"/>
                    <w:textAlignment w:val="auto"/>
                    <w:rPr>
                      <w:color w:val="auto"/>
                      <w:sz w:val="18"/>
                      <w:szCs w:val="18"/>
                    </w:rPr>
                  </w:pPr>
                  <w:r>
                    <w:rPr>
                      <w:rFonts w:hint="eastAsia" w:ascii="宋体" w:hAnsi="宋体" w:cs="宋体"/>
                      <w:color w:val="auto"/>
                      <w:sz w:val="18"/>
                      <w:szCs w:val="18"/>
                      <w:lang w:eastAsia="zh-CN"/>
                    </w:rPr>
                    <w:t>②</w:t>
                  </w:r>
                  <w:r>
                    <w:rPr>
                      <w:color w:val="auto"/>
                      <w:sz w:val="18"/>
                      <w:szCs w:val="18"/>
                    </w:rPr>
                    <w:t>水资源：大力推进农业、工业、城镇节水，全面推进节水型社会建设。</w:t>
                  </w:r>
                </w:p>
              </w:tc>
              <w:tc>
                <w:tcPr>
                  <w:tcW w:w="1019" w:type="pct"/>
                  <w:shd w:val="clear" w:color="auto" w:fill="auto"/>
                  <w:vAlign w:val="center"/>
                </w:tcPr>
                <w:p>
                  <w:pPr>
                    <w:pStyle w:val="45"/>
                    <w:keepNext w:val="0"/>
                    <w:keepLines w:val="0"/>
                    <w:pageBreakBefore w:val="0"/>
                    <w:kinsoku/>
                    <w:wordWrap/>
                    <w:overflowPunct/>
                    <w:topLinePunct w:val="0"/>
                    <w:bidi w:val="0"/>
                    <w:ind w:left="21" w:leftChars="10"/>
                    <w:jc w:val="both"/>
                    <w:textAlignment w:val="auto"/>
                    <w:rPr>
                      <w:color w:val="auto"/>
                      <w:sz w:val="18"/>
                      <w:szCs w:val="18"/>
                      <w:lang w:eastAsia="zh-CN"/>
                    </w:rPr>
                  </w:pPr>
                  <w:r>
                    <w:rPr>
                      <w:color w:val="auto"/>
                      <w:sz w:val="18"/>
                      <w:szCs w:val="18"/>
                      <w:lang w:eastAsia="zh-CN"/>
                    </w:rPr>
                    <w:t>本项目涉及的能源为电，</w:t>
                  </w:r>
                  <w:r>
                    <w:rPr>
                      <w:rFonts w:ascii="Times New Roman" w:hAnsi="Times New Roman" w:cs="Times New Roman"/>
                      <w:color w:val="auto"/>
                      <w:sz w:val="18"/>
                      <w:szCs w:val="18"/>
                      <w:lang w:eastAsia="zh-CN"/>
                    </w:rPr>
                    <w:t>区域内水源充足，生活用水、生产用水均使用</w:t>
                  </w:r>
                  <w:r>
                    <w:rPr>
                      <w:rFonts w:hint="eastAsia" w:ascii="Times New Roman" w:hAnsi="Times New Roman" w:cs="Times New Roman"/>
                      <w:color w:val="auto"/>
                      <w:sz w:val="18"/>
                      <w:szCs w:val="18"/>
                      <w:lang w:eastAsia="zh-CN"/>
                    </w:rPr>
                    <w:t>井水，生产用水循环使用，无外排</w:t>
                  </w:r>
                  <w:r>
                    <w:rPr>
                      <w:rFonts w:hint="eastAsia"/>
                      <w:color w:val="auto"/>
                      <w:lang w:eastAsia="zh-CN"/>
                    </w:rPr>
                    <w:t>。</w:t>
                  </w:r>
                </w:p>
              </w:tc>
              <w:tc>
                <w:tcPr>
                  <w:tcW w:w="530" w:type="pct"/>
                  <w:shd w:val="clear" w:color="auto" w:fill="auto"/>
                  <w:vAlign w:val="center"/>
                </w:tcPr>
                <w:p>
                  <w:pPr>
                    <w:pStyle w:val="45"/>
                    <w:keepNext w:val="0"/>
                    <w:keepLines w:val="0"/>
                    <w:pageBreakBefore w:val="0"/>
                    <w:kinsoku/>
                    <w:wordWrap/>
                    <w:overflowPunct/>
                    <w:topLinePunct w:val="0"/>
                    <w:bidi w:val="0"/>
                    <w:ind w:left="21" w:leftChars="10"/>
                    <w:textAlignment w:val="auto"/>
                    <w:rPr>
                      <w:color w:val="auto"/>
                      <w:sz w:val="18"/>
                      <w:szCs w:val="18"/>
                      <w:lang w:eastAsia="zh-CN"/>
                    </w:rPr>
                  </w:pPr>
                  <w:r>
                    <w:rPr>
                      <w:color w:val="auto"/>
                      <w:sz w:val="18"/>
                      <w:szCs w:val="18"/>
                      <w:lang w:eastAsia="zh-CN"/>
                    </w:rPr>
                    <w:t>符合</w:t>
                  </w:r>
                </w:p>
              </w:tc>
            </w:tr>
          </w:tbl>
          <w:p>
            <w:pPr>
              <w:keepNext w:val="0"/>
              <w:keepLines w:val="0"/>
              <w:pageBreakBefore w:val="0"/>
              <w:kinsoku/>
              <w:wordWrap/>
              <w:overflowPunct/>
              <w:topLinePunct w:val="0"/>
              <w:autoSpaceDE w:val="0"/>
              <w:autoSpaceDN w:val="0"/>
              <w:bidi w:val="0"/>
              <w:adjustRightInd w:val="0"/>
              <w:snapToGrid w:val="0"/>
              <w:ind w:left="21" w:leftChars="10"/>
              <w:jc w:val="center"/>
              <w:textAlignment w:val="auto"/>
              <w:rPr>
                <w:color w:val="auto"/>
                <w:kern w:val="0"/>
                <w:szCs w:val="21"/>
              </w:rPr>
            </w:pPr>
          </w:p>
        </w:tc>
      </w:tr>
    </w:tbl>
    <w:p>
      <w:pPr>
        <w:spacing w:line="360" w:lineRule="auto"/>
        <w:outlineLvl w:val="0"/>
        <w:rPr>
          <w:rFonts w:eastAsia="黑体"/>
          <w:color w:val="auto"/>
          <w:sz w:val="30"/>
        </w:r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18"/>
        <w:jc w:val="center"/>
        <w:outlineLvl w:val="0"/>
        <w:rPr>
          <w:rFonts w:ascii="Times New Roman" w:hAnsi="Times New Roman" w:eastAsia="黑体"/>
          <w:snapToGrid w:val="0"/>
          <w:color w:val="auto"/>
          <w:sz w:val="30"/>
          <w:szCs w:val="30"/>
        </w:rPr>
      </w:pPr>
      <w:bookmarkStart w:id="4" w:name="_Toc71360644"/>
      <w:r>
        <w:rPr>
          <w:rFonts w:ascii="Times New Roman" w:hAnsi="Times New Roman" w:eastAsia="黑体"/>
          <w:snapToGrid w:val="0"/>
          <w:color w:val="auto"/>
          <w:sz w:val="30"/>
          <w:szCs w:val="30"/>
        </w:rPr>
        <w:t>二、建设项目工程分析</w:t>
      </w:r>
      <w:bookmarkEnd w:id="4"/>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81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3" w:type="dxa"/>
            <w:vAlign w:val="center"/>
          </w:tcPr>
          <w:p>
            <w:pPr>
              <w:pStyle w:val="18"/>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 w:val="21"/>
                <w:szCs w:val="21"/>
              </w:rPr>
              <w:t>建设内容</w:t>
            </w:r>
          </w:p>
        </w:tc>
        <w:tc>
          <w:tcPr>
            <w:tcW w:w="8161" w:type="dxa"/>
          </w:tcPr>
          <w:p>
            <w:pPr>
              <w:adjustRightInd w:val="0"/>
              <w:snapToGrid w:val="0"/>
              <w:spacing w:line="360" w:lineRule="auto"/>
              <w:rPr>
                <w:b/>
                <w:color w:val="auto"/>
                <w:szCs w:val="21"/>
              </w:rPr>
            </w:pPr>
            <w:r>
              <w:rPr>
                <w:b/>
                <w:color w:val="auto"/>
                <w:szCs w:val="21"/>
              </w:rPr>
              <w:t>1、项目由来</w:t>
            </w:r>
          </w:p>
          <w:p>
            <w:pPr>
              <w:pStyle w:val="5"/>
              <w:spacing w:after="0" w:line="360" w:lineRule="auto"/>
              <w:ind w:firstLineChars="200"/>
              <w:rPr>
                <w:color w:val="auto"/>
                <w:u w:val="none"/>
              </w:rPr>
            </w:pPr>
            <w:r>
              <w:rPr>
                <w:rFonts w:hint="eastAsia"/>
                <w:color w:val="auto"/>
                <w:u w:val="none"/>
                <w:lang w:eastAsia="zh-CN"/>
              </w:rPr>
              <w:t>衡阳铭峰陶瓷原料经营有限公司</w:t>
            </w:r>
            <w:r>
              <w:rPr>
                <w:color w:val="auto"/>
                <w:u w:val="none"/>
              </w:rPr>
              <w:t>于20</w:t>
            </w:r>
            <w:r>
              <w:rPr>
                <w:rFonts w:hint="eastAsia"/>
                <w:color w:val="auto"/>
                <w:u w:val="none"/>
                <w:lang w:val="en-US" w:eastAsia="zh-CN"/>
              </w:rPr>
              <w:t>21</w:t>
            </w:r>
            <w:r>
              <w:rPr>
                <w:color w:val="auto"/>
                <w:u w:val="none"/>
              </w:rPr>
              <w:t>年成立于湖南省衡阳市衡阳县</w:t>
            </w:r>
            <w:r>
              <w:rPr>
                <w:rFonts w:hint="eastAsia"/>
                <w:color w:val="auto"/>
                <w:u w:val="none"/>
                <w:lang w:eastAsia="zh-CN"/>
              </w:rPr>
              <w:t>界牌</w:t>
            </w:r>
            <w:r>
              <w:rPr>
                <w:color w:val="auto"/>
                <w:u w:val="none"/>
              </w:rPr>
              <w:t>镇</w:t>
            </w:r>
            <w:r>
              <w:rPr>
                <w:rFonts w:hint="eastAsia"/>
                <w:color w:val="auto"/>
                <w:u w:val="none"/>
                <w:lang w:eastAsia="zh-CN"/>
              </w:rPr>
              <w:t>桐梓坪社区</w:t>
            </w:r>
            <w:r>
              <w:rPr>
                <w:color w:val="auto"/>
                <w:u w:val="none"/>
              </w:rPr>
              <w:t>，主要经营范围包括</w:t>
            </w:r>
            <w:r>
              <w:rPr>
                <w:rFonts w:hint="eastAsia"/>
                <w:color w:val="auto"/>
                <w:u w:val="none"/>
                <w:lang w:eastAsia="zh-CN"/>
              </w:rPr>
              <w:t>陶瓷原料、钠长石、建筑砂石加工及销售</w:t>
            </w:r>
            <w:r>
              <w:rPr>
                <w:color w:val="auto"/>
                <w:u w:val="none"/>
              </w:rPr>
              <w:t>。</w:t>
            </w:r>
            <w:r>
              <w:rPr>
                <w:rFonts w:hint="eastAsia"/>
                <w:color w:val="auto"/>
                <w:u w:val="none"/>
                <w:lang w:eastAsia="zh-CN"/>
              </w:rPr>
              <w:t>本项目新建一条</w:t>
            </w:r>
            <w:r>
              <w:rPr>
                <w:color w:val="auto"/>
              </w:rPr>
              <w:t>年产机制砂10万吨、陶瓷原料10万吨</w:t>
            </w:r>
            <w:r>
              <w:rPr>
                <w:rFonts w:hint="eastAsia"/>
                <w:color w:val="auto"/>
                <w:lang w:eastAsia="zh-CN"/>
              </w:rPr>
              <w:t>生产线，机制砂及陶瓷原料共用一条生产线，</w:t>
            </w:r>
            <w:r>
              <w:rPr>
                <w:rFonts w:hint="eastAsia"/>
                <w:color w:val="auto"/>
                <w:u w:val="none"/>
                <w:lang w:eastAsia="zh-CN"/>
              </w:rPr>
              <w:t>项目具体地址为原湖南界牌振弘陶瓷有限公司部分厂区，本项目生产区为原厂房拆出后重新建设，办公生活区</w:t>
            </w:r>
            <w:r>
              <w:rPr>
                <w:color w:val="auto"/>
                <w:u w:val="none"/>
              </w:rPr>
              <w:t>利用</w:t>
            </w:r>
            <w:r>
              <w:rPr>
                <w:rFonts w:hint="eastAsia"/>
                <w:color w:val="auto"/>
                <w:u w:val="none"/>
                <w:lang w:eastAsia="zh-CN"/>
              </w:rPr>
              <w:t>原湖南界牌振弘陶瓷有限公司办公区。本项目主要工艺为钠长石加工生产陶瓷原料及废石（低品位钠长石）加工生产机制砂，原料主要来源于本地钠长石矿生产企业，能保证合法性，具体来源见附件。</w:t>
            </w:r>
            <w:r>
              <w:rPr>
                <w:color w:val="auto"/>
                <w:u w:val="none"/>
              </w:rPr>
              <w:t>根据《中华人民共和国环境保护法》、《中华人民共和国环境影响评价法》、《建设项目环境保护管理条例》、《建设项目环境影响评价分类管理名录》（2021版）的有关规定，编制《</w:t>
            </w:r>
            <w:r>
              <w:rPr>
                <w:rFonts w:hint="eastAsia"/>
                <w:color w:val="auto"/>
                <w:u w:val="none"/>
                <w:lang w:eastAsia="zh-CN"/>
              </w:rPr>
              <w:t>衡阳铭峰陶瓷原料经营有限公司建设</w:t>
            </w:r>
            <w:r>
              <w:rPr>
                <w:color w:val="auto"/>
                <w:u w:val="none"/>
              </w:rPr>
              <w:t>项目环境影响评价报告表》。</w:t>
            </w:r>
          </w:p>
          <w:p>
            <w:pPr>
              <w:adjustRightInd w:val="0"/>
              <w:snapToGrid w:val="0"/>
              <w:spacing w:line="360" w:lineRule="auto"/>
              <w:rPr>
                <w:b/>
                <w:bCs/>
                <w:color w:val="auto"/>
                <w:szCs w:val="21"/>
              </w:rPr>
            </w:pPr>
            <w:r>
              <w:rPr>
                <w:b/>
                <w:color w:val="auto"/>
                <w:szCs w:val="21"/>
              </w:rPr>
              <w:t>2、项目组成</w:t>
            </w:r>
          </w:p>
          <w:p>
            <w:pPr>
              <w:pStyle w:val="5"/>
              <w:widowControl/>
              <w:adjustRightInd w:val="0"/>
              <w:snapToGrid w:val="0"/>
              <w:spacing w:before="0" w:after="0" w:line="360" w:lineRule="auto"/>
              <w:ind w:right="0" w:firstLine="420" w:firstLineChars="200"/>
              <w:rPr>
                <w:rFonts w:hint="eastAsia"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项目选址于衡阳县界牌镇桐梓坪社区，项目总占地面积约9000</w:t>
            </w:r>
            <w:r>
              <w:rPr>
                <w:color w:val="auto"/>
                <w:lang w:eastAsia="zh-CN"/>
              </w:rPr>
              <w:t>m</w:t>
            </w:r>
            <w:r>
              <w:rPr>
                <w:color w:val="auto"/>
                <w:vertAlign w:val="superscript"/>
                <w:lang w:eastAsia="zh-CN"/>
              </w:rPr>
              <w:t>2</w:t>
            </w:r>
            <w:r>
              <w:rPr>
                <w:color w:val="auto"/>
                <w:lang w:eastAsia="zh-CN"/>
              </w:rPr>
              <w:t>，</w:t>
            </w:r>
            <w:r>
              <w:rPr>
                <w:rFonts w:hint="eastAsia" w:ascii="Times New Roman" w:hAnsi="Times New Roman" w:cs="Times New Roman"/>
                <w:color w:val="auto"/>
                <w:kern w:val="2"/>
                <w:sz w:val="21"/>
                <w:szCs w:val="21"/>
                <w:lang w:val="en-US" w:eastAsia="zh-CN"/>
              </w:rPr>
              <w:t>主要由主体工程、辅助工程、公用工程及环保工程组成，本项目主要工程内容为：加工区、原料堆场、</w:t>
            </w:r>
            <w:r>
              <w:rPr>
                <w:rFonts w:hint="eastAsia" w:cs="Times New Roman"/>
                <w:color w:val="auto"/>
                <w:kern w:val="2"/>
                <w:sz w:val="21"/>
                <w:szCs w:val="21"/>
                <w:lang w:val="en-US" w:eastAsia="zh-CN"/>
              </w:rPr>
              <w:t>成品堆场、</w:t>
            </w:r>
            <w:r>
              <w:rPr>
                <w:rFonts w:hint="eastAsia" w:ascii="Times New Roman" w:hAnsi="Times New Roman" w:cs="Times New Roman"/>
                <w:color w:val="auto"/>
                <w:kern w:val="2"/>
                <w:sz w:val="21"/>
                <w:szCs w:val="21"/>
                <w:lang w:val="en-US" w:eastAsia="zh-CN"/>
              </w:rPr>
              <w:t>办公区、沉泥池、清水池等，拟建设1条生产线，具体见表2-1。</w:t>
            </w:r>
          </w:p>
          <w:p>
            <w:pPr>
              <w:pStyle w:val="5"/>
              <w:spacing w:after="0" w:line="360" w:lineRule="auto"/>
              <w:ind w:firstLineChars="200"/>
              <w:rPr>
                <w:color w:val="auto"/>
              </w:rPr>
            </w:pPr>
            <w:r>
              <w:rPr>
                <w:color w:val="auto"/>
              </w:rPr>
              <w:t>项目组成情况详见表2-1。</w:t>
            </w:r>
          </w:p>
          <w:p>
            <w:pPr>
              <w:pStyle w:val="8"/>
              <w:ind w:firstLine="210"/>
              <w:rPr>
                <w:color w:val="auto"/>
                <w:sz w:val="21"/>
              </w:rPr>
            </w:pPr>
            <w:r>
              <w:rPr>
                <w:color w:val="auto"/>
                <w:sz w:val="21"/>
                <w:szCs w:val="21"/>
              </w:rPr>
              <w:t>表2-1  主要建设内容、规模及功能定位一览表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426"/>
              <w:gridCol w:w="654"/>
              <w:gridCol w:w="665"/>
              <w:gridCol w:w="5297"/>
              <w:gridCol w:w="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65" w:hRule="atLeast"/>
              </w:trPr>
              <w:tc>
                <w:tcPr>
                  <w:tcW w:w="268" w:type="pct"/>
                  <w:shd w:val="clear" w:color="auto" w:fill="FFFFFF"/>
                  <w:noWrap w:val="0"/>
                  <w:tcMar>
                    <w:top w:w="0" w:type="dxa"/>
                    <w:left w:w="108" w:type="dxa"/>
                    <w:bottom w:w="0" w:type="dxa"/>
                    <w:right w:w="108" w:type="dxa"/>
                  </w:tcMar>
                  <w:vAlign w:val="center"/>
                </w:tcPr>
                <w:p>
                  <w:pPr>
                    <w:widowControl/>
                    <w:adjustRightInd w:val="0"/>
                    <w:snapToGrid w:val="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序号</w:t>
                  </w:r>
                </w:p>
              </w:tc>
              <w:tc>
                <w:tcPr>
                  <w:tcW w:w="412" w:type="pct"/>
                  <w:shd w:val="clear" w:color="auto" w:fill="FFFFFF"/>
                  <w:noWrap w:val="0"/>
                  <w:tcMar>
                    <w:top w:w="0" w:type="dxa"/>
                    <w:left w:w="108" w:type="dxa"/>
                    <w:bottom w:w="0" w:type="dxa"/>
                    <w:right w:w="108" w:type="dxa"/>
                  </w:tcMar>
                  <w:vAlign w:val="center"/>
                </w:tcPr>
                <w:p>
                  <w:pPr>
                    <w:widowControl/>
                    <w:adjustRightInd w:val="0"/>
                    <w:snapToGrid w:val="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项目类别</w:t>
                  </w:r>
                </w:p>
              </w:tc>
              <w:tc>
                <w:tcPr>
                  <w:tcW w:w="419" w:type="pct"/>
                  <w:shd w:val="clear" w:color="auto" w:fill="FFFFFF"/>
                  <w:noWrap w:val="0"/>
                  <w:tcMar>
                    <w:top w:w="0" w:type="dxa"/>
                    <w:left w:w="108" w:type="dxa"/>
                    <w:bottom w:w="0" w:type="dxa"/>
                    <w:right w:w="108" w:type="dxa"/>
                  </w:tcMar>
                  <w:vAlign w:val="center"/>
                </w:tcPr>
                <w:p>
                  <w:pPr>
                    <w:widowControl/>
                    <w:adjustRightInd w:val="0"/>
                    <w:snapToGrid w:val="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内容</w:t>
                  </w:r>
                </w:p>
              </w:tc>
              <w:tc>
                <w:tcPr>
                  <w:tcW w:w="3338" w:type="pct"/>
                  <w:shd w:val="clear" w:color="auto" w:fill="FFFFFF"/>
                  <w:noWrap w:val="0"/>
                  <w:tcMar>
                    <w:top w:w="0" w:type="dxa"/>
                    <w:left w:w="108" w:type="dxa"/>
                    <w:bottom w:w="0" w:type="dxa"/>
                    <w:right w:w="108" w:type="dxa"/>
                  </w:tcMar>
                  <w:vAlign w:val="center"/>
                </w:tcPr>
                <w:p>
                  <w:pPr>
                    <w:widowControl/>
                    <w:adjustRightInd w:val="0"/>
                    <w:snapToGrid w:val="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功能/规模</w:t>
                  </w:r>
                </w:p>
              </w:tc>
              <w:tc>
                <w:tcPr>
                  <w:tcW w:w="561" w:type="pct"/>
                  <w:shd w:val="clear" w:color="auto" w:fill="FFFFFF"/>
                  <w:noWrap w:val="0"/>
                  <w:tcMar>
                    <w:top w:w="0" w:type="dxa"/>
                    <w:left w:w="108" w:type="dxa"/>
                    <w:bottom w:w="0" w:type="dxa"/>
                    <w:right w:w="108" w:type="dxa"/>
                  </w:tcMar>
                  <w:vAlign w:val="center"/>
                </w:tcPr>
                <w:p>
                  <w:pPr>
                    <w:widowControl/>
                    <w:adjustRightInd w:val="0"/>
                    <w:snapToGrid w:val="0"/>
                    <w:jc w:val="center"/>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69" w:hRule="atLeast"/>
              </w:trPr>
              <w:tc>
                <w:tcPr>
                  <w:tcW w:w="268" w:type="pct"/>
                  <w:vMerge w:val="restart"/>
                  <w:shd w:val="clear" w:color="auto" w:fill="FFFFFF"/>
                  <w:noWrap w:val="0"/>
                  <w:tcMar>
                    <w:top w:w="0" w:type="dxa"/>
                    <w:left w:w="108" w:type="dxa"/>
                    <w:bottom w:w="0" w:type="dxa"/>
                    <w:right w:w="108" w:type="dxa"/>
                  </w:tcMar>
                  <w:vAlign w:val="center"/>
                </w:tcPr>
                <w:p>
                  <w:pPr>
                    <w:widowControl/>
                    <w:adjustRightInd w:val="0"/>
                    <w:snapToGrid w:val="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w:t>
                  </w:r>
                </w:p>
              </w:tc>
              <w:tc>
                <w:tcPr>
                  <w:tcW w:w="412" w:type="pct"/>
                  <w:vMerge w:val="restart"/>
                  <w:shd w:val="clear" w:color="auto" w:fill="FFFFFF"/>
                  <w:noWrap w:val="0"/>
                  <w:tcMar>
                    <w:top w:w="0" w:type="dxa"/>
                    <w:left w:w="108" w:type="dxa"/>
                    <w:bottom w:w="0" w:type="dxa"/>
                    <w:right w:w="108" w:type="dxa"/>
                  </w:tcMar>
                  <w:vAlign w:val="center"/>
                </w:tcPr>
                <w:p>
                  <w:pPr>
                    <w:widowControl/>
                    <w:adjustRightInd w:val="0"/>
                    <w:snapToGrid w:val="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主体工程</w:t>
                  </w:r>
                </w:p>
              </w:tc>
              <w:tc>
                <w:tcPr>
                  <w:tcW w:w="419" w:type="pct"/>
                  <w:shd w:val="clear" w:color="auto" w:fill="FFFFFF"/>
                  <w:noWrap w:val="0"/>
                  <w:tcMar>
                    <w:top w:w="0" w:type="dxa"/>
                    <w:left w:w="108" w:type="dxa"/>
                    <w:bottom w:w="0" w:type="dxa"/>
                    <w:right w:w="108" w:type="dxa"/>
                  </w:tcMar>
                  <w:vAlign w:val="center"/>
                </w:tcPr>
                <w:p>
                  <w:pPr>
                    <w:widowControl/>
                    <w:adjustRightInd w:val="0"/>
                    <w:snapToGrid w:val="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加工区</w:t>
                  </w:r>
                </w:p>
              </w:tc>
              <w:tc>
                <w:tcPr>
                  <w:tcW w:w="3338" w:type="pct"/>
                  <w:shd w:val="clear" w:color="auto" w:fill="FFFFFF"/>
                  <w:noWrap w:val="0"/>
                  <w:tcMar>
                    <w:top w:w="0" w:type="dxa"/>
                    <w:left w:w="108" w:type="dxa"/>
                    <w:bottom w:w="0" w:type="dxa"/>
                    <w:right w:w="108" w:type="dxa"/>
                  </w:tcMar>
                  <w:vAlign w:val="center"/>
                </w:tcPr>
                <w:p>
                  <w:pPr>
                    <w:widowControl/>
                    <w:adjustRightInd w:val="0"/>
                    <w:snapToGrid w:val="0"/>
                    <w:jc w:val="center"/>
                    <w:rPr>
                      <w:rFonts w:hint="eastAsia" w:ascii="Times New Roman" w:hAnsi="Times New Roman" w:eastAsia="宋体" w:cs="Times New Roman"/>
                      <w:color w:val="auto"/>
                      <w:kern w:val="0"/>
                      <w:sz w:val="21"/>
                      <w:szCs w:val="21"/>
                      <w:lang w:eastAsia="zh-CN"/>
                    </w:rPr>
                  </w:pPr>
                  <w:r>
                    <w:rPr>
                      <w:rFonts w:ascii="Times New Roman" w:hAnsi="Times New Roman" w:cs="Times New Roman"/>
                      <w:color w:val="auto"/>
                      <w:kern w:val="0"/>
                      <w:sz w:val="21"/>
                      <w:szCs w:val="21"/>
                    </w:rPr>
                    <w:t>位于厂区</w:t>
                  </w:r>
                  <w:r>
                    <w:rPr>
                      <w:rFonts w:hint="eastAsia" w:ascii="Times New Roman" w:hAnsi="Times New Roman" w:cs="Times New Roman"/>
                      <w:color w:val="auto"/>
                      <w:kern w:val="0"/>
                      <w:sz w:val="21"/>
                      <w:szCs w:val="21"/>
                      <w:lang w:eastAsia="zh-CN"/>
                    </w:rPr>
                    <w:t>中部</w:t>
                  </w:r>
                  <w:r>
                    <w:rPr>
                      <w:rFonts w:hint="eastAsia" w:ascii="Times New Roman" w:hAnsi="Times New Roman" w:cs="Times New Roman"/>
                      <w:color w:val="auto"/>
                      <w:kern w:val="0"/>
                      <w:sz w:val="21"/>
                      <w:szCs w:val="21"/>
                    </w:rPr>
                    <w:t>，</w:t>
                  </w:r>
                  <w:r>
                    <w:rPr>
                      <w:rFonts w:ascii="Times New Roman" w:hAnsi="Times New Roman" w:cs="Times New Roman"/>
                      <w:color w:val="auto"/>
                      <w:kern w:val="0"/>
                      <w:sz w:val="21"/>
                      <w:szCs w:val="21"/>
                    </w:rPr>
                    <w:t>占地面积约</w:t>
                  </w:r>
                  <w:r>
                    <w:rPr>
                      <w:rFonts w:hint="eastAsia" w:cs="Times New Roman"/>
                      <w:color w:val="auto"/>
                      <w:kern w:val="0"/>
                      <w:sz w:val="21"/>
                      <w:szCs w:val="21"/>
                      <w:lang w:val="en-US" w:eastAsia="zh-CN"/>
                    </w:rPr>
                    <w:t>1</w:t>
                  </w:r>
                  <w:r>
                    <w:rPr>
                      <w:rFonts w:hint="eastAsia" w:ascii="Times New Roman" w:hAnsi="Times New Roman" w:cs="Times New Roman"/>
                      <w:color w:val="auto"/>
                      <w:kern w:val="0"/>
                      <w:sz w:val="21"/>
                      <w:szCs w:val="21"/>
                      <w:lang w:val="en-US" w:eastAsia="zh-CN"/>
                    </w:rPr>
                    <w:t>000</w:t>
                  </w:r>
                  <w:r>
                    <w:rPr>
                      <w:rFonts w:ascii="Times New Roman" w:hAnsi="Times New Roman" w:cs="Times New Roman"/>
                      <w:color w:val="auto"/>
                      <w:kern w:val="0"/>
                      <w:sz w:val="21"/>
                      <w:szCs w:val="21"/>
                    </w:rPr>
                    <w:t>m</w:t>
                  </w:r>
                  <w:r>
                    <w:rPr>
                      <w:rFonts w:ascii="Times New Roman" w:hAnsi="Times New Roman" w:cs="Times New Roman"/>
                      <w:color w:val="auto"/>
                      <w:kern w:val="0"/>
                      <w:sz w:val="21"/>
                      <w:szCs w:val="21"/>
                      <w:vertAlign w:val="superscript"/>
                    </w:rPr>
                    <w:t>2</w:t>
                  </w:r>
                  <w:r>
                    <w:rPr>
                      <w:rFonts w:ascii="Times New Roman" w:hAnsi="Times New Roman" w:cs="Times New Roman"/>
                      <w:color w:val="auto"/>
                      <w:kern w:val="0"/>
                      <w:sz w:val="21"/>
                      <w:szCs w:val="21"/>
                    </w:rPr>
                    <w:t>，设轻钢结构密闭式生产车间，</w:t>
                  </w:r>
                  <w:r>
                    <w:rPr>
                      <w:rFonts w:hint="eastAsia" w:ascii="Times New Roman" w:hAnsi="Times New Roman" w:cs="Times New Roman"/>
                      <w:color w:val="auto"/>
                      <w:kern w:val="0"/>
                      <w:sz w:val="21"/>
                      <w:szCs w:val="21"/>
                    </w:rPr>
                    <w:t>拟建设</w:t>
                  </w:r>
                  <w:r>
                    <w:rPr>
                      <w:rFonts w:ascii="Times New Roman" w:hAnsi="Times New Roman" w:cs="Times New Roman"/>
                      <w:color w:val="auto"/>
                      <w:kern w:val="0"/>
                      <w:sz w:val="21"/>
                      <w:szCs w:val="21"/>
                    </w:rPr>
                    <w:t xml:space="preserve">1条生产线 </w:t>
                  </w:r>
                  <w:r>
                    <w:rPr>
                      <w:rFonts w:hint="eastAsia" w:ascii="Times New Roman" w:hAnsi="Times New Roman" w:cs="Times New Roman"/>
                      <w:color w:val="auto"/>
                      <w:kern w:val="0"/>
                      <w:sz w:val="21"/>
                      <w:szCs w:val="21"/>
                      <w:lang w:eastAsia="zh-CN"/>
                    </w:rPr>
                    <w:t>，地面硬化</w:t>
                  </w:r>
                  <w:r>
                    <w:rPr>
                      <w:rFonts w:hint="eastAsia" w:cs="Times New Roman"/>
                      <w:color w:val="auto"/>
                      <w:kern w:val="0"/>
                      <w:sz w:val="21"/>
                      <w:szCs w:val="21"/>
                      <w:lang w:eastAsia="zh-CN"/>
                    </w:rPr>
                    <w:t>，设置有破碎、分筛等工序。</w:t>
                  </w:r>
                </w:p>
              </w:tc>
              <w:tc>
                <w:tcPr>
                  <w:tcW w:w="561" w:type="pct"/>
                  <w:shd w:val="clear" w:color="auto" w:fill="FFFFFF"/>
                  <w:noWrap w:val="0"/>
                  <w:tcMar>
                    <w:top w:w="0" w:type="dxa"/>
                    <w:left w:w="108" w:type="dxa"/>
                    <w:bottom w:w="0" w:type="dxa"/>
                    <w:right w:w="108" w:type="dxa"/>
                  </w:tcMar>
                  <w:vAlign w:val="center"/>
                </w:tcPr>
                <w:p>
                  <w:pPr>
                    <w:widowControl/>
                    <w:adjustRightInd w:val="0"/>
                    <w:snapToGrid w:val="0"/>
                    <w:jc w:val="center"/>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69" w:hRule="atLeast"/>
              </w:trPr>
              <w:tc>
                <w:tcPr>
                  <w:tcW w:w="268" w:type="pct"/>
                  <w:vMerge w:val="continue"/>
                  <w:shd w:val="clear" w:color="auto" w:fill="FFFFFF"/>
                  <w:noWrap w:val="0"/>
                  <w:tcMar>
                    <w:top w:w="0" w:type="dxa"/>
                    <w:left w:w="108" w:type="dxa"/>
                    <w:bottom w:w="0" w:type="dxa"/>
                    <w:right w:w="108" w:type="dxa"/>
                  </w:tcMar>
                  <w:vAlign w:val="center"/>
                </w:tcPr>
                <w:p>
                  <w:pPr>
                    <w:widowControl/>
                    <w:adjustRightInd w:val="0"/>
                    <w:snapToGrid w:val="0"/>
                    <w:jc w:val="center"/>
                    <w:rPr>
                      <w:rFonts w:ascii="Times New Roman" w:hAnsi="Times New Roman" w:cs="Times New Roman"/>
                      <w:color w:val="auto"/>
                      <w:kern w:val="0"/>
                      <w:sz w:val="21"/>
                      <w:szCs w:val="21"/>
                    </w:rPr>
                  </w:pPr>
                </w:p>
              </w:tc>
              <w:tc>
                <w:tcPr>
                  <w:tcW w:w="412" w:type="pct"/>
                  <w:vMerge w:val="continue"/>
                  <w:shd w:val="clear" w:color="auto" w:fill="FFFFFF"/>
                  <w:noWrap w:val="0"/>
                  <w:tcMar>
                    <w:top w:w="0" w:type="dxa"/>
                    <w:left w:w="108" w:type="dxa"/>
                    <w:bottom w:w="0" w:type="dxa"/>
                    <w:right w:w="108" w:type="dxa"/>
                  </w:tcMar>
                  <w:vAlign w:val="center"/>
                </w:tcPr>
                <w:p>
                  <w:pPr>
                    <w:widowControl/>
                    <w:adjustRightInd w:val="0"/>
                    <w:snapToGrid w:val="0"/>
                    <w:jc w:val="center"/>
                    <w:rPr>
                      <w:rFonts w:ascii="Times New Roman" w:hAnsi="Times New Roman" w:cs="Times New Roman"/>
                      <w:color w:val="auto"/>
                      <w:kern w:val="0"/>
                      <w:sz w:val="21"/>
                      <w:szCs w:val="21"/>
                    </w:rPr>
                  </w:pPr>
                </w:p>
              </w:tc>
              <w:tc>
                <w:tcPr>
                  <w:tcW w:w="419" w:type="pct"/>
                  <w:shd w:val="clear" w:color="auto" w:fill="FFFFFF"/>
                  <w:noWrap w:val="0"/>
                  <w:tcMar>
                    <w:top w:w="0" w:type="dxa"/>
                    <w:left w:w="108" w:type="dxa"/>
                    <w:bottom w:w="0" w:type="dxa"/>
                    <w:right w:w="108" w:type="dxa"/>
                  </w:tcMar>
                  <w:vAlign w:val="center"/>
                </w:tcPr>
                <w:p>
                  <w:pPr>
                    <w:widowControl/>
                    <w:adjustRightInd w:val="0"/>
                    <w:snapToGrid w:val="0"/>
                    <w:jc w:val="center"/>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eastAsia="zh-CN"/>
                    </w:rPr>
                    <w:t>水处理区</w:t>
                  </w:r>
                </w:p>
              </w:tc>
              <w:tc>
                <w:tcPr>
                  <w:tcW w:w="3338" w:type="pct"/>
                  <w:shd w:val="clear" w:color="auto" w:fill="FFFFFF"/>
                  <w:noWrap w:val="0"/>
                  <w:tcMar>
                    <w:top w:w="0" w:type="dxa"/>
                    <w:left w:w="108" w:type="dxa"/>
                    <w:bottom w:w="0" w:type="dxa"/>
                    <w:right w:w="108" w:type="dxa"/>
                  </w:tcMar>
                  <w:vAlign w:val="center"/>
                </w:tcPr>
                <w:p>
                  <w:pPr>
                    <w:widowControl/>
                    <w:adjustRightInd w:val="0"/>
                    <w:snapToGrid w:val="0"/>
                    <w:jc w:val="center"/>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eastAsia="zh-CN"/>
                    </w:rPr>
                    <w:t>位于厂区北侧，占地约</w:t>
                  </w:r>
                  <w:r>
                    <w:rPr>
                      <w:rFonts w:hint="eastAsia" w:cs="Times New Roman"/>
                      <w:color w:val="auto"/>
                      <w:kern w:val="0"/>
                      <w:sz w:val="21"/>
                      <w:szCs w:val="21"/>
                      <w:lang w:val="en-US" w:eastAsia="zh-CN"/>
                    </w:rPr>
                    <w:t>1500</w:t>
                  </w:r>
                  <w:r>
                    <w:rPr>
                      <w:rFonts w:ascii="Times New Roman" w:hAnsi="Times New Roman" w:cs="Times New Roman"/>
                      <w:color w:val="auto"/>
                      <w:kern w:val="0"/>
                      <w:sz w:val="21"/>
                      <w:szCs w:val="21"/>
                    </w:rPr>
                    <w:t>m</w:t>
                  </w:r>
                  <w:r>
                    <w:rPr>
                      <w:rFonts w:ascii="Times New Roman" w:hAnsi="Times New Roman" w:cs="Times New Roman"/>
                      <w:color w:val="auto"/>
                      <w:kern w:val="0"/>
                      <w:sz w:val="21"/>
                      <w:szCs w:val="21"/>
                      <w:vertAlign w:val="superscript"/>
                    </w:rPr>
                    <w:t>2</w:t>
                  </w:r>
                  <w:r>
                    <w:rPr>
                      <w:rFonts w:ascii="Times New Roman" w:hAnsi="Times New Roman" w:cs="Times New Roman"/>
                      <w:color w:val="auto"/>
                      <w:kern w:val="0"/>
                      <w:sz w:val="21"/>
                      <w:szCs w:val="21"/>
                    </w:rPr>
                    <w:t>，</w:t>
                  </w:r>
                  <w:r>
                    <w:rPr>
                      <w:rFonts w:hint="eastAsia" w:ascii="Times New Roman" w:hAnsi="Times New Roman" w:cs="Times New Roman"/>
                      <w:color w:val="auto"/>
                      <w:kern w:val="0"/>
                      <w:sz w:val="21"/>
                      <w:szCs w:val="21"/>
                      <w:lang w:eastAsia="zh-CN"/>
                    </w:rPr>
                    <w:t>包括压滤区及洗砂区，地面硬化，设置有压滤机、</w:t>
                  </w:r>
                  <w:r>
                    <w:rPr>
                      <w:rFonts w:hint="eastAsia" w:cs="Times New Roman"/>
                      <w:color w:val="auto"/>
                      <w:kern w:val="0"/>
                      <w:sz w:val="21"/>
                      <w:szCs w:val="21"/>
                      <w:lang w:eastAsia="zh-CN"/>
                    </w:rPr>
                    <w:t>浓密罐</w:t>
                  </w:r>
                  <w:r>
                    <w:rPr>
                      <w:rFonts w:hint="eastAsia" w:ascii="Times New Roman" w:hAnsi="Times New Roman" w:cs="Times New Roman"/>
                      <w:color w:val="auto"/>
                      <w:kern w:val="0"/>
                      <w:sz w:val="21"/>
                      <w:szCs w:val="21"/>
                      <w:lang w:eastAsia="zh-CN"/>
                    </w:rPr>
                    <w:t>、洗砂机等</w:t>
                  </w:r>
                </w:p>
              </w:tc>
              <w:tc>
                <w:tcPr>
                  <w:tcW w:w="561" w:type="pct"/>
                  <w:shd w:val="clear" w:color="auto" w:fill="FFFFFF"/>
                  <w:noWrap w:val="0"/>
                  <w:tcMar>
                    <w:top w:w="0" w:type="dxa"/>
                    <w:left w:w="108" w:type="dxa"/>
                    <w:bottom w:w="0" w:type="dxa"/>
                    <w:right w:w="108" w:type="dxa"/>
                  </w:tcMar>
                  <w:vAlign w:val="center"/>
                </w:tcPr>
                <w:p>
                  <w:pPr>
                    <w:widowControl/>
                    <w:adjustRightInd w:val="0"/>
                    <w:snapToGrid w:val="0"/>
                    <w:jc w:val="center"/>
                    <w:rPr>
                      <w:rFonts w:hint="eastAsia" w:cs="Times New Roman"/>
                      <w:color w:val="auto"/>
                      <w:kern w:val="0"/>
                      <w:sz w:val="21"/>
                      <w:szCs w:val="21"/>
                      <w:lang w:eastAsia="zh-CN"/>
                    </w:rPr>
                  </w:pPr>
                  <w:r>
                    <w:rPr>
                      <w:rFonts w:hint="eastAsia" w:cs="Times New Roman"/>
                      <w:color w:val="auto"/>
                      <w:kern w:val="0"/>
                      <w:sz w:val="21"/>
                      <w:szCs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69" w:hRule="atLeast"/>
              </w:trPr>
              <w:tc>
                <w:tcPr>
                  <w:tcW w:w="268" w:type="pct"/>
                  <w:vMerge w:val="continue"/>
                  <w:shd w:val="clear" w:color="auto" w:fill="FFFFFF"/>
                  <w:noWrap w:val="0"/>
                  <w:tcMar>
                    <w:top w:w="0" w:type="dxa"/>
                    <w:left w:w="108" w:type="dxa"/>
                    <w:bottom w:w="0" w:type="dxa"/>
                    <w:right w:w="108" w:type="dxa"/>
                  </w:tcMar>
                  <w:vAlign w:val="center"/>
                </w:tcPr>
                <w:p>
                  <w:pPr>
                    <w:widowControl/>
                    <w:adjustRightInd w:val="0"/>
                    <w:snapToGrid w:val="0"/>
                    <w:jc w:val="center"/>
                    <w:rPr>
                      <w:rFonts w:ascii="Times New Roman" w:hAnsi="Times New Roman" w:cs="Times New Roman"/>
                      <w:color w:val="auto"/>
                      <w:kern w:val="0"/>
                      <w:sz w:val="21"/>
                      <w:szCs w:val="21"/>
                    </w:rPr>
                  </w:pPr>
                </w:p>
              </w:tc>
              <w:tc>
                <w:tcPr>
                  <w:tcW w:w="412" w:type="pct"/>
                  <w:vMerge w:val="continue"/>
                  <w:shd w:val="clear" w:color="auto" w:fill="FFFFFF"/>
                  <w:noWrap w:val="0"/>
                  <w:tcMar>
                    <w:top w:w="0" w:type="dxa"/>
                    <w:left w:w="108" w:type="dxa"/>
                    <w:bottom w:w="0" w:type="dxa"/>
                    <w:right w:w="108" w:type="dxa"/>
                  </w:tcMar>
                  <w:vAlign w:val="center"/>
                </w:tcPr>
                <w:p>
                  <w:pPr>
                    <w:widowControl/>
                    <w:adjustRightInd w:val="0"/>
                    <w:snapToGrid w:val="0"/>
                    <w:jc w:val="center"/>
                    <w:rPr>
                      <w:rFonts w:ascii="Times New Roman" w:hAnsi="Times New Roman" w:cs="Times New Roman"/>
                      <w:color w:val="auto"/>
                      <w:kern w:val="0"/>
                      <w:sz w:val="21"/>
                      <w:szCs w:val="21"/>
                    </w:rPr>
                  </w:pPr>
                </w:p>
              </w:tc>
              <w:tc>
                <w:tcPr>
                  <w:tcW w:w="419" w:type="pct"/>
                  <w:shd w:val="clear" w:color="auto" w:fill="FFFFFF"/>
                  <w:noWrap w:val="0"/>
                  <w:tcMar>
                    <w:top w:w="0" w:type="dxa"/>
                    <w:left w:w="108" w:type="dxa"/>
                    <w:bottom w:w="0" w:type="dxa"/>
                    <w:right w:w="108" w:type="dxa"/>
                  </w:tcMar>
                  <w:vAlign w:val="center"/>
                </w:tcPr>
                <w:p>
                  <w:pPr>
                    <w:widowControl/>
                    <w:adjustRightInd w:val="0"/>
                    <w:snapToGrid w:val="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原料堆场</w:t>
                  </w:r>
                </w:p>
              </w:tc>
              <w:tc>
                <w:tcPr>
                  <w:tcW w:w="3338" w:type="pct"/>
                  <w:shd w:val="clear" w:color="auto" w:fill="FFFFFF"/>
                  <w:noWrap w:val="0"/>
                  <w:tcMar>
                    <w:top w:w="0" w:type="dxa"/>
                    <w:left w:w="108" w:type="dxa"/>
                    <w:bottom w:w="0" w:type="dxa"/>
                    <w:right w:w="108" w:type="dxa"/>
                  </w:tcMar>
                  <w:vAlign w:val="center"/>
                </w:tcPr>
                <w:p>
                  <w:pPr>
                    <w:widowControl/>
                    <w:adjustRightInd w:val="0"/>
                    <w:snapToGrid w:val="0"/>
                    <w:jc w:val="center"/>
                    <w:rPr>
                      <w:rFonts w:hint="eastAsia" w:ascii="Times New Roman" w:hAnsi="Times New Roman" w:eastAsia="宋体" w:cs="Times New Roman"/>
                      <w:color w:val="auto"/>
                      <w:kern w:val="0"/>
                      <w:sz w:val="21"/>
                      <w:szCs w:val="21"/>
                      <w:lang w:eastAsia="zh-CN"/>
                    </w:rPr>
                  </w:pPr>
                  <w:r>
                    <w:rPr>
                      <w:rFonts w:ascii="Times New Roman" w:hAnsi="Times New Roman" w:cs="Times New Roman"/>
                      <w:color w:val="auto"/>
                      <w:kern w:val="0"/>
                      <w:sz w:val="21"/>
                      <w:szCs w:val="21"/>
                    </w:rPr>
                    <w:t>位于</w:t>
                  </w:r>
                  <w:r>
                    <w:rPr>
                      <w:rFonts w:hint="eastAsia" w:ascii="Times New Roman" w:hAnsi="Times New Roman" w:cs="Times New Roman"/>
                      <w:color w:val="auto"/>
                      <w:kern w:val="0"/>
                      <w:sz w:val="21"/>
                      <w:szCs w:val="21"/>
                    </w:rPr>
                    <w:t>厂</w:t>
                  </w:r>
                  <w:r>
                    <w:rPr>
                      <w:rFonts w:ascii="Times New Roman" w:hAnsi="Times New Roman" w:cs="Times New Roman"/>
                      <w:color w:val="auto"/>
                      <w:kern w:val="0"/>
                      <w:sz w:val="21"/>
                      <w:szCs w:val="21"/>
                    </w:rPr>
                    <w:t>区</w:t>
                  </w:r>
                  <w:r>
                    <w:rPr>
                      <w:rFonts w:hint="eastAsia" w:ascii="Times New Roman" w:hAnsi="Times New Roman" w:cs="Times New Roman"/>
                      <w:color w:val="auto"/>
                      <w:kern w:val="0"/>
                      <w:sz w:val="21"/>
                      <w:szCs w:val="21"/>
                      <w:lang w:eastAsia="zh-CN"/>
                    </w:rPr>
                    <w:t>东</w:t>
                  </w:r>
                  <w:r>
                    <w:rPr>
                      <w:rFonts w:ascii="Times New Roman" w:hAnsi="Times New Roman" w:cs="Times New Roman"/>
                      <w:color w:val="auto"/>
                      <w:kern w:val="0"/>
                      <w:sz w:val="21"/>
                      <w:szCs w:val="21"/>
                    </w:rPr>
                    <w:t>侧</w:t>
                  </w:r>
                  <w:r>
                    <w:rPr>
                      <w:rFonts w:hint="eastAsia" w:ascii="Times New Roman" w:hAnsi="Times New Roman" w:cs="Times New Roman"/>
                      <w:color w:val="auto"/>
                      <w:kern w:val="0"/>
                      <w:sz w:val="21"/>
                      <w:szCs w:val="21"/>
                    </w:rPr>
                    <w:t>，</w:t>
                  </w:r>
                  <w:r>
                    <w:rPr>
                      <w:rFonts w:ascii="Times New Roman" w:hAnsi="Times New Roman" w:cs="Times New Roman"/>
                      <w:color w:val="auto"/>
                      <w:kern w:val="0"/>
                      <w:sz w:val="21"/>
                      <w:szCs w:val="21"/>
                    </w:rPr>
                    <w:t>占地面积为</w:t>
                  </w:r>
                  <w:r>
                    <w:rPr>
                      <w:rFonts w:hint="eastAsia" w:ascii="Times New Roman" w:hAnsi="Times New Roman" w:cs="Times New Roman"/>
                      <w:color w:val="auto"/>
                      <w:kern w:val="0"/>
                      <w:sz w:val="21"/>
                      <w:szCs w:val="21"/>
                    </w:rPr>
                    <w:t>2</w:t>
                  </w:r>
                  <w:r>
                    <w:rPr>
                      <w:rFonts w:hint="eastAsia" w:cs="Times New Roman"/>
                      <w:color w:val="auto"/>
                      <w:kern w:val="0"/>
                      <w:sz w:val="21"/>
                      <w:szCs w:val="21"/>
                      <w:lang w:val="en-US" w:eastAsia="zh-CN"/>
                    </w:rPr>
                    <w:t>0</w:t>
                  </w:r>
                  <w:r>
                    <w:rPr>
                      <w:rFonts w:hint="eastAsia" w:ascii="Times New Roman" w:hAnsi="Times New Roman" w:cs="Times New Roman"/>
                      <w:color w:val="auto"/>
                      <w:kern w:val="0"/>
                      <w:sz w:val="21"/>
                      <w:szCs w:val="21"/>
                    </w:rPr>
                    <w:t>00</w:t>
                  </w:r>
                  <w:r>
                    <w:rPr>
                      <w:rFonts w:ascii="Times New Roman" w:hAnsi="Times New Roman" w:cs="Times New Roman"/>
                      <w:color w:val="auto"/>
                      <w:kern w:val="0"/>
                      <w:sz w:val="21"/>
                      <w:szCs w:val="21"/>
                    </w:rPr>
                    <w:t>m</w:t>
                  </w:r>
                  <w:r>
                    <w:rPr>
                      <w:rFonts w:ascii="Times New Roman" w:hAnsi="Times New Roman" w:cs="Times New Roman"/>
                      <w:color w:val="auto"/>
                      <w:kern w:val="0"/>
                      <w:sz w:val="21"/>
                      <w:szCs w:val="21"/>
                      <w:vertAlign w:val="superscript"/>
                    </w:rPr>
                    <w:t>2</w:t>
                  </w:r>
                  <w:r>
                    <w:rPr>
                      <w:rFonts w:ascii="Times New Roman" w:hAnsi="Times New Roman" w:cs="Times New Roman"/>
                      <w:color w:val="auto"/>
                      <w:kern w:val="0"/>
                      <w:sz w:val="21"/>
                      <w:szCs w:val="21"/>
                    </w:rPr>
                    <w:t>，</w:t>
                  </w:r>
                  <w:r>
                    <w:rPr>
                      <w:rFonts w:hint="eastAsia" w:cs="Times New Roman"/>
                      <w:color w:val="auto"/>
                      <w:kern w:val="0"/>
                      <w:sz w:val="21"/>
                      <w:szCs w:val="21"/>
                      <w:lang w:eastAsia="zh-CN"/>
                    </w:rPr>
                    <w:t>分为</w:t>
                  </w:r>
                  <w:r>
                    <w:rPr>
                      <w:rFonts w:hint="eastAsia" w:cs="Times New Roman"/>
                      <w:color w:val="auto"/>
                      <w:kern w:val="0"/>
                      <w:sz w:val="21"/>
                      <w:szCs w:val="21"/>
                      <w:lang w:val="en-US" w:eastAsia="zh-CN"/>
                    </w:rPr>
                    <w:t>2个，一个用于存放废石原料，一个用于存放生产陶瓷原料的钠长石</w:t>
                  </w:r>
                  <w:r>
                    <w:rPr>
                      <w:rFonts w:hint="eastAsia" w:ascii="Times New Roman" w:hAnsi="Times New Roman" w:cs="Times New Roman"/>
                      <w:color w:val="auto"/>
                      <w:kern w:val="0"/>
                      <w:sz w:val="21"/>
                      <w:szCs w:val="21"/>
                    </w:rPr>
                    <w:t>，</w:t>
                  </w:r>
                  <w:r>
                    <w:rPr>
                      <w:rFonts w:ascii="Times New Roman" w:hAnsi="Times New Roman" w:cs="Times New Roman"/>
                      <w:color w:val="auto"/>
                      <w:kern w:val="0"/>
                      <w:sz w:val="21"/>
                      <w:szCs w:val="21"/>
                    </w:rPr>
                    <w:t>设三面封闭带顶棚的</w:t>
                  </w:r>
                  <w:r>
                    <w:rPr>
                      <w:rFonts w:hint="eastAsia" w:ascii="Times New Roman" w:hAnsi="Times New Roman" w:cs="Times New Roman"/>
                      <w:color w:val="auto"/>
                      <w:kern w:val="0"/>
                      <w:sz w:val="21"/>
                      <w:szCs w:val="21"/>
                      <w:lang w:eastAsia="zh-CN"/>
                    </w:rPr>
                    <w:t>厂房，地面硬化</w:t>
                  </w:r>
                </w:p>
              </w:tc>
              <w:tc>
                <w:tcPr>
                  <w:tcW w:w="561" w:type="pct"/>
                  <w:shd w:val="clear" w:color="auto" w:fill="FFFFFF"/>
                  <w:noWrap w:val="0"/>
                  <w:tcMar>
                    <w:top w:w="0" w:type="dxa"/>
                    <w:left w:w="108" w:type="dxa"/>
                    <w:bottom w:w="0" w:type="dxa"/>
                    <w:right w:w="108" w:type="dxa"/>
                  </w:tcMar>
                  <w:vAlign w:val="center"/>
                </w:tcPr>
                <w:p>
                  <w:pPr>
                    <w:widowControl/>
                    <w:adjustRightInd w:val="0"/>
                    <w:snapToGrid w:val="0"/>
                    <w:jc w:val="center"/>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69" w:hRule="atLeast"/>
              </w:trPr>
              <w:tc>
                <w:tcPr>
                  <w:tcW w:w="268" w:type="pct"/>
                  <w:vMerge w:val="continue"/>
                  <w:shd w:val="clear" w:color="auto" w:fill="FFFFFF"/>
                  <w:noWrap w:val="0"/>
                  <w:tcMar>
                    <w:top w:w="0" w:type="dxa"/>
                    <w:left w:w="108" w:type="dxa"/>
                    <w:bottom w:w="0" w:type="dxa"/>
                    <w:right w:w="108" w:type="dxa"/>
                  </w:tcMar>
                  <w:vAlign w:val="center"/>
                </w:tcPr>
                <w:p>
                  <w:pPr>
                    <w:widowControl/>
                    <w:adjustRightInd w:val="0"/>
                    <w:snapToGrid w:val="0"/>
                    <w:jc w:val="center"/>
                    <w:rPr>
                      <w:rFonts w:ascii="Times New Roman" w:hAnsi="Times New Roman" w:cs="Times New Roman"/>
                      <w:color w:val="auto"/>
                      <w:kern w:val="0"/>
                      <w:sz w:val="21"/>
                      <w:szCs w:val="21"/>
                    </w:rPr>
                  </w:pPr>
                </w:p>
              </w:tc>
              <w:tc>
                <w:tcPr>
                  <w:tcW w:w="412" w:type="pct"/>
                  <w:vMerge w:val="continue"/>
                  <w:shd w:val="clear" w:color="auto" w:fill="FFFFFF"/>
                  <w:noWrap w:val="0"/>
                  <w:tcMar>
                    <w:top w:w="0" w:type="dxa"/>
                    <w:left w:w="108" w:type="dxa"/>
                    <w:bottom w:w="0" w:type="dxa"/>
                    <w:right w:w="108" w:type="dxa"/>
                  </w:tcMar>
                  <w:vAlign w:val="center"/>
                </w:tcPr>
                <w:p>
                  <w:pPr>
                    <w:widowControl/>
                    <w:adjustRightInd w:val="0"/>
                    <w:snapToGrid w:val="0"/>
                    <w:jc w:val="center"/>
                    <w:rPr>
                      <w:rFonts w:ascii="Times New Roman" w:hAnsi="Times New Roman" w:cs="Times New Roman"/>
                      <w:color w:val="auto"/>
                      <w:kern w:val="0"/>
                      <w:sz w:val="21"/>
                      <w:szCs w:val="21"/>
                    </w:rPr>
                  </w:pPr>
                </w:p>
              </w:tc>
              <w:tc>
                <w:tcPr>
                  <w:tcW w:w="419" w:type="pct"/>
                  <w:shd w:val="clear" w:color="auto" w:fill="FFFFFF"/>
                  <w:noWrap w:val="0"/>
                  <w:tcMar>
                    <w:top w:w="0" w:type="dxa"/>
                    <w:left w:w="108" w:type="dxa"/>
                    <w:bottom w:w="0" w:type="dxa"/>
                    <w:right w:w="108" w:type="dxa"/>
                  </w:tcMar>
                  <w:vAlign w:val="center"/>
                </w:tcPr>
                <w:p>
                  <w:pPr>
                    <w:widowControl/>
                    <w:adjustRightInd w:val="0"/>
                    <w:snapToGrid w:val="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成品堆场</w:t>
                  </w:r>
                </w:p>
              </w:tc>
              <w:tc>
                <w:tcPr>
                  <w:tcW w:w="3338" w:type="pct"/>
                  <w:shd w:val="clear" w:color="auto" w:fill="FFFFFF"/>
                  <w:noWrap w:val="0"/>
                  <w:tcMar>
                    <w:top w:w="0" w:type="dxa"/>
                    <w:left w:w="108" w:type="dxa"/>
                    <w:bottom w:w="0" w:type="dxa"/>
                    <w:right w:w="108" w:type="dxa"/>
                  </w:tcMar>
                  <w:vAlign w:val="center"/>
                </w:tcPr>
                <w:p>
                  <w:pPr>
                    <w:widowControl/>
                    <w:adjustRightInd w:val="0"/>
                    <w:snapToGrid w:val="0"/>
                    <w:jc w:val="center"/>
                    <w:rPr>
                      <w:rFonts w:hint="eastAsia" w:ascii="Times New Roman" w:hAnsi="Times New Roman" w:eastAsia="宋体" w:cs="Times New Roman"/>
                      <w:color w:val="auto"/>
                      <w:kern w:val="0"/>
                      <w:sz w:val="21"/>
                      <w:szCs w:val="21"/>
                      <w:lang w:eastAsia="zh-CN"/>
                    </w:rPr>
                  </w:pPr>
                  <w:r>
                    <w:rPr>
                      <w:rFonts w:ascii="Times New Roman" w:hAnsi="Times New Roman" w:cs="Times New Roman"/>
                      <w:color w:val="auto"/>
                      <w:kern w:val="0"/>
                      <w:sz w:val="21"/>
                      <w:szCs w:val="21"/>
                    </w:rPr>
                    <w:t>位于厂区</w:t>
                  </w:r>
                  <w:r>
                    <w:rPr>
                      <w:rFonts w:hint="eastAsia" w:ascii="Times New Roman" w:hAnsi="Times New Roman" w:cs="Times New Roman"/>
                      <w:color w:val="auto"/>
                      <w:kern w:val="0"/>
                      <w:sz w:val="21"/>
                      <w:szCs w:val="21"/>
                      <w:lang w:eastAsia="zh-CN"/>
                    </w:rPr>
                    <w:t>西</w:t>
                  </w:r>
                  <w:r>
                    <w:rPr>
                      <w:rFonts w:hint="eastAsia" w:ascii="Times New Roman" w:hAnsi="Times New Roman" w:cs="Times New Roman"/>
                      <w:color w:val="auto"/>
                      <w:kern w:val="0"/>
                      <w:sz w:val="21"/>
                      <w:szCs w:val="21"/>
                    </w:rPr>
                    <w:t>侧，</w:t>
                  </w:r>
                  <w:r>
                    <w:rPr>
                      <w:rFonts w:ascii="Times New Roman" w:hAnsi="Times New Roman" w:cs="Times New Roman"/>
                      <w:color w:val="auto"/>
                      <w:kern w:val="0"/>
                      <w:sz w:val="21"/>
                      <w:szCs w:val="21"/>
                    </w:rPr>
                    <w:t>占地面积为</w:t>
                  </w:r>
                  <w:r>
                    <w:rPr>
                      <w:rFonts w:hint="eastAsia" w:ascii="Times New Roman" w:hAnsi="Times New Roman" w:cs="Times New Roman"/>
                      <w:color w:val="auto"/>
                      <w:kern w:val="0"/>
                      <w:sz w:val="21"/>
                      <w:szCs w:val="21"/>
                      <w:lang w:val="en-US" w:eastAsia="zh-CN"/>
                    </w:rPr>
                    <w:t>1</w:t>
                  </w:r>
                  <w:r>
                    <w:rPr>
                      <w:rFonts w:hint="eastAsia" w:cs="Times New Roman"/>
                      <w:color w:val="auto"/>
                      <w:kern w:val="0"/>
                      <w:sz w:val="21"/>
                      <w:szCs w:val="21"/>
                      <w:lang w:val="en-US" w:eastAsia="zh-CN"/>
                    </w:rPr>
                    <w:t>0</w:t>
                  </w:r>
                  <w:r>
                    <w:rPr>
                      <w:rFonts w:hint="eastAsia" w:ascii="Times New Roman" w:hAnsi="Times New Roman" w:cs="Times New Roman"/>
                      <w:color w:val="auto"/>
                      <w:kern w:val="0"/>
                      <w:sz w:val="21"/>
                      <w:szCs w:val="21"/>
                    </w:rPr>
                    <w:t>00</w:t>
                  </w:r>
                  <w:r>
                    <w:rPr>
                      <w:rFonts w:ascii="Times New Roman" w:hAnsi="Times New Roman" w:cs="Times New Roman"/>
                      <w:color w:val="auto"/>
                      <w:kern w:val="0"/>
                      <w:sz w:val="21"/>
                      <w:szCs w:val="21"/>
                    </w:rPr>
                    <w:t>m</w:t>
                  </w:r>
                  <w:r>
                    <w:rPr>
                      <w:rFonts w:ascii="Times New Roman" w:hAnsi="Times New Roman" w:cs="Times New Roman"/>
                      <w:color w:val="auto"/>
                      <w:kern w:val="0"/>
                      <w:sz w:val="21"/>
                      <w:szCs w:val="21"/>
                      <w:vertAlign w:val="superscript"/>
                    </w:rPr>
                    <w:t>2</w:t>
                  </w:r>
                  <w:r>
                    <w:rPr>
                      <w:rFonts w:hint="eastAsia" w:ascii="Times New Roman" w:hAnsi="Times New Roman" w:cs="Times New Roman"/>
                      <w:color w:val="auto"/>
                      <w:kern w:val="0"/>
                      <w:sz w:val="21"/>
                      <w:szCs w:val="21"/>
                    </w:rPr>
                    <w:t>，用于成品干砂和湿砂堆放，</w:t>
                  </w:r>
                  <w:r>
                    <w:rPr>
                      <w:rFonts w:hint="eastAsia" w:ascii="Times New Roman" w:hAnsi="Times New Roman" w:cs="Times New Roman"/>
                      <w:color w:val="auto"/>
                      <w:kern w:val="0"/>
                      <w:sz w:val="21"/>
                      <w:szCs w:val="21"/>
                      <w:lang w:eastAsia="zh-CN"/>
                    </w:rPr>
                    <w:t>与加工区共用</w:t>
                  </w:r>
                  <w:r>
                    <w:rPr>
                      <w:rFonts w:ascii="Times New Roman" w:hAnsi="Times New Roman" w:cs="Times New Roman"/>
                      <w:color w:val="auto"/>
                      <w:kern w:val="0"/>
                      <w:sz w:val="21"/>
                      <w:szCs w:val="21"/>
                    </w:rPr>
                    <w:t>三面封闭带顶棚的</w:t>
                  </w:r>
                  <w:r>
                    <w:rPr>
                      <w:rFonts w:hint="eastAsia" w:ascii="Times New Roman" w:hAnsi="Times New Roman" w:cs="Times New Roman"/>
                      <w:color w:val="auto"/>
                      <w:kern w:val="0"/>
                      <w:sz w:val="21"/>
                      <w:szCs w:val="21"/>
                    </w:rPr>
                    <w:t>厂房</w:t>
                  </w:r>
                  <w:r>
                    <w:rPr>
                      <w:rFonts w:hint="eastAsia" w:ascii="Times New Roman" w:hAnsi="Times New Roman" w:cs="Times New Roman"/>
                      <w:color w:val="auto"/>
                      <w:kern w:val="0"/>
                      <w:sz w:val="21"/>
                      <w:szCs w:val="21"/>
                      <w:lang w:eastAsia="zh-CN"/>
                    </w:rPr>
                    <w:t>，地面硬化</w:t>
                  </w:r>
                </w:p>
              </w:tc>
              <w:tc>
                <w:tcPr>
                  <w:tcW w:w="561" w:type="pct"/>
                  <w:shd w:val="clear" w:color="auto" w:fill="FFFFFF"/>
                  <w:noWrap w:val="0"/>
                  <w:tcMar>
                    <w:top w:w="0" w:type="dxa"/>
                    <w:left w:w="108" w:type="dxa"/>
                    <w:bottom w:w="0" w:type="dxa"/>
                    <w:right w:w="108" w:type="dxa"/>
                  </w:tcMar>
                  <w:vAlign w:val="center"/>
                </w:tcPr>
                <w:p>
                  <w:pPr>
                    <w:widowControl/>
                    <w:adjustRightInd w:val="0"/>
                    <w:snapToGrid w:val="0"/>
                    <w:jc w:val="center"/>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69" w:hRule="atLeast"/>
              </w:trPr>
              <w:tc>
                <w:tcPr>
                  <w:tcW w:w="268" w:type="pct"/>
                  <w:vMerge w:val="restart"/>
                  <w:shd w:val="clear" w:color="auto" w:fill="FFFFFF"/>
                  <w:noWrap w:val="0"/>
                  <w:tcMar>
                    <w:top w:w="0" w:type="dxa"/>
                    <w:left w:w="108" w:type="dxa"/>
                    <w:bottom w:w="0" w:type="dxa"/>
                    <w:right w:w="108" w:type="dxa"/>
                  </w:tcMar>
                  <w:vAlign w:val="center"/>
                </w:tcPr>
                <w:p>
                  <w:pPr>
                    <w:widowControl/>
                    <w:adjustRightInd w:val="0"/>
                    <w:snapToGrid w:val="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w:t>
                  </w:r>
                </w:p>
              </w:tc>
              <w:tc>
                <w:tcPr>
                  <w:tcW w:w="412" w:type="pct"/>
                  <w:vMerge w:val="restart"/>
                  <w:shd w:val="clear" w:color="auto" w:fill="FFFFFF"/>
                  <w:noWrap w:val="0"/>
                  <w:tcMar>
                    <w:top w:w="0" w:type="dxa"/>
                    <w:left w:w="108" w:type="dxa"/>
                    <w:bottom w:w="0" w:type="dxa"/>
                    <w:right w:w="108" w:type="dxa"/>
                  </w:tcMar>
                  <w:vAlign w:val="center"/>
                </w:tcPr>
                <w:p>
                  <w:pPr>
                    <w:widowControl/>
                    <w:adjustRightInd w:val="0"/>
                    <w:snapToGrid w:val="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辅助工程</w:t>
                  </w:r>
                </w:p>
              </w:tc>
              <w:tc>
                <w:tcPr>
                  <w:tcW w:w="419" w:type="pct"/>
                  <w:shd w:val="clear" w:color="auto" w:fill="FFFFFF"/>
                  <w:noWrap w:val="0"/>
                  <w:tcMar>
                    <w:top w:w="0" w:type="dxa"/>
                    <w:left w:w="108" w:type="dxa"/>
                    <w:bottom w:w="0" w:type="dxa"/>
                    <w:right w:w="108" w:type="dxa"/>
                  </w:tcMar>
                  <w:vAlign w:val="center"/>
                </w:tcPr>
                <w:p>
                  <w:pPr>
                    <w:widowControl/>
                    <w:adjustRightInd w:val="0"/>
                    <w:snapToGrid w:val="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办公区</w:t>
                  </w:r>
                </w:p>
              </w:tc>
              <w:tc>
                <w:tcPr>
                  <w:tcW w:w="3338" w:type="pct"/>
                  <w:shd w:val="clear" w:color="auto" w:fill="FFFFFF"/>
                  <w:noWrap w:val="0"/>
                  <w:tcMar>
                    <w:top w:w="0" w:type="dxa"/>
                    <w:left w:w="108" w:type="dxa"/>
                    <w:bottom w:w="0" w:type="dxa"/>
                    <w:right w:w="108" w:type="dxa"/>
                  </w:tcMar>
                  <w:vAlign w:val="center"/>
                </w:tcPr>
                <w:p>
                  <w:pPr>
                    <w:widowControl/>
                    <w:adjustRightInd w:val="0"/>
                    <w:snapToGrid w:val="0"/>
                    <w:jc w:val="center"/>
                    <w:rPr>
                      <w:rFonts w:hint="eastAsia" w:ascii="Times New Roman" w:hAnsi="Times New Roman" w:eastAsia="宋体" w:cs="Times New Roman"/>
                      <w:color w:val="auto"/>
                      <w:kern w:val="0"/>
                      <w:sz w:val="21"/>
                      <w:szCs w:val="21"/>
                      <w:lang w:eastAsia="zh-CN"/>
                    </w:rPr>
                  </w:pPr>
                  <w:r>
                    <w:rPr>
                      <w:rFonts w:ascii="Times New Roman" w:hAnsi="Times New Roman" w:cs="Times New Roman"/>
                      <w:color w:val="auto"/>
                      <w:kern w:val="0"/>
                      <w:sz w:val="21"/>
                      <w:szCs w:val="21"/>
                    </w:rPr>
                    <w:t>混砖结构，位于厂区</w:t>
                  </w:r>
                  <w:r>
                    <w:rPr>
                      <w:rFonts w:hint="eastAsia" w:ascii="Times New Roman" w:hAnsi="Times New Roman" w:cs="Times New Roman"/>
                      <w:color w:val="auto"/>
                      <w:kern w:val="0"/>
                      <w:sz w:val="21"/>
                      <w:szCs w:val="21"/>
                      <w:lang w:eastAsia="zh-CN"/>
                    </w:rPr>
                    <w:t>外南</w:t>
                  </w:r>
                  <w:r>
                    <w:rPr>
                      <w:rFonts w:ascii="Times New Roman" w:hAnsi="Times New Roman" w:cs="Times New Roman"/>
                      <w:color w:val="auto"/>
                      <w:kern w:val="0"/>
                      <w:sz w:val="21"/>
                      <w:szCs w:val="21"/>
                    </w:rPr>
                    <w:t>侧，占地面积约</w:t>
                  </w:r>
                  <w:r>
                    <w:rPr>
                      <w:rFonts w:hint="eastAsia" w:ascii="Times New Roman" w:hAnsi="Times New Roman" w:cs="Times New Roman"/>
                      <w:color w:val="auto"/>
                      <w:kern w:val="0"/>
                      <w:sz w:val="21"/>
                      <w:szCs w:val="21"/>
                      <w:lang w:val="en-US" w:eastAsia="zh-CN"/>
                    </w:rPr>
                    <w:t>200</w:t>
                  </w:r>
                  <w:r>
                    <w:rPr>
                      <w:rFonts w:ascii="Times New Roman" w:hAnsi="Times New Roman" w:cs="Times New Roman"/>
                      <w:color w:val="auto"/>
                      <w:kern w:val="0"/>
                      <w:sz w:val="21"/>
                      <w:szCs w:val="21"/>
                    </w:rPr>
                    <w:t>m</w:t>
                  </w:r>
                  <w:r>
                    <w:rPr>
                      <w:rFonts w:ascii="Times New Roman" w:hAnsi="Times New Roman" w:cs="Times New Roman"/>
                      <w:color w:val="auto"/>
                      <w:kern w:val="0"/>
                      <w:sz w:val="21"/>
                      <w:szCs w:val="21"/>
                      <w:vertAlign w:val="superscript"/>
                    </w:rPr>
                    <w:t>2</w:t>
                  </w:r>
                  <w:r>
                    <w:rPr>
                      <w:rFonts w:hint="eastAsia" w:ascii="Times New Roman" w:hAnsi="Times New Roman" w:cs="Times New Roman"/>
                      <w:color w:val="auto"/>
                      <w:kern w:val="0"/>
                      <w:sz w:val="21"/>
                      <w:szCs w:val="21"/>
                      <w:vertAlign w:val="baseline"/>
                      <w:lang w:eastAsia="zh-CN"/>
                    </w:rPr>
                    <w:t>（利用原振弘陶瓷</w:t>
                  </w:r>
                  <w:r>
                    <w:rPr>
                      <w:rFonts w:hint="eastAsia" w:cs="Times New Roman"/>
                      <w:color w:val="auto"/>
                      <w:kern w:val="0"/>
                      <w:sz w:val="21"/>
                      <w:szCs w:val="21"/>
                      <w:vertAlign w:val="baseline"/>
                      <w:lang w:eastAsia="zh-CN"/>
                    </w:rPr>
                    <w:t>公司</w:t>
                  </w:r>
                  <w:r>
                    <w:rPr>
                      <w:rFonts w:hint="eastAsia" w:ascii="Times New Roman" w:hAnsi="Times New Roman" w:cs="Times New Roman"/>
                      <w:color w:val="auto"/>
                      <w:kern w:val="0"/>
                      <w:sz w:val="21"/>
                      <w:szCs w:val="21"/>
                      <w:vertAlign w:val="baseline"/>
                      <w:lang w:eastAsia="zh-CN"/>
                    </w:rPr>
                    <w:t>场地）</w:t>
                  </w:r>
                </w:p>
              </w:tc>
              <w:tc>
                <w:tcPr>
                  <w:tcW w:w="561" w:type="pct"/>
                  <w:shd w:val="clear" w:color="auto" w:fill="FFFFFF"/>
                  <w:noWrap w:val="0"/>
                  <w:tcMar>
                    <w:top w:w="0" w:type="dxa"/>
                    <w:left w:w="108" w:type="dxa"/>
                    <w:bottom w:w="0" w:type="dxa"/>
                    <w:right w:w="108" w:type="dxa"/>
                  </w:tcMar>
                  <w:vAlign w:val="center"/>
                </w:tcPr>
                <w:p>
                  <w:pPr>
                    <w:widowControl/>
                    <w:adjustRightInd w:val="0"/>
                    <w:snapToGrid w:val="0"/>
                    <w:jc w:val="center"/>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eastAsia="zh-CN"/>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69" w:hRule="atLeast"/>
              </w:trPr>
              <w:tc>
                <w:tcPr>
                  <w:tcW w:w="268" w:type="pct"/>
                  <w:vMerge w:val="continue"/>
                  <w:shd w:val="clear" w:color="auto" w:fill="FFFFFF"/>
                  <w:noWrap w:val="0"/>
                  <w:tcMar>
                    <w:top w:w="0" w:type="dxa"/>
                    <w:left w:w="108" w:type="dxa"/>
                    <w:bottom w:w="0" w:type="dxa"/>
                    <w:right w:w="108" w:type="dxa"/>
                  </w:tcMar>
                  <w:vAlign w:val="center"/>
                </w:tcPr>
                <w:p>
                  <w:pPr>
                    <w:widowControl/>
                    <w:adjustRightInd w:val="0"/>
                    <w:snapToGrid w:val="0"/>
                    <w:jc w:val="center"/>
                    <w:rPr>
                      <w:rFonts w:ascii="Times New Roman" w:hAnsi="Times New Roman" w:cs="Times New Roman"/>
                      <w:color w:val="auto"/>
                      <w:kern w:val="0"/>
                      <w:sz w:val="21"/>
                      <w:szCs w:val="21"/>
                    </w:rPr>
                  </w:pPr>
                </w:p>
              </w:tc>
              <w:tc>
                <w:tcPr>
                  <w:tcW w:w="412" w:type="pct"/>
                  <w:vMerge w:val="continue"/>
                  <w:shd w:val="clear" w:color="auto" w:fill="FFFFFF"/>
                  <w:noWrap w:val="0"/>
                  <w:tcMar>
                    <w:top w:w="0" w:type="dxa"/>
                    <w:left w:w="108" w:type="dxa"/>
                    <w:bottom w:w="0" w:type="dxa"/>
                    <w:right w:w="108" w:type="dxa"/>
                  </w:tcMar>
                  <w:vAlign w:val="center"/>
                </w:tcPr>
                <w:p>
                  <w:pPr>
                    <w:widowControl/>
                    <w:adjustRightInd w:val="0"/>
                    <w:snapToGrid w:val="0"/>
                    <w:jc w:val="center"/>
                    <w:rPr>
                      <w:rFonts w:ascii="Times New Roman" w:hAnsi="Times New Roman" w:cs="Times New Roman"/>
                      <w:color w:val="auto"/>
                      <w:kern w:val="0"/>
                      <w:sz w:val="21"/>
                      <w:szCs w:val="21"/>
                    </w:rPr>
                  </w:pPr>
                </w:p>
              </w:tc>
              <w:tc>
                <w:tcPr>
                  <w:tcW w:w="419" w:type="pct"/>
                  <w:shd w:val="clear" w:color="auto" w:fill="FFFFFF"/>
                  <w:noWrap w:val="0"/>
                  <w:tcMar>
                    <w:top w:w="0" w:type="dxa"/>
                    <w:left w:w="108" w:type="dxa"/>
                    <w:bottom w:w="0" w:type="dxa"/>
                    <w:right w:w="108" w:type="dxa"/>
                  </w:tcMar>
                  <w:vAlign w:val="center"/>
                </w:tcPr>
                <w:p>
                  <w:pPr>
                    <w:widowControl/>
                    <w:adjustRightInd w:val="0"/>
                    <w:snapToGrid w:val="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地磅</w:t>
                  </w:r>
                </w:p>
              </w:tc>
              <w:tc>
                <w:tcPr>
                  <w:tcW w:w="3338" w:type="pct"/>
                  <w:shd w:val="clear" w:color="auto" w:fill="FFFFFF"/>
                  <w:noWrap w:val="0"/>
                  <w:tcMar>
                    <w:top w:w="0" w:type="dxa"/>
                    <w:left w:w="108" w:type="dxa"/>
                    <w:bottom w:w="0" w:type="dxa"/>
                    <w:right w:w="108" w:type="dxa"/>
                  </w:tcMar>
                  <w:vAlign w:val="center"/>
                </w:tcPr>
                <w:p>
                  <w:pPr>
                    <w:widowControl/>
                    <w:adjustRightInd w:val="0"/>
                    <w:snapToGrid w:val="0"/>
                    <w:jc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位于办公区</w:t>
                  </w:r>
                  <w:r>
                    <w:rPr>
                      <w:rFonts w:hint="eastAsia" w:ascii="Times New Roman" w:hAnsi="Times New Roman" w:cs="Times New Roman"/>
                      <w:color w:val="auto"/>
                      <w:kern w:val="0"/>
                      <w:sz w:val="21"/>
                      <w:szCs w:val="21"/>
                      <w:lang w:eastAsia="zh-CN"/>
                    </w:rPr>
                    <w:t>东</w:t>
                  </w:r>
                  <w:r>
                    <w:rPr>
                      <w:rFonts w:hint="eastAsia" w:ascii="Times New Roman" w:hAnsi="Times New Roman" w:cs="Times New Roman"/>
                      <w:color w:val="auto"/>
                      <w:kern w:val="0"/>
                      <w:sz w:val="21"/>
                      <w:szCs w:val="21"/>
                    </w:rPr>
                    <w:t>侧</w:t>
                  </w:r>
                  <w:r>
                    <w:rPr>
                      <w:rFonts w:ascii="Times New Roman" w:hAnsi="Times New Roman" w:cs="Times New Roman"/>
                      <w:color w:val="auto"/>
                      <w:kern w:val="0"/>
                      <w:sz w:val="21"/>
                      <w:szCs w:val="21"/>
                    </w:rPr>
                    <w:t>占地面积约</w:t>
                  </w:r>
                  <w:r>
                    <w:rPr>
                      <w:rFonts w:hint="eastAsia" w:ascii="Times New Roman" w:hAnsi="Times New Roman" w:cs="Times New Roman"/>
                      <w:color w:val="auto"/>
                      <w:kern w:val="0"/>
                      <w:sz w:val="21"/>
                      <w:szCs w:val="21"/>
                    </w:rPr>
                    <w:t>20</w:t>
                  </w:r>
                  <w:r>
                    <w:rPr>
                      <w:rFonts w:ascii="Times New Roman" w:hAnsi="Times New Roman" w:cs="Times New Roman"/>
                      <w:color w:val="auto"/>
                      <w:kern w:val="0"/>
                      <w:sz w:val="21"/>
                      <w:szCs w:val="21"/>
                    </w:rPr>
                    <w:t>m</w:t>
                  </w:r>
                  <w:r>
                    <w:rPr>
                      <w:rFonts w:ascii="Times New Roman" w:hAnsi="Times New Roman" w:cs="Times New Roman"/>
                      <w:color w:val="auto"/>
                      <w:kern w:val="0"/>
                      <w:sz w:val="21"/>
                      <w:szCs w:val="21"/>
                      <w:vertAlign w:val="superscript"/>
                    </w:rPr>
                    <w:t>2</w:t>
                  </w:r>
                </w:p>
              </w:tc>
              <w:tc>
                <w:tcPr>
                  <w:tcW w:w="561" w:type="pct"/>
                  <w:shd w:val="clear" w:color="auto" w:fill="FFFFFF"/>
                  <w:noWrap w:val="0"/>
                  <w:tcMar>
                    <w:top w:w="0" w:type="dxa"/>
                    <w:left w:w="108" w:type="dxa"/>
                    <w:bottom w:w="0" w:type="dxa"/>
                    <w:right w:w="108" w:type="dxa"/>
                  </w:tcMar>
                  <w:vAlign w:val="center"/>
                </w:tcPr>
                <w:p>
                  <w:pPr>
                    <w:widowControl/>
                    <w:adjustRightInd w:val="0"/>
                    <w:snapToGrid w:val="0"/>
                    <w:jc w:val="center"/>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69" w:hRule="atLeast"/>
              </w:trPr>
              <w:tc>
                <w:tcPr>
                  <w:tcW w:w="268" w:type="pct"/>
                  <w:vMerge w:val="restart"/>
                  <w:shd w:val="clear" w:color="auto" w:fill="FFFFFF"/>
                  <w:noWrap w:val="0"/>
                  <w:vAlign w:val="center"/>
                </w:tcPr>
                <w:p>
                  <w:pPr>
                    <w:widowControl/>
                    <w:adjustRightInd w:val="0"/>
                    <w:snapToGrid w:val="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w:t>
                  </w:r>
                </w:p>
              </w:tc>
              <w:tc>
                <w:tcPr>
                  <w:tcW w:w="412" w:type="pct"/>
                  <w:vMerge w:val="restart"/>
                  <w:shd w:val="clear" w:color="auto" w:fill="FFFFFF"/>
                  <w:noWrap w:val="0"/>
                  <w:vAlign w:val="center"/>
                </w:tcPr>
                <w:p>
                  <w:pPr>
                    <w:widowControl/>
                    <w:adjustRightInd w:val="0"/>
                    <w:snapToGrid w:val="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公用工程</w:t>
                  </w:r>
                </w:p>
              </w:tc>
              <w:tc>
                <w:tcPr>
                  <w:tcW w:w="419" w:type="pct"/>
                  <w:shd w:val="clear" w:color="auto" w:fill="FFFFFF"/>
                  <w:noWrap w:val="0"/>
                  <w:tcMar>
                    <w:top w:w="0" w:type="dxa"/>
                    <w:left w:w="108" w:type="dxa"/>
                    <w:bottom w:w="0" w:type="dxa"/>
                    <w:right w:w="108" w:type="dxa"/>
                  </w:tcMar>
                  <w:vAlign w:val="center"/>
                </w:tcPr>
                <w:p>
                  <w:pPr>
                    <w:widowControl/>
                    <w:adjustRightInd w:val="0"/>
                    <w:snapToGrid w:val="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供水</w:t>
                  </w:r>
                </w:p>
              </w:tc>
              <w:tc>
                <w:tcPr>
                  <w:tcW w:w="3338" w:type="pct"/>
                  <w:shd w:val="clear" w:color="auto" w:fill="FFFFFF"/>
                  <w:noWrap w:val="0"/>
                  <w:tcMar>
                    <w:top w:w="0" w:type="dxa"/>
                    <w:left w:w="108" w:type="dxa"/>
                    <w:bottom w:w="0" w:type="dxa"/>
                    <w:right w:w="108" w:type="dxa"/>
                  </w:tcMar>
                  <w:vAlign w:val="center"/>
                </w:tcPr>
                <w:p>
                  <w:pPr>
                    <w:widowControl/>
                    <w:adjustRightInd w:val="0"/>
                    <w:snapToGrid w:val="0"/>
                    <w:jc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井水</w:t>
                  </w:r>
                </w:p>
              </w:tc>
              <w:tc>
                <w:tcPr>
                  <w:tcW w:w="561" w:type="pct"/>
                  <w:shd w:val="clear" w:color="auto" w:fill="FFFFFF"/>
                  <w:noWrap w:val="0"/>
                  <w:tcMar>
                    <w:top w:w="0" w:type="dxa"/>
                    <w:left w:w="108" w:type="dxa"/>
                    <w:bottom w:w="0" w:type="dxa"/>
                    <w:right w:w="108" w:type="dxa"/>
                  </w:tcMar>
                  <w:vAlign w:val="center"/>
                </w:tcPr>
                <w:p>
                  <w:pPr>
                    <w:widowControl/>
                    <w:adjustRightInd w:val="0"/>
                    <w:snapToGrid w:val="0"/>
                    <w:jc w:val="center"/>
                    <w:rPr>
                      <w:rFonts w:hint="eastAsia" w:ascii="Times New Roman" w:hAnsi="Times New Roman" w:cs="Times New Roman"/>
                      <w:color w:val="auto"/>
                      <w:kern w:val="0"/>
                      <w:sz w:val="21"/>
                      <w:szCs w:val="21"/>
                    </w:rPr>
                  </w:pPr>
                  <w:r>
                    <w:rPr>
                      <w:rFonts w:hint="eastAsia" w:cs="Times New Roman"/>
                      <w:color w:val="auto"/>
                      <w:kern w:val="0"/>
                      <w:sz w:val="21"/>
                      <w:szCs w:val="21"/>
                      <w:lang w:eastAsia="zh-CN"/>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69" w:hRule="atLeast"/>
              </w:trPr>
              <w:tc>
                <w:tcPr>
                  <w:tcW w:w="268" w:type="pct"/>
                  <w:vMerge w:val="continue"/>
                  <w:shd w:val="clear" w:color="auto" w:fill="FFFFFF"/>
                  <w:noWrap w:val="0"/>
                  <w:vAlign w:val="center"/>
                </w:tcPr>
                <w:p>
                  <w:pPr>
                    <w:widowControl/>
                    <w:adjustRightInd w:val="0"/>
                    <w:snapToGrid w:val="0"/>
                    <w:jc w:val="center"/>
                    <w:rPr>
                      <w:rFonts w:ascii="Times New Roman" w:hAnsi="Times New Roman" w:cs="Times New Roman"/>
                      <w:color w:val="auto"/>
                      <w:kern w:val="0"/>
                      <w:sz w:val="21"/>
                      <w:szCs w:val="21"/>
                    </w:rPr>
                  </w:pPr>
                </w:p>
              </w:tc>
              <w:tc>
                <w:tcPr>
                  <w:tcW w:w="412" w:type="pct"/>
                  <w:vMerge w:val="continue"/>
                  <w:shd w:val="clear" w:color="auto" w:fill="FFFFFF"/>
                  <w:noWrap w:val="0"/>
                  <w:vAlign w:val="center"/>
                </w:tcPr>
                <w:p>
                  <w:pPr>
                    <w:widowControl/>
                    <w:adjustRightInd w:val="0"/>
                    <w:snapToGrid w:val="0"/>
                    <w:jc w:val="center"/>
                    <w:rPr>
                      <w:rFonts w:ascii="Times New Roman" w:hAnsi="Times New Roman" w:cs="Times New Roman"/>
                      <w:color w:val="auto"/>
                      <w:kern w:val="0"/>
                      <w:sz w:val="21"/>
                      <w:szCs w:val="21"/>
                    </w:rPr>
                  </w:pPr>
                </w:p>
              </w:tc>
              <w:tc>
                <w:tcPr>
                  <w:tcW w:w="419" w:type="pct"/>
                  <w:shd w:val="clear" w:color="auto" w:fill="FFFFFF"/>
                  <w:noWrap w:val="0"/>
                  <w:tcMar>
                    <w:top w:w="0" w:type="dxa"/>
                    <w:left w:w="108" w:type="dxa"/>
                    <w:bottom w:w="0" w:type="dxa"/>
                    <w:right w:w="108" w:type="dxa"/>
                  </w:tcMar>
                  <w:vAlign w:val="center"/>
                </w:tcPr>
                <w:p>
                  <w:pPr>
                    <w:widowControl/>
                    <w:adjustRightInd w:val="0"/>
                    <w:snapToGrid w:val="0"/>
                    <w:jc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排水</w:t>
                  </w:r>
                </w:p>
              </w:tc>
              <w:tc>
                <w:tcPr>
                  <w:tcW w:w="3338" w:type="pct"/>
                  <w:shd w:val="clear" w:color="auto" w:fill="FFFFFF"/>
                  <w:noWrap w:val="0"/>
                  <w:tcMar>
                    <w:top w:w="0" w:type="dxa"/>
                    <w:left w:w="108" w:type="dxa"/>
                    <w:bottom w:w="0" w:type="dxa"/>
                    <w:right w:w="108" w:type="dxa"/>
                  </w:tcMar>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rPr>
                    <w:t>雨污分流，初期雨水</w:t>
                  </w:r>
                  <w:r>
                    <w:rPr>
                      <w:rFonts w:hint="eastAsia" w:cs="Times New Roman"/>
                      <w:color w:val="auto"/>
                      <w:kern w:val="0"/>
                      <w:sz w:val="21"/>
                      <w:szCs w:val="21"/>
                      <w:lang w:eastAsia="zh-CN"/>
                    </w:rPr>
                    <w:t>、洗车水及厂区部分污水</w:t>
                  </w:r>
                  <w:r>
                    <w:rPr>
                      <w:rFonts w:hint="eastAsia" w:ascii="Times New Roman" w:hAnsi="Times New Roman" w:cs="Times New Roman"/>
                      <w:color w:val="auto"/>
                      <w:kern w:val="0"/>
                      <w:sz w:val="21"/>
                      <w:szCs w:val="21"/>
                    </w:rPr>
                    <w:t>经收集流入</w:t>
                  </w:r>
                  <w:r>
                    <w:rPr>
                      <w:rFonts w:hint="eastAsia" w:cs="Times New Roman"/>
                      <w:color w:val="auto"/>
                      <w:kern w:val="0"/>
                      <w:sz w:val="21"/>
                      <w:szCs w:val="21"/>
                      <w:lang w:eastAsia="zh-CN"/>
                    </w:rPr>
                    <w:t>初期雨水池（污水池），经沉淀后回抽至清水池，西侧厂区门口建有初期雨水池（污水池）</w:t>
                  </w:r>
                  <w:r>
                    <w:rPr>
                      <w:rFonts w:hint="eastAsia" w:cs="Times New Roman"/>
                      <w:color w:val="auto"/>
                      <w:kern w:val="0"/>
                      <w:sz w:val="21"/>
                      <w:szCs w:val="21"/>
                      <w:lang w:val="en-US" w:eastAsia="zh-CN"/>
                    </w:rPr>
                    <w:t>3个共计70m</w:t>
                  </w:r>
                  <w:r>
                    <w:rPr>
                      <w:rFonts w:hint="eastAsia" w:cs="Times New Roman"/>
                      <w:color w:val="auto"/>
                      <w:kern w:val="0"/>
                      <w:sz w:val="21"/>
                      <w:szCs w:val="21"/>
                      <w:vertAlign w:val="superscript"/>
                      <w:lang w:val="en-US" w:eastAsia="zh-CN"/>
                    </w:rPr>
                    <w:t>3</w:t>
                  </w:r>
                  <w:r>
                    <w:rPr>
                      <w:rFonts w:hint="eastAsia" w:cs="Times New Roman"/>
                      <w:color w:val="auto"/>
                      <w:kern w:val="0"/>
                      <w:sz w:val="21"/>
                      <w:szCs w:val="21"/>
                      <w:vertAlign w:val="baseline"/>
                      <w:lang w:val="en-US" w:eastAsia="zh-CN"/>
                    </w:rPr>
                    <w:t>、清水池两个共计540</w:t>
                  </w:r>
                  <w:r>
                    <w:rPr>
                      <w:rFonts w:hint="eastAsia" w:cs="Times New Roman"/>
                      <w:color w:val="auto"/>
                      <w:kern w:val="0"/>
                      <w:sz w:val="21"/>
                      <w:szCs w:val="21"/>
                      <w:lang w:val="en-US" w:eastAsia="zh-CN"/>
                    </w:rPr>
                    <w:t>m</w:t>
                  </w:r>
                  <w:r>
                    <w:rPr>
                      <w:rFonts w:hint="eastAsia" w:cs="Times New Roman"/>
                      <w:color w:val="auto"/>
                      <w:kern w:val="0"/>
                      <w:sz w:val="21"/>
                      <w:szCs w:val="21"/>
                      <w:vertAlign w:val="superscript"/>
                      <w:lang w:val="en-US" w:eastAsia="zh-CN"/>
                    </w:rPr>
                    <w:t>3</w:t>
                  </w:r>
                </w:p>
              </w:tc>
              <w:tc>
                <w:tcPr>
                  <w:tcW w:w="561" w:type="pct"/>
                  <w:shd w:val="clear" w:color="auto" w:fill="FFFFFF"/>
                  <w:noWrap w:val="0"/>
                  <w:tcMar>
                    <w:top w:w="0" w:type="dxa"/>
                    <w:left w:w="108" w:type="dxa"/>
                    <w:bottom w:w="0" w:type="dxa"/>
                    <w:right w:w="108" w:type="dxa"/>
                  </w:tcMar>
                  <w:vAlign w:val="center"/>
                </w:tcPr>
                <w:p>
                  <w:pPr>
                    <w:widowControl/>
                    <w:adjustRightInd w:val="0"/>
                    <w:snapToGrid w:val="0"/>
                    <w:jc w:val="center"/>
                    <w:rPr>
                      <w:rFonts w:hint="eastAsia" w:ascii="Times New Roman" w:hAnsi="Times New Roman" w:cs="Times New Roman"/>
                      <w:color w:val="auto"/>
                      <w:kern w:val="0"/>
                      <w:sz w:val="21"/>
                      <w:szCs w:val="21"/>
                    </w:rPr>
                  </w:pPr>
                  <w:r>
                    <w:rPr>
                      <w:rFonts w:hint="eastAsia" w:cs="Times New Roman"/>
                      <w:color w:val="auto"/>
                      <w:kern w:val="0"/>
                      <w:sz w:val="21"/>
                      <w:szCs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69" w:hRule="atLeast"/>
              </w:trPr>
              <w:tc>
                <w:tcPr>
                  <w:tcW w:w="268" w:type="pct"/>
                  <w:vMerge w:val="continue"/>
                  <w:shd w:val="clear" w:color="auto" w:fill="FFFFFF"/>
                  <w:noWrap w:val="0"/>
                  <w:vAlign w:val="center"/>
                </w:tcPr>
                <w:p>
                  <w:pPr>
                    <w:widowControl/>
                    <w:adjustRightInd w:val="0"/>
                    <w:snapToGrid w:val="0"/>
                    <w:jc w:val="center"/>
                    <w:rPr>
                      <w:rFonts w:ascii="Times New Roman" w:hAnsi="Times New Roman" w:cs="Times New Roman"/>
                      <w:color w:val="auto"/>
                      <w:kern w:val="0"/>
                      <w:sz w:val="21"/>
                      <w:szCs w:val="21"/>
                    </w:rPr>
                  </w:pPr>
                </w:p>
              </w:tc>
              <w:tc>
                <w:tcPr>
                  <w:tcW w:w="412" w:type="pct"/>
                  <w:vMerge w:val="continue"/>
                  <w:shd w:val="clear" w:color="auto" w:fill="FFFFFF"/>
                  <w:noWrap w:val="0"/>
                  <w:vAlign w:val="center"/>
                </w:tcPr>
                <w:p>
                  <w:pPr>
                    <w:widowControl/>
                    <w:adjustRightInd w:val="0"/>
                    <w:snapToGrid w:val="0"/>
                    <w:jc w:val="center"/>
                    <w:rPr>
                      <w:rFonts w:ascii="Times New Roman" w:hAnsi="Times New Roman" w:cs="Times New Roman"/>
                      <w:color w:val="auto"/>
                      <w:kern w:val="0"/>
                      <w:sz w:val="21"/>
                      <w:szCs w:val="21"/>
                    </w:rPr>
                  </w:pPr>
                </w:p>
              </w:tc>
              <w:tc>
                <w:tcPr>
                  <w:tcW w:w="419" w:type="pct"/>
                  <w:shd w:val="clear" w:color="auto" w:fill="FFFFFF"/>
                  <w:noWrap w:val="0"/>
                  <w:tcMar>
                    <w:top w:w="0" w:type="dxa"/>
                    <w:left w:w="108" w:type="dxa"/>
                    <w:bottom w:w="0" w:type="dxa"/>
                    <w:right w:w="108" w:type="dxa"/>
                  </w:tcMar>
                  <w:vAlign w:val="center"/>
                </w:tcPr>
                <w:p>
                  <w:pPr>
                    <w:widowControl/>
                    <w:adjustRightInd w:val="0"/>
                    <w:snapToGrid w:val="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供电</w:t>
                  </w:r>
                </w:p>
              </w:tc>
              <w:tc>
                <w:tcPr>
                  <w:tcW w:w="3338" w:type="pct"/>
                  <w:shd w:val="clear" w:color="auto" w:fill="FFFFFF"/>
                  <w:noWrap w:val="0"/>
                  <w:tcMar>
                    <w:top w:w="0" w:type="dxa"/>
                    <w:left w:w="108" w:type="dxa"/>
                    <w:bottom w:w="0" w:type="dxa"/>
                    <w:right w:w="108" w:type="dxa"/>
                  </w:tcMar>
                  <w:vAlign w:val="center"/>
                </w:tcPr>
                <w:p>
                  <w:pPr>
                    <w:widowControl/>
                    <w:adjustRightInd w:val="0"/>
                    <w:snapToGrid w:val="0"/>
                    <w:jc w:val="center"/>
                    <w:rPr>
                      <w:rFonts w:ascii="Times New Roman" w:hAnsi="Times New Roman" w:cs="Times New Roman"/>
                      <w:color w:val="auto"/>
                      <w:kern w:val="0"/>
                      <w:sz w:val="21"/>
                      <w:szCs w:val="21"/>
                    </w:rPr>
                  </w:pPr>
                  <w:r>
                    <w:rPr>
                      <w:rFonts w:ascii="Times New Roman" w:hAnsi="Times New Roman"/>
                      <w:color w:val="auto"/>
                      <w:kern w:val="0"/>
                    </w:rPr>
                    <w:t>供电源自界牌镇电网</w:t>
                  </w:r>
                </w:p>
              </w:tc>
              <w:tc>
                <w:tcPr>
                  <w:tcW w:w="561" w:type="pct"/>
                  <w:shd w:val="clear" w:color="auto" w:fill="FFFFFF"/>
                  <w:noWrap w:val="0"/>
                  <w:tcMar>
                    <w:top w:w="0" w:type="dxa"/>
                    <w:left w:w="108" w:type="dxa"/>
                    <w:bottom w:w="0" w:type="dxa"/>
                    <w:right w:w="108" w:type="dxa"/>
                  </w:tcMar>
                  <w:vAlign w:val="center"/>
                </w:tcPr>
                <w:p>
                  <w:pPr>
                    <w:widowControl/>
                    <w:adjustRightInd w:val="0"/>
                    <w:snapToGrid w:val="0"/>
                    <w:jc w:val="center"/>
                    <w:rPr>
                      <w:rFonts w:ascii="Times New Roman" w:hAnsi="Times New Roman"/>
                      <w:color w:val="auto"/>
                      <w:kern w:val="0"/>
                    </w:rPr>
                  </w:pPr>
                  <w:r>
                    <w:rPr>
                      <w:rFonts w:hint="eastAsia" w:cs="Times New Roman"/>
                      <w:color w:val="auto"/>
                      <w:kern w:val="0"/>
                      <w:sz w:val="21"/>
                      <w:szCs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69" w:hRule="atLeast"/>
              </w:trPr>
              <w:tc>
                <w:tcPr>
                  <w:tcW w:w="268" w:type="pct"/>
                  <w:vMerge w:val="restart"/>
                  <w:shd w:val="clear" w:color="auto" w:fill="FFFFFF"/>
                  <w:noWrap w:val="0"/>
                  <w:vAlign w:val="center"/>
                </w:tcPr>
                <w:p>
                  <w:pPr>
                    <w:widowControl/>
                    <w:adjustRightInd w:val="0"/>
                    <w:snapToGrid w:val="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w:t>
                  </w:r>
                </w:p>
              </w:tc>
              <w:tc>
                <w:tcPr>
                  <w:tcW w:w="412" w:type="pct"/>
                  <w:vMerge w:val="restart"/>
                  <w:shd w:val="clear" w:color="auto" w:fill="FFFFFF"/>
                  <w:noWrap w:val="0"/>
                  <w:vAlign w:val="center"/>
                </w:tcPr>
                <w:p>
                  <w:pPr>
                    <w:widowControl/>
                    <w:adjustRightInd w:val="0"/>
                    <w:snapToGrid w:val="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环保工程</w:t>
                  </w:r>
                </w:p>
              </w:tc>
              <w:tc>
                <w:tcPr>
                  <w:tcW w:w="419" w:type="pct"/>
                  <w:vMerge w:val="restart"/>
                  <w:shd w:val="clear" w:color="auto" w:fill="FFFFFF"/>
                  <w:noWrap w:val="0"/>
                  <w:tcMar>
                    <w:top w:w="0" w:type="dxa"/>
                    <w:left w:w="108" w:type="dxa"/>
                    <w:bottom w:w="0" w:type="dxa"/>
                    <w:right w:w="108" w:type="dxa"/>
                  </w:tcMar>
                  <w:vAlign w:val="center"/>
                </w:tcPr>
                <w:p>
                  <w:pPr>
                    <w:widowControl/>
                    <w:adjustRightInd w:val="0"/>
                    <w:snapToGrid w:val="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废水</w:t>
                  </w:r>
                </w:p>
              </w:tc>
              <w:tc>
                <w:tcPr>
                  <w:tcW w:w="3338" w:type="pct"/>
                  <w:shd w:val="clear" w:color="auto" w:fill="FFFFFF"/>
                  <w:noWrap w:val="0"/>
                  <w:tcMar>
                    <w:top w:w="0" w:type="dxa"/>
                    <w:left w:w="108" w:type="dxa"/>
                    <w:bottom w:w="0" w:type="dxa"/>
                    <w:right w:w="108" w:type="dxa"/>
                  </w:tcMar>
                  <w:vAlign w:val="center"/>
                </w:tcPr>
                <w:p>
                  <w:pPr>
                    <w:widowControl/>
                    <w:adjustRightInd w:val="0"/>
                    <w:snapToGrid w:val="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生活污水经化粪池处理后用作农肥</w:t>
                  </w:r>
                </w:p>
              </w:tc>
              <w:tc>
                <w:tcPr>
                  <w:tcW w:w="561" w:type="pct"/>
                  <w:shd w:val="clear" w:color="auto" w:fill="FFFFFF"/>
                  <w:noWrap w:val="0"/>
                  <w:tcMar>
                    <w:top w:w="0" w:type="dxa"/>
                    <w:left w:w="108" w:type="dxa"/>
                    <w:bottom w:w="0" w:type="dxa"/>
                    <w:right w:w="108" w:type="dxa"/>
                  </w:tcMar>
                  <w:vAlign w:val="center"/>
                </w:tcPr>
                <w:p>
                  <w:pPr>
                    <w:widowControl/>
                    <w:adjustRightInd w:val="0"/>
                    <w:snapToGrid w:val="0"/>
                    <w:jc w:val="center"/>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eastAsia="zh-CN"/>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69" w:hRule="atLeast"/>
              </w:trPr>
              <w:tc>
                <w:tcPr>
                  <w:tcW w:w="268" w:type="pct"/>
                  <w:vMerge w:val="continue"/>
                  <w:shd w:val="clear" w:color="auto" w:fill="FFFFFF"/>
                  <w:noWrap w:val="0"/>
                  <w:vAlign w:val="center"/>
                </w:tcPr>
                <w:p>
                  <w:pPr>
                    <w:widowControl/>
                    <w:adjustRightInd w:val="0"/>
                    <w:snapToGrid w:val="0"/>
                    <w:jc w:val="center"/>
                    <w:rPr>
                      <w:rFonts w:ascii="Times New Roman" w:hAnsi="Times New Roman" w:cs="Times New Roman"/>
                      <w:color w:val="auto"/>
                      <w:kern w:val="0"/>
                      <w:sz w:val="21"/>
                      <w:szCs w:val="21"/>
                    </w:rPr>
                  </w:pPr>
                </w:p>
              </w:tc>
              <w:tc>
                <w:tcPr>
                  <w:tcW w:w="412" w:type="pct"/>
                  <w:vMerge w:val="continue"/>
                  <w:shd w:val="clear" w:color="auto" w:fill="FFFFFF"/>
                  <w:noWrap w:val="0"/>
                  <w:vAlign w:val="center"/>
                </w:tcPr>
                <w:p>
                  <w:pPr>
                    <w:widowControl/>
                    <w:adjustRightInd w:val="0"/>
                    <w:snapToGrid w:val="0"/>
                    <w:jc w:val="center"/>
                    <w:rPr>
                      <w:rFonts w:ascii="Times New Roman" w:hAnsi="Times New Roman" w:cs="Times New Roman"/>
                      <w:color w:val="auto"/>
                      <w:kern w:val="0"/>
                      <w:sz w:val="21"/>
                      <w:szCs w:val="21"/>
                    </w:rPr>
                  </w:pPr>
                </w:p>
              </w:tc>
              <w:tc>
                <w:tcPr>
                  <w:tcW w:w="419" w:type="pct"/>
                  <w:vMerge w:val="continue"/>
                  <w:shd w:val="clear" w:color="auto" w:fill="FFFFFF"/>
                  <w:noWrap w:val="0"/>
                  <w:tcMar>
                    <w:top w:w="0" w:type="dxa"/>
                    <w:left w:w="108" w:type="dxa"/>
                    <w:bottom w:w="0" w:type="dxa"/>
                    <w:right w:w="108" w:type="dxa"/>
                  </w:tcMar>
                  <w:vAlign w:val="center"/>
                </w:tcPr>
                <w:p>
                  <w:pPr>
                    <w:widowControl/>
                    <w:adjustRightInd w:val="0"/>
                    <w:snapToGrid w:val="0"/>
                    <w:jc w:val="center"/>
                    <w:rPr>
                      <w:rFonts w:ascii="Times New Roman" w:hAnsi="Times New Roman" w:cs="Times New Roman"/>
                      <w:color w:val="auto"/>
                      <w:kern w:val="0"/>
                      <w:sz w:val="21"/>
                      <w:szCs w:val="21"/>
                    </w:rPr>
                  </w:pPr>
                </w:p>
              </w:tc>
              <w:tc>
                <w:tcPr>
                  <w:tcW w:w="3338" w:type="pct"/>
                  <w:shd w:val="clear" w:color="auto" w:fill="FFFFFF"/>
                  <w:noWrap w:val="0"/>
                  <w:tcMar>
                    <w:top w:w="0" w:type="dxa"/>
                    <w:left w:w="108" w:type="dxa"/>
                    <w:bottom w:w="0" w:type="dxa"/>
                    <w:right w:w="108" w:type="dxa"/>
                  </w:tcMar>
                  <w:vAlign w:val="center"/>
                </w:tcPr>
                <w:p>
                  <w:pPr>
                    <w:widowControl/>
                    <w:adjustRightInd w:val="0"/>
                    <w:snapToGrid w:val="0"/>
                    <w:jc w:val="left"/>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lang w:eastAsia="zh-CN"/>
                    </w:rPr>
                    <w:t>洗砂</w:t>
                  </w:r>
                  <w:r>
                    <w:rPr>
                      <w:rFonts w:hint="eastAsia" w:cs="Times New Roman"/>
                      <w:color w:val="auto"/>
                      <w:kern w:val="0"/>
                      <w:sz w:val="21"/>
                      <w:szCs w:val="21"/>
                      <w:lang w:eastAsia="zh-CN"/>
                    </w:rPr>
                    <w:t>泥浆水经沉泥池处理后，进入</w:t>
                  </w:r>
                  <w:r>
                    <w:rPr>
                      <w:rFonts w:hint="eastAsia"/>
                      <w:color w:val="auto"/>
                      <w:kern w:val="0"/>
                      <w:lang w:eastAsia="zh-CN"/>
                    </w:rPr>
                    <w:t>浓密罐，后通过压滤机，形成泥饼及清水，清水</w:t>
                  </w:r>
                  <w:r>
                    <w:rPr>
                      <w:rFonts w:ascii="Times New Roman" w:hAnsi="Times New Roman"/>
                      <w:color w:val="auto"/>
                      <w:kern w:val="0"/>
                    </w:rPr>
                    <w:t>回用</w:t>
                  </w:r>
                  <w:r>
                    <w:rPr>
                      <w:rFonts w:hint="eastAsia" w:ascii="Times New Roman" w:hAnsi="Times New Roman" w:cs="Times New Roman"/>
                      <w:color w:val="auto"/>
                      <w:kern w:val="0"/>
                      <w:sz w:val="21"/>
                      <w:szCs w:val="21"/>
                    </w:rPr>
                    <w:t>不外排；</w:t>
                  </w:r>
                  <w:r>
                    <w:rPr>
                      <w:rFonts w:ascii="Times New Roman" w:hAnsi="Times New Roman" w:cs="Times New Roman"/>
                      <w:color w:val="auto"/>
                      <w:kern w:val="0"/>
                      <w:sz w:val="21"/>
                      <w:szCs w:val="21"/>
                    </w:rPr>
                    <w:t xml:space="preserve"> </w:t>
                  </w:r>
                  <w:r>
                    <w:rPr>
                      <w:rFonts w:hint="eastAsia" w:cs="Times New Roman"/>
                      <w:color w:val="auto"/>
                      <w:kern w:val="0"/>
                      <w:sz w:val="21"/>
                      <w:szCs w:val="21"/>
                      <w:lang w:eastAsia="zh-CN"/>
                    </w:rPr>
                    <w:t>洗砂区建有沉泥池</w:t>
                  </w:r>
                  <w:r>
                    <w:rPr>
                      <w:rFonts w:hint="eastAsia" w:cs="Times New Roman"/>
                      <w:color w:val="auto"/>
                      <w:kern w:val="0"/>
                      <w:sz w:val="21"/>
                      <w:szCs w:val="21"/>
                      <w:lang w:val="en-US" w:eastAsia="zh-CN"/>
                    </w:rPr>
                    <w:t>80m</w:t>
                  </w:r>
                  <w:r>
                    <w:rPr>
                      <w:rFonts w:hint="eastAsia" w:cs="Times New Roman"/>
                      <w:color w:val="auto"/>
                      <w:kern w:val="0"/>
                      <w:sz w:val="21"/>
                      <w:szCs w:val="21"/>
                      <w:vertAlign w:val="superscript"/>
                      <w:lang w:val="en-US" w:eastAsia="zh-CN"/>
                    </w:rPr>
                    <w:t>3</w:t>
                  </w:r>
                  <w:r>
                    <w:rPr>
                      <w:rFonts w:hint="eastAsia" w:cs="Times New Roman"/>
                      <w:color w:val="auto"/>
                      <w:kern w:val="0"/>
                      <w:sz w:val="21"/>
                      <w:szCs w:val="21"/>
                      <w:lang w:val="en-US" w:eastAsia="zh-CN"/>
                    </w:rPr>
                    <w:t>,清水池240m</w:t>
                  </w:r>
                  <w:r>
                    <w:rPr>
                      <w:rFonts w:hint="eastAsia" w:cs="Times New Roman"/>
                      <w:color w:val="auto"/>
                      <w:kern w:val="0"/>
                      <w:sz w:val="21"/>
                      <w:szCs w:val="21"/>
                      <w:vertAlign w:val="superscript"/>
                      <w:lang w:val="en-US" w:eastAsia="zh-CN"/>
                    </w:rPr>
                    <w:t>3</w:t>
                  </w:r>
                  <w:r>
                    <w:rPr>
                      <w:rFonts w:hint="eastAsia" w:cs="Times New Roman"/>
                      <w:color w:val="auto"/>
                      <w:kern w:val="0"/>
                      <w:sz w:val="21"/>
                      <w:szCs w:val="21"/>
                      <w:vertAlign w:val="baseline"/>
                      <w:lang w:val="en-US" w:eastAsia="zh-CN"/>
                    </w:rPr>
                    <w:t>，</w:t>
                  </w:r>
                  <w:r>
                    <w:rPr>
                      <w:rFonts w:hint="eastAsia"/>
                      <w:color w:val="auto"/>
                      <w:u w:val="none"/>
                      <w:lang w:eastAsia="zh-CN"/>
                    </w:rPr>
                    <w:t>浓密罐</w:t>
                  </w:r>
                  <w:r>
                    <w:rPr>
                      <w:rFonts w:hint="eastAsia"/>
                      <w:color w:val="auto"/>
                      <w:u w:val="none"/>
                      <w:lang w:val="en-US" w:eastAsia="zh-CN"/>
                    </w:rPr>
                    <w:t>600m</w:t>
                  </w:r>
                  <w:r>
                    <w:rPr>
                      <w:rFonts w:hint="eastAsia"/>
                      <w:color w:val="auto"/>
                      <w:u w:val="none"/>
                      <w:vertAlign w:val="superscript"/>
                      <w:lang w:val="en-US" w:eastAsia="zh-CN"/>
                    </w:rPr>
                    <w:t>3</w:t>
                  </w:r>
                  <w:r>
                    <w:rPr>
                      <w:rFonts w:hint="eastAsia"/>
                      <w:color w:val="auto"/>
                      <w:u w:val="none"/>
                      <w:vertAlign w:val="baseline"/>
                      <w:lang w:val="en-US" w:eastAsia="zh-CN"/>
                    </w:rPr>
                    <w:t>两个。</w:t>
                  </w:r>
                </w:p>
              </w:tc>
              <w:tc>
                <w:tcPr>
                  <w:tcW w:w="561" w:type="pct"/>
                  <w:shd w:val="clear" w:color="auto" w:fill="FFFFFF"/>
                  <w:noWrap w:val="0"/>
                  <w:tcMar>
                    <w:top w:w="0" w:type="dxa"/>
                    <w:left w:w="108" w:type="dxa"/>
                    <w:bottom w:w="0" w:type="dxa"/>
                    <w:right w:w="108" w:type="dxa"/>
                  </w:tcMar>
                  <w:vAlign w:val="center"/>
                </w:tcPr>
                <w:p>
                  <w:pPr>
                    <w:widowControl/>
                    <w:adjustRightInd w:val="0"/>
                    <w:snapToGrid w:val="0"/>
                    <w:jc w:val="center"/>
                    <w:rPr>
                      <w:rFonts w:hint="eastAsia" w:ascii="Times New Roman" w:hAnsi="Times New Roman" w:cs="Times New Roman"/>
                      <w:color w:val="auto"/>
                      <w:kern w:val="0"/>
                      <w:sz w:val="21"/>
                      <w:szCs w:val="21"/>
                      <w:lang w:eastAsia="zh-CN"/>
                    </w:rPr>
                  </w:pPr>
                  <w:r>
                    <w:rPr>
                      <w:rFonts w:hint="eastAsia" w:cs="Times New Roman"/>
                      <w:color w:val="auto"/>
                      <w:kern w:val="0"/>
                      <w:sz w:val="21"/>
                      <w:szCs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68" w:type="pct"/>
                  <w:vMerge w:val="continue"/>
                  <w:shd w:val="clear" w:color="auto" w:fill="FFFFFF"/>
                  <w:noWrap w:val="0"/>
                  <w:vAlign w:val="center"/>
                </w:tcPr>
                <w:p>
                  <w:pPr>
                    <w:widowControl/>
                    <w:adjustRightInd w:val="0"/>
                    <w:snapToGrid w:val="0"/>
                    <w:jc w:val="center"/>
                    <w:rPr>
                      <w:rFonts w:ascii="Times New Roman" w:hAnsi="Times New Roman" w:cs="Times New Roman"/>
                      <w:color w:val="auto"/>
                      <w:kern w:val="0"/>
                      <w:sz w:val="21"/>
                      <w:szCs w:val="21"/>
                    </w:rPr>
                  </w:pPr>
                </w:p>
              </w:tc>
              <w:tc>
                <w:tcPr>
                  <w:tcW w:w="412" w:type="pct"/>
                  <w:vMerge w:val="continue"/>
                  <w:shd w:val="clear" w:color="auto" w:fill="FFFFFF"/>
                  <w:noWrap w:val="0"/>
                  <w:vAlign w:val="center"/>
                </w:tcPr>
                <w:p>
                  <w:pPr>
                    <w:widowControl/>
                    <w:adjustRightInd w:val="0"/>
                    <w:snapToGrid w:val="0"/>
                    <w:jc w:val="center"/>
                    <w:rPr>
                      <w:rFonts w:ascii="Times New Roman" w:hAnsi="Times New Roman" w:cs="Times New Roman"/>
                      <w:color w:val="auto"/>
                      <w:kern w:val="0"/>
                      <w:sz w:val="21"/>
                      <w:szCs w:val="21"/>
                    </w:rPr>
                  </w:pPr>
                </w:p>
              </w:tc>
              <w:tc>
                <w:tcPr>
                  <w:tcW w:w="419" w:type="pct"/>
                  <w:shd w:val="clear" w:color="auto" w:fill="FFFFFF"/>
                  <w:noWrap w:val="0"/>
                  <w:tcMar>
                    <w:top w:w="0" w:type="dxa"/>
                    <w:left w:w="108" w:type="dxa"/>
                    <w:bottom w:w="0" w:type="dxa"/>
                    <w:right w:w="108" w:type="dxa"/>
                  </w:tcMar>
                  <w:vAlign w:val="center"/>
                </w:tcPr>
                <w:p>
                  <w:pPr>
                    <w:widowControl/>
                    <w:adjustRightInd w:val="0"/>
                    <w:snapToGrid w:val="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废气</w:t>
                  </w:r>
                </w:p>
              </w:tc>
              <w:tc>
                <w:tcPr>
                  <w:tcW w:w="3338" w:type="pct"/>
                  <w:shd w:val="clear" w:color="auto" w:fill="FFFFFF"/>
                  <w:noWrap w:val="0"/>
                  <w:tcMar>
                    <w:top w:w="0" w:type="dxa"/>
                    <w:left w:w="108" w:type="dxa"/>
                    <w:bottom w:w="0" w:type="dxa"/>
                    <w:right w:w="108" w:type="dxa"/>
                  </w:tcMar>
                  <w:vAlign w:val="center"/>
                </w:tcPr>
                <w:p>
                  <w:pPr>
                    <w:widowControl/>
                    <w:adjustRightInd w:val="0"/>
                    <w:snapToGrid w:val="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加工区喷淋除尘、洒水降尘</w:t>
                  </w:r>
                </w:p>
              </w:tc>
              <w:tc>
                <w:tcPr>
                  <w:tcW w:w="561" w:type="pct"/>
                  <w:shd w:val="clear" w:color="auto" w:fill="FFFFFF"/>
                  <w:noWrap w:val="0"/>
                  <w:tcMar>
                    <w:top w:w="0" w:type="dxa"/>
                    <w:left w:w="108" w:type="dxa"/>
                    <w:bottom w:w="0" w:type="dxa"/>
                    <w:right w:w="108" w:type="dxa"/>
                  </w:tcMar>
                  <w:vAlign w:val="center"/>
                </w:tcPr>
                <w:p>
                  <w:pPr>
                    <w:widowControl/>
                    <w:adjustRightInd w:val="0"/>
                    <w:snapToGrid w:val="0"/>
                    <w:jc w:val="center"/>
                    <w:rPr>
                      <w:rFonts w:ascii="Times New Roman" w:hAnsi="Times New Roman" w:cs="Times New Roman"/>
                      <w:color w:val="auto"/>
                      <w:kern w:val="0"/>
                      <w:sz w:val="21"/>
                      <w:szCs w:val="21"/>
                    </w:rPr>
                  </w:pPr>
                  <w:r>
                    <w:rPr>
                      <w:rFonts w:hint="eastAsia" w:cs="Times New Roman"/>
                      <w:color w:val="auto"/>
                      <w:kern w:val="0"/>
                      <w:sz w:val="21"/>
                      <w:szCs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68" w:type="pct"/>
                  <w:vMerge w:val="continue"/>
                  <w:shd w:val="clear" w:color="auto" w:fill="FFFFFF"/>
                  <w:noWrap w:val="0"/>
                  <w:vAlign w:val="center"/>
                </w:tcPr>
                <w:p>
                  <w:pPr>
                    <w:widowControl/>
                    <w:adjustRightInd w:val="0"/>
                    <w:snapToGrid w:val="0"/>
                    <w:jc w:val="center"/>
                    <w:rPr>
                      <w:rFonts w:ascii="Times New Roman" w:hAnsi="Times New Roman" w:cs="Times New Roman"/>
                      <w:color w:val="auto"/>
                      <w:kern w:val="0"/>
                      <w:sz w:val="21"/>
                      <w:szCs w:val="21"/>
                    </w:rPr>
                  </w:pPr>
                </w:p>
              </w:tc>
              <w:tc>
                <w:tcPr>
                  <w:tcW w:w="412" w:type="pct"/>
                  <w:vMerge w:val="continue"/>
                  <w:shd w:val="clear" w:color="auto" w:fill="FFFFFF"/>
                  <w:noWrap w:val="0"/>
                  <w:vAlign w:val="center"/>
                </w:tcPr>
                <w:p>
                  <w:pPr>
                    <w:widowControl/>
                    <w:adjustRightInd w:val="0"/>
                    <w:snapToGrid w:val="0"/>
                    <w:jc w:val="center"/>
                    <w:rPr>
                      <w:rFonts w:ascii="Times New Roman" w:hAnsi="Times New Roman" w:cs="Times New Roman"/>
                      <w:color w:val="auto"/>
                      <w:kern w:val="0"/>
                      <w:sz w:val="21"/>
                      <w:szCs w:val="21"/>
                    </w:rPr>
                  </w:pPr>
                </w:p>
              </w:tc>
              <w:tc>
                <w:tcPr>
                  <w:tcW w:w="419" w:type="pct"/>
                  <w:shd w:val="clear" w:color="auto" w:fill="FFFFFF"/>
                  <w:noWrap w:val="0"/>
                  <w:tcMar>
                    <w:top w:w="0" w:type="dxa"/>
                    <w:left w:w="108" w:type="dxa"/>
                    <w:bottom w:w="0" w:type="dxa"/>
                    <w:right w:w="108" w:type="dxa"/>
                  </w:tcMar>
                  <w:vAlign w:val="center"/>
                </w:tcPr>
                <w:p>
                  <w:pPr>
                    <w:widowControl/>
                    <w:adjustRightInd w:val="0"/>
                    <w:snapToGrid w:val="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噪声</w:t>
                  </w:r>
                </w:p>
              </w:tc>
              <w:tc>
                <w:tcPr>
                  <w:tcW w:w="3338" w:type="pct"/>
                  <w:shd w:val="clear" w:color="auto" w:fill="FFFFFF"/>
                  <w:noWrap w:val="0"/>
                  <w:tcMar>
                    <w:top w:w="0" w:type="dxa"/>
                    <w:left w:w="108" w:type="dxa"/>
                    <w:bottom w:w="0" w:type="dxa"/>
                    <w:right w:w="108" w:type="dxa"/>
                  </w:tcMar>
                  <w:vAlign w:val="center"/>
                </w:tcPr>
                <w:p>
                  <w:pPr>
                    <w:widowControl/>
                    <w:adjustRightInd w:val="0"/>
                    <w:snapToGrid w:val="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全封闭的生产车间，基础减震，设置围墙降噪</w:t>
                  </w:r>
                </w:p>
              </w:tc>
              <w:tc>
                <w:tcPr>
                  <w:tcW w:w="561" w:type="pct"/>
                  <w:shd w:val="clear" w:color="auto" w:fill="FFFFFF"/>
                  <w:noWrap w:val="0"/>
                  <w:tcMar>
                    <w:top w:w="0" w:type="dxa"/>
                    <w:left w:w="108" w:type="dxa"/>
                    <w:bottom w:w="0" w:type="dxa"/>
                    <w:right w:w="108" w:type="dxa"/>
                  </w:tcMar>
                  <w:vAlign w:val="center"/>
                </w:tcPr>
                <w:p>
                  <w:pPr>
                    <w:widowControl/>
                    <w:adjustRightInd w:val="0"/>
                    <w:snapToGrid w:val="0"/>
                    <w:jc w:val="center"/>
                    <w:rPr>
                      <w:rFonts w:ascii="Times New Roman" w:hAnsi="Times New Roman" w:cs="Times New Roman"/>
                      <w:color w:val="auto"/>
                      <w:kern w:val="0"/>
                      <w:sz w:val="21"/>
                      <w:szCs w:val="21"/>
                    </w:rPr>
                  </w:pPr>
                  <w:r>
                    <w:rPr>
                      <w:rFonts w:hint="eastAsia" w:cs="Times New Roman"/>
                      <w:color w:val="auto"/>
                      <w:kern w:val="0"/>
                      <w:sz w:val="21"/>
                      <w:szCs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68" w:type="pct"/>
                  <w:vMerge w:val="continue"/>
                  <w:shd w:val="clear" w:color="auto" w:fill="FFFFFF"/>
                  <w:noWrap w:val="0"/>
                  <w:vAlign w:val="center"/>
                </w:tcPr>
                <w:p>
                  <w:pPr>
                    <w:widowControl/>
                    <w:adjustRightInd w:val="0"/>
                    <w:snapToGrid w:val="0"/>
                    <w:jc w:val="center"/>
                    <w:rPr>
                      <w:rFonts w:ascii="Times New Roman" w:hAnsi="Times New Roman" w:cs="Times New Roman"/>
                      <w:color w:val="auto"/>
                      <w:kern w:val="0"/>
                      <w:sz w:val="21"/>
                      <w:szCs w:val="21"/>
                    </w:rPr>
                  </w:pPr>
                </w:p>
              </w:tc>
              <w:tc>
                <w:tcPr>
                  <w:tcW w:w="412" w:type="pct"/>
                  <w:vMerge w:val="continue"/>
                  <w:shd w:val="clear" w:color="auto" w:fill="FFFFFF"/>
                  <w:noWrap w:val="0"/>
                  <w:vAlign w:val="center"/>
                </w:tcPr>
                <w:p>
                  <w:pPr>
                    <w:widowControl/>
                    <w:adjustRightInd w:val="0"/>
                    <w:snapToGrid w:val="0"/>
                    <w:jc w:val="center"/>
                    <w:rPr>
                      <w:rFonts w:ascii="Times New Roman" w:hAnsi="Times New Roman" w:cs="Times New Roman"/>
                      <w:color w:val="auto"/>
                      <w:kern w:val="0"/>
                      <w:sz w:val="21"/>
                      <w:szCs w:val="21"/>
                    </w:rPr>
                  </w:pPr>
                </w:p>
              </w:tc>
              <w:tc>
                <w:tcPr>
                  <w:tcW w:w="419" w:type="pct"/>
                  <w:shd w:val="clear" w:color="auto" w:fill="FFFFFF"/>
                  <w:noWrap w:val="0"/>
                  <w:tcMar>
                    <w:top w:w="0" w:type="dxa"/>
                    <w:left w:w="108" w:type="dxa"/>
                    <w:bottom w:w="0" w:type="dxa"/>
                    <w:right w:w="108" w:type="dxa"/>
                  </w:tcMar>
                  <w:vAlign w:val="center"/>
                </w:tcPr>
                <w:p>
                  <w:pPr>
                    <w:widowControl/>
                    <w:adjustRightInd w:val="0"/>
                    <w:snapToGrid w:val="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固废</w:t>
                  </w:r>
                </w:p>
              </w:tc>
              <w:tc>
                <w:tcPr>
                  <w:tcW w:w="3338" w:type="pct"/>
                  <w:shd w:val="clear" w:color="auto" w:fill="FFFFFF"/>
                  <w:noWrap w:val="0"/>
                  <w:tcMar>
                    <w:top w:w="0" w:type="dxa"/>
                    <w:left w:w="108" w:type="dxa"/>
                    <w:bottom w:w="0" w:type="dxa"/>
                    <w:right w:w="108" w:type="dxa"/>
                  </w:tcMar>
                  <w:vAlign w:val="center"/>
                </w:tcPr>
                <w:p>
                  <w:pPr>
                    <w:widowControl/>
                    <w:adjustRightInd w:val="0"/>
                    <w:snapToGrid w:val="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生活垃圾集中收集定期清运交由环卫部门处理、</w:t>
                  </w:r>
                  <w:r>
                    <w:rPr>
                      <w:rFonts w:hint="eastAsia" w:ascii="Times New Roman" w:hAnsi="Times New Roman" w:cs="Times New Roman"/>
                      <w:color w:val="auto"/>
                      <w:kern w:val="0"/>
                      <w:sz w:val="21"/>
                      <w:szCs w:val="21"/>
                    </w:rPr>
                    <w:t>沉淀</w:t>
                  </w:r>
                  <w:r>
                    <w:rPr>
                      <w:rFonts w:hint="eastAsia" w:cs="Times New Roman"/>
                      <w:color w:val="auto"/>
                      <w:kern w:val="0"/>
                      <w:sz w:val="21"/>
                      <w:szCs w:val="21"/>
                      <w:lang w:eastAsia="zh-CN"/>
                    </w:rPr>
                    <w:t>压滤</w:t>
                  </w:r>
                  <w:r>
                    <w:rPr>
                      <w:rFonts w:ascii="Times New Roman" w:hAnsi="Times New Roman" w:cs="Times New Roman"/>
                      <w:color w:val="auto"/>
                      <w:kern w:val="0"/>
                      <w:sz w:val="21"/>
                      <w:szCs w:val="21"/>
                    </w:rPr>
                    <w:t>污泥交由砖厂综合利用</w:t>
                  </w:r>
                </w:p>
              </w:tc>
              <w:tc>
                <w:tcPr>
                  <w:tcW w:w="561" w:type="pct"/>
                  <w:shd w:val="clear" w:color="auto" w:fill="FFFFFF"/>
                  <w:noWrap w:val="0"/>
                  <w:tcMar>
                    <w:top w:w="0" w:type="dxa"/>
                    <w:left w:w="108" w:type="dxa"/>
                    <w:bottom w:w="0" w:type="dxa"/>
                    <w:right w:w="108" w:type="dxa"/>
                  </w:tcMar>
                  <w:vAlign w:val="center"/>
                </w:tcPr>
                <w:p>
                  <w:pPr>
                    <w:widowControl/>
                    <w:adjustRightInd w:val="0"/>
                    <w:snapToGrid w:val="0"/>
                    <w:jc w:val="center"/>
                    <w:rPr>
                      <w:rFonts w:ascii="Times New Roman" w:hAnsi="Times New Roman" w:cs="Times New Roman"/>
                      <w:color w:val="auto"/>
                      <w:kern w:val="0"/>
                      <w:sz w:val="21"/>
                      <w:szCs w:val="21"/>
                    </w:rPr>
                  </w:pPr>
                  <w:r>
                    <w:rPr>
                      <w:rFonts w:hint="eastAsia" w:cs="Times New Roman"/>
                      <w:color w:val="auto"/>
                      <w:kern w:val="0"/>
                      <w:sz w:val="21"/>
                      <w:szCs w:val="21"/>
                      <w:lang w:eastAsia="zh-CN"/>
                    </w:rPr>
                    <w:t>新建</w:t>
                  </w:r>
                </w:p>
              </w:tc>
            </w:tr>
          </w:tbl>
          <w:p>
            <w:pPr>
              <w:adjustRightInd w:val="0"/>
              <w:snapToGrid w:val="0"/>
              <w:rPr>
                <w:bCs/>
                <w:color w:val="auto"/>
                <w:szCs w:val="21"/>
              </w:rPr>
            </w:pPr>
          </w:p>
          <w:p>
            <w:pPr>
              <w:adjustRightInd w:val="0"/>
              <w:snapToGrid w:val="0"/>
              <w:spacing w:line="360" w:lineRule="auto"/>
              <w:rPr>
                <w:b/>
                <w:bCs/>
                <w:color w:val="auto"/>
                <w:szCs w:val="21"/>
              </w:rPr>
            </w:pPr>
            <w:r>
              <w:rPr>
                <w:b/>
                <w:bCs/>
                <w:color w:val="auto"/>
                <w:szCs w:val="21"/>
              </w:rPr>
              <w:t>3、主要产品及产能</w:t>
            </w:r>
          </w:p>
          <w:p>
            <w:pPr>
              <w:pStyle w:val="5"/>
              <w:spacing w:after="0" w:line="360" w:lineRule="auto"/>
              <w:ind w:firstLineChars="200"/>
              <w:rPr>
                <w:b/>
                <w:bCs/>
                <w:color w:val="auto"/>
                <w:szCs w:val="21"/>
              </w:rPr>
            </w:pPr>
            <w:r>
              <w:rPr>
                <w:color w:val="auto"/>
              </w:rPr>
              <w:t>本项目主要的产品方案见表2-2。</w:t>
            </w:r>
          </w:p>
          <w:p>
            <w:pPr>
              <w:pStyle w:val="8"/>
              <w:ind w:firstLine="210"/>
              <w:rPr>
                <w:color w:val="auto"/>
                <w:sz w:val="21"/>
              </w:rPr>
            </w:pPr>
            <w:r>
              <w:rPr>
                <w:color w:val="auto"/>
                <w:sz w:val="21"/>
              </w:rPr>
              <w:t>表</w:t>
            </w:r>
            <w:r>
              <w:rPr>
                <w:color w:val="auto"/>
                <w:sz w:val="21"/>
                <w:lang w:eastAsia="zh-CN"/>
              </w:rPr>
              <w:t>2-2</w:t>
            </w:r>
            <w:r>
              <w:rPr>
                <w:color w:val="auto"/>
                <w:sz w:val="21"/>
              </w:rPr>
              <w:t xml:space="preserve">  项目主要产品方案一览表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0"/>
              <w:gridCol w:w="1987"/>
              <w:gridCol w:w="1568"/>
              <w:gridCol w:w="2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052" w:type="pct"/>
                  <w:noWrap w:val="0"/>
                  <w:vAlign w:val="center"/>
                </w:tcPr>
                <w:p>
                  <w:pPr>
                    <w:pStyle w:val="45"/>
                    <w:rPr>
                      <w:color w:val="auto"/>
                      <w:u w:val="none"/>
                    </w:rPr>
                  </w:pPr>
                  <w:r>
                    <w:rPr>
                      <w:color w:val="auto"/>
                      <w:u w:val="none"/>
                    </w:rPr>
                    <w:t>产品名称</w:t>
                  </w:r>
                </w:p>
              </w:tc>
              <w:tc>
                <w:tcPr>
                  <w:tcW w:w="1252" w:type="pct"/>
                  <w:noWrap w:val="0"/>
                  <w:vAlign w:val="center"/>
                </w:tcPr>
                <w:p>
                  <w:pPr>
                    <w:pStyle w:val="45"/>
                    <w:rPr>
                      <w:color w:val="auto"/>
                      <w:u w:val="none"/>
                    </w:rPr>
                  </w:pPr>
                  <w:r>
                    <w:rPr>
                      <w:color w:val="auto"/>
                      <w:u w:val="none"/>
                    </w:rPr>
                    <w:t>产品粒径</w:t>
                  </w:r>
                </w:p>
              </w:tc>
              <w:tc>
                <w:tcPr>
                  <w:tcW w:w="988" w:type="pct"/>
                  <w:noWrap w:val="0"/>
                  <w:vAlign w:val="center"/>
                </w:tcPr>
                <w:p>
                  <w:pPr>
                    <w:pStyle w:val="45"/>
                    <w:rPr>
                      <w:color w:val="auto"/>
                      <w:u w:val="none"/>
                    </w:rPr>
                  </w:pPr>
                  <w:r>
                    <w:rPr>
                      <w:color w:val="auto"/>
                      <w:u w:val="none"/>
                    </w:rPr>
                    <w:t>产量 (万吨)</w:t>
                  </w:r>
                </w:p>
              </w:tc>
              <w:tc>
                <w:tcPr>
                  <w:tcW w:w="1706" w:type="pct"/>
                  <w:noWrap w:val="0"/>
                  <w:vAlign w:val="center"/>
                </w:tcPr>
                <w:p>
                  <w:pPr>
                    <w:pStyle w:val="45"/>
                    <w:rPr>
                      <w:color w:val="auto"/>
                      <w:u w:val="none"/>
                    </w:rPr>
                  </w:pPr>
                  <w:r>
                    <w:rPr>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052" w:type="pct"/>
                  <w:noWrap w:val="0"/>
                  <w:vAlign w:val="center"/>
                </w:tcPr>
                <w:p>
                  <w:pPr>
                    <w:pStyle w:val="45"/>
                    <w:rPr>
                      <w:rFonts w:hint="eastAsia" w:eastAsia="宋体"/>
                      <w:color w:val="auto"/>
                      <w:u w:val="none"/>
                      <w:lang w:eastAsia="zh-CN"/>
                    </w:rPr>
                  </w:pPr>
                  <w:r>
                    <w:rPr>
                      <w:rFonts w:hint="eastAsia"/>
                      <w:color w:val="auto"/>
                      <w:u w:val="none"/>
                      <w:lang w:eastAsia="zh-CN"/>
                    </w:rPr>
                    <w:t>碎石</w:t>
                  </w:r>
                </w:p>
              </w:tc>
              <w:tc>
                <w:tcPr>
                  <w:tcW w:w="1252" w:type="pct"/>
                  <w:noWrap w:val="0"/>
                  <w:vAlign w:val="center"/>
                </w:tcPr>
                <w:p>
                  <w:pPr>
                    <w:pStyle w:val="45"/>
                    <w:rPr>
                      <w:rFonts w:hint="default" w:eastAsia="宋体"/>
                      <w:color w:val="auto"/>
                      <w:u w:val="none"/>
                      <w:lang w:val="en-US" w:eastAsia="zh-CN"/>
                    </w:rPr>
                  </w:pPr>
                  <w:r>
                    <w:rPr>
                      <w:rFonts w:hint="eastAsia"/>
                      <w:color w:val="auto"/>
                      <w:u w:val="none"/>
                      <w:lang w:val="en-US" w:eastAsia="zh-CN"/>
                    </w:rPr>
                    <w:t>12</w:t>
                  </w:r>
                  <w:r>
                    <w:rPr>
                      <w:rFonts w:hint="default" w:ascii="Times New Roman" w:hAnsi="Times New Roman" w:cs="Times New Roman"/>
                      <w:b/>
                      <w:bCs/>
                      <w:color w:val="auto"/>
                      <w:szCs w:val="21"/>
                    </w:rPr>
                    <w:t>~</w:t>
                  </w:r>
                  <w:r>
                    <w:rPr>
                      <w:rFonts w:hint="eastAsia"/>
                      <w:color w:val="auto"/>
                      <w:u w:val="none"/>
                      <w:lang w:val="en-US" w:eastAsia="zh-CN"/>
                    </w:rPr>
                    <w:t>33</w:t>
                  </w:r>
                  <w:r>
                    <w:rPr>
                      <w:color w:val="auto"/>
                      <w:u w:val="none"/>
                    </w:rPr>
                    <w:t>mm</w:t>
                  </w:r>
                </w:p>
              </w:tc>
              <w:tc>
                <w:tcPr>
                  <w:tcW w:w="988" w:type="pct"/>
                  <w:noWrap w:val="0"/>
                  <w:vAlign w:val="center"/>
                </w:tcPr>
                <w:p>
                  <w:pPr>
                    <w:pStyle w:val="45"/>
                    <w:rPr>
                      <w:rFonts w:hint="eastAsia" w:eastAsia="宋体"/>
                      <w:color w:val="auto"/>
                      <w:sz w:val="21"/>
                      <w:szCs w:val="21"/>
                      <w:u w:val="none"/>
                      <w:lang w:eastAsia="zh-CN"/>
                    </w:rPr>
                  </w:pPr>
                  <w:r>
                    <w:rPr>
                      <w:rFonts w:hint="eastAsia"/>
                      <w:color w:val="auto"/>
                      <w:sz w:val="21"/>
                      <w:szCs w:val="21"/>
                      <w:u w:val="none"/>
                      <w:lang w:val="en-US" w:eastAsia="zh-CN"/>
                    </w:rPr>
                    <w:t>5</w:t>
                  </w:r>
                </w:p>
              </w:tc>
              <w:tc>
                <w:tcPr>
                  <w:tcW w:w="1706" w:type="pct"/>
                  <w:vMerge w:val="restart"/>
                  <w:noWrap w:val="0"/>
                  <w:vAlign w:val="center"/>
                </w:tcPr>
                <w:p>
                  <w:pPr>
                    <w:pStyle w:val="45"/>
                    <w:rPr>
                      <w:rFonts w:hint="eastAsia"/>
                      <w:color w:val="auto"/>
                      <w:sz w:val="21"/>
                      <w:szCs w:val="21"/>
                      <w:u w:val="none"/>
                    </w:rPr>
                  </w:pPr>
                  <w:r>
                    <w:rPr>
                      <w:color w:val="auto"/>
                    </w:rPr>
                    <w:t>直接销往附近乡镇或外地作建筑施工材料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052" w:type="pct"/>
                  <w:noWrap w:val="0"/>
                  <w:vAlign w:val="center"/>
                </w:tcPr>
                <w:p>
                  <w:pPr>
                    <w:pStyle w:val="45"/>
                    <w:rPr>
                      <w:rFonts w:hint="eastAsia"/>
                      <w:color w:val="auto"/>
                      <w:u w:val="none"/>
                      <w:lang w:eastAsia="zh-CN"/>
                    </w:rPr>
                  </w:pPr>
                  <w:r>
                    <w:rPr>
                      <w:rFonts w:hint="eastAsia"/>
                      <w:color w:val="auto"/>
                      <w:u w:val="none"/>
                      <w:lang w:eastAsia="zh-CN"/>
                    </w:rPr>
                    <w:t>机制砂</w:t>
                  </w:r>
                </w:p>
              </w:tc>
              <w:tc>
                <w:tcPr>
                  <w:tcW w:w="1252" w:type="pct"/>
                  <w:noWrap w:val="0"/>
                  <w:vAlign w:val="center"/>
                </w:tcPr>
                <w:p>
                  <w:pPr>
                    <w:pStyle w:val="45"/>
                    <w:rPr>
                      <w:color w:val="auto"/>
                      <w:u w:val="none"/>
                    </w:rPr>
                  </w:pPr>
                  <w:r>
                    <w:rPr>
                      <w:color w:val="auto"/>
                      <w:u w:val="none"/>
                    </w:rPr>
                    <w:t>＜</w:t>
                  </w:r>
                  <w:r>
                    <w:rPr>
                      <w:rFonts w:hint="eastAsia"/>
                      <w:color w:val="auto"/>
                      <w:u w:val="none"/>
                      <w:lang w:val="en-US" w:eastAsia="zh-CN"/>
                    </w:rPr>
                    <w:t>5</w:t>
                  </w:r>
                  <w:r>
                    <w:rPr>
                      <w:color w:val="auto"/>
                      <w:u w:val="none"/>
                    </w:rPr>
                    <w:t>mm</w:t>
                  </w:r>
                </w:p>
              </w:tc>
              <w:tc>
                <w:tcPr>
                  <w:tcW w:w="988" w:type="pct"/>
                  <w:noWrap w:val="0"/>
                  <w:vAlign w:val="center"/>
                </w:tcPr>
                <w:p>
                  <w:pPr>
                    <w:pStyle w:val="45"/>
                    <w:rPr>
                      <w:rFonts w:hint="default" w:eastAsia="宋体"/>
                      <w:color w:val="auto"/>
                      <w:sz w:val="21"/>
                      <w:szCs w:val="21"/>
                      <w:u w:val="none"/>
                      <w:lang w:val="en-US" w:eastAsia="zh-CN"/>
                    </w:rPr>
                  </w:pPr>
                  <w:r>
                    <w:rPr>
                      <w:rFonts w:hint="eastAsia"/>
                      <w:color w:val="auto"/>
                      <w:sz w:val="21"/>
                      <w:szCs w:val="21"/>
                      <w:u w:val="none"/>
                      <w:lang w:val="en-US" w:eastAsia="zh-CN"/>
                    </w:rPr>
                    <w:t>5</w:t>
                  </w:r>
                </w:p>
              </w:tc>
              <w:tc>
                <w:tcPr>
                  <w:tcW w:w="1706" w:type="pct"/>
                  <w:vMerge w:val="continue"/>
                  <w:noWrap w:val="0"/>
                  <w:vAlign w:val="center"/>
                </w:tcPr>
                <w:p>
                  <w:pPr>
                    <w:pStyle w:val="4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052" w:type="pct"/>
                  <w:noWrap w:val="0"/>
                  <w:vAlign w:val="center"/>
                </w:tcPr>
                <w:p>
                  <w:pPr>
                    <w:pStyle w:val="45"/>
                    <w:rPr>
                      <w:rFonts w:hint="eastAsia" w:eastAsia="宋体"/>
                      <w:color w:val="auto"/>
                      <w:u w:val="none"/>
                      <w:lang w:val="en-US" w:eastAsia="zh-CN"/>
                    </w:rPr>
                  </w:pPr>
                  <w:r>
                    <w:rPr>
                      <w:rFonts w:hint="eastAsia"/>
                      <w:color w:val="auto"/>
                      <w:u w:val="none"/>
                      <w:lang w:eastAsia="zh-CN"/>
                    </w:rPr>
                    <w:t>陶瓷原料</w:t>
                  </w:r>
                </w:p>
              </w:tc>
              <w:tc>
                <w:tcPr>
                  <w:tcW w:w="1252" w:type="pct"/>
                  <w:noWrap w:val="0"/>
                  <w:vAlign w:val="center"/>
                </w:tcPr>
                <w:p>
                  <w:pPr>
                    <w:pStyle w:val="45"/>
                    <w:rPr>
                      <w:color w:val="auto"/>
                      <w:u w:val="none"/>
                    </w:rPr>
                  </w:pPr>
                  <w:r>
                    <w:rPr>
                      <w:color w:val="auto"/>
                      <w:u w:val="none"/>
                    </w:rPr>
                    <w:t>＜</w:t>
                  </w:r>
                  <w:r>
                    <w:rPr>
                      <w:rFonts w:hint="eastAsia"/>
                      <w:color w:val="auto"/>
                      <w:u w:val="none"/>
                    </w:rPr>
                    <w:t>12</w:t>
                  </w:r>
                  <w:r>
                    <w:rPr>
                      <w:color w:val="auto"/>
                      <w:u w:val="none"/>
                    </w:rPr>
                    <w:t>mm</w:t>
                  </w:r>
                </w:p>
              </w:tc>
              <w:tc>
                <w:tcPr>
                  <w:tcW w:w="988" w:type="pct"/>
                  <w:noWrap w:val="0"/>
                  <w:vAlign w:val="center"/>
                </w:tcPr>
                <w:p>
                  <w:pPr>
                    <w:pStyle w:val="45"/>
                    <w:rPr>
                      <w:rFonts w:hint="default" w:eastAsia="宋体"/>
                      <w:color w:val="auto"/>
                      <w:sz w:val="21"/>
                      <w:szCs w:val="21"/>
                      <w:u w:val="none"/>
                      <w:lang w:val="en-US" w:eastAsia="zh-CN"/>
                    </w:rPr>
                  </w:pPr>
                  <w:r>
                    <w:rPr>
                      <w:rFonts w:hint="eastAsia"/>
                      <w:color w:val="auto"/>
                      <w:sz w:val="21"/>
                      <w:szCs w:val="21"/>
                      <w:u w:val="none"/>
                      <w:lang w:val="en-US" w:eastAsia="zh-CN"/>
                    </w:rPr>
                    <w:t>10</w:t>
                  </w:r>
                </w:p>
              </w:tc>
              <w:tc>
                <w:tcPr>
                  <w:tcW w:w="1706" w:type="pct"/>
                  <w:noWrap w:val="0"/>
                  <w:vAlign w:val="center"/>
                </w:tcPr>
                <w:p>
                  <w:pPr>
                    <w:pStyle w:val="45"/>
                    <w:rPr>
                      <w:rFonts w:hint="eastAsia"/>
                      <w:color w:val="auto"/>
                      <w:sz w:val="21"/>
                      <w:szCs w:val="21"/>
                      <w:u w:val="none"/>
                      <w:lang w:val="en-US" w:eastAsia="zh-CN"/>
                    </w:rPr>
                  </w:pPr>
                  <w:r>
                    <w:rPr>
                      <w:color w:val="auto"/>
                    </w:rPr>
                    <w:t>外销作为陶瓷厂原料</w:t>
                  </w:r>
                </w:p>
              </w:tc>
            </w:tr>
          </w:tbl>
          <w:p>
            <w:pPr>
              <w:pStyle w:val="5"/>
              <w:rPr>
                <w:color w:val="auto"/>
                <w:lang w:eastAsia="zh-CN"/>
              </w:rPr>
            </w:pPr>
          </w:p>
          <w:p>
            <w:pPr>
              <w:adjustRightInd w:val="0"/>
              <w:snapToGrid w:val="0"/>
              <w:spacing w:line="360" w:lineRule="auto"/>
              <w:rPr>
                <w:b/>
                <w:bCs/>
                <w:color w:val="auto"/>
                <w:szCs w:val="21"/>
              </w:rPr>
            </w:pPr>
            <w:r>
              <w:rPr>
                <w:b/>
                <w:bCs/>
                <w:color w:val="auto"/>
                <w:szCs w:val="21"/>
              </w:rPr>
              <w:t>4、主要生产设施及设施参数</w:t>
            </w:r>
          </w:p>
          <w:p>
            <w:pPr>
              <w:pStyle w:val="5"/>
              <w:spacing w:after="0" w:line="360" w:lineRule="auto"/>
              <w:ind w:firstLineChars="200"/>
              <w:rPr>
                <w:color w:val="auto"/>
              </w:rPr>
            </w:pPr>
            <w:r>
              <w:rPr>
                <w:color w:val="auto"/>
              </w:rPr>
              <w:t>本项目主要生产设备见表2-3。</w:t>
            </w:r>
          </w:p>
          <w:p>
            <w:pPr>
              <w:pStyle w:val="8"/>
              <w:ind w:firstLine="210"/>
              <w:rPr>
                <w:color w:val="auto"/>
                <w:sz w:val="21"/>
                <w:lang w:eastAsia="zh-CN"/>
              </w:rPr>
            </w:pPr>
            <w:r>
              <w:rPr>
                <w:color w:val="auto"/>
                <w:sz w:val="21"/>
              </w:rPr>
              <w:t>表</w:t>
            </w:r>
            <w:r>
              <w:rPr>
                <w:color w:val="auto"/>
                <w:sz w:val="21"/>
                <w:lang w:eastAsia="zh-CN"/>
              </w:rPr>
              <w:t>2-3</w:t>
            </w:r>
            <w:r>
              <w:rPr>
                <w:color w:val="auto"/>
                <w:sz w:val="21"/>
              </w:rPr>
              <w:t xml:space="preserve">  项目主要设备一览表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1"/>
              <w:gridCol w:w="1951"/>
              <w:gridCol w:w="2295"/>
              <w:gridCol w:w="1285"/>
              <w:gridCol w:w="1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1" w:type="dxa"/>
                  <w:noWrap w:val="0"/>
                  <w:vAlign w:val="center"/>
                </w:tcPr>
                <w:p>
                  <w:pPr>
                    <w:pStyle w:val="45"/>
                    <w:rPr>
                      <w:color w:val="auto"/>
                      <w:u w:val="none"/>
                    </w:rPr>
                  </w:pPr>
                  <w:r>
                    <w:rPr>
                      <w:color w:val="auto"/>
                      <w:u w:val="none"/>
                    </w:rPr>
                    <w:t>序号</w:t>
                  </w:r>
                </w:p>
              </w:tc>
              <w:tc>
                <w:tcPr>
                  <w:tcW w:w="1951" w:type="dxa"/>
                  <w:noWrap w:val="0"/>
                  <w:vAlign w:val="center"/>
                </w:tcPr>
                <w:p>
                  <w:pPr>
                    <w:pStyle w:val="45"/>
                    <w:rPr>
                      <w:color w:val="auto"/>
                      <w:u w:val="none"/>
                    </w:rPr>
                  </w:pPr>
                  <w:r>
                    <w:rPr>
                      <w:color w:val="auto"/>
                      <w:u w:val="none"/>
                    </w:rPr>
                    <w:t>设备名称</w:t>
                  </w:r>
                </w:p>
              </w:tc>
              <w:tc>
                <w:tcPr>
                  <w:tcW w:w="2295" w:type="dxa"/>
                  <w:noWrap w:val="0"/>
                  <w:vAlign w:val="center"/>
                </w:tcPr>
                <w:p>
                  <w:pPr>
                    <w:pStyle w:val="45"/>
                    <w:rPr>
                      <w:color w:val="auto"/>
                      <w:u w:val="none"/>
                    </w:rPr>
                  </w:pPr>
                  <w:r>
                    <w:rPr>
                      <w:color w:val="auto"/>
                      <w:u w:val="none"/>
                    </w:rPr>
                    <w:t>规格型号</w:t>
                  </w:r>
                </w:p>
              </w:tc>
              <w:tc>
                <w:tcPr>
                  <w:tcW w:w="1285" w:type="dxa"/>
                  <w:noWrap w:val="0"/>
                  <w:vAlign w:val="center"/>
                </w:tcPr>
                <w:p>
                  <w:pPr>
                    <w:pStyle w:val="45"/>
                    <w:rPr>
                      <w:color w:val="auto"/>
                      <w:u w:val="none"/>
                    </w:rPr>
                  </w:pPr>
                  <w:r>
                    <w:rPr>
                      <w:color w:val="auto"/>
                      <w:u w:val="none"/>
                    </w:rPr>
                    <w:t>数量</w:t>
                  </w:r>
                </w:p>
              </w:tc>
              <w:tc>
                <w:tcPr>
                  <w:tcW w:w="1283" w:type="dxa"/>
                  <w:noWrap w:val="0"/>
                  <w:vAlign w:val="center"/>
                </w:tcPr>
                <w:p>
                  <w:pPr>
                    <w:pStyle w:val="45"/>
                    <w:rPr>
                      <w:color w:val="auto"/>
                      <w:u w:val="none"/>
                    </w:rPr>
                  </w:pPr>
                  <w:r>
                    <w:rPr>
                      <w:color w:val="auto"/>
                      <w:u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1" w:type="dxa"/>
                  <w:noWrap w:val="0"/>
                  <w:vAlign w:val="center"/>
                </w:tcPr>
                <w:p>
                  <w:pPr>
                    <w:pStyle w:val="45"/>
                    <w:rPr>
                      <w:color w:val="auto"/>
                      <w:u w:val="none"/>
                    </w:rPr>
                  </w:pPr>
                  <w:r>
                    <w:rPr>
                      <w:color w:val="auto"/>
                      <w:u w:val="none"/>
                    </w:rPr>
                    <w:t>1</w:t>
                  </w:r>
                </w:p>
              </w:tc>
              <w:tc>
                <w:tcPr>
                  <w:tcW w:w="1951" w:type="dxa"/>
                  <w:noWrap w:val="0"/>
                  <w:vAlign w:val="center"/>
                </w:tcPr>
                <w:p>
                  <w:pPr>
                    <w:pStyle w:val="45"/>
                    <w:rPr>
                      <w:color w:val="auto"/>
                      <w:u w:val="none"/>
                    </w:rPr>
                  </w:pPr>
                  <w:r>
                    <w:rPr>
                      <w:color w:val="auto"/>
                      <w:u w:val="none"/>
                    </w:rPr>
                    <w:t>给料机</w:t>
                  </w:r>
                </w:p>
              </w:tc>
              <w:tc>
                <w:tcPr>
                  <w:tcW w:w="2295" w:type="dxa"/>
                  <w:noWrap w:val="0"/>
                  <w:vAlign w:val="center"/>
                </w:tcPr>
                <w:p>
                  <w:pPr>
                    <w:pStyle w:val="45"/>
                    <w:rPr>
                      <w:rFonts w:hint="eastAsia"/>
                      <w:color w:val="auto"/>
                      <w:u w:val="none"/>
                    </w:rPr>
                  </w:pPr>
                  <w:r>
                    <w:rPr>
                      <w:rFonts w:hint="eastAsia"/>
                      <w:color w:val="auto"/>
                      <w:u w:val="none"/>
                    </w:rPr>
                    <w:t>1</w:t>
                  </w:r>
                  <w:r>
                    <w:rPr>
                      <w:rFonts w:hint="eastAsia"/>
                      <w:color w:val="auto"/>
                      <w:u w:val="none"/>
                      <w:lang w:val="en-US" w:eastAsia="zh-CN"/>
                    </w:rPr>
                    <w:t>.</w:t>
                  </w:r>
                  <w:r>
                    <w:rPr>
                      <w:rFonts w:hint="eastAsia"/>
                      <w:color w:val="auto"/>
                      <w:u w:val="none"/>
                    </w:rPr>
                    <w:t>2</w:t>
                  </w:r>
                  <w:r>
                    <w:rPr>
                      <w:rFonts w:hint="default" w:ascii="Arial" w:hAnsi="Arial" w:cs="Arial"/>
                      <w:color w:val="auto"/>
                      <w:u w:val="none"/>
                      <w:lang w:val="en-US" w:eastAsia="zh-CN"/>
                    </w:rPr>
                    <w:t>×</w:t>
                  </w:r>
                  <w:r>
                    <w:rPr>
                      <w:rFonts w:hint="eastAsia"/>
                      <w:color w:val="auto"/>
                      <w:u w:val="none"/>
                    </w:rPr>
                    <w:t>6米</w:t>
                  </w:r>
                </w:p>
              </w:tc>
              <w:tc>
                <w:tcPr>
                  <w:tcW w:w="1285" w:type="dxa"/>
                  <w:noWrap w:val="0"/>
                  <w:vAlign w:val="center"/>
                </w:tcPr>
                <w:p>
                  <w:pPr>
                    <w:pStyle w:val="45"/>
                    <w:rPr>
                      <w:color w:val="auto"/>
                      <w:u w:val="none"/>
                    </w:rPr>
                  </w:pPr>
                  <w:r>
                    <w:rPr>
                      <w:rFonts w:hint="eastAsia"/>
                      <w:color w:val="auto"/>
                      <w:u w:val="none"/>
                    </w:rPr>
                    <w:t>1</w:t>
                  </w:r>
                  <w:r>
                    <w:rPr>
                      <w:color w:val="auto"/>
                      <w:u w:val="none"/>
                    </w:rPr>
                    <w:t>台</w:t>
                  </w:r>
                </w:p>
              </w:tc>
              <w:tc>
                <w:tcPr>
                  <w:tcW w:w="1283" w:type="dxa"/>
                  <w:noWrap w:val="0"/>
                  <w:vAlign w:val="center"/>
                </w:tcPr>
                <w:p>
                  <w:pPr>
                    <w:pStyle w:val="45"/>
                    <w:jc w:val="both"/>
                    <w:rPr>
                      <w:rFonts w:hint="eastAsia"/>
                      <w:color w:val="auto"/>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1" w:type="dxa"/>
                  <w:noWrap w:val="0"/>
                  <w:vAlign w:val="center"/>
                </w:tcPr>
                <w:p>
                  <w:pPr>
                    <w:pStyle w:val="45"/>
                    <w:rPr>
                      <w:color w:val="auto"/>
                      <w:u w:val="none"/>
                    </w:rPr>
                  </w:pPr>
                  <w:r>
                    <w:rPr>
                      <w:color w:val="auto"/>
                      <w:u w:val="none"/>
                    </w:rPr>
                    <w:t>2</w:t>
                  </w:r>
                </w:p>
              </w:tc>
              <w:tc>
                <w:tcPr>
                  <w:tcW w:w="1951" w:type="dxa"/>
                  <w:noWrap w:val="0"/>
                  <w:vAlign w:val="center"/>
                </w:tcPr>
                <w:p>
                  <w:pPr>
                    <w:pStyle w:val="45"/>
                    <w:rPr>
                      <w:color w:val="auto"/>
                      <w:u w:val="none"/>
                    </w:rPr>
                  </w:pPr>
                  <w:r>
                    <w:rPr>
                      <w:color w:val="auto"/>
                      <w:u w:val="none"/>
                    </w:rPr>
                    <w:t>颚式破碎机</w:t>
                  </w:r>
                </w:p>
              </w:tc>
              <w:tc>
                <w:tcPr>
                  <w:tcW w:w="2295" w:type="dxa"/>
                  <w:noWrap w:val="0"/>
                  <w:vAlign w:val="center"/>
                </w:tcPr>
                <w:p>
                  <w:pPr>
                    <w:pStyle w:val="45"/>
                    <w:widowControl w:val="0"/>
                    <w:adjustRightInd/>
                    <w:snapToGrid/>
                    <w:rPr>
                      <w:rFonts w:hint="eastAsia"/>
                      <w:color w:val="auto"/>
                      <w:u w:val="none"/>
                    </w:rPr>
                  </w:pPr>
                  <w:r>
                    <w:rPr>
                      <w:rFonts w:hint="eastAsia"/>
                      <w:color w:val="auto"/>
                      <w:u w:val="none"/>
                    </w:rPr>
                    <w:t>PEV750</w:t>
                  </w:r>
                  <w:r>
                    <w:rPr>
                      <w:rFonts w:hint="default" w:ascii="Arial" w:hAnsi="Arial" w:cs="Arial"/>
                      <w:color w:val="auto"/>
                      <w:u w:val="none"/>
                      <w:lang w:val="en-US" w:eastAsia="zh-CN"/>
                    </w:rPr>
                    <w:t>×</w:t>
                  </w:r>
                  <w:r>
                    <w:rPr>
                      <w:rFonts w:hint="eastAsia"/>
                      <w:color w:val="auto"/>
                      <w:u w:val="none"/>
                    </w:rPr>
                    <w:t>1060</w:t>
                  </w:r>
                </w:p>
              </w:tc>
              <w:tc>
                <w:tcPr>
                  <w:tcW w:w="1285" w:type="dxa"/>
                  <w:noWrap w:val="0"/>
                  <w:vAlign w:val="center"/>
                </w:tcPr>
                <w:p>
                  <w:pPr>
                    <w:pStyle w:val="45"/>
                    <w:rPr>
                      <w:color w:val="auto"/>
                      <w:u w:val="none"/>
                    </w:rPr>
                  </w:pPr>
                  <w:r>
                    <w:rPr>
                      <w:color w:val="auto"/>
                      <w:u w:val="none"/>
                    </w:rPr>
                    <w:t>1台</w:t>
                  </w:r>
                </w:p>
              </w:tc>
              <w:tc>
                <w:tcPr>
                  <w:tcW w:w="1283" w:type="dxa"/>
                  <w:noWrap w:val="0"/>
                  <w:vAlign w:val="center"/>
                </w:tcPr>
                <w:p>
                  <w:pPr>
                    <w:pStyle w:val="45"/>
                    <w:rPr>
                      <w:color w:val="auto"/>
                      <w:u w:val="none"/>
                    </w:rPr>
                  </w:pPr>
                  <w:r>
                    <w:rPr>
                      <w:color w:val="auto"/>
                      <w:u w:val="none"/>
                    </w:rPr>
                    <w:t>一次破碎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1" w:type="dxa"/>
                  <w:noWrap w:val="0"/>
                  <w:vAlign w:val="center"/>
                </w:tcPr>
                <w:p>
                  <w:pPr>
                    <w:pStyle w:val="45"/>
                    <w:rPr>
                      <w:color w:val="auto"/>
                      <w:u w:val="none"/>
                    </w:rPr>
                  </w:pPr>
                  <w:r>
                    <w:rPr>
                      <w:color w:val="auto"/>
                      <w:u w:val="none"/>
                    </w:rPr>
                    <w:t>3</w:t>
                  </w:r>
                </w:p>
              </w:tc>
              <w:tc>
                <w:tcPr>
                  <w:tcW w:w="1951" w:type="dxa"/>
                  <w:noWrap w:val="0"/>
                  <w:vAlign w:val="center"/>
                </w:tcPr>
                <w:p>
                  <w:pPr>
                    <w:pStyle w:val="45"/>
                    <w:rPr>
                      <w:color w:val="auto"/>
                      <w:u w:val="none"/>
                    </w:rPr>
                  </w:pPr>
                  <w:r>
                    <w:rPr>
                      <w:rFonts w:hint="eastAsia"/>
                      <w:color w:val="auto"/>
                      <w:u w:val="none"/>
                    </w:rPr>
                    <w:t>标准圆锥破</w:t>
                  </w:r>
                  <w:r>
                    <w:rPr>
                      <w:color w:val="auto"/>
                      <w:u w:val="none"/>
                    </w:rPr>
                    <w:t>碎机</w:t>
                  </w:r>
                </w:p>
              </w:tc>
              <w:tc>
                <w:tcPr>
                  <w:tcW w:w="2295" w:type="dxa"/>
                  <w:noWrap w:val="0"/>
                  <w:vAlign w:val="center"/>
                </w:tcPr>
                <w:p>
                  <w:pPr>
                    <w:pStyle w:val="45"/>
                    <w:widowControl w:val="0"/>
                    <w:adjustRightInd/>
                    <w:snapToGrid/>
                    <w:rPr>
                      <w:color w:val="auto"/>
                      <w:u w:val="none"/>
                    </w:rPr>
                  </w:pPr>
                  <w:r>
                    <w:rPr>
                      <w:rFonts w:hint="eastAsia"/>
                      <w:color w:val="auto"/>
                      <w:u w:val="none"/>
                    </w:rPr>
                    <w:t>220</w:t>
                  </w:r>
                  <w:r>
                    <w:rPr>
                      <w:color w:val="auto"/>
                      <w:u w:val="none"/>
                    </w:rPr>
                    <w:t>KW</w:t>
                  </w:r>
                </w:p>
              </w:tc>
              <w:tc>
                <w:tcPr>
                  <w:tcW w:w="1285" w:type="dxa"/>
                  <w:noWrap w:val="0"/>
                  <w:vAlign w:val="center"/>
                </w:tcPr>
                <w:p>
                  <w:pPr>
                    <w:pStyle w:val="45"/>
                    <w:rPr>
                      <w:color w:val="auto"/>
                      <w:u w:val="none"/>
                    </w:rPr>
                  </w:pPr>
                  <w:r>
                    <w:rPr>
                      <w:color w:val="auto"/>
                      <w:u w:val="none"/>
                    </w:rPr>
                    <w:t>1台</w:t>
                  </w:r>
                </w:p>
              </w:tc>
              <w:tc>
                <w:tcPr>
                  <w:tcW w:w="1283" w:type="dxa"/>
                  <w:noWrap w:val="0"/>
                  <w:vAlign w:val="center"/>
                </w:tcPr>
                <w:p>
                  <w:pPr>
                    <w:pStyle w:val="45"/>
                    <w:rPr>
                      <w:rFonts w:hint="eastAsia"/>
                      <w:color w:val="auto"/>
                      <w:u w:val="none"/>
                    </w:rPr>
                  </w:pPr>
                  <w:r>
                    <w:rPr>
                      <w:color w:val="auto"/>
                      <w:u w:val="none"/>
                    </w:rPr>
                    <w:t>二次破碎</w:t>
                  </w:r>
                  <w:r>
                    <w:rPr>
                      <w:rFonts w:hint="eastAsia"/>
                      <w:color w:val="auto"/>
                      <w:u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1" w:type="dxa"/>
                  <w:noWrap w:val="0"/>
                  <w:vAlign w:val="center"/>
                </w:tcPr>
                <w:p>
                  <w:pPr>
                    <w:pStyle w:val="45"/>
                    <w:rPr>
                      <w:color w:val="auto"/>
                      <w:u w:val="none"/>
                    </w:rPr>
                  </w:pPr>
                  <w:r>
                    <w:rPr>
                      <w:color w:val="auto"/>
                      <w:u w:val="none"/>
                    </w:rPr>
                    <w:t>4</w:t>
                  </w:r>
                </w:p>
              </w:tc>
              <w:tc>
                <w:tcPr>
                  <w:tcW w:w="1951" w:type="dxa"/>
                  <w:noWrap w:val="0"/>
                  <w:vAlign w:val="center"/>
                </w:tcPr>
                <w:p>
                  <w:pPr>
                    <w:pStyle w:val="45"/>
                    <w:rPr>
                      <w:color w:val="auto"/>
                      <w:u w:val="none"/>
                    </w:rPr>
                  </w:pPr>
                  <w:r>
                    <w:rPr>
                      <w:rFonts w:hint="eastAsia"/>
                      <w:color w:val="auto"/>
                      <w:u w:val="none"/>
                    </w:rPr>
                    <w:t>短头圆锥破</w:t>
                  </w:r>
                  <w:r>
                    <w:rPr>
                      <w:color w:val="auto"/>
                      <w:u w:val="none"/>
                    </w:rPr>
                    <w:t>碎机</w:t>
                  </w:r>
                </w:p>
              </w:tc>
              <w:tc>
                <w:tcPr>
                  <w:tcW w:w="2295" w:type="dxa"/>
                  <w:noWrap w:val="0"/>
                  <w:vAlign w:val="center"/>
                </w:tcPr>
                <w:p>
                  <w:pPr>
                    <w:pStyle w:val="45"/>
                    <w:widowControl w:val="0"/>
                    <w:adjustRightInd/>
                    <w:snapToGrid/>
                    <w:rPr>
                      <w:color w:val="auto"/>
                      <w:u w:val="none"/>
                    </w:rPr>
                  </w:pPr>
                  <w:r>
                    <w:rPr>
                      <w:rFonts w:hint="eastAsia"/>
                      <w:color w:val="auto"/>
                      <w:u w:val="none"/>
                    </w:rPr>
                    <w:t>220</w:t>
                  </w:r>
                  <w:r>
                    <w:rPr>
                      <w:color w:val="auto"/>
                      <w:u w:val="none"/>
                    </w:rPr>
                    <w:t>KW</w:t>
                  </w:r>
                </w:p>
              </w:tc>
              <w:tc>
                <w:tcPr>
                  <w:tcW w:w="1285" w:type="dxa"/>
                  <w:noWrap w:val="0"/>
                  <w:vAlign w:val="center"/>
                </w:tcPr>
                <w:p>
                  <w:pPr>
                    <w:pStyle w:val="45"/>
                    <w:rPr>
                      <w:color w:val="auto"/>
                      <w:u w:val="none"/>
                    </w:rPr>
                  </w:pPr>
                  <w:r>
                    <w:rPr>
                      <w:color w:val="auto"/>
                      <w:u w:val="none"/>
                    </w:rPr>
                    <w:t>1台</w:t>
                  </w:r>
                </w:p>
              </w:tc>
              <w:tc>
                <w:tcPr>
                  <w:tcW w:w="1283" w:type="dxa"/>
                  <w:noWrap w:val="0"/>
                  <w:vAlign w:val="center"/>
                </w:tcPr>
                <w:p>
                  <w:pPr>
                    <w:pStyle w:val="45"/>
                    <w:rPr>
                      <w:color w:val="auto"/>
                      <w:u w:val="none"/>
                    </w:rPr>
                  </w:pPr>
                  <w:r>
                    <w:rPr>
                      <w:color w:val="auto"/>
                      <w:u w:val="none"/>
                    </w:rPr>
                    <w:t>二次破碎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1" w:type="dxa"/>
                  <w:noWrap w:val="0"/>
                  <w:vAlign w:val="center"/>
                </w:tcPr>
                <w:p>
                  <w:pPr>
                    <w:pStyle w:val="45"/>
                    <w:rPr>
                      <w:color w:val="auto"/>
                      <w:u w:val="none"/>
                    </w:rPr>
                  </w:pPr>
                  <w:r>
                    <w:rPr>
                      <w:rFonts w:hint="eastAsia"/>
                      <w:color w:val="auto"/>
                      <w:u w:val="none"/>
                    </w:rPr>
                    <w:t>5</w:t>
                  </w:r>
                </w:p>
              </w:tc>
              <w:tc>
                <w:tcPr>
                  <w:tcW w:w="1951" w:type="dxa"/>
                  <w:noWrap w:val="0"/>
                  <w:vAlign w:val="center"/>
                </w:tcPr>
                <w:p>
                  <w:pPr>
                    <w:pStyle w:val="45"/>
                    <w:rPr>
                      <w:color w:val="auto"/>
                      <w:u w:val="none"/>
                    </w:rPr>
                  </w:pPr>
                  <w:r>
                    <w:rPr>
                      <w:color w:val="auto"/>
                      <w:u w:val="none"/>
                    </w:rPr>
                    <w:t>振动筛</w:t>
                  </w:r>
                </w:p>
              </w:tc>
              <w:tc>
                <w:tcPr>
                  <w:tcW w:w="2295" w:type="dxa"/>
                  <w:noWrap w:val="0"/>
                  <w:vAlign w:val="center"/>
                </w:tcPr>
                <w:p>
                  <w:pPr>
                    <w:pStyle w:val="45"/>
                    <w:rPr>
                      <w:rFonts w:hint="eastAsia"/>
                      <w:color w:val="auto"/>
                      <w:u w:val="none"/>
                    </w:rPr>
                  </w:pPr>
                  <w:r>
                    <w:rPr>
                      <w:rFonts w:hint="eastAsia"/>
                      <w:color w:val="auto"/>
                      <w:u w:val="none"/>
                    </w:rPr>
                    <w:t>3</w:t>
                  </w:r>
                  <w:r>
                    <w:rPr>
                      <w:rFonts w:hint="default" w:ascii="Arial" w:hAnsi="Arial" w:cs="Arial"/>
                      <w:color w:val="auto"/>
                      <w:u w:val="none"/>
                      <w:lang w:val="en-US" w:eastAsia="zh-CN"/>
                    </w:rPr>
                    <w:t>×</w:t>
                  </w:r>
                  <w:r>
                    <w:rPr>
                      <w:rFonts w:hint="eastAsia"/>
                      <w:color w:val="auto"/>
                      <w:u w:val="none"/>
                    </w:rPr>
                    <w:t>7</w:t>
                  </w:r>
                  <w:r>
                    <w:rPr>
                      <w:rFonts w:hint="eastAsia"/>
                      <w:color w:val="auto"/>
                      <w:u w:val="none"/>
                      <w:lang w:val="en-US" w:eastAsia="zh-CN"/>
                    </w:rPr>
                    <w:t>.</w:t>
                  </w:r>
                  <w:r>
                    <w:rPr>
                      <w:rFonts w:hint="eastAsia"/>
                      <w:color w:val="auto"/>
                      <w:u w:val="none"/>
                    </w:rPr>
                    <w:t>5</w:t>
                  </w:r>
                  <w:r>
                    <w:rPr>
                      <w:color w:val="auto"/>
                      <w:u w:val="none"/>
                    </w:rPr>
                    <w:t>m</w:t>
                  </w:r>
                </w:p>
              </w:tc>
              <w:tc>
                <w:tcPr>
                  <w:tcW w:w="1285" w:type="dxa"/>
                  <w:noWrap w:val="0"/>
                  <w:vAlign w:val="center"/>
                </w:tcPr>
                <w:p>
                  <w:pPr>
                    <w:pStyle w:val="45"/>
                    <w:rPr>
                      <w:color w:val="auto"/>
                      <w:u w:val="none"/>
                    </w:rPr>
                  </w:pPr>
                  <w:r>
                    <w:rPr>
                      <w:rFonts w:hint="eastAsia"/>
                      <w:color w:val="auto"/>
                      <w:u w:val="none"/>
                    </w:rPr>
                    <w:t>2</w:t>
                  </w:r>
                  <w:r>
                    <w:rPr>
                      <w:color w:val="auto"/>
                      <w:u w:val="none"/>
                    </w:rPr>
                    <w:t>台</w:t>
                  </w:r>
                </w:p>
              </w:tc>
              <w:tc>
                <w:tcPr>
                  <w:tcW w:w="1283" w:type="dxa"/>
                  <w:noWrap w:val="0"/>
                  <w:vAlign w:val="center"/>
                </w:tcPr>
                <w:p>
                  <w:pPr>
                    <w:pStyle w:val="45"/>
                    <w:rPr>
                      <w:color w:val="auto"/>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1" w:type="dxa"/>
                  <w:noWrap w:val="0"/>
                  <w:vAlign w:val="center"/>
                </w:tcPr>
                <w:p>
                  <w:pPr>
                    <w:pStyle w:val="45"/>
                    <w:rPr>
                      <w:color w:val="auto"/>
                      <w:u w:val="none"/>
                    </w:rPr>
                  </w:pPr>
                  <w:r>
                    <w:rPr>
                      <w:rFonts w:hint="eastAsia"/>
                      <w:color w:val="auto"/>
                      <w:u w:val="none"/>
                    </w:rPr>
                    <w:t>6</w:t>
                  </w:r>
                </w:p>
              </w:tc>
              <w:tc>
                <w:tcPr>
                  <w:tcW w:w="1951" w:type="dxa"/>
                  <w:noWrap w:val="0"/>
                  <w:vAlign w:val="center"/>
                </w:tcPr>
                <w:p>
                  <w:pPr>
                    <w:pStyle w:val="45"/>
                    <w:rPr>
                      <w:color w:val="auto"/>
                      <w:u w:val="none"/>
                    </w:rPr>
                  </w:pPr>
                  <w:r>
                    <w:rPr>
                      <w:rFonts w:hint="eastAsia"/>
                      <w:color w:val="auto"/>
                      <w:u w:val="none"/>
                    </w:rPr>
                    <w:t>对辊机</w:t>
                  </w:r>
                </w:p>
              </w:tc>
              <w:tc>
                <w:tcPr>
                  <w:tcW w:w="2295" w:type="dxa"/>
                  <w:noWrap w:val="0"/>
                  <w:vAlign w:val="center"/>
                </w:tcPr>
                <w:p>
                  <w:pPr>
                    <w:pStyle w:val="45"/>
                    <w:rPr>
                      <w:rFonts w:hint="default" w:eastAsia="宋体"/>
                      <w:color w:val="auto"/>
                      <w:u w:val="none"/>
                      <w:lang w:val="en-US" w:eastAsia="zh-CN"/>
                    </w:rPr>
                  </w:pPr>
                  <w:r>
                    <w:rPr>
                      <w:rFonts w:hint="eastAsia"/>
                      <w:color w:val="auto"/>
                      <w:u w:val="none"/>
                    </w:rPr>
                    <w:t>1200</w:t>
                  </w:r>
                  <w:r>
                    <w:rPr>
                      <w:rFonts w:hint="default" w:ascii="Arial" w:hAnsi="Arial" w:cs="Arial"/>
                      <w:color w:val="auto"/>
                      <w:u w:val="none"/>
                      <w:lang w:val="en-US" w:eastAsia="zh-CN"/>
                    </w:rPr>
                    <w:t>×</w:t>
                  </w:r>
                  <w:r>
                    <w:rPr>
                      <w:rFonts w:hint="eastAsia"/>
                      <w:color w:val="auto"/>
                      <w:u w:val="none"/>
                    </w:rPr>
                    <w:t>600</w:t>
                  </w:r>
                  <w:r>
                    <w:rPr>
                      <w:rFonts w:hint="eastAsia"/>
                      <w:color w:val="auto"/>
                      <w:u w:val="none"/>
                      <w:lang w:val="en-US" w:eastAsia="zh-CN"/>
                    </w:rPr>
                    <w:t>mm</w:t>
                  </w:r>
                </w:p>
              </w:tc>
              <w:tc>
                <w:tcPr>
                  <w:tcW w:w="1285" w:type="dxa"/>
                  <w:noWrap w:val="0"/>
                  <w:vAlign w:val="center"/>
                </w:tcPr>
                <w:p>
                  <w:pPr>
                    <w:pStyle w:val="45"/>
                    <w:rPr>
                      <w:rFonts w:hint="eastAsia"/>
                      <w:color w:val="auto"/>
                      <w:u w:val="none"/>
                    </w:rPr>
                  </w:pPr>
                  <w:r>
                    <w:rPr>
                      <w:rFonts w:hint="eastAsia"/>
                      <w:color w:val="auto"/>
                      <w:u w:val="none"/>
                    </w:rPr>
                    <w:t>1台</w:t>
                  </w:r>
                </w:p>
              </w:tc>
              <w:tc>
                <w:tcPr>
                  <w:tcW w:w="1283" w:type="dxa"/>
                  <w:noWrap w:val="0"/>
                  <w:vAlign w:val="center"/>
                </w:tcPr>
                <w:p>
                  <w:pPr>
                    <w:pStyle w:val="45"/>
                    <w:rPr>
                      <w:color w:val="auto"/>
                      <w:u w:val="none"/>
                    </w:rPr>
                  </w:pPr>
                  <w:r>
                    <w:rPr>
                      <w:rFonts w:hint="eastAsia"/>
                      <w:color w:val="auto"/>
                      <w:u w:val="none"/>
                    </w:rPr>
                    <w:t>三次破碎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1" w:type="dxa"/>
                  <w:noWrap w:val="0"/>
                  <w:vAlign w:val="center"/>
                </w:tcPr>
                <w:p>
                  <w:pPr>
                    <w:pStyle w:val="45"/>
                    <w:rPr>
                      <w:color w:val="auto"/>
                      <w:u w:val="none"/>
                    </w:rPr>
                  </w:pPr>
                  <w:r>
                    <w:rPr>
                      <w:rFonts w:hint="eastAsia"/>
                      <w:color w:val="auto"/>
                      <w:u w:val="none"/>
                    </w:rPr>
                    <w:t>7</w:t>
                  </w:r>
                </w:p>
              </w:tc>
              <w:tc>
                <w:tcPr>
                  <w:tcW w:w="1951" w:type="dxa"/>
                  <w:noWrap w:val="0"/>
                  <w:vAlign w:val="center"/>
                </w:tcPr>
                <w:p>
                  <w:pPr>
                    <w:pStyle w:val="45"/>
                    <w:rPr>
                      <w:color w:val="auto"/>
                      <w:u w:val="none"/>
                    </w:rPr>
                  </w:pPr>
                  <w:r>
                    <w:rPr>
                      <w:color w:val="auto"/>
                      <w:u w:val="none"/>
                    </w:rPr>
                    <w:t>螺旋洗砂机</w:t>
                  </w:r>
                </w:p>
              </w:tc>
              <w:tc>
                <w:tcPr>
                  <w:tcW w:w="2295" w:type="dxa"/>
                  <w:noWrap w:val="0"/>
                  <w:vAlign w:val="center"/>
                </w:tcPr>
                <w:p>
                  <w:pPr>
                    <w:pStyle w:val="45"/>
                    <w:rPr>
                      <w:rFonts w:hint="eastAsia"/>
                      <w:color w:val="auto"/>
                      <w:u w:val="none"/>
                    </w:rPr>
                  </w:pPr>
                  <w:r>
                    <w:rPr>
                      <w:rFonts w:hint="eastAsia"/>
                      <w:color w:val="auto"/>
                      <w:u w:val="none"/>
                    </w:rPr>
                    <w:t>/</w:t>
                  </w:r>
                </w:p>
              </w:tc>
              <w:tc>
                <w:tcPr>
                  <w:tcW w:w="1285" w:type="dxa"/>
                  <w:noWrap w:val="0"/>
                  <w:vAlign w:val="center"/>
                </w:tcPr>
                <w:p>
                  <w:pPr>
                    <w:pStyle w:val="45"/>
                    <w:rPr>
                      <w:color w:val="auto"/>
                      <w:u w:val="none"/>
                    </w:rPr>
                  </w:pPr>
                  <w:r>
                    <w:rPr>
                      <w:rFonts w:hint="eastAsia"/>
                      <w:color w:val="auto"/>
                      <w:u w:val="none"/>
                    </w:rPr>
                    <w:t>2</w:t>
                  </w:r>
                  <w:r>
                    <w:rPr>
                      <w:color w:val="auto"/>
                      <w:u w:val="none"/>
                    </w:rPr>
                    <w:t>台</w:t>
                  </w:r>
                </w:p>
              </w:tc>
              <w:tc>
                <w:tcPr>
                  <w:tcW w:w="1283" w:type="dxa"/>
                  <w:noWrap w:val="0"/>
                  <w:vAlign w:val="center"/>
                </w:tcPr>
                <w:p>
                  <w:pPr>
                    <w:pStyle w:val="45"/>
                    <w:rPr>
                      <w:color w:val="auto"/>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1" w:type="dxa"/>
                  <w:noWrap w:val="0"/>
                  <w:vAlign w:val="center"/>
                </w:tcPr>
                <w:p>
                  <w:pPr>
                    <w:pStyle w:val="45"/>
                    <w:rPr>
                      <w:color w:val="auto"/>
                      <w:u w:val="none"/>
                    </w:rPr>
                  </w:pPr>
                  <w:r>
                    <w:rPr>
                      <w:color w:val="auto"/>
                      <w:u w:val="none"/>
                    </w:rPr>
                    <w:t>8</w:t>
                  </w:r>
                </w:p>
              </w:tc>
              <w:tc>
                <w:tcPr>
                  <w:tcW w:w="1951" w:type="dxa"/>
                  <w:noWrap w:val="0"/>
                  <w:vAlign w:val="center"/>
                </w:tcPr>
                <w:p>
                  <w:pPr>
                    <w:pStyle w:val="45"/>
                    <w:rPr>
                      <w:color w:val="auto"/>
                      <w:u w:val="none"/>
                    </w:rPr>
                  </w:pPr>
                  <w:r>
                    <w:rPr>
                      <w:rFonts w:hint="eastAsia"/>
                      <w:color w:val="auto"/>
                      <w:u w:val="none"/>
                    </w:rPr>
                    <w:t>脱水高频机</w:t>
                  </w:r>
                </w:p>
              </w:tc>
              <w:tc>
                <w:tcPr>
                  <w:tcW w:w="2295" w:type="dxa"/>
                  <w:noWrap w:val="0"/>
                  <w:vAlign w:val="center"/>
                </w:tcPr>
                <w:p>
                  <w:pPr>
                    <w:pStyle w:val="45"/>
                    <w:rPr>
                      <w:rFonts w:hint="eastAsia"/>
                      <w:color w:val="auto"/>
                      <w:u w:val="none"/>
                    </w:rPr>
                  </w:pPr>
                  <w:r>
                    <w:rPr>
                      <w:rFonts w:hint="eastAsia"/>
                      <w:color w:val="auto"/>
                      <w:u w:val="none"/>
                    </w:rPr>
                    <w:t>/</w:t>
                  </w:r>
                </w:p>
              </w:tc>
              <w:tc>
                <w:tcPr>
                  <w:tcW w:w="1285" w:type="dxa"/>
                  <w:noWrap w:val="0"/>
                  <w:vAlign w:val="center"/>
                </w:tcPr>
                <w:p>
                  <w:pPr>
                    <w:pStyle w:val="45"/>
                    <w:rPr>
                      <w:color w:val="auto"/>
                      <w:u w:val="none"/>
                    </w:rPr>
                  </w:pPr>
                  <w:r>
                    <w:rPr>
                      <w:rFonts w:hint="eastAsia"/>
                      <w:color w:val="auto"/>
                      <w:u w:val="none"/>
                    </w:rPr>
                    <w:t>1台</w:t>
                  </w:r>
                </w:p>
              </w:tc>
              <w:tc>
                <w:tcPr>
                  <w:tcW w:w="1283" w:type="dxa"/>
                  <w:noWrap w:val="0"/>
                  <w:vAlign w:val="center"/>
                </w:tcPr>
                <w:p>
                  <w:pPr>
                    <w:pStyle w:val="45"/>
                    <w:rPr>
                      <w:color w:val="auto"/>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1" w:type="dxa"/>
                  <w:noWrap w:val="0"/>
                  <w:vAlign w:val="center"/>
                </w:tcPr>
                <w:p>
                  <w:pPr>
                    <w:pStyle w:val="45"/>
                    <w:rPr>
                      <w:color w:val="auto"/>
                      <w:u w:val="none"/>
                    </w:rPr>
                  </w:pPr>
                  <w:r>
                    <w:rPr>
                      <w:color w:val="auto"/>
                      <w:u w:val="none"/>
                    </w:rPr>
                    <w:t>9</w:t>
                  </w:r>
                </w:p>
              </w:tc>
              <w:tc>
                <w:tcPr>
                  <w:tcW w:w="1951" w:type="dxa"/>
                  <w:noWrap w:val="0"/>
                  <w:vAlign w:val="center"/>
                </w:tcPr>
                <w:p>
                  <w:pPr>
                    <w:pStyle w:val="45"/>
                    <w:rPr>
                      <w:rFonts w:hint="eastAsia"/>
                      <w:color w:val="auto"/>
                      <w:u w:val="none"/>
                    </w:rPr>
                  </w:pPr>
                  <w:r>
                    <w:rPr>
                      <w:rFonts w:hint="eastAsia"/>
                      <w:color w:val="auto"/>
                      <w:u w:val="none"/>
                    </w:rPr>
                    <w:t>板式</w:t>
                  </w:r>
                  <w:r>
                    <w:rPr>
                      <w:color w:val="auto"/>
                      <w:u w:val="none"/>
                    </w:rPr>
                    <w:t>污泥压滤机</w:t>
                  </w:r>
                </w:p>
              </w:tc>
              <w:tc>
                <w:tcPr>
                  <w:tcW w:w="2295" w:type="dxa"/>
                  <w:noWrap w:val="0"/>
                  <w:vAlign w:val="center"/>
                </w:tcPr>
                <w:p>
                  <w:pPr>
                    <w:pStyle w:val="45"/>
                    <w:rPr>
                      <w:rFonts w:hint="eastAsia"/>
                      <w:color w:val="auto"/>
                      <w:u w:val="none"/>
                    </w:rPr>
                  </w:pPr>
                  <w:r>
                    <w:rPr>
                      <w:rFonts w:hint="eastAsia"/>
                      <w:color w:val="auto"/>
                      <w:u w:val="none"/>
                    </w:rPr>
                    <w:t>/</w:t>
                  </w:r>
                </w:p>
              </w:tc>
              <w:tc>
                <w:tcPr>
                  <w:tcW w:w="1285" w:type="dxa"/>
                  <w:noWrap w:val="0"/>
                  <w:vAlign w:val="center"/>
                </w:tcPr>
                <w:p>
                  <w:pPr>
                    <w:pStyle w:val="45"/>
                    <w:rPr>
                      <w:color w:val="auto"/>
                      <w:u w:val="none"/>
                    </w:rPr>
                  </w:pPr>
                  <w:r>
                    <w:rPr>
                      <w:rFonts w:hint="eastAsia"/>
                      <w:color w:val="auto"/>
                      <w:u w:val="none"/>
                    </w:rPr>
                    <w:t>2</w:t>
                  </w:r>
                  <w:r>
                    <w:rPr>
                      <w:color w:val="auto"/>
                      <w:u w:val="none"/>
                    </w:rPr>
                    <w:t>台</w:t>
                  </w:r>
                </w:p>
              </w:tc>
              <w:tc>
                <w:tcPr>
                  <w:tcW w:w="1283" w:type="dxa"/>
                  <w:noWrap w:val="0"/>
                  <w:vAlign w:val="center"/>
                </w:tcPr>
                <w:p>
                  <w:pPr>
                    <w:pStyle w:val="45"/>
                    <w:rPr>
                      <w:color w:val="auto"/>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1" w:type="dxa"/>
                  <w:noWrap w:val="0"/>
                  <w:vAlign w:val="center"/>
                </w:tcPr>
                <w:p>
                  <w:pPr>
                    <w:pStyle w:val="45"/>
                    <w:rPr>
                      <w:rFonts w:ascii="Times New Roman" w:hAnsi="Times New Roman" w:eastAsia="宋体" w:cs="Times New Roman"/>
                      <w:color w:val="auto"/>
                      <w:kern w:val="0"/>
                      <w:sz w:val="20"/>
                      <w:szCs w:val="20"/>
                      <w:u w:val="none"/>
                      <w:lang w:val="zh-CN" w:eastAsia="zh-CN" w:bidi="ar-SA"/>
                    </w:rPr>
                  </w:pPr>
                  <w:r>
                    <w:rPr>
                      <w:rFonts w:hint="eastAsia"/>
                      <w:color w:val="auto"/>
                      <w:u w:val="none"/>
                    </w:rPr>
                    <w:t>1</w:t>
                  </w:r>
                  <w:r>
                    <w:rPr>
                      <w:color w:val="auto"/>
                      <w:u w:val="none"/>
                    </w:rPr>
                    <w:t>0</w:t>
                  </w:r>
                </w:p>
              </w:tc>
              <w:tc>
                <w:tcPr>
                  <w:tcW w:w="1951" w:type="dxa"/>
                  <w:noWrap w:val="0"/>
                  <w:vAlign w:val="center"/>
                </w:tcPr>
                <w:p>
                  <w:pPr>
                    <w:pStyle w:val="45"/>
                    <w:rPr>
                      <w:rFonts w:hint="eastAsia" w:eastAsia="宋体"/>
                      <w:color w:val="auto"/>
                      <w:u w:val="none"/>
                      <w:lang w:eastAsia="zh-CN"/>
                    </w:rPr>
                  </w:pPr>
                  <w:r>
                    <w:rPr>
                      <w:rFonts w:hint="eastAsia"/>
                      <w:color w:val="auto"/>
                      <w:u w:val="none"/>
                      <w:lang w:eastAsia="zh-CN"/>
                    </w:rPr>
                    <w:t>浓密罐</w:t>
                  </w:r>
                </w:p>
              </w:tc>
              <w:tc>
                <w:tcPr>
                  <w:tcW w:w="2295" w:type="dxa"/>
                  <w:noWrap w:val="0"/>
                  <w:vAlign w:val="center"/>
                </w:tcPr>
                <w:p>
                  <w:pPr>
                    <w:pStyle w:val="45"/>
                    <w:rPr>
                      <w:rFonts w:hint="default" w:eastAsia="宋体"/>
                      <w:color w:val="auto"/>
                      <w:u w:val="none"/>
                      <w:lang w:val="en-US" w:eastAsia="zh-CN"/>
                    </w:rPr>
                  </w:pPr>
                  <w:r>
                    <w:rPr>
                      <w:rFonts w:hint="eastAsia"/>
                      <w:color w:val="auto"/>
                      <w:u w:val="none"/>
                      <w:lang w:val="en-US" w:eastAsia="zh-CN"/>
                    </w:rPr>
                    <w:t>600m</w:t>
                  </w:r>
                  <w:r>
                    <w:rPr>
                      <w:rFonts w:hint="eastAsia"/>
                      <w:color w:val="auto"/>
                      <w:u w:val="none"/>
                      <w:vertAlign w:val="superscript"/>
                      <w:lang w:val="en-US" w:eastAsia="zh-CN"/>
                    </w:rPr>
                    <w:t>3</w:t>
                  </w:r>
                </w:p>
              </w:tc>
              <w:tc>
                <w:tcPr>
                  <w:tcW w:w="1285" w:type="dxa"/>
                  <w:noWrap w:val="0"/>
                  <w:vAlign w:val="center"/>
                </w:tcPr>
                <w:p>
                  <w:pPr>
                    <w:pStyle w:val="45"/>
                    <w:rPr>
                      <w:rFonts w:hint="eastAsia" w:eastAsia="宋体"/>
                      <w:color w:val="auto"/>
                      <w:u w:val="none"/>
                      <w:lang w:val="en-US" w:eastAsia="zh-CN"/>
                    </w:rPr>
                  </w:pPr>
                  <w:r>
                    <w:rPr>
                      <w:rFonts w:hint="eastAsia"/>
                      <w:color w:val="auto"/>
                      <w:u w:val="none"/>
                      <w:lang w:val="en-US" w:eastAsia="zh-CN"/>
                    </w:rPr>
                    <w:t>2个</w:t>
                  </w:r>
                </w:p>
              </w:tc>
              <w:tc>
                <w:tcPr>
                  <w:tcW w:w="1283" w:type="dxa"/>
                  <w:noWrap w:val="0"/>
                  <w:vAlign w:val="center"/>
                </w:tcPr>
                <w:p>
                  <w:pPr>
                    <w:pStyle w:val="45"/>
                    <w:rPr>
                      <w:color w:val="auto"/>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1" w:type="dxa"/>
                  <w:noWrap w:val="0"/>
                  <w:vAlign w:val="center"/>
                </w:tcPr>
                <w:p>
                  <w:pPr>
                    <w:pStyle w:val="45"/>
                    <w:rPr>
                      <w:rFonts w:hint="eastAsia" w:ascii="Times New Roman" w:hAnsi="Times New Roman" w:eastAsia="宋体" w:cs="Times New Roman"/>
                      <w:color w:val="auto"/>
                      <w:kern w:val="0"/>
                      <w:sz w:val="20"/>
                      <w:szCs w:val="20"/>
                      <w:u w:val="none"/>
                      <w:lang w:val="zh-CN" w:eastAsia="zh-CN" w:bidi="ar-SA"/>
                    </w:rPr>
                  </w:pPr>
                  <w:r>
                    <w:rPr>
                      <w:rFonts w:hint="eastAsia"/>
                      <w:color w:val="auto"/>
                      <w:u w:val="none"/>
                    </w:rPr>
                    <w:t>1</w:t>
                  </w:r>
                  <w:r>
                    <w:rPr>
                      <w:color w:val="auto"/>
                      <w:u w:val="none"/>
                    </w:rPr>
                    <w:t>1</w:t>
                  </w:r>
                </w:p>
              </w:tc>
              <w:tc>
                <w:tcPr>
                  <w:tcW w:w="1951" w:type="dxa"/>
                  <w:noWrap w:val="0"/>
                  <w:vAlign w:val="center"/>
                </w:tcPr>
                <w:p>
                  <w:pPr>
                    <w:pStyle w:val="45"/>
                    <w:rPr>
                      <w:color w:val="auto"/>
                      <w:u w:val="none"/>
                    </w:rPr>
                  </w:pPr>
                  <w:r>
                    <w:rPr>
                      <w:color w:val="auto"/>
                      <w:u w:val="none"/>
                    </w:rPr>
                    <w:t>运输皮带</w:t>
                  </w:r>
                </w:p>
              </w:tc>
              <w:tc>
                <w:tcPr>
                  <w:tcW w:w="2295" w:type="dxa"/>
                  <w:noWrap w:val="0"/>
                  <w:vAlign w:val="center"/>
                </w:tcPr>
                <w:p>
                  <w:pPr>
                    <w:pStyle w:val="45"/>
                    <w:rPr>
                      <w:rFonts w:hint="eastAsia"/>
                      <w:color w:val="auto"/>
                      <w:u w:val="none"/>
                    </w:rPr>
                  </w:pPr>
                  <w:r>
                    <w:rPr>
                      <w:rFonts w:hint="eastAsia"/>
                      <w:color w:val="auto"/>
                      <w:u w:val="none"/>
                    </w:rPr>
                    <w:t>/</w:t>
                  </w:r>
                </w:p>
              </w:tc>
              <w:tc>
                <w:tcPr>
                  <w:tcW w:w="1285" w:type="dxa"/>
                  <w:noWrap w:val="0"/>
                  <w:vAlign w:val="center"/>
                </w:tcPr>
                <w:p>
                  <w:pPr>
                    <w:pStyle w:val="45"/>
                    <w:rPr>
                      <w:color w:val="auto"/>
                      <w:u w:val="none"/>
                    </w:rPr>
                  </w:pPr>
                  <w:r>
                    <w:rPr>
                      <w:rFonts w:hint="eastAsia"/>
                      <w:color w:val="auto"/>
                      <w:u w:val="none"/>
                    </w:rPr>
                    <w:t>1</w:t>
                  </w:r>
                  <w:r>
                    <w:rPr>
                      <w:color w:val="auto"/>
                      <w:u w:val="none"/>
                    </w:rPr>
                    <w:t>0条</w:t>
                  </w:r>
                </w:p>
              </w:tc>
              <w:tc>
                <w:tcPr>
                  <w:tcW w:w="1283" w:type="dxa"/>
                  <w:noWrap w:val="0"/>
                  <w:vAlign w:val="center"/>
                </w:tcPr>
                <w:p>
                  <w:pPr>
                    <w:pStyle w:val="45"/>
                    <w:rPr>
                      <w:color w:val="auto"/>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1" w:type="dxa"/>
                  <w:noWrap w:val="0"/>
                  <w:vAlign w:val="center"/>
                </w:tcPr>
                <w:p>
                  <w:pPr>
                    <w:pStyle w:val="45"/>
                    <w:rPr>
                      <w:rFonts w:hint="eastAsia" w:ascii="Times New Roman" w:hAnsi="Times New Roman" w:eastAsia="宋体" w:cs="Times New Roman"/>
                      <w:color w:val="auto"/>
                      <w:kern w:val="0"/>
                      <w:sz w:val="20"/>
                      <w:szCs w:val="20"/>
                      <w:u w:val="none"/>
                      <w:lang w:val="zh-CN" w:eastAsia="zh-CN" w:bidi="ar-SA"/>
                    </w:rPr>
                  </w:pPr>
                  <w:r>
                    <w:rPr>
                      <w:rFonts w:hint="eastAsia"/>
                      <w:color w:val="auto"/>
                      <w:u w:val="none"/>
                    </w:rPr>
                    <w:t>1</w:t>
                  </w:r>
                  <w:r>
                    <w:rPr>
                      <w:color w:val="auto"/>
                      <w:u w:val="none"/>
                    </w:rPr>
                    <w:t>2</w:t>
                  </w:r>
                </w:p>
              </w:tc>
              <w:tc>
                <w:tcPr>
                  <w:tcW w:w="1951" w:type="dxa"/>
                  <w:noWrap w:val="0"/>
                  <w:vAlign w:val="center"/>
                </w:tcPr>
                <w:p>
                  <w:pPr>
                    <w:pStyle w:val="45"/>
                    <w:rPr>
                      <w:rFonts w:ascii="Times New Roman" w:hAnsi="Times New Roman" w:eastAsia="宋体" w:cs="Times New Roman"/>
                      <w:color w:val="auto"/>
                      <w:kern w:val="0"/>
                      <w:sz w:val="20"/>
                      <w:szCs w:val="20"/>
                      <w:u w:val="none"/>
                      <w:lang w:val="zh-CN" w:eastAsia="zh-CN" w:bidi="ar-SA"/>
                    </w:rPr>
                  </w:pPr>
                  <w:r>
                    <w:rPr>
                      <w:rFonts w:hint="eastAsia"/>
                      <w:color w:val="auto"/>
                      <w:u w:val="none"/>
                    </w:rPr>
                    <w:t>铲车</w:t>
                  </w:r>
                </w:p>
              </w:tc>
              <w:tc>
                <w:tcPr>
                  <w:tcW w:w="2295" w:type="dxa"/>
                  <w:noWrap w:val="0"/>
                  <w:vAlign w:val="center"/>
                </w:tcPr>
                <w:p>
                  <w:pPr>
                    <w:pStyle w:val="45"/>
                    <w:rPr>
                      <w:rFonts w:hint="eastAsia" w:ascii="Times New Roman" w:hAnsi="Times New Roman" w:eastAsia="宋体" w:cs="Times New Roman"/>
                      <w:color w:val="auto"/>
                      <w:kern w:val="0"/>
                      <w:sz w:val="20"/>
                      <w:szCs w:val="20"/>
                      <w:u w:val="none"/>
                      <w:lang w:val="zh-CN" w:eastAsia="zh-CN" w:bidi="ar-SA"/>
                    </w:rPr>
                  </w:pPr>
                  <w:r>
                    <w:rPr>
                      <w:rFonts w:hint="eastAsia"/>
                      <w:color w:val="auto"/>
                      <w:u w:val="none"/>
                    </w:rPr>
                    <w:t>/</w:t>
                  </w:r>
                </w:p>
              </w:tc>
              <w:tc>
                <w:tcPr>
                  <w:tcW w:w="1285" w:type="dxa"/>
                  <w:noWrap w:val="0"/>
                  <w:vAlign w:val="center"/>
                </w:tcPr>
                <w:p>
                  <w:pPr>
                    <w:pStyle w:val="45"/>
                    <w:rPr>
                      <w:rFonts w:hint="eastAsia" w:ascii="Times New Roman" w:hAnsi="Times New Roman" w:eastAsia="宋体" w:cs="Times New Roman"/>
                      <w:color w:val="auto"/>
                      <w:kern w:val="0"/>
                      <w:sz w:val="20"/>
                      <w:szCs w:val="20"/>
                      <w:u w:val="none"/>
                      <w:lang w:val="zh-CN" w:eastAsia="zh-CN" w:bidi="ar-SA"/>
                    </w:rPr>
                  </w:pPr>
                  <w:r>
                    <w:rPr>
                      <w:rFonts w:hint="eastAsia"/>
                      <w:color w:val="auto"/>
                      <w:u w:val="none"/>
                    </w:rPr>
                    <w:t>3辆</w:t>
                  </w:r>
                </w:p>
              </w:tc>
              <w:tc>
                <w:tcPr>
                  <w:tcW w:w="1283" w:type="dxa"/>
                  <w:noWrap w:val="0"/>
                  <w:vAlign w:val="center"/>
                </w:tcPr>
                <w:p>
                  <w:pPr>
                    <w:pStyle w:val="45"/>
                    <w:rPr>
                      <w:rFonts w:hint="eastAsia" w:ascii="Times New Roman" w:hAnsi="Times New Roman" w:eastAsia="宋体" w:cs="Times New Roman"/>
                      <w:color w:val="auto"/>
                      <w:kern w:val="0"/>
                      <w:sz w:val="20"/>
                      <w:szCs w:val="20"/>
                      <w:u w:val="none"/>
                      <w:lang w:val="zh-CN" w:eastAsia="zh-CN" w:bidi="ar-SA"/>
                    </w:rPr>
                  </w:pPr>
                  <w:r>
                    <w:rPr>
                      <w:rFonts w:hint="eastAsia"/>
                      <w:color w:val="auto"/>
                      <w:u w:val="none"/>
                    </w:rPr>
                    <w:t>运输砂石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1" w:type="dxa"/>
                  <w:noWrap w:val="0"/>
                  <w:vAlign w:val="center"/>
                </w:tcPr>
                <w:p>
                  <w:pPr>
                    <w:pStyle w:val="45"/>
                    <w:rPr>
                      <w:rFonts w:hint="eastAsia" w:ascii="Times New Roman" w:hAnsi="Times New Roman" w:eastAsia="宋体" w:cs="Times New Roman"/>
                      <w:color w:val="auto"/>
                      <w:kern w:val="0"/>
                      <w:sz w:val="20"/>
                      <w:szCs w:val="20"/>
                      <w:u w:val="none"/>
                      <w:lang w:val="en-US" w:eastAsia="zh-CN" w:bidi="ar-SA"/>
                    </w:rPr>
                  </w:pPr>
                  <w:r>
                    <w:rPr>
                      <w:rFonts w:hint="eastAsia"/>
                      <w:color w:val="auto"/>
                      <w:u w:val="none"/>
                      <w:lang w:val="en-US" w:eastAsia="zh-CN"/>
                    </w:rPr>
                    <w:t>13</w:t>
                  </w:r>
                </w:p>
              </w:tc>
              <w:tc>
                <w:tcPr>
                  <w:tcW w:w="1951" w:type="dxa"/>
                  <w:noWrap w:val="0"/>
                  <w:vAlign w:val="center"/>
                </w:tcPr>
                <w:p>
                  <w:pPr>
                    <w:pStyle w:val="45"/>
                    <w:rPr>
                      <w:rFonts w:hint="eastAsia" w:eastAsia="宋体"/>
                      <w:color w:val="auto"/>
                      <w:u w:val="none"/>
                      <w:lang w:eastAsia="zh-CN"/>
                    </w:rPr>
                  </w:pPr>
                  <w:r>
                    <w:rPr>
                      <w:rFonts w:hint="eastAsia"/>
                      <w:color w:val="auto"/>
                      <w:u w:val="none"/>
                      <w:lang w:eastAsia="zh-CN"/>
                    </w:rPr>
                    <w:t>旋流器</w:t>
                  </w:r>
                </w:p>
              </w:tc>
              <w:tc>
                <w:tcPr>
                  <w:tcW w:w="2295" w:type="dxa"/>
                  <w:noWrap w:val="0"/>
                  <w:vAlign w:val="center"/>
                </w:tcPr>
                <w:p>
                  <w:pPr>
                    <w:pStyle w:val="45"/>
                    <w:rPr>
                      <w:rFonts w:hint="eastAsia"/>
                      <w:color w:val="auto"/>
                      <w:u w:val="none"/>
                    </w:rPr>
                  </w:pPr>
                  <w:r>
                    <w:rPr>
                      <w:rFonts w:hint="eastAsia"/>
                      <w:color w:val="auto"/>
                      <w:u w:val="none"/>
                    </w:rPr>
                    <w:t>/</w:t>
                  </w:r>
                </w:p>
              </w:tc>
              <w:tc>
                <w:tcPr>
                  <w:tcW w:w="1285" w:type="dxa"/>
                  <w:noWrap w:val="0"/>
                  <w:vAlign w:val="center"/>
                </w:tcPr>
                <w:p>
                  <w:pPr>
                    <w:pStyle w:val="45"/>
                    <w:rPr>
                      <w:rFonts w:hint="eastAsia"/>
                      <w:color w:val="auto"/>
                      <w:u w:val="none"/>
                    </w:rPr>
                  </w:pPr>
                  <w:r>
                    <w:rPr>
                      <w:rFonts w:hint="eastAsia"/>
                      <w:color w:val="auto"/>
                      <w:u w:val="none"/>
                    </w:rPr>
                    <w:t>1台</w:t>
                  </w:r>
                </w:p>
              </w:tc>
              <w:tc>
                <w:tcPr>
                  <w:tcW w:w="1283" w:type="dxa"/>
                  <w:noWrap w:val="0"/>
                  <w:vAlign w:val="center"/>
                </w:tcPr>
                <w:p>
                  <w:pPr>
                    <w:pStyle w:val="45"/>
                    <w:rPr>
                      <w:rFonts w:hint="eastAsia"/>
                      <w:color w:val="auto"/>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1" w:type="dxa"/>
                  <w:noWrap w:val="0"/>
                  <w:vAlign w:val="center"/>
                </w:tcPr>
                <w:p>
                  <w:pPr>
                    <w:pStyle w:val="45"/>
                    <w:rPr>
                      <w:rFonts w:hint="default" w:eastAsia="宋体"/>
                      <w:color w:val="auto"/>
                      <w:u w:val="none"/>
                      <w:lang w:val="en-US" w:eastAsia="zh-CN"/>
                    </w:rPr>
                  </w:pPr>
                  <w:r>
                    <w:rPr>
                      <w:rFonts w:hint="eastAsia"/>
                      <w:color w:val="auto"/>
                      <w:u w:val="none"/>
                      <w:lang w:val="en-US" w:eastAsia="zh-CN"/>
                    </w:rPr>
                    <w:t>14</w:t>
                  </w:r>
                </w:p>
              </w:tc>
              <w:tc>
                <w:tcPr>
                  <w:tcW w:w="1951" w:type="dxa"/>
                  <w:noWrap w:val="0"/>
                  <w:vAlign w:val="center"/>
                </w:tcPr>
                <w:p>
                  <w:pPr>
                    <w:pStyle w:val="45"/>
                    <w:rPr>
                      <w:rFonts w:hint="eastAsia" w:ascii="Times New Roman" w:hAnsi="Times New Roman" w:eastAsia="宋体" w:cs="Times New Roman"/>
                      <w:color w:val="auto"/>
                      <w:kern w:val="0"/>
                      <w:sz w:val="20"/>
                      <w:szCs w:val="20"/>
                      <w:u w:val="none"/>
                      <w:lang w:val="zh-CN" w:eastAsia="zh-CN" w:bidi="ar-SA"/>
                    </w:rPr>
                  </w:pPr>
                  <w:r>
                    <w:rPr>
                      <w:rFonts w:hint="eastAsia"/>
                      <w:color w:val="auto"/>
                      <w:u w:val="none"/>
                    </w:rPr>
                    <w:t>地磅</w:t>
                  </w:r>
                </w:p>
              </w:tc>
              <w:tc>
                <w:tcPr>
                  <w:tcW w:w="2295" w:type="dxa"/>
                  <w:noWrap w:val="0"/>
                  <w:vAlign w:val="center"/>
                </w:tcPr>
                <w:p>
                  <w:pPr>
                    <w:pStyle w:val="45"/>
                    <w:rPr>
                      <w:rFonts w:hint="eastAsia" w:ascii="Times New Roman" w:hAnsi="Times New Roman" w:eastAsia="宋体" w:cs="Times New Roman"/>
                      <w:color w:val="auto"/>
                      <w:kern w:val="0"/>
                      <w:sz w:val="20"/>
                      <w:szCs w:val="20"/>
                      <w:u w:val="none"/>
                      <w:lang w:val="zh-CN" w:eastAsia="zh-CN" w:bidi="ar-SA"/>
                    </w:rPr>
                  </w:pPr>
                  <w:r>
                    <w:rPr>
                      <w:rFonts w:hint="eastAsia"/>
                      <w:color w:val="auto"/>
                      <w:u w:val="none"/>
                    </w:rPr>
                    <w:t>/</w:t>
                  </w:r>
                </w:p>
              </w:tc>
              <w:tc>
                <w:tcPr>
                  <w:tcW w:w="1285" w:type="dxa"/>
                  <w:noWrap w:val="0"/>
                  <w:vAlign w:val="center"/>
                </w:tcPr>
                <w:p>
                  <w:pPr>
                    <w:pStyle w:val="45"/>
                    <w:rPr>
                      <w:rFonts w:hint="eastAsia" w:ascii="Times New Roman" w:hAnsi="Times New Roman" w:eastAsia="宋体" w:cs="Times New Roman"/>
                      <w:color w:val="auto"/>
                      <w:kern w:val="0"/>
                      <w:sz w:val="20"/>
                      <w:szCs w:val="20"/>
                      <w:u w:val="none"/>
                      <w:lang w:val="zh-CN" w:eastAsia="zh-CN" w:bidi="ar-SA"/>
                    </w:rPr>
                  </w:pPr>
                  <w:r>
                    <w:rPr>
                      <w:rFonts w:hint="eastAsia"/>
                      <w:color w:val="auto"/>
                      <w:u w:val="none"/>
                    </w:rPr>
                    <w:t>1台</w:t>
                  </w:r>
                </w:p>
              </w:tc>
              <w:tc>
                <w:tcPr>
                  <w:tcW w:w="1283" w:type="dxa"/>
                  <w:noWrap w:val="0"/>
                  <w:vAlign w:val="center"/>
                </w:tcPr>
                <w:p>
                  <w:pPr>
                    <w:pStyle w:val="45"/>
                    <w:rPr>
                      <w:rFonts w:hint="eastAsia" w:ascii="Times New Roman" w:hAnsi="Times New Roman" w:eastAsia="宋体" w:cs="Times New Roman"/>
                      <w:color w:val="auto"/>
                      <w:kern w:val="0"/>
                      <w:sz w:val="20"/>
                      <w:szCs w:val="20"/>
                      <w:u w:val="none"/>
                      <w:lang w:val="zh-CN" w:eastAsia="zh-CN" w:bidi="ar-SA"/>
                    </w:rPr>
                  </w:pPr>
                </w:p>
              </w:tc>
            </w:tr>
          </w:tbl>
          <w:p>
            <w:pPr>
              <w:adjustRightInd w:val="0"/>
              <w:snapToGrid w:val="0"/>
              <w:spacing w:line="360" w:lineRule="auto"/>
              <w:rPr>
                <w:b/>
                <w:bCs/>
                <w:color w:val="auto"/>
                <w:szCs w:val="21"/>
              </w:rPr>
            </w:pPr>
            <w:r>
              <w:rPr>
                <w:b/>
                <w:bCs/>
                <w:color w:val="auto"/>
                <w:szCs w:val="21"/>
              </w:rPr>
              <w:t>5、主要原辅材料及燃料的种类和用量</w:t>
            </w:r>
          </w:p>
          <w:p>
            <w:pPr>
              <w:pStyle w:val="5"/>
              <w:spacing w:after="0" w:line="360" w:lineRule="auto"/>
              <w:ind w:firstLineChars="200"/>
              <w:rPr>
                <w:color w:val="auto"/>
                <w:u w:val="none"/>
              </w:rPr>
            </w:pPr>
            <w:r>
              <w:rPr>
                <w:color w:val="auto"/>
                <w:u w:val="none"/>
              </w:rPr>
              <w:t>本项目</w:t>
            </w:r>
            <w:r>
              <w:rPr>
                <w:rFonts w:hint="eastAsia"/>
                <w:color w:val="auto"/>
                <w:u w:val="none"/>
                <w:lang w:eastAsia="zh-CN"/>
              </w:rPr>
              <w:t>钠长石及矿山废石</w:t>
            </w:r>
            <w:r>
              <w:rPr>
                <w:color w:val="auto"/>
                <w:u w:val="none"/>
              </w:rPr>
              <w:t>来源于</w:t>
            </w:r>
            <w:r>
              <w:rPr>
                <w:rFonts w:hint="eastAsia"/>
                <w:color w:val="auto"/>
                <w:u w:val="none"/>
                <w:lang w:eastAsia="zh-CN"/>
              </w:rPr>
              <w:t>界牌镇及周边公司</w:t>
            </w:r>
            <w:r>
              <w:rPr>
                <w:color w:val="auto"/>
                <w:u w:val="none"/>
              </w:rPr>
              <w:t>的产品，原辅料消耗情况详见表2-4。</w:t>
            </w:r>
          </w:p>
          <w:p>
            <w:pPr>
              <w:pStyle w:val="8"/>
              <w:ind w:firstLine="210"/>
              <w:rPr>
                <w:color w:val="auto"/>
                <w:sz w:val="21"/>
                <w:u w:val="none"/>
                <w:lang w:eastAsia="zh-CN"/>
              </w:rPr>
            </w:pPr>
            <w:r>
              <w:rPr>
                <w:color w:val="auto"/>
                <w:sz w:val="21"/>
                <w:u w:val="none"/>
              </w:rPr>
              <w:t>表</w:t>
            </w:r>
            <w:r>
              <w:rPr>
                <w:color w:val="auto"/>
                <w:sz w:val="21"/>
                <w:u w:val="none"/>
                <w:lang w:eastAsia="zh-CN"/>
              </w:rPr>
              <w:t>2</w:t>
            </w:r>
            <w:r>
              <w:rPr>
                <w:color w:val="auto"/>
                <w:sz w:val="21"/>
                <w:u w:val="none"/>
              </w:rPr>
              <w:t>-4  项目原辅材料消耗一览表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1106"/>
              <w:gridCol w:w="1439"/>
              <w:gridCol w:w="46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7" w:type="dxa"/>
                  <w:noWrap w:val="0"/>
                  <w:vAlign w:val="center"/>
                </w:tcPr>
                <w:p>
                  <w:pPr>
                    <w:pStyle w:val="45"/>
                    <w:rPr>
                      <w:color w:val="auto"/>
                      <w:u w:val="none"/>
                    </w:rPr>
                  </w:pPr>
                  <w:r>
                    <w:rPr>
                      <w:color w:val="auto"/>
                      <w:u w:val="none"/>
                    </w:rPr>
                    <w:t>序号</w:t>
                  </w:r>
                </w:p>
              </w:tc>
              <w:tc>
                <w:tcPr>
                  <w:tcW w:w="1106" w:type="dxa"/>
                  <w:noWrap w:val="0"/>
                  <w:vAlign w:val="center"/>
                </w:tcPr>
                <w:p>
                  <w:pPr>
                    <w:pStyle w:val="45"/>
                    <w:rPr>
                      <w:color w:val="auto"/>
                      <w:u w:val="none"/>
                    </w:rPr>
                  </w:pPr>
                  <w:r>
                    <w:rPr>
                      <w:color w:val="auto"/>
                      <w:u w:val="none"/>
                    </w:rPr>
                    <w:t>名称</w:t>
                  </w:r>
                </w:p>
              </w:tc>
              <w:tc>
                <w:tcPr>
                  <w:tcW w:w="1439" w:type="dxa"/>
                  <w:noWrap w:val="0"/>
                  <w:vAlign w:val="center"/>
                </w:tcPr>
                <w:p>
                  <w:pPr>
                    <w:pStyle w:val="45"/>
                    <w:rPr>
                      <w:color w:val="auto"/>
                      <w:u w:val="none"/>
                    </w:rPr>
                  </w:pPr>
                  <w:r>
                    <w:rPr>
                      <w:color w:val="auto"/>
                      <w:u w:val="none"/>
                    </w:rPr>
                    <w:t>年耗用量</w:t>
                  </w:r>
                </w:p>
              </w:tc>
              <w:tc>
                <w:tcPr>
                  <w:tcW w:w="4653" w:type="dxa"/>
                  <w:noWrap w:val="0"/>
                  <w:vAlign w:val="center"/>
                </w:tcPr>
                <w:p>
                  <w:pPr>
                    <w:pStyle w:val="45"/>
                    <w:rPr>
                      <w:color w:val="auto"/>
                      <w:u w:val="none"/>
                    </w:rPr>
                  </w:pPr>
                  <w:r>
                    <w:rPr>
                      <w:color w:val="auto"/>
                      <w:u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7" w:type="dxa"/>
                  <w:noWrap w:val="0"/>
                  <w:vAlign w:val="center"/>
                </w:tcPr>
                <w:p>
                  <w:pPr>
                    <w:pStyle w:val="45"/>
                    <w:rPr>
                      <w:color w:val="auto"/>
                      <w:u w:val="none"/>
                    </w:rPr>
                  </w:pPr>
                  <w:r>
                    <w:rPr>
                      <w:color w:val="auto"/>
                      <w:u w:val="none"/>
                    </w:rPr>
                    <w:t>1</w:t>
                  </w:r>
                </w:p>
              </w:tc>
              <w:tc>
                <w:tcPr>
                  <w:tcW w:w="1106" w:type="dxa"/>
                  <w:noWrap w:val="0"/>
                  <w:vAlign w:val="center"/>
                </w:tcPr>
                <w:p>
                  <w:pPr>
                    <w:pStyle w:val="45"/>
                    <w:rPr>
                      <w:color w:val="auto"/>
                      <w:u w:val="none"/>
                    </w:rPr>
                  </w:pPr>
                  <w:r>
                    <w:rPr>
                      <w:color w:val="auto"/>
                      <w:u w:val="none"/>
                    </w:rPr>
                    <w:t>钠长石</w:t>
                  </w:r>
                </w:p>
              </w:tc>
              <w:tc>
                <w:tcPr>
                  <w:tcW w:w="1439" w:type="dxa"/>
                  <w:noWrap w:val="0"/>
                  <w:vAlign w:val="center"/>
                </w:tcPr>
                <w:p>
                  <w:pPr>
                    <w:pStyle w:val="45"/>
                    <w:rPr>
                      <w:color w:val="auto"/>
                      <w:u w:val="none"/>
                    </w:rPr>
                  </w:pPr>
                  <w:r>
                    <w:rPr>
                      <w:rFonts w:hint="eastAsia"/>
                      <w:color w:val="auto"/>
                      <w:u w:val="none"/>
                    </w:rPr>
                    <w:t>1</w:t>
                  </w:r>
                  <w:r>
                    <w:rPr>
                      <w:rFonts w:hint="eastAsia"/>
                      <w:color w:val="auto"/>
                      <w:u w:val="none"/>
                      <w:lang w:val="en-US" w:eastAsia="zh-CN"/>
                    </w:rPr>
                    <w:t>0005</w:t>
                  </w:r>
                  <w:r>
                    <w:rPr>
                      <w:color w:val="auto"/>
                      <w:u w:val="none"/>
                    </w:rPr>
                    <w:t>t</w:t>
                  </w:r>
                </w:p>
              </w:tc>
              <w:tc>
                <w:tcPr>
                  <w:tcW w:w="4653" w:type="dxa"/>
                  <w:noWrap w:val="0"/>
                  <w:vAlign w:val="center"/>
                </w:tcPr>
                <w:p>
                  <w:pPr>
                    <w:pStyle w:val="45"/>
                    <w:rPr>
                      <w:rFonts w:hint="eastAsia"/>
                      <w:color w:val="auto"/>
                      <w:u w:val="none"/>
                    </w:rPr>
                  </w:pPr>
                  <w:r>
                    <w:rPr>
                      <w:color w:val="auto"/>
                      <w:u w:val="none"/>
                    </w:rPr>
                    <w:t>钠长石粒径约为</w:t>
                  </w:r>
                  <w:r>
                    <w:rPr>
                      <w:rFonts w:hint="eastAsia"/>
                      <w:color w:val="auto"/>
                      <w:u w:val="none"/>
                      <w:lang w:val="zh-CN"/>
                    </w:rPr>
                    <w:t>30-90cm</w:t>
                  </w:r>
                  <w:r>
                    <w:rPr>
                      <w:color w:val="auto"/>
                      <w:u w:val="none"/>
                      <w:lang w:val="zh-CN"/>
                    </w:rPr>
                    <w:t>，其</w:t>
                  </w:r>
                  <w:r>
                    <w:rPr>
                      <w:color w:val="auto"/>
                      <w:u w:val="none"/>
                    </w:rPr>
                    <w:t>含泥量约为</w:t>
                  </w:r>
                  <w:r>
                    <w:rPr>
                      <w:rFonts w:hint="eastAsia"/>
                      <w:color w:val="auto"/>
                      <w:u w:val="none"/>
                    </w:rPr>
                    <w:t>0.5</w:t>
                  </w:r>
                  <w:r>
                    <w:rPr>
                      <w:color w:val="auto"/>
                      <w:u w:val="none"/>
                    </w:rPr>
                    <w:t>%，含水率约为5~15%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7" w:type="dxa"/>
                  <w:noWrap w:val="0"/>
                  <w:vAlign w:val="center"/>
                </w:tcPr>
                <w:p>
                  <w:pPr>
                    <w:pStyle w:val="45"/>
                    <w:rPr>
                      <w:rFonts w:ascii="Times New Roman" w:hAnsi="Times New Roman" w:eastAsia="宋体" w:cs="Times New Roman"/>
                      <w:color w:val="auto"/>
                      <w:kern w:val="0"/>
                      <w:sz w:val="20"/>
                      <w:szCs w:val="20"/>
                      <w:u w:val="none"/>
                      <w:lang w:val="zh-CN" w:eastAsia="zh-CN" w:bidi="ar-SA"/>
                    </w:rPr>
                  </w:pPr>
                  <w:r>
                    <w:rPr>
                      <w:color w:val="auto"/>
                      <w:u w:val="none"/>
                    </w:rPr>
                    <w:t>3</w:t>
                  </w:r>
                </w:p>
              </w:tc>
              <w:tc>
                <w:tcPr>
                  <w:tcW w:w="1106" w:type="dxa"/>
                  <w:noWrap w:val="0"/>
                  <w:vAlign w:val="center"/>
                </w:tcPr>
                <w:p>
                  <w:pPr>
                    <w:pStyle w:val="45"/>
                    <w:rPr>
                      <w:rFonts w:hint="eastAsia"/>
                      <w:color w:val="auto"/>
                      <w:u w:val="none"/>
                    </w:rPr>
                  </w:pPr>
                  <w:r>
                    <w:rPr>
                      <w:rFonts w:hint="eastAsia"/>
                      <w:color w:val="auto"/>
                      <w:u w:val="none"/>
                    </w:rPr>
                    <w:t>矿山废石</w:t>
                  </w:r>
                </w:p>
              </w:tc>
              <w:tc>
                <w:tcPr>
                  <w:tcW w:w="1439" w:type="dxa"/>
                  <w:noWrap w:val="0"/>
                  <w:vAlign w:val="center"/>
                </w:tcPr>
                <w:p>
                  <w:pPr>
                    <w:pStyle w:val="45"/>
                    <w:rPr>
                      <w:rFonts w:hint="eastAsia"/>
                      <w:color w:val="auto"/>
                      <w:u w:val="none"/>
                    </w:rPr>
                  </w:pPr>
                  <w:r>
                    <w:rPr>
                      <w:rFonts w:hint="eastAsia"/>
                      <w:color w:val="auto"/>
                      <w:u w:val="none"/>
                      <w:lang w:val="en-US" w:eastAsia="zh-CN"/>
                    </w:rPr>
                    <w:t>10005</w:t>
                  </w:r>
                  <w:r>
                    <w:rPr>
                      <w:color w:val="auto"/>
                      <w:u w:val="none"/>
                    </w:rPr>
                    <w:t>t</w:t>
                  </w:r>
                </w:p>
              </w:tc>
              <w:tc>
                <w:tcPr>
                  <w:tcW w:w="4653" w:type="dxa"/>
                  <w:noWrap w:val="0"/>
                  <w:vAlign w:val="center"/>
                </w:tcPr>
                <w:p>
                  <w:pPr>
                    <w:pStyle w:val="45"/>
                    <w:rPr>
                      <w:rFonts w:hint="eastAsia" w:eastAsia="宋体"/>
                      <w:color w:val="auto"/>
                      <w:u w:val="none"/>
                      <w:lang w:val="en-US" w:eastAsia="zh-CN"/>
                    </w:rPr>
                  </w:pPr>
                  <w:r>
                    <w:rPr>
                      <w:rFonts w:hint="eastAsia"/>
                      <w:color w:val="auto"/>
                      <w:u w:val="none"/>
                      <w:lang w:val="en-US" w:eastAsia="zh-CN"/>
                    </w:rPr>
                    <w:t>低品位钠长石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7" w:type="dxa"/>
                  <w:noWrap w:val="0"/>
                  <w:vAlign w:val="center"/>
                </w:tcPr>
                <w:p>
                  <w:pPr>
                    <w:pStyle w:val="45"/>
                    <w:rPr>
                      <w:rFonts w:ascii="Times New Roman" w:hAnsi="Times New Roman" w:eastAsia="宋体" w:cs="Times New Roman"/>
                      <w:color w:val="auto"/>
                      <w:kern w:val="0"/>
                      <w:sz w:val="20"/>
                      <w:szCs w:val="20"/>
                      <w:lang w:val="zh-CN" w:eastAsia="zh-CN" w:bidi="ar-SA"/>
                    </w:rPr>
                  </w:pPr>
                  <w:r>
                    <w:rPr>
                      <w:color w:val="auto"/>
                    </w:rPr>
                    <w:t>4</w:t>
                  </w:r>
                </w:p>
              </w:tc>
              <w:tc>
                <w:tcPr>
                  <w:tcW w:w="1106" w:type="dxa"/>
                  <w:noWrap w:val="0"/>
                  <w:vAlign w:val="center"/>
                </w:tcPr>
                <w:p>
                  <w:pPr>
                    <w:pStyle w:val="45"/>
                    <w:rPr>
                      <w:color w:val="auto"/>
                    </w:rPr>
                  </w:pPr>
                  <w:r>
                    <w:rPr>
                      <w:color w:val="auto"/>
                    </w:rPr>
                    <w:t>絮凝剂</w:t>
                  </w:r>
                </w:p>
              </w:tc>
              <w:tc>
                <w:tcPr>
                  <w:tcW w:w="1439" w:type="dxa"/>
                  <w:noWrap w:val="0"/>
                  <w:vAlign w:val="center"/>
                </w:tcPr>
                <w:p>
                  <w:pPr>
                    <w:pStyle w:val="45"/>
                    <w:rPr>
                      <w:color w:val="auto"/>
                    </w:rPr>
                  </w:pPr>
                  <w:r>
                    <w:rPr>
                      <w:rFonts w:hint="eastAsia"/>
                      <w:color w:val="auto"/>
                    </w:rPr>
                    <w:t>5</w:t>
                  </w:r>
                  <w:r>
                    <w:rPr>
                      <w:color w:val="auto"/>
                    </w:rPr>
                    <w:t>t</w:t>
                  </w:r>
                </w:p>
              </w:tc>
              <w:tc>
                <w:tcPr>
                  <w:tcW w:w="4653" w:type="dxa"/>
                  <w:noWrap w:val="0"/>
                  <w:vAlign w:val="center"/>
                </w:tcPr>
                <w:p>
                  <w:pPr>
                    <w:pStyle w:val="45"/>
                    <w:rPr>
                      <w:rFonts w:hint="eastAsia"/>
                      <w:color w:val="auto"/>
                    </w:rPr>
                  </w:pPr>
                  <w:r>
                    <w:rPr>
                      <w:color w:val="auto"/>
                    </w:rPr>
                    <w:t>主要为聚合氯化铝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7" w:type="dxa"/>
                  <w:noWrap w:val="0"/>
                  <w:vAlign w:val="center"/>
                </w:tcPr>
                <w:p>
                  <w:pPr>
                    <w:pStyle w:val="45"/>
                    <w:rPr>
                      <w:rFonts w:hint="eastAsia" w:eastAsia="宋体"/>
                      <w:color w:val="auto"/>
                      <w:lang w:val="en-US" w:eastAsia="zh-CN"/>
                    </w:rPr>
                  </w:pPr>
                  <w:r>
                    <w:rPr>
                      <w:rFonts w:hint="eastAsia"/>
                      <w:color w:val="auto"/>
                      <w:lang w:val="en-US" w:eastAsia="zh-CN"/>
                    </w:rPr>
                    <w:t>5</w:t>
                  </w:r>
                </w:p>
              </w:tc>
              <w:tc>
                <w:tcPr>
                  <w:tcW w:w="1106" w:type="dxa"/>
                  <w:noWrap w:val="0"/>
                  <w:vAlign w:val="center"/>
                </w:tcPr>
                <w:p>
                  <w:pPr>
                    <w:pStyle w:val="45"/>
                    <w:rPr>
                      <w:color w:val="auto"/>
                    </w:rPr>
                  </w:pPr>
                  <w:r>
                    <w:rPr>
                      <w:color w:val="auto"/>
                    </w:rPr>
                    <w:t>水</w:t>
                  </w:r>
                </w:p>
              </w:tc>
              <w:tc>
                <w:tcPr>
                  <w:tcW w:w="1439" w:type="dxa"/>
                  <w:noWrap w:val="0"/>
                  <w:vAlign w:val="center"/>
                </w:tcPr>
                <w:p>
                  <w:pPr>
                    <w:pStyle w:val="45"/>
                    <w:rPr>
                      <w:rFonts w:hint="default" w:eastAsia="宋体"/>
                      <w:color w:val="auto"/>
                      <w:lang w:val="en-US" w:eastAsia="zh-CN"/>
                    </w:rPr>
                  </w:pPr>
                  <w:r>
                    <w:rPr>
                      <w:rFonts w:hint="default"/>
                      <w:color w:val="auto"/>
                      <w:lang w:val="en-US"/>
                    </w:rPr>
                    <w:t>16200</w:t>
                  </w:r>
                  <w:r>
                    <w:rPr>
                      <w:rFonts w:hint="eastAsia"/>
                      <w:color w:val="auto"/>
                      <w:lang w:val="en-US" w:eastAsia="zh-CN"/>
                    </w:rPr>
                    <w:t>m</w:t>
                  </w:r>
                  <w:r>
                    <w:rPr>
                      <w:rFonts w:hint="eastAsia"/>
                      <w:color w:val="auto"/>
                      <w:vertAlign w:val="superscript"/>
                      <w:lang w:val="en-US" w:eastAsia="zh-CN"/>
                    </w:rPr>
                    <w:t>3</w:t>
                  </w:r>
                </w:p>
              </w:tc>
              <w:tc>
                <w:tcPr>
                  <w:tcW w:w="4653" w:type="dxa"/>
                  <w:noWrap w:val="0"/>
                  <w:vAlign w:val="center"/>
                </w:tcPr>
                <w:p>
                  <w:pPr>
                    <w:pStyle w:val="45"/>
                    <w:rPr>
                      <w:rFonts w:hint="eastAsia"/>
                      <w:color w:val="auto"/>
                    </w:rPr>
                  </w:pPr>
                  <w:r>
                    <w:rPr>
                      <w:color w:val="auto"/>
                    </w:rPr>
                    <w:t>项目生活用水及生产用水使用</w:t>
                  </w:r>
                  <w:r>
                    <w:rPr>
                      <w:rFonts w:hint="eastAsia"/>
                      <w:color w:val="auto"/>
                    </w:rPr>
                    <w:t>井水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7" w:type="dxa"/>
                  <w:noWrap w:val="0"/>
                  <w:vAlign w:val="center"/>
                </w:tcPr>
                <w:p>
                  <w:pPr>
                    <w:pStyle w:val="45"/>
                    <w:rPr>
                      <w:rFonts w:hint="eastAsia" w:eastAsia="宋体"/>
                      <w:color w:val="auto"/>
                      <w:lang w:val="en-US" w:eastAsia="zh-CN"/>
                    </w:rPr>
                  </w:pPr>
                  <w:r>
                    <w:rPr>
                      <w:rFonts w:hint="eastAsia"/>
                      <w:color w:val="auto"/>
                      <w:lang w:val="en-US" w:eastAsia="zh-CN"/>
                    </w:rPr>
                    <w:t>6</w:t>
                  </w:r>
                </w:p>
              </w:tc>
              <w:tc>
                <w:tcPr>
                  <w:tcW w:w="1106" w:type="dxa"/>
                  <w:noWrap w:val="0"/>
                  <w:vAlign w:val="center"/>
                </w:tcPr>
                <w:p>
                  <w:pPr>
                    <w:pStyle w:val="45"/>
                    <w:rPr>
                      <w:color w:val="auto"/>
                    </w:rPr>
                  </w:pPr>
                  <w:r>
                    <w:rPr>
                      <w:color w:val="auto"/>
                    </w:rPr>
                    <w:t>电</w:t>
                  </w:r>
                </w:p>
              </w:tc>
              <w:tc>
                <w:tcPr>
                  <w:tcW w:w="1439" w:type="dxa"/>
                  <w:noWrap w:val="0"/>
                  <w:vAlign w:val="center"/>
                </w:tcPr>
                <w:p>
                  <w:pPr>
                    <w:pStyle w:val="45"/>
                    <w:rPr>
                      <w:color w:val="auto"/>
                    </w:rPr>
                  </w:pPr>
                  <w:r>
                    <w:rPr>
                      <w:rFonts w:hint="default"/>
                      <w:color w:val="auto"/>
                      <w:lang w:val="en-US"/>
                    </w:rPr>
                    <w:t>70000</w:t>
                  </w:r>
                  <w:r>
                    <w:rPr>
                      <w:color w:val="auto"/>
                    </w:rPr>
                    <w:t>KWh</w:t>
                  </w:r>
                </w:p>
              </w:tc>
              <w:tc>
                <w:tcPr>
                  <w:tcW w:w="4653" w:type="dxa"/>
                  <w:noWrap w:val="0"/>
                  <w:vAlign w:val="center"/>
                </w:tcPr>
                <w:p>
                  <w:pPr>
                    <w:pStyle w:val="45"/>
                    <w:rPr>
                      <w:color w:val="auto"/>
                    </w:rPr>
                  </w:pPr>
                  <w:r>
                    <w:rPr>
                      <w:color w:val="auto"/>
                    </w:rPr>
                    <w:t>当地供电所</w:t>
                  </w:r>
                </w:p>
              </w:tc>
            </w:tr>
          </w:tbl>
          <w:p>
            <w:pPr>
              <w:adjustRightInd w:val="0"/>
              <w:snapToGrid w:val="0"/>
              <w:spacing w:line="360" w:lineRule="auto"/>
              <w:rPr>
                <w:b/>
                <w:bCs/>
                <w:color w:val="auto"/>
                <w:szCs w:val="21"/>
              </w:rPr>
            </w:pPr>
            <w:r>
              <w:rPr>
                <w:b/>
                <w:bCs/>
                <w:color w:val="auto"/>
                <w:szCs w:val="21"/>
              </w:rPr>
              <w:t>6、总平面布置</w:t>
            </w:r>
          </w:p>
          <w:p>
            <w:pPr>
              <w:pStyle w:val="5"/>
              <w:spacing w:after="0" w:line="360" w:lineRule="auto"/>
              <w:ind w:firstLineChars="200"/>
              <w:rPr>
                <w:rFonts w:hint="eastAsia" w:eastAsia="宋体"/>
                <w:bCs/>
                <w:color w:val="auto"/>
                <w:szCs w:val="21"/>
                <w:lang w:val="en-US" w:eastAsia="zh-CN"/>
              </w:rPr>
            </w:pPr>
            <w:r>
              <w:rPr>
                <w:bCs/>
                <w:color w:val="auto"/>
                <w:szCs w:val="21"/>
              </w:rPr>
              <w:t>本项目用地地块为长条形，主要分为</w:t>
            </w:r>
            <w:r>
              <w:rPr>
                <w:rFonts w:hint="eastAsia"/>
                <w:bCs/>
                <w:color w:val="auto"/>
                <w:szCs w:val="21"/>
                <w:lang w:eastAsia="zh-CN"/>
              </w:rPr>
              <w:t>加工</w:t>
            </w:r>
            <w:r>
              <w:rPr>
                <w:bCs/>
                <w:color w:val="auto"/>
                <w:szCs w:val="21"/>
              </w:rPr>
              <w:t>区和</w:t>
            </w:r>
            <w:r>
              <w:rPr>
                <w:rFonts w:hint="eastAsia"/>
                <w:bCs/>
                <w:color w:val="auto"/>
                <w:szCs w:val="21"/>
                <w:lang w:eastAsia="zh-CN"/>
              </w:rPr>
              <w:t>原料堆场区</w:t>
            </w:r>
            <w:r>
              <w:rPr>
                <w:bCs/>
                <w:color w:val="auto"/>
                <w:szCs w:val="21"/>
              </w:rPr>
              <w:t>，生产区自东向西依次布置为原料</w:t>
            </w:r>
            <w:r>
              <w:rPr>
                <w:rFonts w:hint="eastAsia"/>
                <w:bCs/>
                <w:color w:val="auto"/>
                <w:szCs w:val="21"/>
                <w:lang w:eastAsia="zh-CN"/>
              </w:rPr>
              <w:t>堆场、生产加工区、产品堆场、洗砂区、沉淀压滤区等部分。办公生活区设置在原振弘陶瓷有限公司。</w:t>
            </w:r>
            <w:r>
              <w:rPr>
                <w:rFonts w:hint="eastAsia"/>
                <w:color w:val="auto"/>
                <w:kern w:val="2"/>
                <w:szCs w:val="24"/>
              </w:rPr>
              <w:t>项目总平面布置图详见附图2。</w:t>
            </w:r>
          </w:p>
          <w:p>
            <w:pPr>
              <w:adjustRightInd w:val="0"/>
              <w:snapToGrid w:val="0"/>
              <w:spacing w:line="360" w:lineRule="auto"/>
              <w:rPr>
                <w:b/>
                <w:bCs/>
                <w:color w:val="auto"/>
                <w:szCs w:val="21"/>
              </w:rPr>
            </w:pPr>
            <w:r>
              <w:rPr>
                <w:b/>
                <w:bCs/>
                <w:color w:val="auto"/>
                <w:szCs w:val="21"/>
              </w:rPr>
              <w:t>7、公用工程</w:t>
            </w:r>
          </w:p>
          <w:p>
            <w:pPr>
              <w:pStyle w:val="5"/>
              <w:spacing w:after="0" w:line="360" w:lineRule="auto"/>
              <w:ind w:firstLineChars="200"/>
              <w:rPr>
                <w:color w:val="auto"/>
              </w:rPr>
            </w:pPr>
            <w:r>
              <w:rPr>
                <w:color w:val="auto"/>
              </w:rPr>
              <w:t>（1）给水</w:t>
            </w:r>
          </w:p>
          <w:p>
            <w:pPr>
              <w:pStyle w:val="5"/>
              <w:ind w:firstLine="480"/>
              <w:rPr>
                <w:rFonts w:hint="eastAsia"/>
                <w:color w:val="auto"/>
              </w:rPr>
            </w:pPr>
            <w:r>
              <w:rPr>
                <w:rFonts w:hint="eastAsia"/>
                <w:color w:val="auto"/>
              </w:rPr>
              <w:t>根据建设方提供资料，本项目主要生活用水、厂区道路洒水及生产用水为井水。</w:t>
            </w:r>
          </w:p>
          <w:p>
            <w:pPr>
              <w:pStyle w:val="5"/>
              <w:spacing w:after="0" w:line="360" w:lineRule="auto"/>
              <w:ind w:firstLineChars="200"/>
              <w:rPr>
                <w:color w:val="auto"/>
              </w:rPr>
            </w:pPr>
            <w:r>
              <w:rPr>
                <w:rFonts w:hint="eastAsia" w:ascii="宋体" w:hAnsi="宋体" w:cs="宋体"/>
                <w:color w:val="auto"/>
              </w:rPr>
              <w:t>①</w:t>
            </w:r>
            <w:r>
              <w:rPr>
                <w:color w:val="auto"/>
              </w:rPr>
              <w:t>生活用水</w:t>
            </w:r>
          </w:p>
          <w:p>
            <w:pPr>
              <w:pStyle w:val="5"/>
              <w:spacing w:after="0" w:line="360" w:lineRule="auto"/>
              <w:ind w:firstLineChars="200"/>
              <w:rPr>
                <w:rFonts w:hint="eastAsia"/>
                <w:bCs/>
                <w:color w:val="auto"/>
                <w:szCs w:val="21"/>
                <w:lang w:eastAsia="zh-CN"/>
              </w:rPr>
            </w:pPr>
            <w:r>
              <w:rPr>
                <w:rFonts w:hint="eastAsia"/>
                <w:bCs/>
                <w:color w:val="auto"/>
                <w:szCs w:val="21"/>
                <w:lang w:eastAsia="zh-CN"/>
              </w:rPr>
              <w:t>场区内员工为</w:t>
            </w:r>
            <w:r>
              <w:rPr>
                <w:rFonts w:hint="eastAsia"/>
                <w:bCs/>
                <w:color w:val="auto"/>
                <w:szCs w:val="21"/>
                <w:lang w:val="en-US" w:eastAsia="zh-CN"/>
              </w:rPr>
              <w:t>20</w:t>
            </w:r>
            <w:r>
              <w:rPr>
                <w:rFonts w:hint="eastAsia"/>
                <w:bCs/>
                <w:color w:val="auto"/>
                <w:szCs w:val="21"/>
                <w:lang w:eastAsia="zh-CN"/>
              </w:rPr>
              <w:t>人，均为项目附近居民，不在厂区食宿，参照《湖南省用水定额标准》（DB43T388-20</w:t>
            </w:r>
            <w:r>
              <w:rPr>
                <w:rFonts w:hint="eastAsia"/>
                <w:bCs/>
                <w:color w:val="auto"/>
                <w:szCs w:val="21"/>
                <w:lang w:val="en-US" w:eastAsia="zh-CN"/>
              </w:rPr>
              <w:t>20</w:t>
            </w:r>
            <w:r>
              <w:rPr>
                <w:rFonts w:hint="eastAsia"/>
                <w:bCs/>
                <w:color w:val="auto"/>
                <w:szCs w:val="21"/>
                <w:lang w:eastAsia="zh-CN"/>
              </w:rPr>
              <w:t>）用水定额：用水量按45L/人•d计算，则生活用水量为0.</w:t>
            </w:r>
            <w:r>
              <w:rPr>
                <w:rFonts w:hint="eastAsia"/>
                <w:bCs/>
                <w:color w:val="auto"/>
                <w:szCs w:val="21"/>
                <w:lang w:val="en-US" w:eastAsia="zh-CN"/>
              </w:rPr>
              <w:t>9</w:t>
            </w:r>
            <w:r>
              <w:rPr>
                <w:rFonts w:hint="eastAsia"/>
                <w:bCs/>
                <w:color w:val="auto"/>
                <w:szCs w:val="21"/>
                <w:lang w:eastAsia="zh-CN"/>
              </w:rPr>
              <w:t>t/d，合计</w:t>
            </w:r>
            <w:r>
              <w:rPr>
                <w:rFonts w:hint="eastAsia"/>
                <w:b/>
                <w:bCs w:val="0"/>
                <w:color w:val="auto"/>
                <w:szCs w:val="21"/>
                <w:lang w:val="en-US" w:eastAsia="zh-CN"/>
              </w:rPr>
              <w:t>270</w:t>
            </w:r>
            <w:r>
              <w:rPr>
                <w:rFonts w:hint="eastAsia"/>
                <w:b/>
                <w:bCs w:val="0"/>
                <w:color w:val="auto"/>
                <w:szCs w:val="21"/>
                <w:lang w:eastAsia="zh-CN"/>
              </w:rPr>
              <w:t>t/a</w:t>
            </w:r>
            <w:r>
              <w:rPr>
                <w:rFonts w:hint="eastAsia"/>
                <w:bCs/>
                <w:color w:val="auto"/>
                <w:szCs w:val="21"/>
                <w:lang w:eastAsia="zh-CN"/>
              </w:rPr>
              <w:t>。</w:t>
            </w:r>
          </w:p>
          <w:p>
            <w:pPr>
              <w:pStyle w:val="5"/>
              <w:spacing w:after="0" w:line="360" w:lineRule="auto"/>
              <w:ind w:firstLineChars="200"/>
              <w:rPr>
                <w:rFonts w:hint="eastAsia"/>
                <w:bCs/>
                <w:color w:val="auto"/>
                <w:szCs w:val="21"/>
                <w:lang w:eastAsia="zh-CN"/>
              </w:rPr>
            </w:pPr>
            <w:r>
              <w:rPr>
                <w:rFonts w:hint="eastAsia"/>
                <w:bCs/>
                <w:color w:val="auto"/>
                <w:szCs w:val="21"/>
                <w:lang w:eastAsia="zh-CN"/>
              </w:rPr>
              <w:t>②生产洗砂用水</w:t>
            </w:r>
          </w:p>
          <w:p>
            <w:pPr>
              <w:pStyle w:val="5"/>
              <w:spacing w:after="0" w:line="360" w:lineRule="auto"/>
              <w:ind w:firstLineChars="200"/>
              <w:rPr>
                <w:rFonts w:hint="default"/>
                <w:bCs/>
                <w:color w:val="auto"/>
                <w:szCs w:val="21"/>
                <w:lang w:val="en-US" w:eastAsia="zh-CN"/>
              </w:rPr>
            </w:pPr>
            <w:r>
              <w:rPr>
                <w:rFonts w:hint="eastAsia"/>
                <w:bCs/>
                <w:color w:val="auto"/>
                <w:szCs w:val="21"/>
                <w:lang w:eastAsia="zh-CN"/>
              </w:rPr>
              <w:t>根据业主提供资料，本项目主要生产用水为洗砂用水，洗砂过程用水量与原料的使用量比例为</w:t>
            </w:r>
            <w:r>
              <w:rPr>
                <w:rFonts w:hint="eastAsia"/>
                <w:bCs/>
                <w:color w:val="auto"/>
                <w:szCs w:val="21"/>
                <w:lang w:val="en-US" w:eastAsia="zh-CN"/>
              </w:rPr>
              <w:t>1:1，即一吨原料使用一吨水洗砂。根据项目情况，采用洗砂工艺的原料为20万t/a,则洗砂用水量为20万</w:t>
            </w:r>
            <w:r>
              <w:rPr>
                <w:rFonts w:hint="eastAsia"/>
                <w:bCs/>
                <w:color w:val="auto"/>
                <w:szCs w:val="21"/>
                <w:lang w:eastAsia="zh-CN"/>
              </w:rPr>
              <w:t>m</w:t>
            </w:r>
            <w:r>
              <w:rPr>
                <w:rFonts w:hint="eastAsia"/>
                <w:bCs/>
                <w:color w:val="auto"/>
                <w:szCs w:val="21"/>
                <w:vertAlign w:val="superscript"/>
                <w:lang w:eastAsia="zh-CN"/>
              </w:rPr>
              <w:t>3</w:t>
            </w:r>
            <w:r>
              <w:rPr>
                <w:rFonts w:hint="eastAsia"/>
                <w:bCs/>
                <w:color w:val="auto"/>
                <w:szCs w:val="21"/>
                <w:lang w:eastAsia="zh-CN"/>
              </w:rPr>
              <w:t>/a，</w:t>
            </w:r>
            <w:r>
              <w:rPr>
                <w:rFonts w:hint="eastAsia"/>
                <w:bCs/>
                <w:color w:val="auto"/>
                <w:szCs w:val="21"/>
                <w:lang w:val="en-US" w:eastAsia="zh-CN"/>
              </w:rPr>
              <w:t>666.6</w:t>
            </w:r>
            <w:r>
              <w:rPr>
                <w:rFonts w:hint="eastAsia"/>
                <w:bCs/>
                <w:color w:val="auto"/>
                <w:szCs w:val="21"/>
                <w:lang w:eastAsia="zh-CN"/>
              </w:rPr>
              <w:t>m</w:t>
            </w:r>
            <w:r>
              <w:rPr>
                <w:rFonts w:hint="eastAsia"/>
                <w:bCs/>
                <w:color w:val="auto"/>
                <w:szCs w:val="21"/>
                <w:vertAlign w:val="superscript"/>
                <w:lang w:eastAsia="zh-CN"/>
              </w:rPr>
              <w:t>3</w:t>
            </w:r>
            <w:r>
              <w:rPr>
                <w:rFonts w:hint="eastAsia"/>
                <w:bCs/>
                <w:color w:val="auto"/>
                <w:szCs w:val="21"/>
                <w:lang w:eastAsia="zh-CN"/>
              </w:rPr>
              <w:t>/</w:t>
            </w:r>
            <w:r>
              <w:rPr>
                <w:rFonts w:hint="eastAsia"/>
                <w:bCs/>
                <w:color w:val="auto"/>
                <w:szCs w:val="21"/>
                <w:lang w:val="en-US" w:eastAsia="zh-CN"/>
              </w:rPr>
              <w:t>d。本项目洗砂废水经沉淀处理后全部回用，不外排，但洗砂产品和泥饼带走一定水分，其中洗砂含水率在10%左右，泥浆压滤后泥饼含水率在30%左右，因此洗砂过程需要补充一定的水。项目水洗砂产量约为20万t/a,泥饼产量约为2万t/a,则产品带走水量2万</w:t>
            </w:r>
            <w:r>
              <w:rPr>
                <w:rFonts w:hint="eastAsia"/>
                <w:bCs/>
                <w:color w:val="auto"/>
                <w:szCs w:val="21"/>
                <w:lang w:eastAsia="zh-CN"/>
              </w:rPr>
              <w:t>m</w:t>
            </w:r>
            <w:r>
              <w:rPr>
                <w:rFonts w:hint="eastAsia"/>
                <w:bCs/>
                <w:color w:val="auto"/>
                <w:szCs w:val="21"/>
                <w:vertAlign w:val="superscript"/>
                <w:lang w:eastAsia="zh-CN"/>
              </w:rPr>
              <w:t>3</w:t>
            </w:r>
            <w:r>
              <w:rPr>
                <w:rFonts w:hint="eastAsia"/>
                <w:bCs/>
                <w:color w:val="auto"/>
                <w:szCs w:val="21"/>
                <w:lang w:eastAsia="zh-CN"/>
              </w:rPr>
              <w:t>/a，泥饼带走水量</w:t>
            </w:r>
            <w:r>
              <w:rPr>
                <w:rFonts w:hint="eastAsia"/>
                <w:bCs/>
                <w:color w:val="auto"/>
                <w:szCs w:val="21"/>
                <w:lang w:val="en-US" w:eastAsia="zh-CN"/>
              </w:rPr>
              <w:t>0.6万</w:t>
            </w:r>
            <w:r>
              <w:rPr>
                <w:rFonts w:hint="eastAsia"/>
                <w:bCs/>
                <w:color w:val="auto"/>
                <w:szCs w:val="21"/>
                <w:lang w:eastAsia="zh-CN"/>
              </w:rPr>
              <w:t>m</w:t>
            </w:r>
            <w:r>
              <w:rPr>
                <w:rFonts w:hint="eastAsia"/>
                <w:bCs/>
                <w:color w:val="auto"/>
                <w:szCs w:val="21"/>
                <w:vertAlign w:val="superscript"/>
                <w:lang w:eastAsia="zh-CN"/>
              </w:rPr>
              <w:t>3</w:t>
            </w:r>
            <w:r>
              <w:rPr>
                <w:rFonts w:hint="eastAsia"/>
                <w:bCs/>
                <w:color w:val="auto"/>
                <w:szCs w:val="21"/>
                <w:lang w:eastAsia="zh-CN"/>
              </w:rPr>
              <w:t>/a，则项目洗砂补充量为</w:t>
            </w:r>
            <w:r>
              <w:rPr>
                <w:rFonts w:hint="eastAsia"/>
                <w:b/>
                <w:bCs w:val="0"/>
                <w:color w:val="auto"/>
                <w:szCs w:val="21"/>
                <w:lang w:val="en-US" w:eastAsia="zh-CN"/>
              </w:rPr>
              <w:t>2.6万</w:t>
            </w:r>
            <w:r>
              <w:rPr>
                <w:rFonts w:hint="eastAsia"/>
                <w:b/>
                <w:bCs w:val="0"/>
                <w:color w:val="auto"/>
                <w:szCs w:val="21"/>
                <w:lang w:eastAsia="zh-CN"/>
              </w:rPr>
              <w:t>m</w:t>
            </w:r>
            <w:r>
              <w:rPr>
                <w:rFonts w:hint="eastAsia"/>
                <w:b/>
                <w:bCs w:val="0"/>
                <w:color w:val="auto"/>
                <w:szCs w:val="21"/>
                <w:vertAlign w:val="superscript"/>
                <w:lang w:eastAsia="zh-CN"/>
              </w:rPr>
              <w:t>3</w:t>
            </w:r>
            <w:r>
              <w:rPr>
                <w:rFonts w:hint="eastAsia"/>
                <w:b/>
                <w:bCs w:val="0"/>
                <w:color w:val="auto"/>
                <w:szCs w:val="21"/>
                <w:lang w:eastAsia="zh-CN"/>
              </w:rPr>
              <w:t>/a（</w:t>
            </w:r>
            <w:r>
              <w:rPr>
                <w:rFonts w:hint="eastAsia"/>
                <w:b w:val="0"/>
                <w:bCs/>
                <w:color w:val="auto"/>
                <w:szCs w:val="21"/>
                <w:lang w:val="en-US" w:eastAsia="zh-CN"/>
              </w:rPr>
              <w:t>86.6</w:t>
            </w:r>
            <w:r>
              <w:rPr>
                <w:rFonts w:hint="eastAsia"/>
                <w:b w:val="0"/>
                <w:bCs/>
                <w:color w:val="auto"/>
                <w:szCs w:val="21"/>
                <w:lang w:eastAsia="zh-CN"/>
              </w:rPr>
              <w:t>m</w:t>
            </w:r>
            <w:r>
              <w:rPr>
                <w:rFonts w:hint="eastAsia"/>
                <w:b w:val="0"/>
                <w:bCs/>
                <w:color w:val="auto"/>
                <w:szCs w:val="21"/>
                <w:vertAlign w:val="superscript"/>
                <w:lang w:eastAsia="zh-CN"/>
              </w:rPr>
              <w:t>3</w:t>
            </w:r>
            <w:r>
              <w:rPr>
                <w:rFonts w:hint="eastAsia"/>
                <w:b w:val="0"/>
                <w:bCs/>
                <w:color w:val="auto"/>
                <w:szCs w:val="21"/>
                <w:lang w:eastAsia="zh-CN"/>
              </w:rPr>
              <w:t>/</w:t>
            </w:r>
            <w:r>
              <w:rPr>
                <w:rFonts w:hint="eastAsia"/>
                <w:b w:val="0"/>
                <w:bCs/>
                <w:color w:val="auto"/>
                <w:szCs w:val="21"/>
                <w:lang w:val="en-US" w:eastAsia="zh-CN"/>
              </w:rPr>
              <w:t>d</w:t>
            </w:r>
            <w:r>
              <w:rPr>
                <w:rFonts w:hint="eastAsia" w:ascii="宋体" w:hAnsi="宋体" w:eastAsia="宋体" w:cs="宋体"/>
                <w:b/>
                <w:bCs w:val="0"/>
                <w:color w:val="auto"/>
                <w:szCs w:val="21"/>
                <w:lang w:val="en-US" w:eastAsia="zh-CN"/>
              </w:rPr>
              <w:t>)</w:t>
            </w:r>
            <w:r>
              <w:rPr>
                <w:rFonts w:hint="eastAsia" w:ascii="宋体" w:hAnsi="宋体" w:cs="宋体"/>
                <w:bCs/>
                <w:color w:val="auto"/>
                <w:szCs w:val="21"/>
                <w:lang w:val="en-US" w:eastAsia="zh-CN"/>
              </w:rPr>
              <w:t>。</w:t>
            </w:r>
          </w:p>
          <w:p>
            <w:pPr>
              <w:pStyle w:val="5"/>
              <w:spacing w:after="0" w:line="360" w:lineRule="auto"/>
              <w:ind w:firstLineChars="200"/>
              <w:rPr>
                <w:rFonts w:hint="eastAsia"/>
                <w:bCs/>
                <w:color w:val="auto"/>
                <w:szCs w:val="21"/>
                <w:lang w:eastAsia="zh-CN"/>
              </w:rPr>
            </w:pPr>
            <w:r>
              <w:rPr>
                <w:rFonts w:hint="eastAsia"/>
                <w:bCs/>
                <w:color w:val="auto"/>
                <w:szCs w:val="21"/>
                <w:lang w:eastAsia="zh-CN"/>
              </w:rPr>
              <w:t>③生产抑尘用水</w:t>
            </w:r>
          </w:p>
          <w:p>
            <w:pPr>
              <w:pStyle w:val="5"/>
              <w:spacing w:after="0" w:line="360" w:lineRule="auto"/>
              <w:ind w:firstLineChars="200"/>
              <w:rPr>
                <w:rFonts w:hint="default" w:eastAsia="宋体"/>
                <w:bCs/>
                <w:color w:val="auto"/>
                <w:szCs w:val="21"/>
                <w:lang w:val="en-US" w:eastAsia="zh-CN"/>
              </w:rPr>
            </w:pPr>
            <w:r>
              <w:rPr>
                <w:rFonts w:hint="eastAsia"/>
                <w:bCs/>
                <w:color w:val="auto"/>
                <w:szCs w:val="21"/>
                <w:lang w:eastAsia="zh-CN"/>
              </w:rPr>
              <w:t>本项目生产抑尘用水主要包括原料储存区洒水抑尘用水。本项目原料堆场面积约</w:t>
            </w:r>
            <w:r>
              <w:rPr>
                <w:rFonts w:hint="eastAsia"/>
                <w:bCs/>
                <w:color w:val="auto"/>
                <w:szCs w:val="21"/>
                <w:lang w:val="en-US" w:eastAsia="zh-CN"/>
              </w:rPr>
              <w:t>2000m</w:t>
            </w:r>
            <w:r>
              <w:rPr>
                <w:rFonts w:hint="eastAsia"/>
                <w:bCs/>
                <w:color w:val="auto"/>
                <w:szCs w:val="21"/>
                <w:vertAlign w:val="superscript"/>
                <w:lang w:val="en-US" w:eastAsia="zh-CN"/>
              </w:rPr>
              <w:t>2</w:t>
            </w:r>
            <w:r>
              <w:rPr>
                <w:rFonts w:hint="eastAsia"/>
                <w:bCs/>
                <w:color w:val="auto"/>
                <w:szCs w:val="21"/>
                <w:lang w:val="en-US" w:eastAsia="zh-CN"/>
              </w:rPr>
              <w:t>，洒水量按2L（次.m</w:t>
            </w:r>
            <w:r>
              <w:rPr>
                <w:rFonts w:hint="eastAsia"/>
                <w:bCs/>
                <w:color w:val="auto"/>
                <w:szCs w:val="21"/>
                <w:vertAlign w:val="superscript"/>
                <w:lang w:val="en-US" w:eastAsia="zh-CN"/>
              </w:rPr>
              <w:t>2</w:t>
            </w:r>
            <w:r>
              <w:rPr>
                <w:rFonts w:hint="eastAsia" w:ascii="宋体" w:hAnsi="宋体" w:eastAsia="宋体" w:cs="宋体"/>
                <w:bCs/>
                <w:color w:val="auto"/>
                <w:szCs w:val="21"/>
                <w:lang w:val="en-US" w:eastAsia="zh-CN"/>
              </w:rPr>
              <w:t>)</w:t>
            </w:r>
            <w:r>
              <w:rPr>
                <w:rFonts w:hint="eastAsia"/>
                <w:bCs/>
                <w:color w:val="auto"/>
                <w:szCs w:val="21"/>
                <w:lang w:val="en-US" w:eastAsia="zh-CN"/>
              </w:rPr>
              <w:t>计算，每天洒水2次，本项目生产抑尘用水量为</w:t>
            </w:r>
            <w:r>
              <w:rPr>
                <w:rFonts w:hint="eastAsia"/>
                <w:b w:val="0"/>
                <w:bCs/>
                <w:color w:val="auto"/>
                <w:szCs w:val="21"/>
                <w:lang w:val="en-US" w:eastAsia="zh-CN"/>
              </w:rPr>
              <w:t>8</w:t>
            </w:r>
            <w:r>
              <w:rPr>
                <w:rFonts w:hint="eastAsia"/>
                <w:b w:val="0"/>
                <w:bCs/>
                <w:color w:val="auto"/>
                <w:szCs w:val="21"/>
                <w:lang w:eastAsia="zh-CN"/>
              </w:rPr>
              <w:t>m</w:t>
            </w:r>
            <w:r>
              <w:rPr>
                <w:rFonts w:hint="eastAsia"/>
                <w:b w:val="0"/>
                <w:bCs/>
                <w:color w:val="auto"/>
                <w:szCs w:val="21"/>
                <w:vertAlign w:val="superscript"/>
                <w:lang w:eastAsia="zh-CN"/>
              </w:rPr>
              <w:t>3</w:t>
            </w:r>
            <w:r>
              <w:rPr>
                <w:rFonts w:hint="eastAsia"/>
                <w:b w:val="0"/>
                <w:bCs/>
                <w:color w:val="auto"/>
                <w:szCs w:val="21"/>
                <w:lang w:eastAsia="zh-CN"/>
              </w:rPr>
              <w:t>/</w:t>
            </w:r>
            <w:r>
              <w:rPr>
                <w:rFonts w:hint="eastAsia"/>
                <w:b w:val="0"/>
                <w:bCs/>
                <w:color w:val="auto"/>
                <w:szCs w:val="21"/>
                <w:lang w:val="en-US" w:eastAsia="zh-CN"/>
              </w:rPr>
              <w:t>d</w:t>
            </w:r>
            <w:r>
              <w:rPr>
                <w:rFonts w:hint="eastAsia"/>
                <w:b/>
                <w:bCs w:val="0"/>
                <w:color w:val="auto"/>
                <w:szCs w:val="21"/>
                <w:lang w:val="en-US" w:eastAsia="zh-CN"/>
              </w:rPr>
              <w:t>，</w:t>
            </w:r>
            <w:r>
              <w:rPr>
                <w:rFonts w:hint="eastAsia"/>
                <w:b w:val="0"/>
                <w:bCs/>
                <w:color w:val="auto"/>
                <w:szCs w:val="21"/>
                <w:lang w:val="en-US" w:eastAsia="zh-CN"/>
              </w:rPr>
              <w:t>即</w:t>
            </w:r>
            <w:r>
              <w:rPr>
                <w:rFonts w:hint="eastAsia"/>
                <w:b/>
                <w:bCs w:val="0"/>
                <w:color w:val="auto"/>
                <w:szCs w:val="21"/>
                <w:lang w:val="en-US" w:eastAsia="zh-CN"/>
              </w:rPr>
              <w:t>2400</w:t>
            </w:r>
            <w:r>
              <w:rPr>
                <w:rFonts w:hint="eastAsia"/>
                <w:b/>
                <w:bCs w:val="0"/>
                <w:color w:val="auto"/>
                <w:szCs w:val="21"/>
                <w:lang w:eastAsia="zh-CN"/>
              </w:rPr>
              <w:t>m</w:t>
            </w:r>
            <w:r>
              <w:rPr>
                <w:rFonts w:hint="eastAsia"/>
                <w:b/>
                <w:bCs w:val="0"/>
                <w:color w:val="auto"/>
                <w:szCs w:val="21"/>
                <w:vertAlign w:val="superscript"/>
                <w:lang w:eastAsia="zh-CN"/>
              </w:rPr>
              <w:t>3</w:t>
            </w:r>
            <w:r>
              <w:rPr>
                <w:rFonts w:hint="eastAsia"/>
                <w:b/>
                <w:bCs w:val="0"/>
                <w:color w:val="auto"/>
                <w:szCs w:val="21"/>
                <w:lang w:eastAsia="zh-CN"/>
              </w:rPr>
              <w:t>/a</w:t>
            </w:r>
            <w:r>
              <w:rPr>
                <w:rFonts w:hint="eastAsia" w:ascii="宋体" w:hAnsi="宋体" w:cs="宋体"/>
                <w:bCs/>
                <w:color w:val="auto"/>
                <w:szCs w:val="21"/>
                <w:lang w:val="en-US" w:eastAsia="zh-CN"/>
              </w:rPr>
              <w:t>。</w:t>
            </w:r>
          </w:p>
          <w:p>
            <w:pPr>
              <w:pStyle w:val="5"/>
              <w:spacing w:after="0" w:line="360" w:lineRule="auto"/>
              <w:ind w:firstLineChars="200"/>
              <w:rPr>
                <w:rFonts w:hint="eastAsia"/>
                <w:bCs/>
                <w:color w:val="auto"/>
                <w:szCs w:val="21"/>
                <w:lang w:eastAsia="zh-CN"/>
              </w:rPr>
            </w:pPr>
            <w:r>
              <w:rPr>
                <w:rFonts w:hint="eastAsia"/>
                <w:bCs/>
                <w:color w:val="auto"/>
                <w:szCs w:val="21"/>
                <w:lang w:val="en-US" w:eastAsia="zh-CN"/>
              </w:rPr>
              <w:fldChar w:fldCharType="begin"/>
            </w:r>
            <w:r>
              <w:rPr>
                <w:rFonts w:hint="eastAsia"/>
                <w:bCs/>
                <w:color w:val="auto"/>
                <w:szCs w:val="21"/>
                <w:lang w:val="en-US" w:eastAsia="zh-CN"/>
              </w:rPr>
              <w:instrText xml:space="preserve"> EQ \o\ac(○,4)</w:instrText>
            </w:r>
            <w:r>
              <w:rPr>
                <w:rFonts w:hint="eastAsia"/>
                <w:bCs/>
                <w:color w:val="auto"/>
                <w:szCs w:val="21"/>
                <w:lang w:val="en-US" w:eastAsia="zh-CN"/>
              </w:rPr>
              <w:fldChar w:fldCharType="end"/>
            </w:r>
            <w:r>
              <w:rPr>
                <w:rFonts w:hint="eastAsia"/>
                <w:bCs/>
                <w:color w:val="auto"/>
                <w:szCs w:val="21"/>
                <w:lang w:eastAsia="zh-CN"/>
              </w:rPr>
              <w:t>厂区道路洒水</w:t>
            </w:r>
          </w:p>
          <w:p>
            <w:pPr>
              <w:pStyle w:val="5"/>
              <w:spacing w:after="0" w:line="360" w:lineRule="auto"/>
              <w:ind w:firstLineChars="200"/>
              <w:rPr>
                <w:rFonts w:hint="eastAsia"/>
                <w:b/>
                <w:bCs w:val="0"/>
                <w:color w:val="auto"/>
                <w:szCs w:val="21"/>
                <w:lang w:eastAsia="zh-CN"/>
              </w:rPr>
            </w:pPr>
            <w:r>
              <w:rPr>
                <w:rFonts w:hint="eastAsia"/>
                <w:bCs/>
                <w:color w:val="auto"/>
                <w:szCs w:val="21"/>
                <w:lang w:eastAsia="zh-CN"/>
              </w:rPr>
              <w:t>厂区道路洒水按为2L/ m</w:t>
            </w:r>
            <w:r>
              <w:rPr>
                <w:rFonts w:hint="eastAsia"/>
                <w:bCs/>
                <w:color w:val="auto"/>
                <w:sz w:val="22"/>
                <w:szCs w:val="22"/>
                <w:vertAlign w:val="superscript"/>
                <w:lang w:eastAsia="zh-CN"/>
              </w:rPr>
              <w:t>2</w:t>
            </w:r>
            <w:r>
              <w:rPr>
                <w:rFonts w:hint="eastAsia"/>
                <w:bCs/>
                <w:color w:val="auto"/>
                <w:szCs w:val="21"/>
                <w:lang w:eastAsia="zh-CN"/>
              </w:rPr>
              <w:t>d计，本项目须洒水面积为</w:t>
            </w:r>
            <w:r>
              <w:rPr>
                <w:rFonts w:hint="eastAsia"/>
                <w:bCs/>
                <w:color w:val="auto"/>
                <w:szCs w:val="21"/>
                <w:lang w:val="en-US" w:eastAsia="zh-CN"/>
              </w:rPr>
              <w:t>9</w:t>
            </w:r>
            <w:r>
              <w:rPr>
                <w:rFonts w:hint="eastAsia"/>
                <w:bCs/>
                <w:color w:val="auto"/>
                <w:szCs w:val="21"/>
                <w:lang w:eastAsia="zh-CN"/>
              </w:rPr>
              <w:t>00 m</w:t>
            </w:r>
            <w:r>
              <w:rPr>
                <w:rFonts w:hint="eastAsia"/>
                <w:bCs/>
                <w:color w:val="auto"/>
                <w:szCs w:val="21"/>
                <w:vertAlign w:val="superscript"/>
                <w:lang w:eastAsia="zh-CN"/>
              </w:rPr>
              <w:t>2</w:t>
            </w:r>
            <w:r>
              <w:rPr>
                <w:rFonts w:hint="eastAsia"/>
                <w:bCs/>
                <w:color w:val="auto"/>
                <w:szCs w:val="21"/>
                <w:lang w:eastAsia="zh-CN"/>
              </w:rPr>
              <w:t>，则道路洒水用量为</w:t>
            </w:r>
            <w:r>
              <w:rPr>
                <w:rFonts w:hint="eastAsia"/>
                <w:b w:val="0"/>
                <w:bCs/>
                <w:color w:val="auto"/>
                <w:szCs w:val="21"/>
                <w:lang w:val="en-US" w:eastAsia="zh-CN"/>
              </w:rPr>
              <w:t>1.8</w:t>
            </w:r>
            <w:r>
              <w:rPr>
                <w:rFonts w:hint="eastAsia"/>
                <w:b w:val="0"/>
                <w:bCs/>
                <w:color w:val="auto"/>
                <w:szCs w:val="21"/>
                <w:lang w:eastAsia="zh-CN"/>
              </w:rPr>
              <w:t>m</w:t>
            </w:r>
            <w:r>
              <w:rPr>
                <w:rFonts w:hint="eastAsia"/>
                <w:b w:val="0"/>
                <w:bCs/>
                <w:color w:val="auto"/>
                <w:szCs w:val="21"/>
                <w:vertAlign w:val="superscript"/>
                <w:lang w:eastAsia="zh-CN"/>
              </w:rPr>
              <w:t>3</w:t>
            </w:r>
            <w:r>
              <w:rPr>
                <w:rFonts w:hint="eastAsia"/>
                <w:b w:val="0"/>
                <w:bCs/>
                <w:color w:val="auto"/>
                <w:szCs w:val="21"/>
                <w:lang w:eastAsia="zh-CN"/>
              </w:rPr>
              <w:t>/ d，即</w:t>
            </w:r>
            <w:r>
              <w:rPr>
                <w:rFonts w:hint="eastAsia"/>
                <w:b/>
                <w:bCs w:val="0"/>
                <w:color w:val="auto"/>
                <w:szCs w:val="21"/>
                <w:lang w:val="en-US" w:eastAsia="zh-CN"/>
              </w:rPr>
              <w:t>540</w:t>
            </w:r>
            <w:r>
              <w:rPr>
                <w:rFonts w:hint="eastAsia"/>
                <w:b/>
                <w:bCs w:val="0"/>
                <w:color w:val="auto"/>
                <w:szCs w:val="21"/>
                <w:lang w:eastAsia="zh-CN"/>
              </w:rPr>
              <w:t>m</w:t>
            </w:r>
            <w:r>
              <w:rPr>
                <w:rFonts w:hint="eastAsia"/>
                <w:b/>
                <w:bCs w:val="0"/>
                <w:color w:val="auto"/>
                <w:szCs w:val="21"/>
                <w:vertAlign w:val="superscript"/>
                <w:lang w:eastAsia="zh-CN"/>
              </w:rPr>
              <w:t>3</w:t>
            </w:r>
            <w:r>
              <w:rPr>
                <w:rFonts w:hint="eastAsia"/>
                <w:b/>
                <w:bCs w:val="0"/>
                <w:color w:val="auto"/>
                <w:szCs w:val="21"/>
                <w:lang w:eastAsia="zh-CN"/>
              </w:rPr>
              <w:t>/a。</w:t>
            </w:r>
          </w:p>
          <w:p>
            <w:pPr>
              <w:pStyle w:val="5"/>
              <w:spacing w:after="0" w:line="360" w:lineRule="auto"/>
              <w:ind w:firstLineChars="200"/>
              <w:rPr>
                <w:rFonts w:hint="eastAsia"/>
                <w:b/>
                <w:bCs w:val="0"/>
                <w:color w:val="auto"/>
                <w:szCs w:val="21"/>
                <w:lang w:eastAsia="zh-CN"/>
              </w:rPr>
            </w:pPr>
            <w:r>
              <w:rPr>
                <w:rFonts w:hint="eastAsia"/>
                <w:color w:val="auto"/>
              </w:rPr>
              <w:t>综上所述，本项目给水量具体情况见表</w:t>
            </w:r>
            <w:r>
              <w:rPr>
                <w:rFonts w:hint="eastAsia"/>
                <w:color w:val="auto"/>
                <w:lang w:val="en-US" w:eastAsia="zh-CN"/>
              </w:rPr>
              <w:t>2-5</w:t>
            </w:r>
            <w:r>
              <w:rPr>
                <w:rFonts w:hint="eastAsia"/>
                <w:color w:val="auto"/>
              </w:rPr>
              <w:t>。</w:t>
            </w:r>
          </w:p>
          <w:p>
            <w:pPr>
              <w:pStyle w:val="5"/>
              <w:spacing w:after="0" w:line="360" w:lineRule="auto"/>
              <w:ind w:firstLineChars="200"/>
              <w:jc w:val="center"/>
              <w:rPr>
                <w:color w:val="auto"/>
              </w:rPr>
            </w:pPr>
            <w:r>
              <w:rPr>
                <w:rFonts w:hint="eastAsia"/>
                <w:color w:val="auto"/>
                <w:lang w:eastAsia="zh-CN"/>
              </w:rPr>
              <w:t>表</w:t>
            </w:r>
            <w:r>
              <w:rPr>
                <w:rFonts w:hint="eastAsia"/>
                <w:color w:val="auto"/>
                <w:lang w:val="en-US" w:eastAsia="zh-CN"/>
              </w:rPr>
              <w:t xml:space="preserve">2-5 </w:t>
            </w:r>
            <w:r>
              <w:rPr>
                <w:color w:val="auto"/>
              </w:rPr>
              <w:t>本项目用水量一览表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
              <w:gridCol w:w="616"/>
              <w:gridCol w:w="1230"/>
              <w:gridCol w:w="1224"/>
              <w:gridCol w:w="2332"/>
              <w:gridCol w:w="1103"/>
              <w:gridCol w:w="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blHeader/>
                <w:jc w:val="center"/>
              </w:trPr>
              <w:tc>
                <w:tcPr>
                  <w:tcW w:w="286" w:type="pct"/>
                  <w:noWrap w:val="0"/>
                  <w:vAlign w:val="center"/>
                </w:tcPr>
                <w:p>
                  <w:pPr>
                    <w:pStyle w:val="45"/>
                    <w:keepNext w:val="0"/>
                    <w:keepLines w:val="0"/>
                    <w:pageBreakBefore w:val="0"/>
                    <w:widowControl/>
                    <w:kinsoku/>
                    <w:wordWrap/>
                    <w:overflowPunct/>
                    <w:topLinePunct w:val="0"/>
                    <w:autoSpaceDE/>
                    <w:autoSpaceDN/>
                    <w:bidi w:val="0"/>
                    <w:adjustRightInd w:val="0"/>
                    <w:snapToGrid w:val="0"/>
                    <w:textAlignment w:val="auto"/>
                    <w:rPr>
                      <w:color w:val="auto"/>
                    </w:rPr>
                  </w:pPr>
                  <w:r>
                    <w:rPr>
                      <w:color w:val="auto"/>
                    </w:rPr>
                    <w:t>序号</w:t>
                  </w:r>
                </w:p>
              </w:tc>
              <w:tc>
                <w:tcPr>
                  <w:tcW w:w="1163" w:type="pct"/>
                  <w:gridSpan w:val="2"/>
                  <w:noWrap w:val="0"/>
                  <w:vAlign w:val="center"/>
                </w:tcPr>
                <w:p>
                  <w:pPr>
                    <w:pStyle w:val="45"/>
                    <w:keepNext w:val="0"/>
                    <w:keepLines w:val="0"/>
                    <w:pageBreakBefore w:val="0"/>
                    <w:widowControl/>
                    <w:kinsoku/>
                    <w:wordWrap/>
                    <w:overflowPunct/>
                    <w:topLinePunct w:val="0"/>
                    <w:autoSpaceDE/>
                    <w:autoSpaceDN/>
                    <w:bidi w:val="0"/>
                    <w:adjustRightInd w:val="0"/>
                    <w:snapToGrid w:val="0"/>
                    <w:textAlignment w:val="auto"/>
                    <w:rPr>
                      <w:color w:val="auto"/>
                    </w:rPr>
                  </w:pPr>
                  <w:r>
                    <w:rPr>
                      <w:color w:val="auto"/>
                    </w:rPr>
                    <w:t>用水项目名称</w:t>
                  </w:r>
                </w:p>
              </w:tc>
              <w:tc>
                <w:tcPr>
                  <w:tcW w:w="771" w:type="pct"/>
                  <w:noWrap w:val="0"/>
                  <w:vAlign w:val="center"/>
                </w:tcPr>
                <w:p>
                  <w:pPr>
                    <w:pStyle w:val="45"/>
                    <w:keepNext w:val="0"/>
                    <w:keepLines w:val="0"/>
                    <w:pageBreakBefore w:val="0"/>
                    <w:widowControl/>
                    <w:kinsoku/>
                    <w:wordWrap/>
                    <w:overflowPunct/>
                    <w:topLinePunct w:val="0"/>
                    <w:autoSpaceDE/>
                    <w:autoSpaceDN/>
                    <w:bidi w:val="0"/>
                    <w:adjustRightInd w:val="0"/>
                    <w:snapToGrid w:val="0"/>
                    <w:textAlignment w:val="auto"/>
                    <w:rPr>
                      <w:color w:val="auto"/>
                    </w:rPr>
                  </w:pPr>
                  <w:r>
                    <w:rPr>
                      <w:color w:val="auto"/>
                    </w:rPr>
                    <w:t>使用人数或单位数</w:t>
                  </w:r>
                </w:p>
              </w:tc>
              <w:tc>
                <w:tcPr>
                  <w:tcW w:w="1469" w:type="pct"/>
                  <w:noWrap w:val="0"/>
                  <w:vAlign w:val="center"/>
                </w:tcPr>
                <w:p>
                  <w:pPr>
                    <w:pStyle w:val="45"/>
                    <w:keepNext w:val="0"/>
                    <w:keepLines w:val="0"/>
                    <w:pageBreakBefore w:val="0"/>
                    <w:widowControl/>
                    <w:kinsoku/>
                    <w:wordWrap/>
                    <w:overflowPunct/>
                    <w:topLinePunct w:val="0"/>
                    <w:autoSpaceDE/>
                    <w:autoSpaceDN/>
                    <w:bidi w:val="0"/>
                    <w:adjustRightInd w:val="0"/>
                    <w:snapToGrid w:val="0"/>
                    <w:textAlignment w:val="auto"/>
                    <w:rPr>
                      <w:color w:val="auto"/>
                    </w:rPr>
                  </w:pPr>
                  <w:r>
                    <w:rPr>
                      <w:color w:val="auto"/>
                    </w:rPr>
                    <w:t>用水标准</w:t>
                  </w:r>
                </w:p>
              </w:tc>
              <w:tc>
                <w:tcPr>
                  <w:tcW w:w="695" w:type="pct"/>
                  <w:noWrap w:val="0"/>
                  <w:vAlign w:val="center"/>
                </w:tcPr>
                <w:p>
                  <w:pPr>
                    <w:pStyle w:val="45"/>
                    <w:keepNext w:val="0"/>
                    <w:keepLines w:val="0"/>
                    <w:pageBreakBefore w:val="0"/>
                    <w:widowControl/>
                    <w:kinsoku/>
                    <w:wordWrap/>
                    <w:overflowPunct/>
                    <w:topLinePunct w:val="0"/>
                    <w:autoSpaceDE/>
                    <w:autoSpaceDN/>
                    <w:bidi w:val="0"/>
                    <w:adjustRightInd w:val="0"/>
                    <w:snapToGrid w:val="0"/>
                    <w:textAlignment w:val="auto"/>
                    <w:rPr>
                      <w:color w:val="auto"/>
                    </w:rPr>
                  </w:pPr>
                  <w:r>
                    <w:rPr>
                      <w:rFonts w:hint="eastAsia"/>
                      <w:color w:val="auto"/>
                    </w:rPr>
                    <w:t>日</w:t>
                  </w:r>
                  <w:r>
                    <w:rPr>
                      <w:color w:val="auto"/>
                    </w:rPr>
                    <w:t>用水量m</w:t>
                  </w:r>
                  <w:r>
                    <w:rPr>
                      <w:color w:val="auto"/>
                      <w:vertAlign w:val="superscript"/>
                    </w:rPr>
                    <w:t>3</w:t>
                  </w:r>
                  <w:r>
                    <w:rPr>
                      <w:color w:val="auto"/>
                    </w:rPr>
                    <w:t>/d</w:t>
                  </w:r>
                </w:p>
              </w:tc>
              <w:tc>
                <w:tcPr>
                  <w:tcW w:w="614" w:type="pct"/>
                  <w:noWrap w:val="0"/>
                  <w:vAlign w:val="center"/>
                </w:tcPr>
                <w:p>
                  <w:pPr>
                    <w:pStyle w:val="45"/>
                    <w:keepNext w:val="0"/>
                    <w:keepLines w:val="0"/>
                    <w:pageBreakBefore w:val="0"/>
                    <w:widowControl/>
                    <w:kinsoku/>
                    <w:wordWrap/>
                    <w:overflowPunct/>
                    <w:topLinePunct w:val="0"/>
                    <w:autoSpaceDE/>
                    <w:autoSpaceDN/>
                    <w:bidi w:val="0"/>
                    <w:adjustRightInd w:val="0"/>
                    <w:snapToGrid w:val="0"/>
                    <w:textAlignment w:val="auto"/>
                    <w:rPr>
                      <w:color w:val="auto"/>
                    </w:rPr>
                  </w:pPr>
                  <w:r>
                    <w:rPr>
                      <w:rFonts w:hint="eastAsia"/>
                      <w:color w:val="auto"/>
                    </w:rPr>
                    <w:t>年用</w:t>
                  </w:r>
                  <w:r>
                    <w:rPr>
                      <w:color w:val="auto"/>
                    </w:rPr>
                    <w:t>水量</w:t>
                  </w:r>
                </w:p>
                <w:p>
                  <w:pPr>
                    <w:pStyle w:val="45"/>
                    <w:keepNext w:val="0"/>
                    <w:keepLines w:val="0"/>
                    <w:pageBreakBefore w:val="0"/>
                    <w:widowControl/>
                    <w:kinsoku/>
                    <w:wordWrap/>
                    <w:overflowPunct/>
                    <w:topLinePunct w:val="0"/>
                    <w:autoSpaceDE/>
                    <w:autoSpaceDN/>
                    <w:bidi w:val="0"/>
                    <w:adjustRightInd w:val="0"/>
                    <w:snapToGrid w:val="0"/>
                    <w:textAlignment w:val="auto"/>
                    <w:rPr>
                      <w:rFonts w:hint="eastAsia"/>
                      <w:color w:val="auto"/>
                    </w:rPr>
                  </w:pPr>
                  <w:r>
                    <w:rPr>
                      <w:color w:val="auto"/>
                    </w:rPr>
                    <w:t>m</w:t>
                  </w:r>
                  <w:r>
                    <w:rPr>
                      <w:color w:val="auto"/>
                      <w:vertAlign w:val="superscript"/>
                    </w:rPr>
                    <w:t>3</w:t>
                  </w:r>
                  <w:r>
                    <w:rPr>
                      <w:color w:val="auto"/>
                    </w:rPr>
                    <w:t>/</w:t>
                  </w:r>
                  <w:r>
                    <w:rPr>
                      <w:rFonts w:hint="eastAsia"/>
                      <w:color w:val="auto"/>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6" w:type="pct"/>
                  <w:vMerge w:val="restart"/>
                  <w:noWrap w:val="0"/>
                  <w:vAlign w:val="center"/>
                </w:tcPr>
                <w:p>
                  <w:pPr>
                    <w:pStyle w:val="45"/>
                    <w:keepNext w:val="0"/>
                    <w:keepLines w:val="0"/>
                    <w:pageBreakBefore w:val="0"/>
                    <w:widowControl/>
                    <w:kinsoku/>
                    <w:wordWrap/>
                    <w:overflowPunct/>
                    <w:topLinePunct w:val="0"/>
                    <w:autoSpaceDE/>
                    <w:autoSpaceDN/>
                    <w:bidi w:val="0"/>
                    <w:adjustRightInd w:val="0"/>
                    <w:snapToGrid w:val="0"/>
                    <w:textAlignment w:val="auto"/>
                    <w:rPr>
                      <w:color w:val="auto"/>
                    </w:rPr>
                  </w:pPr>
                  <w:r>
                    <w:rPr>
                      <w:color w:val="auto"/>
                    </w:rPr>
                    <w:t>1</w:t>
                  </w:r>
                </w:p>
              </w:tc>
              <w:tc>
                <w:tcPr>
                  <w:tcW w:w="388" w:type="pct"/>
                  <w:vMerge w:val="restart"/>
                  <w:noWrap w:val="0"/>
                  <w:vAlign w:val="center"/>
                </w:tcPr>
                <w:p>
                  <w:pPr>
                    <w:pStyle w:val="45"/>
                    <w:keepNext w:val="0"/>
                    <w:keepLines w:val="0"/>
                    <w:pageBreakBefore w:val="0"/>
                    <w:widowControl/>
                    <w:kinsoku/>
                    <w:wordWrap/>
                    <w:overflowPunct/>
                    <w:topLinePunct w:val="0"/>
                    <w:autoSpaceDE/>
                    <w:autoSpaceDN/>
                    <w:bidi w:val="0"/>
                    <w:adjustRightInd w:val="0"/>
                    <w:snapToGrid w:val="0"/>
                    <w:textAlignment w:val="auto"/>
                    <w:rPr>
                      <w:rFonts w:hint="eastAsia" w:eastAsia="宋体"/>
                      <w:color w:val="auto"/>
                      <w:lang w:eastAsia="zh-CN"/>
                    </w:rPr>
                  </w:pPr>
                  <w:r>
                    <w:rPr>
                      <w:rFonts w:hint="eastAsia"/>
                      <w:color w:val="auto"/>
                      <w:lang w:eastAsia="zh-CN"/>
                    </w:rPr>
                    <w:t>生产用水</w:t>
                  </w:r>
                </w:p>
              </w:tc>
              <w:tc>
                <w:tcPr>
                  <w:tcW w:w="775" w:type="pct"/>
                  <w:vMerge w:val="restart"/>
                  <w:noWrap w:val="0"/>
                  <w:vAlign w:val="center"/>
                </w:tcPr>
                <w:p>
                  <w:pPr>
                    <w:pStyle w:val="45"/>
                    <w:keepNext w:val="0"/>
                    <w:keepLines w:val="0"/>
                    <w:pageBreakBefore w:val="0"/>
                    <w:widowControl/>
                    <w:kinsoku/>
                    <w:wordWrap/>
                    <w:overflowPunct/>
                    <w:topLinePunct w:val="0"/>
                    <w:autoSpaceDE/>
                    <w:autoSpaceDN/>
                    <w:bidi w:val="0"/>
                    <w:adjustRightInd w:val="0"/>
                    <w:snapToGrid w:val="0"/>
                    <w:textAlignment w:val="auto"/>
                    <w:rPr>
                      <w:color w:val="auto"/>
                    </w:rPr>
                  </w:pPr>
                  <w:r>
                    <w:rPr>
                      <w:color w:val="auto"/>
                      <w:szCs w:val="24"/>
                    </w:rPr>
                    <w:t>洗砂</w:t>
                  </w:r>
                  <w:r>
                    <w:rPr>
                      <w:rFonts w:hint="eastAsia"/>
                      <w:color w:val="auto"/>
                      <w:szCs w:val="24"/>
                    </w:rPr>
                    <w:t>补充</w:t>
                  </w:r>
                  <w:r>
                    <w:rPr>
                      <w:color w:val="auto"/>
                      <w:szCs w:val="24"/>
                    </w:rPr>
                    <w:t>用水</w:t>
                  </w:r>
                </w:p>
              </w:tc>
              <w:tc>
                <w:tcPr>
                  <w:tcW w:w="771" w:type="pct"/>
                  <w:vMerge w:val="restart"/>
                  <w:noWrap w:val="0"/>
                  <w:vAlign w:val="center"/>
                </w:tcPr>
                <w:p>
                  <w:pPr>
                    <w:pStyle w:val="45"/>
                    <w:keepNext w:val="0"/>
                    <w:keepLines w:val="0"/>
                    <w:pageBreakBefore w:val="0"/>
                    <w:widowControl/>
                    <w:kinsoku/>
                    <w:wordWrap/>
                    <w:overflowPunct/>
                    <w:topLinePunct w:val="0"/>
                    <w:autoSpaceDE/>
                    <w:autoSpaceDN/>
                    <w:bidi w:val="0"/>
                    <w:adjustRightInd w:val="0"/>
                    <w:snapToGrid w:val="0"/>
                    <w:textAlignment w:val="auto"/>
                    <w:rPr>
                      <w:color w:val="auto"/>
                    </w:rPr>
                  </w:pPr>
                  <w:r>
                    <w:rPr>
                      <w:rFonts w:hint="eastAsia"/>
                      <w:color w:val="auto"/>
                      <w:lang w:val="en-US" w:eastAsia="zh-CN"/>
                    </w:rPr>
                    <w:t>20</w:t>
                  </w:r>
                  <w:r>
                    <w:rPr>
                      <w:color w:val="auto"/>
                    </w:rPr>
                    <w:t>万t/a</w:t>
                  </w:r>
                </w:p>
              </w:tc>
              <w:tc>
                <w:tcPr>
                  <w:tcW w:w="1469" w:type="pct"/>
                  <w:noWrap w:val="0"/>
                  <w:vAlign w:val="center"/>
                </w:tcPr>
                <w:p>
                  <w:pPr>
                    <w:pStyle w:val="45"/>
                    <w:keepNext w:val="0"/>
                    <w:keepLines w:val="0"/>
                    <w:pageBreakBefore w:val="0"/>
                    <w:widowControl/>
                    <w:kinsoku/>
                    <w:wordWrap/>
                    <w:overflowPunct/>
                    <w:topLinePunct w:val="0"/>
                    <w:autoSpaceDE/>
                    <w:autoSpaceDN/>
                    <w:bidi w:val="0"/>
                    <w:adjustRightInd w:val="0"/>
                    <w:snapToGrid w:val="0"/>
                    <w:textAlignment w:val="auto"/>
                    <w:rPr>
                      <w:rFonts w:hint="eastAsia" w:eastAsia="宋体"/>
                      <w:color w:val="auto"/>
                      <w:lang w:eastAsia="zh-CN"/>
                    </w:rPr>
                  </w:pPr>
                  <w:r>
                    <w:rPr>
                      <w:rFonts w:hint="eastAsia"/>
                      <w:color w:val="auto"/>
                      <w:szCs w:val="24"/>
                      <w:lang w:val="en-US" w:eastAsia="zh-CN"/>
                    </w:rPr>
                    <w:t>0.2</w:t>
                  </w:r>
                  <w:r>
                    <w:rPr>
                      <w:rFonts w:hint="eastAsia"/>
                      <w:color w:val="auto"/>
                      <w:szCs w:val="24"/>
                    </w:rPr>
                    <w:t>m</w:t>
                  </w:r>
                  <w:r>
                    <w:rPr>
                      <w:rFonts w:hint="eastAsia"/>
                      <w:color w:val="auto"/>
                      <w:szCs w:val="24"/>
                      <w:vertAlign w:val="superscript"/>
                    </w:rPr>
                    <w:t>3</w:t>
                  </w:r>
                  <w:r>
                    <w:rPr>
                      <w:rFonts w:hint="eastAsia"/>
                      <w:color w:val="auto"/>
                      <w:szCs w:val="24"/>
                    </w:rPr>
                    <w:t>/t</w:t>
                  </w:r>
                  <w:r>
                    <w:rPr>
                      <w:rFonts w:hint="eastAsia"/>
                      <w:color w:val="auto"/>
                      <w:szCs w:val="24"/>
                      <w:lang w:eastAsia="zh-CN"/>
                    </w:rPr>
                    <w:t>，（湿砂）</w:t>
                  </w:r>
                </w:p>
              </w:tc>
              <w:tc>
                <w:tcPr>
                  <w:tcW w:w="695" w:type="pct"/>
                  <w:noWrap w:val="0"/>
                  <w:vAlign w:val="center"/>
                </w:tcPr>
                <w:p>
                  <w:pPr>
                    <w:pStyle w:val="45"/>
                    <w:keepNext w:val="0"/>
                    <w:keepLines w:val="0"/>
                    <w:pageBreakBefore w:val="0"/>
                    <w:widowControl/>
                    <w:kinsoku/>
                    <w:wordWrap/>
                    <w:overflowPunct/>
                    <w:topLinePunct w:val="0"/>
                    <w:autoSpaceDE/>
                    <w:autoSpaceDN/>
                    <w:bidi w:val="0"/>
                    <w:adjustRightInd w:val="0"/>
                    <w:snapToGrid w:val="0"/>
                    <w:textAlignment w:val="auto"/>
                    <w:rPr>
                      <w:rFonts w:hint="default" w:eastAsia="宋体"/>
                      <w:color w:val="auto"/>
                      <w:lang w:val="en-US" w:eastAsia="zh-CN"/>
                    </w:rPr>
                  </w:pPr>
                  <w:r>
                    <w:rPr>
                      <w:rFonts w:hint="eastAsia"/>
                      <w:color w:val="auto"/>
                      <w:lang w:val="en-US" w:eastAsia="zh-CN"/>
                    </w:rPr>
                    <w:t>66.6</w:t>
                  </w:r>
                </w:p>
              </w:tc>
              <w:tc>
                <w:tcPr>
                  <w:tcW w:w="614" w:type="pct"/>
                  <w:noWrap w:val="0"/>
                  <w:vAlign w:val="center"/>
                </w:tcPr>
                <w:p>
                  <w:pPr>
                    <w:pStyle w:val="45"/>
                    <w:keepNext w:val="0"/>
                    <w:keepLines w:val="0"/>
                    <w:pageBreakBefore w:val="0"/>
                    <w:widowControl/>
                    <w:kinsoku/>
                    <w:wordWrap/>
                    <w:overflowPunct/>
                    <w:topLinePunct w:val="0"/>
                    <w:autoSpaceDE/>
                    <w:autoSpaceDN/>
                    <w:bidi w:val="0"/>
                    <w:adjustRightInd w:val="0"/>
                    <w:snapToGrid w:val="0"/>
                    <w:textAlignment w:val="auto"/>
                    <w:rPr>
                      <w:rFonts w:hint="default" w:eastAsia="宋体"/>
                      <w:color w:val="auto"/>
                      <w:lang w:val="en-US" w:eastAsia="zh-CN"/>
                    </w:rPr>
                  </w:pPr>
                  <w:r>
                    <w:rPr>
                      <w:rFonts w:hint="eastAsia"/>
                      <w:color w:val="auto"/>
                      <w:lang w:val="en-US" w:eastAsia="zh-CN"/>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6" w:type="pct"/>
                  <w:vMerge w:val="continue"/>
                  <w:noWrap w:val="0"/>
                  <w:vAlign w:val="center"/>
                </w:tcPr>
                <w:p>
                  <w:pPr>
                    <w:pStyle w:val="45"/>
                    <w:keepNext w:val="0"/>
                    <w:keepLines w:val="0"/>
                    <w:pageBreakBefore w:val="0"/>
                    <w:widowControl/>
                    <w:kinsoku/>
                    <w:wordWrap/>
                    <w:overflowPunct/>
                    <w:topLinePunct w:val="0"/>
                    <w:autoSpaceDE/>
                    <w:autoSpaceDN/>
                    <w:bidi w:val="0"/>
                    <w:adjustRightInd w:val="0"/>
                    <w:snapToGrid w:val="0"/>
                    <w:textAlignment w:val="auto"/>
                    <w:rPr>
                      <w:color w:val="auto"/>
                    </w:rPr>
                  </w:pPr>
                </w:p>
              </w:tc>
              <w:tc>
                <w:tcPr>
                  <w:tcW w:w="388" w:type="pct"/>
                  <w:vMerge w:val="continue"/>
                  <w:noWrap w:val="0"/>
                  <w:vAlign w:val="center"/>
                </w:tcPr>
                <w:p>
                  <w:pPr>
                    <w:pStyle w:val="45"/>
                    <w:keepNext w:val="0"/>
                    <w:keepLines w:val="0"/>
                    <w:pageBreakBefore w:val="0"/>
                    <w:widowControl/>
                    <w:kinsoku/>
                    <w:wordWrap/>
                    <w:overflowPunct/>
                    <w:topLinePunct w:val="0"/>
                    <w:autoSpaceDE/>
                    <w:autoSpaceDN/>
                    <w:bidi w:val="0"/>
                    <w:adjustRightInd w:val="0"/>
                    <w:snapToGrid w:val="0"/>
                    <w:textAlignment w:val="auto"/>
                    <w:rPr>
                      <w:rFonts w:hint="eastAsia"/>
                      <w:color w:val="auto"/>
                      <w:lang w:eastAsia="zh-CN"/>
                    </w:rPr>
                  </w:pPr>
                </w:p>
              </w:tc>
              <w:tc>
                <w:tcPr>
                  <w:tcW w:w="775" w:type="pct"/>
                  <w:vMerge w:val="continue"/>
                  <w:noWrap w:val="0"/>
                  <w:vAlign w:val="center"/>
                </w:tcPr>
                <w:p>
                  <w:pPr>
                    <w:pStyle w:val="45"/>
                    <w:keepNext w:val="0"/>
                    <w:keepLines w:val="0"/>
                    <w:pageBreakBefore w:val="0"/>
                    <w:widowControl/>
                    <w:kinsoku/>
                    <w:wordWrap/>
                    <w:overflowPunct/>
                    <w:topLinePunct w:val="0"/>
                    <w:autoSpaceDE/>
                    <w:autoSpaceDN/>
                    <w:bidi w:val="0"/>
                    <w:adjustRightInd w:val="0"/>
                    <w:snapToGrid w:val="0"/>
                    <w:textAlignment w:val="auto"/>
                    <w:rPr>
                      <w:color w:val="auto"/>
                      <w:szCs w:val="24"/>
                    </w:rPr>
                  </w:pPr>
                </w:p>
              </w:tc>
              <w:tc>
                <w:tcPr>
                  <w:tcW w:w="771" w:type="pct"/>
                  <w:vMerge w:val="continue"/>
                  <w:noWrap w:val="0"/>
                  <w:vAlign w:val="center"/>
                </w:tcPr>
                <w:p>
                  <w:pPr>
                    <w:pStyle w:val="4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p>
              </w:tc>
              <w:tc>
                <w:tcPr>
                  <w:tcW w:w="1469" w:type="pct"/>
                  <w:noWrap w:val="0"/>
                  <w:vAlign w:val="center"/>
                </w:tcPr>
                <w:p>
                  <w:pPr>
                    <w:pStyle w:val="45"/>
                    <w:keepNext w:val="0"/>
                    <w:keepLines w:val="0"/>
                    <w:pageBreakBefore w:val="0"/>
                    <w:widowControl/>
                    <w:kinsoku/>
                    <w:wordWrap/>
                    <w:overflowPunct/>
                    <w:topLinePunct w:val="0"/>
                    <w:autoSpaceDE/>
                    <w:autoSpaceDN/>
                    <w:bidi w:val="0"/>
                    <w:adjustRightInd w:val="0"/>
                    <w:snapToGrid w:val="0"/>
                    <w:textAlignment w:val="auto"/>
                    <w:rPr>
                      <w:rFonts w:hint="eastAsia" w:eastAsia="宋体"/>
                      <w:color w:val="auto"/>
                      <w:szCs w:val="24"/>
                      <w:lang w:val="en-US" w:eastAsia="zh-CN"/>
                    </w:rPr>
                  </w:pPr>
                  <w:r>
                    <w:rPr>
                      <w:rFonts w:hint="eastAsia"/>
                      <w:color w:val="auto"/>
                      <w:szCs w:val="24"/>
                      <w:lang w:val="en-US" w:eastAsia="zh-CN"/>
                    </w:rPr>
                    <w:t>0.06</w:t>
                  </w:r>
                  <w:r>
                    <w:rPr>
                      <w:rFonts w:hint="eastAsia"/>
                      <w:color w:val="auto"/>
                      <w:szCs w:val="24"/>
                    </w:rPr>
                    <w:t>m</w:t>
                  </w:r>
                  <w:r>
                    <w:rPr>
                      <w:rFonts w:hint="eastAsia"/>
                      <w:color w:val="auto"/>
                      <w:szCs w:val="24"/>
                      <w:vertAlign w:val="superscript"/>
                    </w:rPr>
                    <w:t>3</w:t>
                  </w:r>
                  <w:r>
                    <w:rPr>
                      <w:rFonts w:hint="eastAsia"/>
                      <w:color w:val="auto"/>
                      <w:szCs w:val="24"/>
                    </w:rPr>
                    <w:t>/t</w:t>
                  </w:r>
                  <w:r>
                    <w:rPr>
                      <w:rFonts w:hint="eastAsia"/>
                      <w:color w:val="auto"/>
                      <w:szCs w:val="24"/>
                      <w:lang w:eastAsia="zh-CN"/>
                    </w:rPr>
                    <w:t>，（泥浆）</w:t>
                  </w:r>
                </w:p>
              </w:tc>
              <w:tc>
                <w:tcPr>
                  <w:tcW w:w="695" w:type="pct"/>
                  <w:noWrap w:val="0"/>
                  <w:vAlign w:val="center"/>
                </w:tcPr>
                <w:p>
                  <w:pPr>
                    <w:pStyle w:val="45"/>
                    <w:keepNext w:val="0"/>
                    <w:keepLines w:val="0"/>
                    <w:pageBreakBefore w:val="0"/>
                    <w:widowControl/>
                    <w:kinsoku/>
                    <w:wordWrap/>
                    <w:overflowPunct/>
                    <w:topLinePunct w:val="0"/>
                    <w:autoSpaceDE/>
                    <w:autoSpaceDN/>
                    <w:bidi w:val="0"/>
                    <w:adjustRightInd w:val="0"/>
                    <w:snapToGrid w:val="0"/>
                    <w:textAlignment w:val="auto"/>
                    <w:rPr>
                      <w:rFonts w:hint="default" w:eastAsia="宋体"/>
                      <w:color w:val="auto"/>
                      <w:lang w:val="en-US" w:eastAsia="zh-CN"/>
                    </w:rPr>
                  </w:pPr>
                  <w:r>
                    <w:rPr>
                      <w:rFonts w:hint="eastAsia"/>
                      <w:color w:val="auto"/>
                      <w:lang w:val="en-US" w:eastAsia="zh-CN"/>
                    </w:rPr>
                    <w:t>20</w:t>
                  </w:r>
                </w:p>
              </w:tc>
              <w:tc>
                <w:tcPr>
                  <w:tcW w:w="614" w:type="pct"/>
                  <w:noWrap w:val="0"/>
                  <w:vAlign w:val="center"/>
                </w:tcPr>
                <w:p>
                  <w:pPr>
                    <w:pStyle w:val="45"/>
                    <w:keepNext w:val="0"/>
                    <w:keepLines w:val="0"/>
                    <w:pageBreakBefore w:val="0"/>
                    <w:widowControl/>
                    <w:kinsoku/>
                    <w:wordWrap/>
                    <w:overflowPunct/>
                    <w:topLinePunct w:val="0"/>
                    <w:autoSpaceDE/>
                    <w:autoSpaceDN/>
                    <w:bidi w:val="0"/>
                    <w:adjustRightInd w:val="0"/>
                    <w:snapToGrid w:val="0"/>
                    <w:textAlignment w:val="auto"/>
                    <w:rPr>
                      <w:rFonts w:hint="default" w:eastAsia="宋体"/>
                      <w:color w:val="auto"/>
                      <w:lang w:val="en-US" w:eastAsia="zh-CN"/>
                    </w:rPr>
                  </w:pPr>
                  <w:r>
                    <w:rPr>
                      <w:rFonts w:hint="eastAsia"/>
                      <w:color w:val="auto"/>
                      <w:lang w:val="en-US" w:eastAsia="zh-CN"/>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6" w:type="pct"/>
                  <w:vMerge w:val="continue"/>
                  <w:noWrap w:val="0"/>
                  <w:vAlign w:val="center"/>
                </w:tcPr>
                <w:p>
                  <w:pPr>
                    <w:pStyle w:val="45"/>
                    <w:keepNext w:val="0"/>
                    <w:keepLines w:val="0"/>
                    <w:pageBreakBefore w:val="0"/>
                    <w:widowControl/>
                    <w:kinsoku/>
                    <w:wordWrap/>
                    <w:overflowPunct/>
                    <w:topLinePunct w:val="0"/>
                    <w:autoSpaceDE/>
                    <w:autoSpaceDN/>
                    <w:bidi w:val="0"/>
                    <w:adjustRightInd w:val="0"/>
                    <w:snapToGrid w:val="0"/>
                    <w:textAlignment w:val="auto"/>
                    <w:rPr>
                      <w:color w:val="auto"/>
                    </w:rPr>
                  </w:pPr>
                </w:p>
              </w:tc>
              <w:tc>
                <w:tcPr>
                  <w:tcW w:w="388" w:type="pct"/>
                  <w:vMerge w:val="continue"/>
                  <w:noWrap w:val="0"/>
                  <w:vAlign w:val="center"/>
                </w:tcPr>
                <w:p>
                  <w:pPr>
                    <w:pStyle w:val="45"/>
                    <w:keepNext w:val="0"/>
                    <w:keepLines w:val="0"/>
                    <w:pageBreakBefore w:val="0"/>
                    <w:widowControl/>
                    <w:kinsoku/>
                    <w:wordWrap/>
                    <w:overflowPunct/>
                    <w:topLinePunct w:val="0"/>
                    <w:autoSpaceDE/>
                    <w:autoSpaceDN/>
                    <w:bidi w:val="0"/>
                    <w:adjustRightInd w:val="0"/>
                    <w:snapToGrid w:val="0"/>
                    <w:textAlignment w:val="auto"/>
                    <w:rPr>
                      <w:color w:val="auto"/>
                    </w:rPr>
                  </w:pPr>
                </w:p>
              </w:tc>
              <w:tc>
                <w:tcPr>
                  <w:tcW w:w="775" w:type="pct"/>
                  <w:noWrap w:val="0"/>
                  <w:vAlign w:val="center"/>
                </w:tcPr>
                <w:p>
                  <w:pPr>
                    <w:pStyle w:val="45"/>
                    <w:keepNext w:val="0"/>
                    <w:keepLines w:val="0"/>
                    <w:pageBreakBefore w:val="0"/>
                    <w:widowControl/>
                    <w:kinsoku/>
                    <w:wordWrap/>
                    <w:overflowPunct/>
                    <w:topLinePunct w:val="0"/>
                    <w:autoSpaceDE/>
                    <w:autoSpaceDN/>
                    <w:bidi w:val="0"/>
                    <w:adjustRightInd w:val="0"/>
                    <w:snapToGrid w:val="0"/>
                    <w:textAlignment w:val="auto"/>
                    <w:rPr>
                      <w:rFonts w:hint="eastAsia" w:eastAsia="宋体"/>
                      <w:color w:val="auto"/>
                      <w:szCs w:val="24"/>
                      <w:lang w:eastAsia="zh-CN"/>
                    </w:rPr>
                  </w:pPr>
                  <w:r>
                    <w:rPr>
                      <w:rFonts w:hint="eastAsia"/>
                      <w:bCs/>
                      <w:color w:val="auto"/>
                      <w:szCs w:val="24"/>
                      <w:lang w:eastAsia="zh-CN"/>
                    </w:rPr>
                    <w:t>生产抑尘用水</w:t>
                  </w:r>
                </w:p>
              </w:tc>
              <w:tc>
                <w:tcPr>
                  <w:tcW w:w="771" w:type="pct"/>
                  <w:noWrap w:val="0"/>
                  <w:vAlign w:val="center"/>
                </w:tcPr>
                <w:p>
                  <w:pPr>
                    <w:pStyle w:val="45"/>
                    <w:keepNext w:val="0"/>
                    <w:keepLines w:val="0"/>
                    <w:pageBreakBefore w:val="0"/>
                    <w:widowControl/>
                    <w:kinsoku/>
                    <w:wordWrap/>
                    <w:overflowPunct/>
                    <w:topLinePunct w:val="0"/>
                    <w:autoSpaceDE/>
                    <w:autoSpaceDN/>
                    <w:bidi w:val="0"/>
                    <w:adjustRightInd w:val="0"/>
                    <w:snapToGrid w:val="0"/>
                    <w:textAlignment w:val="auto"/>
                    <w:rPr>
                      <w:rFonts w:hint="default" w:eastAsia="宋体"/>
                      <w:color w:val="auto"/>
                      <w:lang w:val="en-US" w:eastAsia="zh-CN"/>
                    </w:rPr>
                  </w:pPr>
                  <w:r>
                    <w:rPr>
                      <w:rFonts w:hint="eastAsia"/>
                      <w:color w:val="auto"/>
                      <w:lang w:val="en-US" w:eastAsia="zh-CN"/>
                    </w:rPr>
                    <w:t>2000</w:t>
                  </w:r>
                  <w:r>
                    <w:rPr>
                      <w:color w:val="auto"/>
                    </w:rPr>
                    <w:t>m</w:t>
                  </w:r>
                  <w:r>
                    <w:rPr>
                      <w:color w:val="auto"/>
                      <w:vertAlign w:val="superscript"/>
                    </w:rPr>
                    <w:t>2</w:t>
                  </w:r>
                </w:p>
              </w:tc>
              <w:tc>
                <w:tcPr>
                  <w:tcW w:w="1469" w:type="pct"/>
                  <w:noWrap w:val="0"/>
                  <w:vAlign w:val="center"/>
                </w:tcPr>
                <w:p>
                  <w:pPr>
                    <w:pStyle w:val="45"/>
                    <w:keepNext w:val="0"/>
                    <w:keepLines w:val="0"/>
                    <w:pageBreakBefore w:val="0"/>
                    <w:widowControl/>
                    <w:kinsoku/>
                    <w:wordWrap/>
                    <w:overflowPunct/>
                    <w:topLinePunct w:val="0"/>
                    <w:autoSpaceDE/>
                    <w:autoSpaceDN/>
                    <w:bidi w:val="0"/>
                    <w:adjustRightInd w:val="0"/>
                    <w:snapToGrid w:val="0"/>
                    <w:textAlignment w:val="auto"/>
                    <w:rPr>
                      <w:rFonts w:hint="eastAsia"/>
                      <w:color w:val="auto"/>
                      <w:szCs w:val="24"/>
                    </w:rPr>
                  </w:pPr>
                  <w:r>
                    <w:rPr>
                      <w:rFonts w:hint="eastAsia"/>
                      <w:color w:val="auto"/>
                      <w:lang w:val="en-US" w:eastAsia="zh-CN"/>
                    </w:rPr>
                    <w:t>4</w:t>
                  </w:r>
                  <w:r>
                    <w:rPr>
                      <w:color w:val="auto"/>
                    </w:rPr>
                    <w:t>L/m</w:t>
                  </w:r>
                  <w:r>
                    <w:rPr>
                      <w:color w:val="auto"/>
                      <w:vertAlign w:val="superscript"/>
                    </w:rPr>
                    <w:t>2.</w:t>
                  </w:r>
                  <w:r>
                    <w:rPr>
                      <w:color w:val="auto"/>
                    </w:rPr>
                    <w:t>d</w:t>
                  </w:r>
                </w:p>
              </w:tc>
              <w:tc>
                <w:tcPr>
                  <w:tcW w:w="695" w:type="pct"/>
                  <w:noWrap w:val="0"/>
                  <w:vAlign w:val="center"/>
                </w:tcPr>
                <w:p>
                  <w:pPr>
                    <w:pStyle w:val="45"/>
                    <w:keepNext w:val="0"/>
                    <w:keepLines w:val="0"/>
                    <w:pageBreakBefore w:val="0"/>
                    <w:widowControl/>
                    <w:kinsoku/>
                    <w:wordWrap/>
                    <w:overflowPunct/>
                    <w:topLinePunct w:val="0"/>
                    <w:autoSpaceDE/>
                    <w:autoSpaceDN/>
                    <w:bidi w:val="0"/>
                    <w:adjustRightInd w:val="0"/>
                    <w:snapToGrid w:val="0"/>
                    <w:textAlignment w:val="auto"/>
                    <w:rPr>
                      <w:rFonts w:hint="eastAsia" w:eastAsia="宋体"/>
                      <w:color w:val="auto"/>
                      <w:lang w:eastAsia="zh-CN"/>
                    </w:rPr>
                  </w:pPr>
                  <w:r>
                    <w:rPr>
                      <w:rFonts w:hint="eastAsia"/>
                      <w:color w:val="auto"/>
                      <w:lang w:val="en-US" w:eastAsia="zh-CN"/>
                    </w:rPr>
                    <w:t>8</w:t>
                  </w:r>
                </w:p>
              </w:tc>
              <w:tc>
                <w:tcPr>
                  <w:tcW w:w="614" w:type="pct"/>
                  <w:noWrap w:val="0"/>
                  <w:vAlign w:val="center"/>
                </w:tcPr>
                <w:p>
                  <w:pPr>
                    <w:pStyle w:val="45"/>
                    <w:keepNext w:val="0"/>
                    <w:keepLines w:val="0"/>
                    <w:pageBreakBefore w:val="0"/>
                    <w:widowControl/>
                    <w:kinsoku/>
                    <w:wordWrap/>
                    <w:overflowPunct/>
                    <w:topLinePunct w:val="0"/>
                    <w:autoSpaceDE/>
                    <w:autoSpaceDN/>
                    <w:bidi w:val="0"/>
                    <w:adjustRightInd w:val="0"/>
                    <w:snapToGrid w:val="0"/>
                    <w:textAlignment w:val="auto"/>
                    <w:rPr>
                      <w:rFonts w:hint="default" w:eastAsia="宋体"/>
                      <w:color w:val="auto"/>
                      <w:lang w:val="en-US" w:eastAsia="zh-CN"/>
                    </w:rPr>
                  </w:pPr>
                  <w:r>
                    <w:rPr>
                      <w:rFonts w:hint="eastAsia"/>
                      <w:color w:val="auto"/>
                      <w:lang w:val="en-US" w:eastAsia="zh-CN"/>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6" w:type="pct"/>
                  <w:noWrap w:val="0"/>
                  <w:vAlign w:val="center"/>
                </w:tcPr>
                <w:p>
                  <w:pPr>
                    <w:pStyle w:val="45"/>
                    <w:keepNext w:val="0"/>
                    <w:keepLines w:val="0"/>
                    <w:pageBreakBefore w:val="0"/>
                    <w:widowControl/>
                    <w:kinsoku/>
                    <w:wordWrap/>
                    <w:overflowPunct/>
                    <w:topLinePunct w:val="0"/>
                    <w:autoSpaceDE/>
                    <w:autoSpaceDN/>
                    <w:bidi w:val="0"/>
                    <w:adjustRightInd w:val="0"/>
                    <w:snapToGrid w:val="0"/>
                    <w:textAlignment w:val="auto"/>
                    <w:rPr>
                      <w:color w:val="auto"/>
                    </w:rPr>
                  </w:pPr>
                  <w:r>
                    <w:rPr>
                      <w:color w:val="auto"/>
                    </w:rPr>
                    <w:t>2</w:t>
                  </w:r>
                </w:p>
              </w:tc>
              <w:tc>
                <w:tcPr>
                  <w:tcW w:w="1163" w:type="pct"/>
                  <w:gridSpan w:val="2"/>
                  <w:noWrap w:val="0"/>
                  <w:vAlign w:val="center"/>
                </w:tcPr>
                <w:p>
                  <w:pPr>
                    <w:pStyle w:val="45"/>
                    <w:keepNext w:val="0"/>
                    <w:keepLines w:val="0"/>
                    <w:pageBreakBefore w:val="0"/>
                    <w:widowControl/>
                    <w:kinsoku/>
                    <w:wordWrap/>
                    <w:overflowPunct/>
                    <w:topLinePunct w:val="0"/>
                    <w:autoSpaceDE/>
                    <w:autoSpaceDN/>
                    <w:bidi w:val="0"/>
                    <w:adjustRightInd w:val="0"/>
                    <w:snapToGrid w:val="0"/>
                    <w:textAlignment w:val="auto"/>
                    <w:rPr>
                      <w:color w:val="auto"/>
                    </w:rPr>
                  </w:pPr>
                  <w:r>
                    <w:rPr>
                      <w:color w:val="auto"/>
                    </w:rPr>
                    <w:t>生活用水</w:t>
                  </w:r>
                </w:p>
              </w:tc>
              <w:tc>
                <w:tcPr>
                  <w:tcW w:w="771" w:type="pct"/>
                  <w:noWrap w:val="0"/>
                  <w:vAlign w:val="center"/>
                </w:tcPr>
                <w:p>
                  <w:pPr>
                    <w:pStyle w:val="45"/>
                    <w:keepNext w:val="0"/>
                    <w:keepLines w:val="0"/>
                    <w:pageBreakBefore w:val="0"/>
                    <w:widowControl/>
                    <w:kinsoku/>
                    <w:wordWrap/>
                    <w:overflowPunct/>
                    <w:topLinePunct w:val="0"/>
                    <w:autoSpaceDE/>
                    <w:autoSpaceDN/>
                    <w:bidi w:val="0"/>
                    <w:adjustRightInd w:val="0"/>
                    <w:snapToGrid w:val="0"/>
                    <w:textAlignment w:val="auto"/>
                    <w:rPr>
                      <w:color w:val="auto"/>
                    </w:rPr>
                  </w:pPr>
                  <w:r>
                    <w:rPr>
                      <w:rFonts w:hint="eastAsia"/>
                      <w:color w:val="auto"/>
                      <w:lang w:val="en-US" w:eastAsia="zh-CN"/>
                    </w:rPr>
                    <w:t>20</w:t>
                  </w:r>
                  <w:r>
                    <w:rPr>
                      <w:color w:val="auto"/>
                    </w:rPr>
                    <w:t>人</w:t>
                  </w:r>
                </w:p>
              </w:tc>
              <w:tc>
                <w:tcPr>
                  <w:tcW w:w="1469" w:type="pct"/>
                  <w:noWrap w:val="0"/>
                  <w:vAlign w:val="center"/>
                </w:tcPr>
                <w:p>
                  <w:pPr>
                    <w:pStyle w:val="45"/>
                    <w:keepNext w:val="0"/>
                    <w:keepLines w:val="0"/>
                    <w:pageBreakBefore w:val="0"/>
                    <w:widowControl/>
                    <w:kinsoku/>
                    <w:wordWrap/>
                    <w:overflowPunct/>
                    <w:topLinePunct w:val="0"/>
                    <w:autoSpaceDE/>
                    <w:autoSpaceDN/>
                    <w:bidi w:val="0"/>
                    <w:adjustRightInd w:val="0"/>
                    <w:snapToGrid w:val="0"/>
                    <w:textAlignment w:val="auto"/>
                    <w:rPr>
                      <w:color w:val="auto"/>
                    </w:rPr>
                  </w:pPr>
                  <w:r>
                    <w:rPr>
                      <w:rFonts w:hint="eastAsia"/>
                      <w:color w:val="auto"/>
                    </w:rPr>
                    <w:t>45</w:t>
                  </w:r>
                  <w:r>
                    <w:rPr>
                      <w:color w:val="auto"/>
                    </w:rPr>
                    <w:t>L/人•d</w:t>
                  </w:r>
                </w:p>
              </w:tc>
              <w:tc>
                <w:tcPr>
                  <w:tcW w:w="695" w:type="pct"/>
                  <w:noWrap w:val="0"/>
                  <w:vAlign w:val="center"/>
                </w:tcPr>
                <w:p>
                  <w:pPr>
                    <w:pStyle w:val="45"/>
                    <w:keepNext w:val="0"/>
                    <w:keepLines w:val="0"/>
                    <w:pageBreakBefore w:val="0"/>
                    <w:widowControl/>
                    <w:kinsoku/>
                    <w:wordWrap/>
                    <w:overflowPunct/>
                    <w:topLinePunct w:val="0"/>
                    <w:autoSpaceDE/>
                    <w:autoSpaceDN/>
                    <w:bidi w:val="0"/>
                    <w:adjustRightInd w:val="0"/>
                    <w:snapToGrid w:val="0"/>
                    <w:textAlignment w:val="auto"/>
                    <w:rPr>
                      <w:rFonts w:hint="eastAsia" w:eastAsia="宋体"/>
                      <w:color w:val="auto"/>
                      <w:lang w:eastAsia="zh-CN"/>
                    </w:rPr>
                  </w:pPr>
                  <w:r>
                    <w:rPr>
                      <w:color w:val="auto"/>
                    </w:rPr>
                    <w:t>0.</w:t>
                  </w:r>
                  <w:r>
                    <w:rPr>
                      <w:rFonts w:hint="eastAsia"/>
                      <w:color w:val="auto"/>
                      <w:lang w:val="en-US" w:eastAsia="zh-CN"/>
                    </w:rPr>
                    <w:t>9</w:t>
                  </w:r>
                </w:p>
              </w:tc>
              <w:tc>
                <w:tcPr>
                  <w:tcW w:w="614" w:type="pct"/>
                  <w:noWrap w:val="0"/>
                  <w:vAlign w:val="center"/>
                </w:tcPr>
                <w:p>
                  <w:pPr>
                    <w:pStyle w:val="45"/>
                    <w:keepNext w:val="0"/>
                    <w:keepLines w:val="0"/>
                    <w:pageBreakBefore w:val="0"/>
                    <w:widowControl/>
                    <w:kinsoku/>
                    <w:wordWrap/>
                    <w:overflowPunct/>
                    <w:topLinePunct w:val="0"/>
                    <w:autoSpaceDE/>
                    <w:autoSpaceDN/>
                    <w:bidi w:val="0"/>
                    <w:adjustRightInd w:val="0"/>
                    <w:snapToGrid w:val="0"/>
                    <w:textAlignment w:val="auto"/>
                    <w:rPr>
                      <w:rFonts w:hint="default" w:eastAsia="宋体"/>
                      <w:color w:val="auto"/>
                      <w:lang w:val="en-US" w:eastAsia="zh-CN"/>
                    </w:rPr>
                  </w:pPr>
                  <w:r>
                    <w:rPr>
                      <w:rFonts w:hint="eastAsia"/>
                      <w:color w:val="auto"/>
                      <w:lang w:val="en-US" w:eastAsia="zh-CN"/>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6" w:type="pct"/>
                  <w:noWrap w:val="0"/>
                  <w:vAlign w:val="center"/>
                </w:tcPr>
                <w:p>
                  <w:pPr>
                    <w:pStyle w:val="45"/>
                    <w:keepNext w:val="0"/>
                    <w:keepLines w:val="0"/>
                    <w:pageBreakBefore w:val="0"/>
                    <w:widowControl/>
                    <w:kinsoku/>
                    <w:wordWrap/>
                    <w:overflowPunct/>
                    <w:topLinePunct w:val="0"/>
                    <w:autoSpaceDE/>
                    <w:autoSpaceDN/>
                    <w:bidi w:val="0"/>
                    <w:adjustRightInd w:val="0"/>
                    <w:snapToGrid w:val="0"/>
                    <w:textAlignment w:val="auto"/>
                    <w:rPr>
                      <w:color w:val="auto"/>
                    </w:rPr>
                  </w:pPr>
                  <w:r>
                    <w:rPr>
                      <w:color w:val="auto"/>
                    </w:rPr>
                    <w:t>3</w:t>
                  </w:r>
                </w:p>
              </w:tc>
              <w:tc>
                <w:tcPr>
                  <w:tcW w:w="1163" w:type="pct"/>
                  <w:gridSpan w:val="2"/>
                  <w:noWrap w:val="0"/>
                  <w:vAlign w:val="center"/>
                </w:tcPr>
                <w:p>
                  <w:pPr>
                    <w:pStyle w:val="45"/>
                    <w:keepNext w:val="0"/>
                    <w:keepLines w:val="0"/>
                    <w:pageBreakBefore w:val="0"/>
                    <w:widowControl/>
                    <w:kinsoku/>
                    <w:wordWrap/>
                    <w:overflowPunct/>
                    <w:topLinePunct w:val="0"/>
                    <w:autoSpaceDE/>
                    <w:autoSpaceDN/>
                    <w:bidi w:val="0"/>
                    <w:adjustRightInd w:val="0"/>
                    <w:snapToGrid w:val="0"/>
                    <w:textAlignment w:val="auto"/>
                    <w:rPr>
                      <w:color w:val="auto"/>
                    </w:rPr>
                  </w:pPr>
                  <w:r>
                    <w:rPr>
                      <w:color w:val="auto"/>
                      <w:szCs w:val="24"/>
                    </w:rPr>
                    <w:t>厂区道路洒水</w:t>
                  </w:r>
                </w:p>
              </w:tc>
              <w:tc>
                <w:tcPr>
                  <w:tcW w:w="771" w:type="pct"/>
                  <w:noWrap w:val="0"/>
                  <w:vAlign w:val="center"/>
                </w:tcPr>
                <w:p>
                  <w:pPr>
                    <w:pStyle w:val="45"/>
                    <w:keepNext w:val="0"/>
                    <w:keepLines w:val="0"/>
                    <w:pageBreakBefore w:val="0"/>
                    <w:widowControl/>
                    <w:kinsoku/>
                    <w:wordWrap/>
                    <w:overflowPunct/>
                    <w:topLinePunct w:val="0"/>
                    <w:autoSpaceDE/>
                    <w:autoSpaceDN/>
                    <w:bidi w:val="0"/>
                    <w:adjustRightInd w:val="0"/>
                    <w:snapToGrid w:val="0"/>
                    <w:textAlignment w:val="auto"/>
                    <w:rPr>
                      <w:color w:val="auto"/>
                    </w:rPr>
                  </w:pPr>
                  <w:r>
                    <w:rPr>
                      <w:rFonts w:hint="eastAsia"/>
                      <w:color w:val="auto"/>
                      <w:lang w:val="en-US" w:eastAsia="zh-CN"/>
                    </w:rPr>
                    <w:t>9</w:t>
                  </w:r>
                  <w:r>
                    <w:rPr>
                      <w:color w:val="auto"/>
                    </w:rPr>
                    <w:t>00 m</w:t>
                  </w:r>
                  <w:r>
                    <w:rPr>
                      <w:color w:val="auto"/>
                      <w:vertAlign w:val="superscript"/>
                    </w:rPr>
                    <w:t>2</w:t>
                  </w:r>
                </w:p>
              </w:tc>
              <w:tc>
                <w:tcPr>
                  <w:tcW w:w="1469" w:type="pct"/>
                  <w:noWrap w:val="0"/>
                  <w:vAlign w:val="center"/>
                </w:tcPr>
                <w:p>
                  <w:pPr>
                    <w:pStyle w:val="45"/>
                    <w:keepNext w:val="0"/>
                    <w:keepLines w:val="0"/>
                    <w:pageBreakBefore w:val="0"/>
                    <w:widowControl/>
                    <w:kinsoku/>
                    <w:wordWrap/>
                    <w:overflowPunct/>
                    <w:topLinePunct w:val="0"/>
                    <w:autoSpaceDE/>
                    <w:autoSpaceDN/>
                    <w:bidi w:val="0"/>
                    <w:adjustRightInd w:val="0"/>
                    <w:snapToGrid w:val="0"/>
                    <w:textAlignment w:val="auto"/>
                    <w:rPr>
                      <w:color w:val="auto"/>
                    </w:rPr>
                  </w:pPr>
                  <w:r>
                    <w:rPr>
                      <w:color w:val="auto"/>
                    </w:rPr>
                    <w:t>2L/m</w:t>
                  </w:r>
                  <w:r>
                    <w:rPr>
                      <w:color w:val="auto"/>
                      <w:vertAlign w:val="superscript"/>
                    </w:rPr>
                    <w:t>2.</w:t>
                  </w:r>
                  <w:r>
                    <w:rPr>
                      <w:color w:val="auto"/>
                    </w:rPr>
                    <w:t>d</w:t>
                  </w:r>
                </w:p>
              </w:tc>
              <w:tc>
                <w:tcPr>
                  <w:tcW w:w="695" w:type="pct"/>
                  <w:noWrap w:val="0"/>
                  <w:vAlign w:val="center"/>
                </w:tcPr>
                <w:p>
                  <w:pPr>
                    <w:pStyle w:val="45"/>
                    <w:keepNext w:val="0"/>
                    <w:keepLines w:val="0"/>
                    <w:pageBreakBefore w:val="0"/>
                    <w:widowControl/>
                    <w:kinsoku/>
                    <w:wordWrap/>
                    <w:overflowPunct/>
                    <w:topLinePunct w:val="0"/>
                    <w:autoSpaceDE/>
                    <w:autoSpaceDN/>
                    <w:bidi w:val="0"/>
                    <w:adjustRightInd w:val="0"/>
                    <w:snapToGrid w:val="0"/>
                    <w:textAlignment w:val="auto"/>
                    <w:rPr>
                      <w:rFonts w:hint="default" w:eastAsia="宋体"/>
                      <w:color w:val="auto"/>
                      <w:lang w:val="en-US" w:eastAsia="zh-CN"/>
                    </w:rPr>
                  </w:pPr>
                  <w:r>
                    <w:rPr>
                      <w:rFonts w:hint="eastAsia"/>
                      <w:color w:val="auto"/>
                      <w:lang w:val="en-US" w:eastAsia="zh-CN"/>
                    </w:rPr>
                    <w:t>1.8</w:t>
                  </w:r>
                </w:p>
              </w:tc>
              <w:tc>
                <w:tcPr>
                  <w:tcW w:w="614" w:type="pct"/>
                  <w:noWrap w:val="0"/>
                  <w:vAlign w:val="center"/>
                </w:tcPr>
                <w:p>
                  <w:pPr>
                    <w:pStyle w:val="45"/>
                    <w:keepNext w:val="0"/>
                    <w:keepLines w:val="0"/>
                    <w:pageBreakBefore w:val="0"/>
                    <w:widowControl/>
                    <w:kinsoku/>
                    <w:wordWrap/>
                    <w:overflowPunct/>
                    <w:topLinePunct w:val="0"/>
                    <w:autoSpaceDE/>
                    <w:autoSpaceDN/>
                    <w:bidi w:val="0"/>
                    <w:adjustRightInd w:val="0"/>
                    <w:snapToGrid w:val="0"/>
                    <w:textAlignment w:val="auto"/>
                    <w:rPr>
                      <w:rFonts w:hint="default" w:eastAsia="宋体"/>
                      <w:color w:val="auto"/>
                      <w:lang w:val="en-US" w:eastAsia="zh-CN"/>
                    </w:rPr>
                  </w:pPr>
                  <w:r>
                    <w:rPr>
                      <w:rFonts w:hint="eastAsia"/>
                      <w:color w:val="auto"/>
                      <w:lang w:val="en-US" w:eastAsia="zh-CN"/>
                    </w:rPr>
                    <w:t>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gridSpan w:val="3"/>
                  <w:noWrap w:val="0"/>
                  <w:vAlign w:val="center"/>
                </w:tcPr>
                <w:p>
                  <w:pPr>
                    <w:pStyle w:val="45"/>
                    <w:keepNext w:val="0"/>
                    <w:keepLines w:val="0"/>
                    <w:pageBreakBefore w:val="0"/>
                    <w:widowControl/>
                    <w:kinsoku/>
                    <w:wordWrap/>
                    <w:overflowPunct/>
                    <w:topLinePunct w:val="0"/>
                    <w:autoSpaceDE/>
                    <w:autoSpaceDN/>
                    <w:bidi w:val="0"/>
                    <w:adjustRightInd w:val="0"/>
                    <w:snapToGrid w:val="0"/>
                    <w:textAlignment w:val="auto"/>
                    <w:rPr>
                      <w:color w:val="auto"/>
                    </w:rPr>
                  </w:pPr>
                  <w:r>
                    <w:rPr>
                      <w:color w:val="auto"/>
                    </w:rPr>
                    <w:t>合    计</w:t>
                  </w:r>
                </w:p>
              </w:tc>
              <w:tc>
                <w:tcPr>
                  <w:tcW w:w="2240" w:type="pct"/>
                  <w:gridSpan w:val="2"/>
                  <w:noWrap w:val="0"/>
                  <w:vAlign w:val="center"/>
                </w:tcPr>
                <w:p>
                  <w:pPr>
                    <w:pStyle w:val="45"/>
                    <w:keepNext w:val="0"/>
                    <w:keepLines w:val="0"/>
                    <w:pageBreakBefore w:val="0"/>
                    <w:widowControl/>
                    <w:kinsoku/>
                    <w:wordWrap/>
                    <w:overflowPunct/>
                    <w:topLinePunct w:val="0"/>
                    <w:autoSpaceDE/>
                    <w:autoSpaceDN/>
                    <w:bidi w:val="0"/>
                    <w:adjustRightInd w:val="0"/>
                    <w:snapToGrid w:val="0"/>
                    <w:textAlignment w:val="auto"/>
                    <w:rPr>
                      <w:color w:val="auto"/>
                    </w:rPr>
                  </w:pPr>
                </w:p>
              </w:tc>
              <w:tc>
                <w:tcPr>
                  <w:tcW w:w="695" w:type="pct"/>
                  <w:noWrap w:val="0"/>
                  <w:vAlign w:val="center"/>
                </w:tcPr>
                <w:p>
                  <w:pPr>
                    <w:pStyle w:val="45"/>
                    <w:keepNext w:val="0"/>
                    <w:keepLines w:val="0"/>
                    <w:pageBreakBefore w:val="0"/>
                    <w:widowControl/>
                    <w:kinsoku/>
                    <w:wordWrap/>
                    <w:overflowPunct/>
                    <w:topLinePunct w:val="0"/>
                    <w:autoSpaceDE/>
                    <w:autoSpaceDN/>
                    <w:bidi w:val="0"/>
                    <w:adjustRightInd w:val="0"/>
                    <w:snapToGrid w:val="0"/>
                    <w:textAlignment w:val="auto"/>
                    <w:rPr>
                      <w:rFonts w:hint="default" w:eastAsia="宋体"/>
                      <w:color w:val="auto"/>
                      <w:lang w:val="en-US" w:eastAsia="zh-CN"/>
                    </w:rPr>
                  </w:pPr>
                  <w:r>
                    <w:rPr>
                      <w:rFonts w:hint="eastAsia"/>
                      <w:color w:val="auto"/>
                      <w:lang w:val="en-US" w:eastAsia="zh-CN"/>
                    </w:rPr>
                    <w:t>97.3</w:t>
                  </w:r>
                </w:p>
              </w:tc>
              <w:tc>
                <w:tcPr>
                  <w:tcW w:w="614" w:type="pct"/>
                  <w:noWrap w:val="0"/>
                  <w:vAlign w:val="center"/>
                </w:tcPr>
                <w:p>
                  <w:pPr>
                    <w:pStyle w:val="45"/>
                    <w:keepNext w:val="0"/>
                    <w:keepLines w:val="0"/>
                    <w:pageBreakBefore w:val="0"/>
                    <w:widowControl/>
                    <w:kinsoku/>
                    <w:wordWrap/>
                    <w:overflowPunct/>
                    <w:topLinePunct w:val="0"/>
                    <w:autoSpaceDE/>
                    <w:autoSpaceDN/>
                    <w:bidi w:val="0"/>
                    <w:adjustRightInd w:val="0"/>
                    <w:snapToGrid w:val="0"/>
                    <w:textAlignment w:val="auto"/>
                    <w:rPr>
                      <w:rFonts w:hint="default" w:eastAsia="宋体"/>
                      <w:color w:val="auto"/>
                      <w:lang w:val="en-US" w:eastAsia="zh-CN"/>
                    </w:rPr>
                  </w:pPr>
                  <w:r>
                    <w:rPr>
                      <w:rFonts w:hint="eastAsia"/>
                      <w:color w:val="auto"/>
                      <w:lang w:val="en-US" w:eastAsia="zh-CN"/>
                    </w:rPr>
                    <w:t>29210</w:t>
                  </w:r>
                </w:p>
              </w:tc>
            </w:tr>
          </w:tbl>
          <w:p>
            <w:pPr>
              <w:pStyle w:val="5"/>
              <w:spacing w:after="0" w:line="360" w:lineRule="auto"/>
              <w:ind w:firstLineChars="200"/>
              <w:rPr>
                <w:color w:val="auto"/>
              </w:rPr>
            </w:pPr>
            <w:r>
              <w:rPr>
                <w:color w:val="auto"/>
              </w:rPr>
              <w:t>（2）排水</w:t>
            </w:r>
          </w:p>
          <w:p>
            <w:pPr>
              <w:pStyle w:val="5"/>
              <w:ind w:firstLine="480"/>
              <w:rPr>
                <w:rFonts w:hint="eastAsia"/>
                <w:color w:val="auto"/>
              </w:rPr>
            </w:pPr>
            <w:r>
              <w:rPr>
                <w:rFonts w:hint="eastAsia"/>
                <w:color w:val="auto"/>
              </w:rPr>
              <w:t>本项目雨污分流，厂区周边需设置截水沟渠，将初期雨水汇入清水池回用于生产或厂区降尘，不外排。</w:t>
            </w:r>
          </w:p>
          <w:p>
            <w:pPr>
              <w:pStyle w:val="5"/>
              <w:spacing w:after="0" w:line="360" w:lineRule="auto"/>
              <w:ind w:firstLineChars="200"/>
              <w:rPr>
                <w:color w:val="auto"/>
                <w:u w:val="single"/>
              </w:rPr>
            </w:pPr>
            <w:r>
              <w:rPr>
                <w:rFonts w:hint="eastAsia"/>
                <w:color w:val="auto"/>
              </w:rPr>
              <w:t>本项目生产废水经处理后回用于生产，无生产废水外排。生活污水排放量按用水量的80%计算，则生活污水量为0.</w:t>
            </w:r>
            <w:r>
              <w:rPr>
                <w:rFonts w:hint="eastAsia"/>
                <w:color w:val="auto"/>
                <w:lang w:val="en-US" w:eastAsia="zh-CN"/>
              </w:rPr>
              <w:t>72</w:t>
            </w:r>
            <w:r>
              <w:rPr>
                <w:rFonts w:hint="eastAsia"/>
                <w:color w:val="auto"/>
              </w:rPr>
              <w:t>m</w:t>
            </w:r>
            <w:r>
              <w:rPr>
                <w:rFonts w:hint="eastAsia"/>
                <w:color w:val="auto"/>
                <w:vertAlign w:val="superscript"/>
              </w:rPr>
              <w:t>3</w:t>
            </w:r>
            <w:r>
              <w:rPr>
                <w:rFonts w:hint="eastAsia"/>
                <w:color w:val="auto"/>
              </w:rPr>
              <w:t>/d（</w:t>
            </w:r>
            <w:r>
              <w:rPr>
                <w:rFonts w:hint="eastAsia"/>
                <w:color w:val="auto"/>
                <w:lang w:val="en-US" w:eastAsia="zh-CN"/>
              </w:rPr>
              <w:t>216</w:t>
            </w:r>
            <w:r>
              <w:rPr>
                <w:rFonts w:hint="eastAsia"/>
                <w:color w:val="auto"/>
              </w:rPr>
              <w:t>m</w:t>
            </w:r>
            <w:r>
              <w:rPr>
                <w:rFonts w:hint="eastAsia"/>
                <w:color w:val="auto"/>
                <w:vertAlign w:val="superscript"/>
              </w:rPr>
              <w:t>3</w:t>
            </w:r>
            <w:r>
              <w:rPr>
                <w:rFonts w:hint="eastAsia"/>
                <w:color w:val="auto"/>
              </w:rPr>
              <w:t>/a），经化粪池处理后用作农肥。</w:t>
            </w:r>
          </w:p>
          <w:p>
            <w:pPr>
              <w:pStyle w:val="5"/>
              <w:ind w:firstLine="480"/>
              <w:jc w:val="left"/>
              <w:rPr>
                <w:rFonts w:hint="eastAsia"/>
                <w:color w:val="auto"/>
              </w:rPr>
            </w:pPr>
            <w:r>
              <w:rPr>
                <w:rFonts w:hint="eastAsia" w:eastAsia="宋体"/>
                <w:color w:val="auto"/>
                <w:lang w:eastAsia="zh-CN"/>
              </w:rPr>
              <w:drawing>
                <wp:anchor distT="0" distB="0" distL="114300" distR="114300" simplePos="0" relativeHeight="251661312" behindDoc="0" locked="0" layoutInCell="1" allowOverlap="1">
                  <wp:simplePos x="0" y="0"/>
                  <wp:positionH relativeFrom="column">
                    <wp:posOffset>210185</wp:posOffset>
                  </wp:positionH>
                  <wp:positionV relativeFrom="paragraph">
                    <wp:posOffset>202565</wp:posOffset>
                  </wp:positionV>
                  <wp:extent cx="3911600" cy="2816860"/>
                  <wp:effectExtent l="0" t="0" r="12700" b="2540"/>
                  <wp:wrapNone/>
                  <wp:docPr id="21" name="图片 21" descr="水平衡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水平衡图"/>
                          <pic:cNvPicPr>
                            <a:picLocks noChangeAspect="1"/>
                          </pic:cNvPicPr>
                        </pic:nvPicPr>
                        <pic:blipFill>
                          <a:blip r:embed="rId17"/>
                          <a:srcRect t="3383" b="4545"/>
                          <a:stretch>
                            <a:fillRect/>
                          </a:stretch>
                        </pic:blipFill>
                        <pic:spPr>
                          <a:xfrm>
                            <a:off x="0" y="0"/>
                            <a:ext cx="3911600" cy="2816860"/>
                          </a:xfrm>
                          <a:prstGeom prst="rect">
                            <a:avLst/>
                          </a:prstGeom>
                        </pic:spPr>
                      </pic:pic>
                    </a:graphicData>
                  </a:graphic>
                </wp:anchor>
              </w:drawing>
            </w:r>
            <w:r>
              <w:rPr>
                <w:rFonts w:hint="eastAsia"/>
                <w:color w:val="auto"/>
              </w:rPr>
              <w:t>项目水平衡图见下图。</w:t>
            </w:r>
          </w:p>
          <w:p>
            <w:pPr>
              <w:pStyle w:val="5"/>
              <w:ind w:firstLine="480"/>
              <w:jc w:val="left"/>
              <w:rPr>
                <w:rFonts w:hint="eastAsia"/>
                <w:color w:val="auto"/>
              </w:rPr>
            </w:pPr>
          </w:p>
          <w:p>
            <w:pPr>
              <w:pStyle w:val="5"/>
              <w:ind w:firstLine="480"/>
              <w:jc w:val="left"/>
              <w:rPr>
                <w:rFonts w:hint="eastAsia" w:eastAsia="宋体"/>
                <w:color w:val="auto"/>
                <w:lang w:eastAsia="zh-CN"/>
              </w:rPr>
            </w:pPr>
          </w:p>
          <w:p>
            <w:pPr>
              <w:pStyle w:val="5"/>
              <w:ind w:firstLine="480"/>
              <w:jc w:val="center"/>
              <w:rPr>
                <w:rFonts w:hint="eastAsia" w:eastAsia="宋体"/>
                <w:color w:val="auto"/>
                <w:lang w:eastAsia="zh-CN"/>
              </w:rPr>
            </w:pPr>
          </w:p>
          <w:p>
            <w:pPr>
              <w:pStyle w:val="5"/>
              <w:ind w:firstLine="480"/>
              <w:jc w:val="left"/>
              <w:rPr>
                <w:rFonts w:hint="eastAsia"/>
                <w:color w:val="auto"/>
              </w:rPr>
            </w:pPr>
          </w:p>
          <w:p>
            <w:pPr>
              <w:pStyle w:val="5"/>
              <w:ind w:firstLine="480"/>
              <w:jc w:val="left"/>
              <w:rPr>
                <w:rFonts w:hint="eastAsia" w:eastAsia="宋体"/>
                <w:color w:val="auto"/>
                <w:lang w:eastAsia="zh-CN"/>
              </w:rPr>
            </w:pPr>
          </w:p>
          <w:p>
            <w:pPr>
              <w:pStyle w:val="5"/>
              <w:ind w:firstLine="480"/>
              <w:jc w:val="left"/>
              <w:rPr>
                <w:rFonts w:hint="eastAsia"/>
                <w:color w:val="auto"/>
              </w:rPr>
            </w:pPr>
          </w:p>
          <w:p>
            <w:pPr>
              <w:pStyle w:val="5"/>
              <w:ind w:firstLine="480"/>
              <w:jc w:val="left"/>
              <w:rPr>
                <w:rFonts w:hint="eastAsia"/>
                <w:color w:val="auto"/>
              </w:rPr>
            </w:pPr>
          </w:p>
          <w:p>
            <w:pPr>
              <w:pStyle w:val="5"/>
              <w:ind w:firstLine="480"/>
              <w:jc w:val="left"/>
              <w:rPr>
                <w:rFonts w:hint="eastAsia"/>
                <w:color w:val="auto"/>
              </w:rPr>
            </w:pPr>
          </w:p>
          <w:p>
            <w:pPr>
              <w:pStyle w:val="5"/>
              <w:ind w:firstLine="480"/>
              <w:jc w:val="left"/>
              <w:rPr>
                <w:rFonts w:hint="eastAsia"/>
                <w:color w:val="auto"/>
              </w:rPr>
            </w:pPr>
          </w:p>
          <w:p>
            <w:pPr>
              <w:pStyle w:val="5"/>
              <w:ind w:firstLine="480"/>
              <w:jc w:val="left"/>
              <w:rPr>
                <w:rFonts w:hint="eastAsia"/>
                <w:color w:val="auto"/>
              </w:rPr>
            </w:pPr>
          </w:p>
          <w:p>
            <w:pPr>
              <w:pStyle w:val="5"/>
              <w:ind w:firstLine="480"/>
              <w:jc w:val="left"/>
              <w:rPr>
                <w:rFonts w:hint="eastAsia"/>
                <w:color w:val="auto"/>
              </w:rPr>
            </w:pPr>
          </w:p>
          <w:p>
            <w:pPr>
              <w:pStyle w:val="5"/>
              <w:ind w:firstLine="480"/>
              <w:jc w:val="left"/>
              <w:rPr>
                <w:rFonts w:hint="eastAsia"/>
                <w:color w:val="auto"/>
              </w:rPr>
            </w:pPr>
          </w:p>
          <w:p>
            <w:pPr>
              <w:pStyle w:val="5"/>
              <w:ind w:firstLine="480"/>
              <w:jc w:val="left"/>
              <w:rPr>
                <w:rFonts w:hint="eastAsia"/>
                <w:color w:val="auto"/>
              </w:rPr>
            </w:pPr>
          </w:p>
          <w:p>
            <w:pPr>
              <w:pStyle w:val="5"/>
              <w:ind w:firstLine="480"/>
              <w:jc w:val="center"/>
              <w:rPr>
                <w:rFonts w:hint="default" w:eastAsia="宋体"/>
                <w:color w:val="auto"/>
                <w:lang w:val="en-US" w:eastAsia="zh-CN"/>
              </w:rPr>
            </w:pPr>
            <w:r>
              <w:rPr>
                <w:rFonts w:hint="eastAsia"/>
                <w:color w:val="auto"/>
                <w:lang w:eastAsia="zh-CN"/>
              </w:rPr>
              <w:t>图</w:t>
            </w:r>
            <w:r>
              <w:rPr>
                <w:rFonts w:hint="eastAsia"/>
                <w:color w:val="auto"/>
                <w:lang w:val="en-US" w:eastAsia="zh-CN"/>
              </w:rPr>
              <w:t>2-1厂区水平衡图（m</w:t>
            </w:r>
            <w:r>
              <w:rPr>
                <w:rFonts w:hint="eastAsia"/>
                <w:color w:val="auto"/>
                <w:vertAlign w:val="superscript"/>
                <w:lang w:val="en-US" w:eastAsia="zh-CN"/>
              </w:rPr>
              <w:t>3</w:t>
            </w:r>
            <w:r>
              <w:rPr>
                <w:rFonts w:hint="eastAsia"/>
                <w:color w:val="auto"/>
                <w:lang w:val="en-US" w:eastAsia="zh-CN"/>
              </w:rPr>
              <w:t>/d）</w:t>
            </w:r>
          </w:p>
          <w:p>
            <w:pPr>
              <w:pStyle w:val="5"/>
              <w:spacing w:after="0" w:line="360" w:lineRule="auto"/>
              <w:ind w:firstLineChars="200"/>
              <w:rPr>
                <w:color w:val="auto"/>
              </w:rPr>
            </w:pPr>
            <w:r>
              <w:rPr>
                <w:color w:val="auto"/>
              </w:rPr>
              <w:t>（3）供电</w:t>
            </w:r>
          </w:p>
          <w:p>
            <w:pPr>
              <w:pStyle w:val="5"/>
              <w:spacing w:after="0" w:line="360" w:lineRule="auto"/>
              <w:ind w:firstLineChars="200"/>
              <w:rPr>
                <w:color w:val="auto"/>
              </w:rPr>
            </w:pPr>
            <w:r>
              <w:rPr>
                <w:rFonts w:hint="eastAsia"/>
                <w:color w:val="auto"/>
              </w:rPr>
              <w:t>项目用电由界牌镇的乡镇供电所供给</w:t>
            </w:r>
            <w:r>
              <w:rPr>
                <w:color w:val="auto"/>
              </w:rPr>
              <w:t>。</w:t>
            </w:r>
          </w:p>
          <w:p>
            <w:pPr>
              <w:pStyle w:val="5"/>
              <w:spacing w:after="0" w:line="360" w:lineRule="auto"/>
              <w:ind w:firstLine="0" w:firstLineChars="0"/>
              <w:rPr>
                <w:b/>
                <w:color w:val="auto"/>
              </w:rPr>
            </w:pPr>
            <w:r>
              <w:rPr>
                <w:b/>
                <w:color w:val="auto"/>
              </w:rPr>
              <w:t>8、劳动定员及工作制度</w:t>
            </w:r>
          </w:p>
          <w:p>
            <w:pPr>
              <w:pStyle w:val="5"/>
              <w:spacing w:after="0" w:line="360" w:lineRule="auto"/>
              <w:ind w:firstLineChars="200"/>
              <w:rPr>
                <w:color w:val="auto"/>
              </w:rPr>
            </w:pPr>
            <w:r>
              <w:rPr>
                <w:color w:val="auto"/>
              </w:rPr>
              <w:t>本项目劳动定员</w:t>
            </w:r>
            <w:r>
              <w:rPr>
                <w:rFonts w:hint="eastAsia"/>
                <w:color w:val="auto"/>
                <w:lang w:val="en-US" w:eastAsia="zh-CN"/>
              </w:rPr>
              <w:t>20</w:t>
            </w:r>
            <w:r>
              <w:rPr>
                <w:color w:val="auto"/>
              </w:rPr>
              <w:t>人，</w:t>
            </w:r>
            <w:r>
              <w:rPr>
                <w:rFonts w:hint="eastAsia"/>
                <w:color w:val="auto"/>
              </w:rPr>
              <w:t>均不在场内食宿</w:t>
            </w:r>
            <w:r>
              <w:rPr>
                <w:color w:val="auto"/>
              </w:rPr>
              <w:t>，年生产300天，为1班制，一班工作12小时。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25" w:hRule="atLeast"/>
          <w:jc w:val="center"/>
        </w:trPr>
        <w:tc>
          <w:tcPr>
            <w:tcW w:w="823" w:type="dxa"/>
            <w:vAlign w:val="center"/>
          </w:tcPr>
          <w:p>
            <w:pPr>
              <w:pStyle w:val="18"/>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 w:val="21"/>
                <w:szCs w:val="21"/>
              </w:rPr>
              <w:t>工艺流程和产排污环节</w:t>
            </w:r>
          </w:p>
        </w:tc>
        <w:tc>
          <w:tcPr>
            <w:tcW w:w="8161" w:type="dxa"/>
          </w:tcPr>
          <w:p>
            <w:pPr>
              <w:pStyle w:val="5"/>
              <w:spacing w:after="0" w:line="360" w:lineRule="auto"/>
              <w:ind w:firstLine="0" w:firstLineChars="0"/>
              <w:rPr>
                <w:rFonts w:hint="eastAsia"/>
                <w:b/>
                <w:color w:val="auto"/>
              </w:rPr>
            </w:pPr>
            <w:r>
              <w:rPr>
                <w:rFonts w:hint="eastAsia"/>
                <w:b/>
                <w:color w:val="auto"/>
                <w:lang w:val="en-US" w:eastAsia="zh-CN"/>
              </w:rPr>
              <w:t>1.</w:t>
            </w:r>
            <w:r>
              <w:rPr>
                <w:rFonts w:hint="eastAsia"/>
                <w:b/>
                <w:color w:val="auto"/>
              </w:rPr>
              <w:t>生产工艺流程</w:t>
            </w:r>
          </w:p>
          <w:p>
            <w:pPr>
              <w:pStyle w:val="5"/>
              <w:spacing w:after="0" w:line="360" w:lineRule="auto"/>
              <w:ind w:firstLineChars="200"/>
              <w:rPr>
                <w:color w:val="auto"/>
              </w:rPr>
            </w:pPr>
            <w:r>
              <w:rPr>
                <w:rFonts w:hint="eastAsia"/>
                <w:b/>
                <w:bCs/>
                <w:color w:val="auto"/>
                <w:lang w:val="en-US" w:eastAsia="zh-CN"/>
              </w:rPr>
              <w:drawing>
                <wp:anchor distT="0" distB="0" distL="114300" distR="114300" simplePos="0" relativeHeight="251662336" behindDoc="0" locked="0" layoutInCell="1" allowOverlap="1">
                  <wp:simplePos x="0" y="0"/>
                  <wp:positionH relativeFrom="column">
                    <wp:posOffset>361315</wp:posOffset>
                  </wp:positionH>
                  <wp:positionV relativeFrom="paragraph">
                    <wp:posOffset>1026160</wp:posOffset>
                  </wp:positionV>
                  <wp:extent cx="4446270" cy="5342255"/>
                  <wp:effectExtent l="0" t="0" r="11430" b="10795"/>
                  <wp:wrapNone/>
                  <wp:docPr id="116" name="图片 116" descr="16384945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1638494594(1)"/>
                          <pic:cNvPicPr>
                            <a:picLocks noChangeAspect="1"/>
                          </pic:cNvPicPr>
                        </pic:nvPicPr>
                        <pic:blipFill>
                          <a:blip r:embed="rId18"/>
                          <a:stretch>
                            <a:fillRect/>
                          </a:stretch>
                        </pic:blipFill>
                        <pic:spPr>
                          <a:xfrm>
                            <a:off x="0" y="0"/>
                            <a:ext cx="4446270" cy="5342255"/>
                          </a:xfrm>
                          <a:prstGeom prst="rect">
                            <a:avLst/>
                          </a:prstGeom>
                        </pic:spPr>
                      </pic:pic>
                    </a:graphicData>
                  </a:graphic>
                </wp:anchor>
              </w:drawing>
            </w:r>
            <w:r>
              <w:rPr>
                <w:rFonts w:hint="eastAsia"/>
                <w:color w:val="auto"/>
              </w:rPr>
              <w:t>制砂与陶瓷原料生产共用同一条生产线，原料废石经图</w:t>
            </w:r>
            <w:r>
              <w:rPr>
                <w:rFonts w:hint="eastAsia"/>
                <w:color w:val="auto"/>
                <w:lang w:val="en-US" w:eastAsia="zh-CN"/>
              </w:rPr>
              <w:t>2</w:t>
            </w:r>
            <w:r>
              <w:rPr>
                <w:rFonts w:hint="eastAsia"/>
                <w:color w:val="auto"/>
              </w:rPr>
              <w:t>-</w:t>
            </w:r>
            <w:r>
              <w:rPr>
                <w:rFonts w:hint="eastAsia"/>
                <w:color w:val="auto"/>
                <w:lang w:val="en-US" w:eastAsia="zh-CN"/>
              </w:rPr>
              <w:t>2</w:t>
            </w:r>
            <w:r>
              <w:rPr>
                <w:rFonts w:hint="eastAsia"/>
                <w:color w:val="auto"/>
              </w:rPr>
              <w:t>工艺流程获得产品砂，直接销往附近乡镇或外地作建筑施工材料；钠长石原料经图</w:t>
            </w:r>
            <w:r>
              <w:rPr>
                <w:rFonts w:hint="eastAsia"/>
                <w:color w:val="auto"/>
                <w:lang w:val="en-US" w:eastAsia="zh-CN"/>
              </w:rPr>
              <w:t>2</w:t>
            </w:r>
            <w:r>
              <w:rPr>
                <w:rFonts w:hint="eastAsia"/>
                <w:color w:val="auto"/>
              </w:rPr>
              <w:t>-</w:t>
            </w:r>
            <w:r>
              <w:rPr>
                <w:rFonts w:hint="eastAsia"/>
                <w:color w:val="auto"/>
                <w:lang w:val="en-US" w:eastAsia="zh-CN"/>
              </w:rPr>
              <w:t>3</w:t>
            </w:r>
            <w:r>
              <w:rPr>
                <w:rFonts w:hint="eastAsia"/>
                <w:color w:val="auto"/>
              </w:rPr>
              <w:t>流程制得产品作为陶瓷厂原料。两种原料及产品进行分开堆放，按照市场需求进行</w:t>
            </w:r>
            <w:r>
              <w:rPr>
                <w:rFonts w:hint="eastAsia"/>
                <w:color w:val="auto"/>
                <w:lang w:eastAsia="zh-CN"/>
              </w:rPr>
              <w:t>切换</w:t>
            </w:r>
            <w:r>
              <w:rPr>
                <w:rFonts w:hint="eastAsia"/>
                <w:color w:val="auto"/>
              </w:rPr>
              <w:t>生产。下面对两种产品的生产流程进行简要说明。</w:t>
            </w:r>
          </w:p>
          <w:p>
            <w:pPr>
              <w:pStyle w:val="5"/>
              <w:spacing w:after="0" w:line="360" w:lineRule="auto"/>
              <w:ind w:firstLineChars="200"/>
              <w:rPr>
                <w:color w:val="auto"/>
              </w:rPr>
            </w:pPr>
          </w:p>
          <w:p>
            <w:pPr>
              <w:pStyle w:val="5"/>
              <w:spacing w:after="0" w:line="360" w:lineRule="auto"/>
              <w:ind w:firstLineChars="200"/>
              <w:rPr>
                <w:color w:val="auto"/>
              </w:rPr>
            </w:pPr>
          </w:p>
          <w:p>
            <w:pPr>
              <w:pStyle w:val="5"/>
              <w:spacing w:after="0" w:line="360" w:lineRule="auto"/>
              <w:ind w:firstLineChars="200"/>
              <w:rPr>
                <w:color w:val="auto"/>
              </w:rPr>
            </w:pPr>
          </w:p>
          <w:p>
            <w:pPr>
              <w:pStyle w:val="5"/>
              <w:spacing w:after="0" w:line="360" w:lineRule="auto"/>
              <w:ind w:firstLineChars="200"/>
              <w:rPr>
                <w:color w:val="auto"/>
              </w:rPr>
            </w:pPr>
          </w:p>
          <w:p>
            <w:pPr>
              <w:pStyle w:val="5"/>
              <w:spacing w:after="0" w:line="360" w:lineRule="auto"/>
              <w:ind w:firstLineChars="200"/>
              <w:rPr>
                <w:color w:val="auto"/>
              </w:rPr>
            </w:pPr>
          </w:p>
          <w:p>
            <w:pPr>
              <w:pStyle w:val="5"/>
              <w:spacing w:after="0" w:line="360" w:lineRule="auto"/>
              <w:ind w:firstLineChars="200"/>
              <w:rPr>
                <w:color w:val="auto"/>
              </w:rPr>
            </w:pPr>
          </w:p>
          <w:p>
            <w:pPr>
              <w:pStyle w:val="5"/>
              <w:spacing w:after="0" w:line="360" w:lineRule="auto"/>
              <w:ind w:firstLineChars="200"/>
              <w:rPr>
                <w:color w:val="auto"/>
              </w:rPr>
            </w:pPr>
          </w:p>
          <w:p>
            <w:pPr>
              <w:pStyle w:val="5"/>
              <w:spacing w:after="0" w:line="360" w:lineRule="auto"/>
              <w:ind w:firstLineChars="200"/>
              <w:rPr>
                <w:color w:val="auto"/>
              </w:rPr>
            </w:pPr>
          </w:p>
          <w:p>
            <w:pPr>
              <w:pStyle w:val="5"/>
              <w:spacing w:after="0" w:line="360" w:lineRule="auto"/>
              <w:ind w:firstLineChars="200"/>
              <w:rPr>
                <w:color w:val="auto"/>
              </w:rPr>
            </w:pPr>
          </w:p>
          <w:p>
            <w:pPr>
              <w:pStyle w:val="5"/>
              <w:spacing w:after="0" w:line="360" w:lineRule="auto"/>
              <w:ind w:firstLineChars="200"/>
              <w:rPr>
                <w:color w:val="auto"/>
              </w:rPr>
            </w:pPr>
          </w:p>
          <w:p>
            <w:pPr>
              <w:pStyle w:val="48"/>
              <w:ind w:firstLine="0" w:firstLineChars="0"/>
              <w:jc w:val="center"/>
              <w:rPr>
                <w:rFonts w:eastAsia="黑体"/>
                <w:color w:val="auto"/>
                <w:sz w:val="21"/>
                <w:u w:val="none"/>
              </w:rPr>
            </w:pPr>
          </w:p>
          <w:p>
            <w:pPr>
              <w:pStyle w:val="48"/>
              <w:ind w:firstLine="0" w:firstLineChars="0"/>
              <w:jc w:val="center"/>
              <w:rPr>
                <w:rFonts w:eastAsia="黑体"/>
                <w:color w:val="auto"/>
                <w:sz w:val="21"/>
                <w:u w:val="none"/>
              </w:rPr>
            </w:pPr>
          </w:p>
          <w:p>
            <w:pPr>
              <w:pStyle w:val="48"/>
              <w:ind w:firstLine="0" w:firstLineChars="0"/>
              <w:jc w:val="center"/>
              <w:rPr>
                <w:rFonts w:eastAsia="黑体"/>
                <w:color w:val="auto"/>
                <w:sz w:val="21"/>
                <w:u w:val="none"/>
              </w:rPr>
            </w:pPr>
          </w:p>
          <w:p>
            <w:pPr>
              <w:pStyle w:val="48"/>
              <w:ind w:firstLine="0" w:firstLineChars="0"/>
              <w:jc w:val="center"/>
              <w:rPr>
                <w:rFonts w:eastAsia="黑体"/>
                <w:color w:val="auto"/>
                <w:sz w:val="21"/>
                <w:u w:val="none"/>
              </w:rPr>
            </w:pPr>
          </w:p>
          <w:p>
            <w:pPr>
              <w:pStyle w:val="48"/>
              <w:ind w:firstLine="0" w:firstLineChars="0"/>
              <w:jc w:val="center"/>
              <w:rPr>
                <w:rFonts w:eastAsia="黑体"/>
                <w:color w:val="auto"/>
                <w:sz w:val="21"/>
                <w:u w:val="none"/>
              </w:rPr>
            </w:pPr>
          </w:p>
          <w:p>
            <w:pPr>
              <w:pStyle w:val="48"/>
              <w:ind w:firstLine="0" w:firstLineChars="0"/>
              <w:jc w:val="center"/>
              <w:rPr>
                <w:rFonts w:eastAsia="黑体"/>
                <w:color w:val="auto"/>
                <w:sz w:val="21"/>
                <w:u w:val="none"/>
              </w:rPr>
            </w:pPr>
          </w:p>
          <w:p>
            <w:pPr>
              <w:pStyle w:val="48"/>
              <w:ind w:firstLine="0" w:firstLineChars="0"/>
              <w:jc w:val="center"/>
              <w:rPr>
                <w:rFonts w:eastAsia="黑体"/>
                <w:color w:val="auto"/>
                <w:sz w:val="21"/>
                <w:u w:val="none"/>
              </w:rPr>
            </w:pPr>
          </w:p>
          <w:p>
            <w:pPr>
              <w:pStyle w:val="48"/>
              <w:ind w:firstLine="0" w:firstLineChars="0"/>
              <w:jc w:val="center"/>
              <w:rPr>
                <w:rFonts w:eastAsia="黑体"/>
                <w:color w:val="auto"/>
                <w:sz w:val="21"/>
                <w:u w:val="none"/>
              </w:rPr>
            </w:pPr>
          </w:p>
          <w:p>
            <w:pPr>
              <w:pStyle w:val="48"/>
              <w:ind w:firstLine="0" w:firstLineChars="0"/>
              <w:jc w:val="center"/>
              <w:rPr>
                <w:rFonts w:eastAsia="黑体"/>
                <w:color w:val="auto"/>
                <w:sz w:val="21"/>
                <w:u w:val="none"/>
              </w:rPr>
            </w:pPr>
          </w:p>
          <w:p>
            <w:pPr>
              <w:pStyle w:val="48"/>
              <w:ind w:firstLine="0" w:firstLineChars="0"/>
              <w:jc w:val="center"/>
              <w:rPr>
                <w:rFonts w:eastAsia="黑体"/>
                <w:color w:val="auto"/>
                <w:sz w:val="21"/>
                <w:u w:val="none"/>
              </w:rPr>
            </w:pPr>
          </w:p>
          <w:p>
            <w:pPr>
              <w:pStyle w:val="48"/>
              <w:ind w:firstLine="0" w:firstLineChars="0"/>
              <w:jc w:val="center"/>
              <w:rPr>
                <w:rFonts w:eastAsia="黑体"/>
                <w:color w:val="auto"/>
                <w:sz w:val="21"/>
                <w:u w:val="none"/>
              </w:rPr>
            </w:pPr>
          </w:p>
          <w:p>
            <w:pPr>
              <w:pStyle w:val="48"/>
              <w:ind w:firstLine="0" w:firstLineChars="0"/>
              <w:jc w:val="center"/>
              <w:rPr>
                <w:rFonts w:eastAsia="黑体"/>
                <w:color w:val="auto"/>
                <w:sz w:val="21"/>
                <w:u w:val="none"/>
              </w:rPr>
            </w:pPr>
          </w:p>
          <w:p>
            <w:pPr>
              <w:pStyle w:val="48"/>
              <w:ind w:firstLine="0" w:firstLineChars="0"/>
              <w:jc w:val="center"/>
              <w:rPr>
                <w:rFonts w:eastAsia="黑体"/>
                <w:color w:val="auto"/>
                <w:sz w:val="21"/>
                <w:u w:val="none"/>
              </w:rPr>
            </w:pPr>
          </w:p>
          <w:p>
            <w:pPr>
              <w:pStyle w:val="48"/>
              <w:ind w:firstLine="0" w:firstLineChars="0"/>
              <w:jc w:val="center"/>
              <w:rPr>
                <w:rFonts w:eastAsia="黑体"/>
                <w:color w:val="auto"/>
                <w:sz w:val="21"/>
                <w:u w:val="none"/>
              </w:rPr>
            </w:pPr>
          </w:p>
          <w:p>
            <w:pPr>
              <w:pStyle w:val="48"/>
              <w:ind w:firstLine="0" w:firstLineChars="0"/>
              <w:jc w:val="center"/>
              <w:rPr>
                <w:color w:val="auto"/>
                <w:sz w:val="21"/>
                <w:u w:val="none"/>
              </w:rPr>
            </w:pPr>
            <w:r>
              <w:rPr>
                <w:rFonts w:eastAsia="黑体"/>
                <w:color w:val="auto"/>
                <w:sz w:val="21"/>
                <w:u w:val="none"/>
              </w:rPr>
              <w:t>图2-</w:t>
            </w:r>
            <w:r>
              <w:rPr>
                <w:rFonts w:hint="eastAsia" w:eastAsia="黑体"/>
                <w:color w:val="auto"/>
                <w:sz w:val="21"/>
                <w:u w:val="none"/>
                <w:lang w:val="en-US" w:eastAsia="zh-CN"/>
              </w:rPr>
              <w:t>2</w:t>
            </w:r>
            <w:r>
              <w:rPr>
                <w:rFonts w:eastAsia="黑体"/>
                <w:color w:val="auto"/>
                <w:sz w:val="21"/>
                <w:u w:val="none"/>
              </w:rPr>
              <w:t xml:space="preserve">  </w:t>
            </w:r>
            <w:r>
              <w:rPr>
                <w:rFonts w:hint="eastAsia" w:eastAsia="黑体"/>
                <w:color w:val="auto"/>
                <w:sz w:val="21"/>
                <w:u w:val="none"/>
                <w:lang w:eastAsia="zh-CN"/>
              </w:rPr>
              <w:t>制砂</w:t>
            </w:r>
            <w:r>
              <w:rPr>
                <w:rFonts w:eastAsia="黑体"/>
                <w:color w:val="auto"/>
                <w:sz w:val="21"/>
                <w:u w:val="none"/>
              </w:rPr>
              <w:t>运营期工艺流程及产污节点图</w:t>
            </w:r>
            <w:r>
              <w:rPr>
                <w:color w:val="auto"/>
                <w:sz w:val="21"/>
                <w:u w:val="none"/>
              </w:rPr>
              <w:t>（G废气；N噪声</w:t>
            </w:r>
            <w:r>
              <w:rPr>
                <w:rFonts w:hint="eastAsia"/>
                <w:color w:val="auto"/>
                <w:sz w:val="21"/>
                <w:u w:val="none"/>
                <w:lang w:eastAsia="zh-CN"/>
              </w:rPr>
              <w:t>；</w:t>
            </w:r>
            <w:r>
              <w:rPr>
                <w:rFonts w:hint="eastAsia"/>
                <w:color w:val="auto"/>
                <w:sz w:val="21"/>
                <w:u w:val="none"/>
                <w:lang w:val="en-US" w:eastAsia="zh-CN"/>
              </w:rPr>
              <w:t>W废水</w:t>
            </w:r>
            <w:r>
              <w:rPr>
                <w:color w:val="auto"/>
                <w:sz w:val="21"/>
                <w:u w:val="none"/>
              </w:rPr>
              <w:t>）</w:t>
            </w:r>
          </w:p>
          <w:p>
            <w:pPr>
              <w:pStyle w:val="5"/>
              <w:keepNext w:val="0"/>
              <w:keepLines w:val="0"/>
              <w:pageBreakBefore w:val="0"/>
              <w:widowControl w:val="0"/>
              <w:kinsoku/>
              <w:wordWrap/>
              <w:overflowPunct/>
              <w:topLinePunct w:val="0"/>
              <w:autoSpaceDE/>
              <w:autoSpaceDN/>
              <w:bidi w:val="0"/>
              <w:adjustRightInd/>
              <w:snapToGrid w:val="0"/>
              <w:spacing w:after="0" w:line="360" w:lineRule="auto"/>
              <w:ind w:left="0" w:leftChars="0" w:firstLine="0" w:firstLineChars="0"/>
              <w:textAlignment w:val="auto"/>
              <w:rPr>
                <w:b/>
                <w:bCs/>
                <w:color w:val="auto"/>
                <w:u w:val="none"/>
              </w:rPr>
            </w:pPr>
            <w:r>
              <w:rPr>
                <w:rFonts w:hint="eastAsia"/>
                <w:b/>
                <w:bCs/>
                <w:color w:val="auto"/>
                <w:u w:val="none"/>
                <w:lang w:eastAsia="zh-CN"/>
              </w:rPr>
              <w:t>制砂</w:t>
            </w:r>
            <w:r>
              <w:rPr>
                <w:b/>
                <w:bCs/>
                <w:color w:val="auto"/>
                <w:u w:val="none"/>
              </w:rPr>
              <w:t>工艺简要说明：</w:t>
            </w:r>
          </w:p>
          <w:p>
            <w:pPr>
              <w:pStyle w:val="5"/>
              <w:keepNext w:val="0"/>
              <w:keepLines w:val="0"/>
              <w:pageBreakBefore w:val="0"/>
              <w:widowControl w:val="0"/>
              <w:kinsoku/>
              <w:wordWrap/>
              <w:overflowPunct/>
              <w:topLinePunct w:val="0"/>
              <w:autoSpaceDE/>
              <w:autoSpaceDN/>
              <w:bidi w:val="0"/>
              <w:adjustRightInd/>
              <w:snapToGrid w:val="0"/>
              <w:spacing w:after="0" w:line="360" w:lineRule="auto"/>
              <w:ind w:firstLineChars="200"/>
              <w:textAlignment w:val="auto"/>
              <w:rPr>
                <w:rFonts w:hint="eastAsia"/>
                <w:color w:val="auto"/>
                <w:u w:val="none"/>
                <w:lang w:val="en-US" w:eastAsia="zh-CN"/>
              </w:rPr>
            </w:pPr>
            <w:r>
              <w:rPr>
                <w:rFonts w:hint="eastAsia" w:ascii="宋体" w:hAnsi="宋体" w:cs="宋体"/>
                <w:color w:val="auto"/>
                <w:u w:val="none"/>
                <w:lang w:val="en-US" w:eastAsia="zh-CN"/>
              </w:rPr>
              <w:t>1.</w:t>
            </w:r>
            <w:r>
              <w:rPr>
                <w:color w:val="auto"/>
                <w:u w:val="none"/>
              </w:rPr>
              <w:t>颚式破碎：将</w:t>
            </w:r>
            <w:r>
              <w:rPr>
                <w:rFonts w:hint="eastAsia"/>
                <w:color w:val="auto"/>
                <w:u w:val="none"/>
                <w:lang w:eastAsia="zh-CN"/>
              </w:rPr>
              <w:t>废石（低品位钠长石）</w:t>
            </w:r>
            <w:r>
              <w:rPr>
                <w:color w:val="auto"/>
                <w:u w:val="none"/>
              </w:rPr>
              <w:t>通过铲车直接运输至给料机再运输至颚式破碎机，</w:t>
            </w:r>
            <w:r>
              <w:rPr>
                <w:rFonts w:hint="eastAsia"/>
                <w:color w:val="auto"/>
                <w:u w:val="none"/>
              </w:rPr>
              <w:t>该工序将产生噪声及粉尘</w:t>
            </w:r>
            <w:r>
              <w:rPr>
                <w:rFonts w:hint="eastAsia"/>
                <w:color w:val="auto"/>
                <w:u w:val="none"/>
                <w:lang w:val="en-US" w:eastAsia="zh-CN"/>
              </w:rPr>
              <w:t>。</w:t>
            </w:r>
          </w:p>
          <w:p>
            <w:pPr>
              <w:pStyle w:val="5"/>
              <w:keepNext w:val="0"/>
              <w:keepLines w:val="0"/>
              <w:pageBreakBefore w:val="0"/>
              <w:widowControl w:val="0"/>
              <w:kinsoku/>
              <w:wordWrap/>
              <w:overflowPunct/>
              <w:topLinePunct w:val="0"/>
              <w:autoSpaceDE/>
              <w:autoSpaceDN/>
              <w:bidi w:val="0"/>
              <w:adjustRightInd/>
              <w:snapToGrid w:val="0"/>
              <w:spacing w:after="0" w:line="360" w:lineRule="auto"/>
              <w:ind w:firstLineChars="200"/>
              <w:textAlignment w:val="auto"/>
              <w:rPr>
                <w:rFonts w:hint="default"/>
                <w:color w:val="auto"/>
                <w:u w:val="none"/>
                <w:lang w:val="en-US" w:eastAsia="zh-CN"/>
              </w:rPr>
            </w:pPr>
            <w:r>
              <w:rPr>
                <w:rFonts w:hint="eastAsia"/>
                <w:color w:val="auto"/>
                <w:u w:val="none"/>
                <w:lang w:val="en-US" w:eastAsia="zh-CN"/>
              </w:rPr>
              <w:t>2.锥破（标准）：鄂破后的物料经运输皮带运至标准圆锥机进行锥破，破碎过程中将产生粉尘及噪声；</w:t>
            </w:r>
          </w:p>
          <w:p>
            <w:pPr>
              <w:pStyle w:val="5"/>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u w:val="none"/>
              </w:rPr>
            </w:pPr>
            <w:r>
              <w:rPr>
                <w:rFonts w:hint="eastAsia"/>
                <w:color w:val="auto"/>
                <w:u w:val="none"/>
                <w:lang w:val="en-US" w:eastAsia="zh-CN"/>
              </w:rPr>
              <w:t>3.一次</w:t>
            </w:r>
            <w:r>
              <w:rPr>
                <w:color w:val="auto"/>
                <w:u w:val="none"/>
              </w:rPr>
              <w:t>振筛分：</w:t>
            </w:r>
            <w:r>
              <w:rPr>
                <w:rFonts w:hint="eastAsia"/>
                <w:color w:val="auto"/>
                <w:u w:val="none"/>
                <w:lang w:val="en-US" w:eastAsia="zh-CN"/>
              </w:rPr>
              <w:t>标准圆锥</w:t>
            </w:r>
            <w:r>
              <w:rPr>
                <w:color w:val="auto"/>
                <w:u w:val="none"/>
              </w:rPr>
              <w:t>破碎后的物料通过输送皮带运输至振动筛分机（</w:t>
            </w:r>
            <w:r>
              <w:rPr>
                <w:rFonts w:hint="eastAsia"/>
                <w:color w:val="auto"/>
                <w:u w:val="none"/>
              </w:rPr>
              <w:t>3</w:t>
            </w:r>
            <w:r>
              <w:rPr>
                <w:color w:val="auto"/>
                <w:u w:val="none"/>
              </w:rPr>
              <w:t>层）进行筛分，下层＜</w:t>
            </w:r>
            <w:r>
              <w:rPr>
                <w:rFonts w:hint="eastAsia"/>
                <w:color w:val="auto"/>
                <w:u w:val="none"/>
                <w:lang w:val="en-US" w:eastAsia="zh-CN"/>
              </w:rPr>
              <w:t>24</w:t>
            </w:r>
            <w:r>
              <w:rPr>
                <w:color w:val="auto"/>
                <w:u w:val="none"/>
              </w:rPr>
              <w:t>mm的物料作为</w:t>
            </w:r>
            <w:r>
              <w:rPr>
                <w:rFonts w:hint="eastAsia"/>
                <w:color w:val="auto"/>
                <w:u w:val="none"/>
                <w:lang w:eastAsia="zh-CN"/>
              </w:rPr>
              <w:t>半</w:t>
            </w:r>
            <w:r>
              <w:rPr>
                <w:color w:val="auto"/>
                <w:u w:val="none"/>
              </w:rPr>
              <w:t>成品</w:t>
            </w:r>
            <w:r>
              <w:rPr>
                <w:rFonts w:hint="eastAsia"/>
                <w:color w:val="auto"/>
                <w:u w:val="none"/>
              </w:rPr>
              <w:t>进入料仓</w:t>
            </w:r>
            <w:r>
              <w:rPr>
                <w:color w:val="auto"/>
                <w:u w:val="none"/>
              </w:rPr>
              <w:t>；振动筛分后的上层筛上物（</w:t>
            </w:r>
            <w:r>
              <w:rPr>
                <w:rFonts w:hint="eastAsia"/>
                <w:color w:val="auto"/>
                <w:u w:val="none"/>
                <w:lang w:val="en-US" w:eastAsia="zh-CN"/>
              </w:rPr>
              <w:t>&gt;33</w:t>
            </w:r>
            <w:r>
              <w:rPr>
                <w:color w:val="auto"/>
                <w:u w:val="none"/>
              </w:rPr>
              <w:t>mm）输送至</w:t>
            </w:r>
            <w:r>
              <w:rPr>
                <w:rFonts w:hint="eastAsia"/>
                <w:color w:val="auto"/>
                <w:u w:val="none"/>
                <w:lang w:eastAsia="zh-CN"/>
              </w:rPr>
              <w:t>短头</w:t>
            </w:r>
            <w:r>
              <w:rPr>
                <w:color w:val="auto"/>
                <w:u w:val="none"/>
              </w:rPr>
              <w:t>圆锥破碎工序</w:t>
            </w:r>
            <w:r>
              <w:rPr>
                <w:rFonts w:hint="eastAsia"/>
                <w:color w:val="auto"/>
                <w:u w:val="none"/>
              </w:rPr>
              <w:t>；</w:t>
            </w:r>
            <w:r>
              <w:rPr>
                <w:color w:val="auto"/>
                <w:u w:val="none"/>
              </w:rPr>
              <w:t>振动筛分后的</w:t>
            </w:r>
            <w:r>
              <w:rPr>
                <w:rFonts w:hint="eastAsia"/>
                <w:color w:val="auto"/>
                <w:u w:val="none"/>
              </w:rPr>
              <w:t>中</w:t>
            </w:r>
            <w:r>
              <w:rPr>
                <w:color w:val="auto"/>
                <w:u w:val="none"/>
              </w:rPr>
              <w:t>层筛上物（</w:t>
            </w:r>
            <w:r>
              <w:rPr>
                <w:rFonts w:hint="eastAsia"/>
                <w:color w:val="auto"/>
                <w:u w:val="none"/>
                <w:lang w:val="en-US" w:eastAsia="zh-CN"/>
              </w:rPr>
              <w:t>24</w:t>
            </w:r>
            <w:r>
              <w:rPr>
                <w:color w:val="auto"/>
                <w:u w:val="none"/>
              </w:rPr>
              <w:t>~</w:t>
            </w:r>
            <w:r>
              <w:rPr>
                <w:rFonts w:hint="eastAsia"/>
                <w:color w:val="auto"/>
                <w:u w:val="none"/>
                <w:lang w:val="en-US" w:eastAsia="zh-CN"/>
              </w:rPr>
              <w:t>33</w:t>
            </w:r>
            <w:r>
              <w:rPr>
                <w:color w:val="auto"/>
                <w:u w:val="none"/>
              </w:rPr>
              <w:t>mm）</w:t>
            </w:r>
            <w:r>
              <w:rPr>
                <w:rFonts w:hint="eastAsia"/>
                <w:color w:val="auto"/>
                <w:u w:val="none"/>
                <w:lang w:eastAsia="zh-CN"/>
              </w:rPr>
              <w:t>作为成品（碎石）</w:t>
            </w:r>
            <w:r>
              <w:rPr>
                <w:color w:val="auto"/>
                <w:u w:val="none"/>
              </w:rPr>
              <w:t>输送至</w:t>
            </w:r>
            <w:r>
              <w:rPr>
                <w:rFonts w:hint="eastAsia"/>
                <w:color w:val="auto"/>
                <w:u w:val="none"/>
                <w:lang w:eastAsia="zh-CN"/>
              </w:rPr>
              <w:t>成品堆场</w:t>
            </w:r>
            <w:r>
              <w:rPr>
                <w:rFonts w:hint="eastAsia"/>
                <w:color w:val="auto"/>
                <w:u w:val="none"/>
              </w:rPr>
              <w:t>；该工序将产生噪声及粉尘。</w:t>
            </w:r>
          </w:p>
          <w:p>
            <w:pPr>
              <w:pStyle w:val="5"/>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eastAsia="宋体"/>
                <w:color w:val="auto"/>
                <w:u w:val="none"/>
                <w:lang w:val="en-US" w:eastAsia="zh-CN"/>
              </w:rPr>
            </w:pPr>
            <w:r>
              <w:rPr>
                <w:rFonts w:hint="eastAsia" w:ascii="宋体" w:hAnsi="宋体" w:eastAsia="宋体" w:cs="宋体"/>
                <w:color w:val="auto"/>
                <w:u w:val="none"/>
                <w:lang w:val="en-US" w:eastAsia="zh-CN"/>
              </w:rPr>
              <w:t>4.二次筛分：粒径≤24mm的物料从中转料仓经运输皮带运输至振动筛进行二次筛分，粒径</w:t>
            </w:r>
            <w:r>
              <w:rPr>
                <w:rFonts w:hint="eastAsia"/>
                <w:color w:val="auto"/>
                <w:u w:val="none"/>
                <w:lang w:val="en-US" w:eastAsia="zh-CN"/>
              </w:rPr>
              <w:t>5</w:t>
            </w:r>
            <w:r>
              <w:rPr>
                <w:color w:val="auto"/>
                <w:u w:val="none"/>
              </w:rPr>
              <w:t>~</w:t>
            </w:r>
            <w:r>
              <w:rPr>
                <w:rFonts w:hint="eastAsia"/>
                <w:color w:val="auto"/>
                <w:u w:val="none"/>
              </w:rPr>
              <w:t>1</w:t>
            </w:r>
            <w:r>
              <w:rPr>
                <w:rFonts w:hint="eastAsia"/>
                <w:color w:val="auto"/>
                <w:u w:val="none"/>
                <w:lang w:val="en-US" w:eastAsia="zh-CN"/>
              </w:rPr>
              <w:t>2</w:t>
            </w:r>
            <w:r>
              <w:rPr>
                <w:color w:val="auto"/>
                <w:u w:val="none"/>
              </w:rPr>
              <w:t>mm</w:t>
            </w:r>
            <w:r>
              <w:rPr>
                <w:rFonts w:hint="eastAsia" w:ascii="宋体" w:hAnsi="宋体" w:eastAsia="宋体" w:cs="宋体"/>
                <w:color w:val="auto"/>
                <w:u w:val="none"/>
                <w:lang w:val="en-US" w:eastAsia="zh-CN"/>
              </w:rPr>
              <w:t>的物料经运输皮带运输至</w:t>
            </w:r>
            <w:r>
              <w:rPr>
                <w:rFonts w:hint="eastAsia" w:ascii="宋体" w:hAnsi="宋体" w:cs="宋体"/>
                <w:color w:val="auto"/>
                <w:u w:val="none"/>
                <w:lang w:val="en-US" w:eastAsia="zh-CN"/>
              </w:rPr>
              <w:t>对辊机</w:t>
            </w:r>
            <w:r>
              <w:rPr>
                <w:rFonts w:hint="eastAsia" w:ascii="宋体" w:hAnsi="宋体" w:eastAsia="宋体" w:cs="宋体"/>
                <w:color w:val="auto"/>
                <w:u w:val="none"/>
                <w:lang w:val="en-US" w:eastAsia="zh-CN"/>
              </w:rPr>
              <w:t>进一步破碎</w:t>
            </w:r>
            <w:r>
              <w:rPr>
                <w:rFonts w:hint="eastAsia" w:ascii="宋体" w:hAnsi="宋体" w:cs="宋体"/>
                <w:color w:val="auto"/>
                <w:u w:val="none"/>
                <w:lang w:val="en-US" w:eastAsia="zh-CN"/>
              </w:rPr>
              <w:t>后回至振动筛筛分，</w:t>
            </w:r>
            <w:r>
              <w:rPr>
                <w:rFonts w:hint="eastAsia" w:ascii="宋体" w:hAnsi="宋体" w:eastAsia="宋体" w:cs="宋体"/>
                <w:color w:val="auto"/>
                <w:u w:val="none"/>
                <w:lang w:val="en-US" w:eastAsia="zh-CN"/>
              </w:rPr>
              <w:t>粒径</w:t>
            </w:r>
            <w:r>
              <w:rPr>
                <w:rFonts w:hint="eastAsia" w:ascii="宋体" w:hAnsi="宋体" w:cs="宋体"/>
                <w:color w:val="auto"/>
                <w:u w:val="none"/>
                <w:lang w:val="en-US" w:eastAsia="zh-CN"/>
              </w:rPr>
              <w:t>12</w:t>
            </w:r>
            <w:r>
              <w:rPr>
                <w:color w:val="auto"/>
                <w:u w:val="none"/>
              </w:rPr>
              <w:t>~</w:t>
            </w:r>
            <w:r>
              <w:rPr>
                <w:rFonts w:hint="eastAsia"/>
                <w:color w:val="auto"/>
                <w:u w:val="none"/>
                <w:lang w:val="en-US" w:eastAsia="zh-CN"/>
              </w:rPr>
              <w:t>24</w:t>
            </w:r>
            <w:r>
              <w:rPr>
                <w:rFonts w:hint="eastAsia" w:ascii="宋体" w:hAnsi="宋体" w:eastAsia="宋体" w:cs="宋体"/>
                <w:color w:val="auto"/>
                <w:u w:val="none"/>
                <w:lang w:val="en-US" w:eastAsia="zh-CN"/>
              </w:rPr>
              <w:t>mm的物料</w:t>
            </w:r>
            <w:r>
              <w:rPr>
                <w:rFonts w:hint="eastAsia"/>
                <w:color w:val="auto"/>
                <w:u w:val="none"/>
                <w:lang w:eastAsia="zh-CN"/>
              </w:rPr>
              <w:t>作为成品（碎石）</w:t>
            </w:r>
            <w:r>
              <w:rPr>
                <w:color w:val="auto"/>
                <w:u w:val="none"/>
              </w:rPr>
              <w:t>输送至</w:t>
            </w:r>
            <w:r>
              <w:rPr>
                <w:rFonts w:hint="eastAsia"/>
                <w:color w:val="auto"/>
                <w:u w:val="none"/>
                <w:lang w:eastAsia="zh-CN"/>
              </w:rPr>
              <w:t>成品堆场</w:t>
            </w:r>
            <w:r>
              <w:rPr>
                <w:rFonts w:hint="eastAsia"/>
                <w:color w:val="auto"/>
                <w:u w:val="none"/>
                <w:lang w:val="en-US" w:eastAsia="zh-CN"/>
              </w:rPr>
              <w:t>,粒径</w:t>
            </w:r>
            <w:r>
              <w:rPr>
                <w:color w:val="auto"/>
                <w:u w:val="none"/>
              </w:rPr>
              <w:t>＜</w:t>
            </w:r>
            <w:r>
              <w:rPr>
                <w:rFonts w:hint="eastAsia"/>
                <w:color w:val="auto"/>
                <w:u w:val="none"/>
                <w:lang w:val="en-US" w:eastAsia="zh-CN"/>
              </w:rPr>
              <w:t>5</w:t>
            </w:r>
            <w:r>
              <w:rPr>
                <w:color w:val="auto"/>
                <w:u w:val="none"/>
              </w:rPr>
              <w:t>mm</w:t>
            </w:r>
            <w:r>
              <w:rPr>
                <w:rFonts w:hint="eastAsia"/>
                <w:color w:val="auto"/>
                <w:u w:val="none"/>
                <w:lang w:eastAsia="zh-CN"/>
              </w:rPr>
              <w:t>的物料进入洗砂工序；该工序</w:t>
            </w:r>
            <w:r>
              <w:rPr>
                <w:rFonts w:hint="eastAsia"/>
                <w:color w:val="auto"/>
                <w:u w:val="none"/>
              </w:rPr>
              <w:t>将产生噪声及粉尘。</w:t>
            </w:r>
          </w:p>
          <w:p>
            <w:pPr>
              <w:pStyle w:val="5"/>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u w:val="none"/>
                <w:lang w:val="en-US" w:eastAsia="zh-CN"/>
              </w:rPr>
            </w:pPr>
            <w:r>
              <w:rPr>
                <w:rFonts w:hint="eastAsia"/>
                <w:color w:val="auto"/>
                <w:u w:val="none"/>
                <w:lang w:val="en-US" w:eastAsia="zh-CN"/>
              </w:rPr>
              <w:t>5.螺旋洗砂：物料经二次筛分后，粒径＜5mm砂通过洗砂机进行洗砂后得到湿砂。</w:t>
            </w:r>
            <w:r>
              <w:rPr>
                <w:rFonts w:hint="eastAsia"/>
                <w:color w:val="auto"/>
                <w:u w:val="none"/>
                <w:lang w:eastAsia="zh-CN"/>
              </w:rPr>
              <w:t>该工序</w:t>
            </w:r>
            <w:r>
              <w:rPr>
                <w:rFonts w:hint="eastAsia"/>
                <w:color w:val="auto"/>
                <w:u w:val="none"/>
              </w:rPr>
              <w:t>将产生噪声及</w:t>
            </w:r>
            <w:r>
              <w:rPr>
                <w:rFonts w:hint="eastAsia"/>
                <w:color w:val="auto"/>
                <w:u w:val="none"/>
                <w:lang w:eastAsia="zh-CN"/>
              </w:rPr>
              <w:t>废水</w:t>
            </w:r>
            <w:r>
              <w:rPr>
                <w:rFonts w:hint="eastAsia"/>
                <w:color w:val="auto"/>
                <w:u w:val="none"/>
              </w:rPr>
              <w:t>。</w:t>
            </w:r>
          </w:p>
          <w:p>
            <w:pPr>
              <w:pStyle w:val="5"/>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u w:val="none"/>
                <w:lang w:val="en-US" w:eastAsia="zh-CN"/>
              </w:rPr>
            </w:pPr>
            <w:r>
              <w:rPr>
                <w:rFonts w:hint="eastAsia"/>
                <w:color w:val="auto"/>
                <w:u w:val="none"/>
                <w:lang w:val="en-US" w:eastAsia="zh-CN"/>
              </w:rPr>
              <w:t>6.脱水筛：水洗后的湿砂通过脱水筛再次脱水，控制成品的含水率为10%左右。洗砂水进入浓密罐，罐中添加絮凝剂，絮凝沉淀的清水继续回用于生产。浓密罐中的沉淀物抽至压滤机压滤。</w:t>
            </w:r>
          </w:p>
          <w:p>
            <w:pPr>
              <w:pStyle w:val="5"/>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u w:val="none"/>
                <w:lang w:val="en-US" w:eastAsia="zh-CN"/>
              </w:rPr>
            </w:pPr>
            <w:r>
              <w:rPr>
                <w:rFonts w:hint="eastAsia"/>
                <w:color w:val="auto"/>
                <w:u w:val="none"/>
                <w:lang w:val="en-US" w:eastAsia="zh-CN"/>
              </w:rPr>
              <w:t>7.板式压滤机：浓密罐中的污泥经板式压滤机压滤后含水率降至30%，泥饼外售给附近砖瓦公司做为生产原料。</w:t>
            </w:r>
          </w:p>
          <w:p>
            <w:pPr>
              <w:pStyle w:val="5"/>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u w:val="none"/>
                <w:lang w:val="en-US" w:eastAsia="zh-CN"/>
              </w:rPr>
            </w:pPr>
          </w:p>
          <w:p>
            <w:pPr>
              <w:pStyle w:val="5"/>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u w:val="none"/>
                <w:lang w:val="en-US" w:eastAsia="zh-CN"/>
              </w:rPr>
            </w:pPr>
          </w:p>
          <w:p>
            <w:pPr>
              <w:pStyle w:val="5"/>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u w:val="none"/>
                <w:lang w:val="en-US" w:eastAsia="zh-CN"/>
              </w:rPr>
            </w:pPr>
          </w:p>
          <w:p>
            <w:pPr>
              <w:pStyle w:val="5"/>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u w:val="none"/>
                <w:lang w:val="en-US" w:eastAsia="zh-CN"/>
              </w:rPr>
            </w:pPr>
          </w:p>
          <w:p>
            <w:pPr>
              <w:pStyle w:val="5"/>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u w:val="none"/>
                <w:lang w:val="en-US" w:eastAsia="zh-CN"/>
              </w:rPr>
            </w:pPr>
          </w:p>
          <w:p>
            <w:pPr>
              <w:pStyle w:val="5"/>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u w:val="none"/>
                <w:lang w:val="en-US" w:eastAsia="zh-CN"/>
              </w:rPr>
            </w:pPr>
          </w:p>
          <w:p>
            <w:pPr>
              <w:pStyle w:val="5"/>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u w:val="none"/>
                <w:lang w:val="en-US" w:eastAsia="zh-CN"/>
              </w:rPr>
            </w:pPr>
          </w:p>
          <w:p>
            <w:pPr>
              <w:pStyle w:val="5"/>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u w:val="none"/>
                <w:lang w:val="en-US" w:eastAsia="zh-CN"/>
              </w:rPr>
            </w:pPr>
          </w:p>
          <w:p>
            <w:pPr>
              <w:pStyle w:val="5"/>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u w:val="none"/>
                <w:lang w:val="en-US" w:eastAsia="zh-CN"/>
              </w:rPr>
            </w:pPr>
          </w:p>
          <w:p>
            <w:pPr>
              <w:pStyle w:val="5"/>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u w:val="none"/>
                <w:lang w:val="en-US" w:eastAsia="zh-CN"/>
              </w:rPr>
            </w:pPr>
          </w:p>
          <w:p>
            <w:pPr>
              <w:pStyle w:val="5"/>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u w:val="none"/>
                <w:lang w:val="en-US" w:eastAsia="zh-CN"/>
              </w:rPr>
            </w:pPr>
          </w:p>
          <w:p>
            <w:pPr>
              <w:pStyle w:val="5"/>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u w:val="none"/>
                <w:lang w:val="en-US" w:eastAsia="zh-CN"/>
              </w:rPr>
            </w:pPr>
          </w:p>
          <w:p>
            <w:pPr>
              <w:pStyle w:val="5"/>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u w:val="none"/>
                <w:lang w:val="en-US" w:eastAsia="zh-CN"/>
              </w:rPr>
            </w:pPr>
          </w:p>
          <w:p>
            <w:pPr>
              <w:pStyle w:val="5"/>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u w:val="none"/>
                <w:lang w:val="en-US" w:eastAsia="zh-CN"/>
              </w:rPr>
            </w:pPr>
          </w:p>
          <w:p>
            <w:pPr>
              <w:pStyle w:val="5"/>
              <w:keepNext w:val="0"/>
              <w:keepLines w:val="0"/>
              <w:pageBreakBefore w:val="0"/>
              <w:widowControl w:val="0"/>
              <w:kinsoku/>
              <w:wordWrap/>
              <w:overflowPunct/>
              <w:topLinePunct w:val="0"/>
              <w:autoSpaceDE/>
              <w:autoSpaceDN/>
              <w:bidi w:val="0"/>
              <w:adjustRightInd/>
              <w:snapToGrid w:val="0"/>
              <w:spacing w:after="0" w:line="360" w:lineRule="auto"/>
              <w:ind w:firstLine="422" w:firstLineChars="200"/>
              <w:textAlignment w:val="auto"/>
              <w:rPr>
                <w:rFonts w:hint="eastAsia"/>
                <w:color w:val="auto"/>
                <w:u w:val="none"/>
                <w:lang w:val="en-US" w:eastAsia="zh-CN"/>
              </w:rPr>
            </w:pPr>
            <w:r>
              <w:rPr>
                <w:rFonts w:hint="eastAsia"/>
                <w:b/>
                <w:bCs/>
                <w:color w:val="auto"/>
                <w:lang w:val="en-US" w:eastAsia="zh-CN"/>
              </w:rPr>
              <w:drawing>
                <wp:anchor distT="0" distB="0" distL="114300" distR="114300" simplePos="0" relativeHeight="251663360" behindDoc="0" locked="0" layoutInCell="1" allowOverlap="1">
                  <wp:simplePos x="0" y="0"/>
                  <wp:positionH relativeFrom="column">
                    <wp:posOffset>354330</wp:posOffset>
                  </wp:positionH>
                  <wp:positionV relativeFrom="paragraph">
                    <wp:posOffset>51435</wp:posOffset>
                  </wp:positionV>
                  <wp:extent cx="4144645" cy="4792345"/>
                  <wp:effectExtent l="0" t="0" r="8255" b="8255"/>
                  <wp:wrapNone/>
                  <wp:docPr id="115" name="图片 115" descr="16384945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1638494534(1)"/>
                          <pic:cNvPicPr>
                            <a:picLocks noChangeAspect="1"/>
                          </pic:cNvPicPr>
                        </pic:nvPicPr>
                        <pic:blipFill>
                          <a:blip r:embed="rId19"/>
                          <a:stretch>
                            <a:fillRect/>
                          </a:stretch>
                        </pic:blipFill>
                        <pic:spPr>
                          <a:xfrm>
                            <a:off x="0" y="0"/>
                            <a:ext cx="4144645" cy="4792345"/>
                          </a:xfrm>
                          <a:prstGeom prst="rect">
                            <a:avLst/>
                          </a:prstGeom>
                        </pic:spPr>
                      </pic:pic>
                    </a:graphicData>
                  </a:graphic>
                </wp:anchor>
              </w:drawing>
            </w:r>
          </w:p>
          <w:p>
            <w:pPr>
              <w:pStyle w:val="5"/>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u w:val="none"/>
                <w:lang w:val="en-US" w:eastAsia="zh-CN"/>
              </w:rPr>
            </w:pPr>
          </w:p>
          <w:p>
            <w:pPr>
              <w:pStyle w:val="5"/>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u w:val="none"/>
                <w:lang w:val="en-US" w:eastAsia="zh-CN"/>
              </w:rPr>
            </w:pPr>
          </w:p>
          <w:p>
            <w:pPr>
              <w:pStyle w:val="5"/>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u w:val="none"/>
                <w:lang w:val="en-US" w:eastAsia="zh-CN"/>
              </w:rPr>
            </w:pPr>
          </w:p>
          <w:p>
            <w:pPr>
              <w:pStyle w:val="5"/>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u w:val="none"/>
                <w:lang w:val="en-US" w:eastAsia="zh-CN"/>
              </w:rPr>
            </w:pPr>
          </w:p>
          <w:p>
            <w:pPr>
              <w:pStyle w:val="5"/>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u w:val="none"/>
                <w:lang w:val="en-US" w:eastAsia="zh-CN"/>
              </w:rPr>
            </w:pPr>
          </w:p>
          <w:p>
            <w:pPr>
              <w:pStyle w:val="5"/>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u w:val="none"/>
                <w:lang w:val="en-US" w:eastAsia="zh-CN"/>
              </w:rPr>
            </w:pPr>
          </w:p>
          <w:p>
            <w:pPr>
              <w:pStyle w:val="5"/>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u w:val="none"/>
                <w:lang w:val="en-US" w:eastAsia="zh-CN"/>
              </w:rPr>
            </w:pPr>
          </w:p>
          <w:p>
            <w:pPr>
              <w:pStyle w:val="5"/>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u w:val="none"/>
                <w:lang w:val="en-US" w:eastAsia="zh-CN"/>
              </w:rPr>
            </w:pPr>
          </w:p>
          <w:p>
            <w:pPr>
              <w:pStyle w:val="5"/>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u w:val="none"/>
                <w:lang w:val="en-US" w:eastAsia="zh-CN"/>
              </w:rPr>
            </w:pPr>
          </w:p>
          <w:p>
            <w:pPr>
              <w:pStyle w:val="5"/>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u w:val="none"/>
                <w:lang w:val="en-US" w:eastAsia="zh-CN"/>
              </w:rPr>
            </w:pPr>
          </w:p>
          <w:p>
            <w:pPr>
              <w:pStyle w:val="5"/>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u w:val="none"/>
                <w:lang w:val="en-US" w:eastAsia="zh-CN"/>
              </w:rPr>
            </w:pPr>
          </w:p>
          <w:p>
            <w:pPr>
              <w:pStyle w:val="5"/>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u w:val="none"/>
                <w:lang w:val="en-US" w:eastAsia="zh-CN"/>
              </w:rPr>
            </w:pPr>
          </w:p>
          <w:p>
            <w:pPr>
              <w:pStyle w:val="5"/>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u w:val="none"/>
                <w:lang w:val="en-US" w:eastAsia="zh-CN"/>
              </w:rPr>
            </w:pPr>
          </w:p>
          <w:p>
            <w:pPr>
              <w:pStyle w:val="5"/>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u w:val="none"/>
                <w:lang w:val="en-US" w:eastAsia="zh-CN"/>
              </w:rPr>
            </w:pPr>
          </w:p>
          <w:p>
            <w:pPr>
              <w:pStyle w:val="5"/>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u w:val="none"/>
                <w:lang w:val="en-US" w:eastAsia="zh-CN"/>
              </w:rPr>
            </w:pPr>
          </w:p>
          <w:p>
            <w:pPr>
              <w:pStyle w:val="5"/>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u w:val="none"/>
                <w:lang w:val="en-US" w:eastAsia="zh-CN"/>
              </w:rPr>
            </w:pPr>
          </w:p>
          <w:p>
            <w:pPr>
              <w:pStyle w:val="5"/>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u w:val="none"/>
                <w:lang w:val="en-US" w:eastAsia="zh-CN"/>
              </w:rPr>
            </w:pPr>
          </w:p>
          <w:p>
            <w:pPr>
              <w:pStyle w:val="5"/>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u w:val="none"/>
                <w:lang w:val="en-US" w:eastAsia="zh-CN"/>
              </w:rPr>
            </w:pPr>
          </w:p>
          <w:p>
            <w:pPr>
              <w:pStyle w:val="5"/>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u w:val="none"/>
                <w:lang w:val="en-US" w:eastAsia="zh-CN"/>
              </w:rPr>
            </w:pPr>
          </w:p>
          <w:p>
            <w:pPr>
              <w:pStyle w:val="5"/>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u w:val="none"/>
                <w:lang w:val="en-US" w:eastAsia="zh-CN"/>
              </w:rPr>
            </w:pPr>
          </w:p>
          <w:p>
            <w:pPr>
              <w:pStyle w:val="48"/>
              <w:ind w:firstLine="0" w:firstLineChars="0"/>
              <w:jc w:val="center"/>
              <w:rPr>
                <w:rFonts w:eastAsia="黑体"/>
                <w:color w:val="auto"/>
                <w:sz w:val="21"/>
                <w:u w:val="none"/>
              </w:rPr>
            </w:pPr>
          </w:p>
          <w:p>
            <w:pPr>
              <w:pStyle w:val="48"/>
              <w:ind w:firstLine="0" w:firstLineChars="0"/>
              <w:jc w:val="center"/>
              <w:rPr>
                <w:color w:val="auto"/>
                <w:sz w:val="21"/>
                <w:u w:val="none"/>
              </w:rPr>
            </w:pPr>
            <w:r>
              <w:rPr>
                <w:rFonts w:eastAsia="黑体"/>
                <w:color w:val="auto"/>
                <w:sz w:val="21"/>
                <w:u w:val="none"/>
              </w:rPr>
              <w:t>图2-</w:t>
            </w:r>
            <w:r>
              <w:rPr>
                <w:rFonts w:hint="eastAsia" w:eastAsia="黑体"/>
                <w:color w:val="auto"/>
                <w:sz w:val="21"/>
                <w:u w:val="none"/>
                <w:lang w:val="en-US" w:eastAsia="zh-CN"/>
              </w:rPr>
              <w:t>2</w:t>
            </w:r>
            <w:r>
              <w:rPr>
                <w:rFonts w:eastAsia="黑体"/>
                <w:color w:val="auto"/>
                <w:sz w:val="21"/>
                <w:u w:val="none"/>
              </w:rPr>
              <w:t xml:space="preserve">  </w:t>
            </w:r>
            <w:r>
              <w:rPr>
                <w:rFonts w:hint="eastAsia" w:eastAsia="黑体"/>
                <w:color w:val="auto"/>
                <w:sz w:val="21"/>
                <w:u w:val="none"/>
                <w:lang w:eastAsia="zh-CN"/>
              </w:rPr>
              <w:t>钠长石</w:t>
            </w:r>
            <w:r>
              <w:rPr>
                <w:rFonts w:eastAsia="黑体"/>
                <w:color w:val="auto"/>
                <w:sz w:val="21"/>
                <w:u w:val="none"/>
              </w:rPr>
              <w:t>运营期工艺流程及产污节点图</w:t>
            </w:r>
            <w:r>
              <w:rPr>
                <w:color w:val="auto"/>
                <w:sz w:val="21"/>
                <w:u w:val="none"/>
              </w:rPr>
              <w:t>（G废气；N噪声</w:t>
            </w:r>
            <w:r>
              <w:rPr>
                <w:rFonts w:hint="eastAsia"/>
                <w:color w:val="auto"/>
                <w:sz w:val="21"/>
                <w:u w:val="none"/>
                <w:lang w:eastAsia="zh-CN"/>
              </w:rPr>
              <w:t>；</w:t>
            </w:r>
            <w:r>
              <w:rPr>
                <w:rFonts w:hint="eastAsia"/>
                <w:color w:val="auto"/>
                <w:sz w:val="21"/>
                <w:u w:val="none"/>
                <w:lang w:val="en-US" w:eastAsia="zh-CN"/>
              </w:rPr>
              <w:t>W废水</w:t>
            </w:r>
            <w:r>
              <w:rPr>
                <w:color w:val="auto"/>
                <w:sz w:val="21"/>
                <w:u w:val="none"/>
              </w:rPr>
              <w:t>）</w:t>
            </w:r>
          </w:p>
          <w:p>
            <w:pPr>
              <w:pStyle w:val="5"/>
              <w:keepNext w:val="0"/>
              <w:keepLines w:val="0"/>
              <w:pageBreakBefore w:val="0"/>
              <w:widowControl w:val="0"/>
              <w:kinsoku/>
              <w:wordWrap/>
              <w:overflowPunct/>
              <w:topLinePunct w:val="0"/>
              <w:autoSpaceDE/>
              <w:autoSpaceDN/>
              <w:bidi w:val="0"/>
              <w:adjustRightInd/>
              <w:snapToGrid w:val="0"/>
              <w:spacing w:after="0" w:line="360" w:lineRule="auto"/>
              <w:ind w:left="0" w:leftChars="0" w:firstLine="0" w:firstLineChars="0"/>
              <w:textAlignment w:val="auto"/>
              <w:rPr>
                <w:b/>
                <w:bCs/>
                <w:color w:val="auto"/>
                <w:u w:val="none"/>
              </w:rPr>
            </w:pPr>
            <w:r>
              <w:rPr>
                <w:rFonts w:hint="eastAsia"/>
                <w:b/>
                <w:bCs/>
                <w:color w:val="auto"/>
                <w:u w:val="none"/>
                <w:lang w:eastAsia="zh-CN"/>
              </w:rPr>
              <w:t>钠长石</w:t>
            </w:r>
            <w:r>
              <w:rPr>
                <w:b/>
                <w:bCs/>
                <w:color w:val="auto"/>
                <w:u w:val="none"/>
              </w:rPr>
              <w:t>工艺简要说明：</w:t>
            </w:r>
          </w:p>
          <w:p>
            <w:pPr>
              <w:pStyle w:val="5"/>
              <w:keepNext w:val="0"/>
              <w:keepLines w:val="0"/>
              <w:pageBreakBefore w:val="0"/>
              <w:widowControl w:val="0"/>
              <w:kinsoku/>
              <w:wordWrap/>
              <w:overflowPunct/>
              <w:topLinePunct w:val="0"/>
              <w:autoSpaceDE/>
              <w:autoSpaceDN/>
              <w:bidi w:val="0"/>
              <w:adjustRightInd/>
              <w:snapToGrid w:val="0"/>
              <w:spacing w:after="0" w:line="360" w:lineRule="auto"/>
              <w:ind w:firstLineChars="200"/>
              <w:textAlignment w:val="auto"/>
              <w:rPr>
                <w:rFonts w:hint="eastAsia"/>
                <w:color w:val="auto"/>
                <w:u w:val="none"/>
                <w:lang w:val="en-US" w:eastAsia="zh-CN"/>
              </w:rPr>
            </w:pPr>
            <w:r>
              <w:rPr>
                <w:rFonts w:hint="eastAsia" w:ascii="宋体" w:hAnsi="宋体" w:cs="宋体"/>
                <w:color w:val="auto"/>
                <w:u w:val="none"/>
                <w:lang w:val="en-US" w:eastAsia="zh-CN"/>
              </w:rPr>
              <w:t>1.</w:t>
            </w:r>
            <w:r>
              <w:rPr>
                <w:color w:val="auto"/>
                <w:u w:val="none"/>
              </w:rPr>
              <w:t>颚式破碎：将</w:t>
            </w:r>
            <w:r>
              <w:rPr>
                <w:rFonts w:hint="eastAsia"/>
                <w:color w:val="auto"/>
                <w:u w:val="none"/>
                <w:lang w:eastAsia="zh-CN"/>
              </w:rPr>
              <w:t>钠长石</w:t>
            </w:r>
            <w:r>
              <w:rPr>
                <w:color w:val="auto"/>
                <w:u w:val="none"/>
              </w:rPr>
              <w:t>通过铲车直接运输至给料机再运输至颚式破碎机，</w:t>
            </w:r>
            <w:r>
              <w:rPr>
                <w:rFonts w:hint="eastAsia"/>
                <w:color w:val="auto"/>
                <w:u w:val="none"/>
              </w:rPr>
              <w:t>该工序将产生噪声及粉尘</w:t>
            </w:r>
            <w:r>
              <w:rPr>
                <w:rFonts w:hint="eastAsia"/>
                <w:color w:val="auto"/>
                <w:u w:val="none"/>
                <w:lang w:val="en-US" w:eastAsia="zh-CN"/>
              </w:rPr>
              <w:t>。</w:t>
            </w:r>
          </w:p>
          <w:p>
            <w:pPr>
              <w:pStyle w:val="5"/>
              <w:keepNext w:val="0"/>
              <w:keepLines w:val="0"/>
              <w:pageBreakBefore w:val="0"/>
              <w:widowControl w:val="0"/>
              <w:kinsoku/>
              <w:wordWrap/>
              <w:overflowPunct/>
              <w:topLinePunct w:val="0"/>
              <w:autoSpaceDE/>
              <w:autoSpaceDN/>
              <w:bidi w:val="0"/>
              <w:adjustRightInd/>
              <w:snapToGrid w:val="0"/>
              <w:spacing w:after="0" w:line="360" w:lineRule="auto"/>
              <w:ind w:firstLineChars="200"/>
              <w:textAlignment w:val="auto"/>
              <w:rPr>
                <w:rFonts w:hint="default"/>
                <w:color w:val="auto"/>
                <w:u w:val="none"/>
                <w:lang w:val="en-US" w:eastAsia="zh-CN"/>
              </w:rPr>
            </w:pPr>
            <w:r>
              <w:rPr>
                <w:rFonts w:hint="eastAsia"/>
                <w:color w:val="auto"/>
                <w:u w:val="none"/>
                <w:lang w:val="en-US" w:eastAsia="zh-CN"/>
              </w:rPr>
              <w:t>2.锥破（标准）：鄂破后的物料经安装有吸铁块的运输皮带进行除铁后进入标准圆锥机进行锥破，破碎过程中将产生粉尘及噪声；</w:t>
            </w:r>
          </w:p>
          <w:p>
            <w:pPr>
              <w:pStyle w:val="5"/>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u w:val="none"/>
              </w:rPr>
            </w:pPr>
            <w:r>
              <w:rPr>
                <w:rFonts w:hint="eastAsia"/>
                <w:color w:val="auto"/>
                <w:u w:val="none"/>
                <w:lang w:val="en-US" w:eastAsia="zh-CN"/>
              </w:rPr>
              <w:t>3.一次</w:t>
            </w:r>
            <w:r>
              <w:rPr>
                <w:color w:val="auto"/>
                <w:u w:val="none"/>
              </w:rPr>
              <w:t>振筛分：</w:t>
            </w:r>
            <w:r>
              <w:rPr>
                <w:rFonts w:hint="eastAsia"/>
                <w:color w:val="auto"/>
                <w:u w:val="none"/>
                <w:lang w:val="en-US" w:eastAsia="zh-CN"/>
              </w:rPr>
              <w:t>标准圆锥</w:t>
            </w:r>
            <w:r>
              <w:rPr>
                <w:color w:val="auto"/>
                <w:u w:val="none"/>
              </w:rPr>
              <w:t>破碎后的物料通过输送皮带运输至振动筛分机进行筛分，下层＜</w:t>
            </w:r>
            <w:r>
              <w:rPr>
                <w:rFonts w:hint="eastAsia"/>
                <w:color w:val="auto"/>
                <w:u w:val="none"/>
                <w:lang w:val="en-US" w:eastAsia="zh-CN"/>
              </w:rPr>
              <w:t>33</w:t>
            </w:r>
            <w:r>
              <w:rPr>
                <w:color w:val="auto"/>
                <w:u w:val="none"/>
              </w:rPr>
              <w:t>mm的物料作为</w:t>
            </w:r>
            <w:r>
              <w:rPr>
                <w:rFonts w:hint="eastAsia"/>
                <w:color w:val="auto"/>
                <w:u w:val="none"/>
                <w:lang w:eastAsia="zh-CN"/>
              </w:rPr>
              <w:t>半</w:t>
            </w:r>
            <w:r>
              <w:rPr>
                <w:color w:val="auto"/>
                <w:u w:val="none"/>
              </w:rPr>
              <w:t>成品</w:t>
            </w:r>
            <w:r>
              <w:rPr>
                <w:rFonts w:hint="eastAsia"/>
                <w:color w:val="auto"/>
                <w:u w:val="none"/>
              </w:rPr>
              <w:t>进入料仓</w:t>
            </w:r>
            <w:r>
              <w:rPr>
                <w:color w:val="auto"/>
                <w:u w:val="none"/>
              </w:rPr>
              <w:t>；振动筛分后的上层筛上物（</w:t>
            </w:r>
            <w:r>
              <w:rPr>
                <w:rFonts w:hint="eastAsia"/>
                <w:color w:val="auto"/>
                <w:u w:val="none"/>
                <w:lang w:val="en-US" w:eastAsia="zh-CN"/>
              </w:rPr>
              <w:t>&gt;33</w:t>
            </w:r>
            <w:r>
              <w:rPr>
                <w:color w:val="auto"/>
                <w:u w:val="none"/>
              </w:rPr>
              <w:t>mm）输送至</w:t>
            </w:r>
            <w:r>
              <w:rPr>
                <w:rFonts w:hint="eastAsia"/>
                <w:color w:val="auto"/>
                <w:u w:val="none"/>
                <w:lang w:eastAsia="zh-CN"/>
              </w:rPr>
              <w:t>短头</w:t>
            </w:r>
            <w:r>
              <w:rPr>
                <w:color w:val="auto"/>
                <w:u w:val="none"/>
              </w:rPr>
              <w:t>圆锥破碎</w:t>
            </w:r>
            <w:r>
              <w:rPr>
                <w:rFonts w:hint="eastAsia"/>
                <w:color w:val="auto"/>
                <w:u w:val="none"/>
                <w:lang w:eastAsia="zh-CN"/>
              </w:rPr>
              <w:t>再破碎后再次进入振动筛</w:t>
            </w:r>
            <w:r>
              <w:rPr>
                <w:rFonts w:hint="eastAsia"/>
                <w:color w:val="auto"/>
                <w:u w:val="none"/>
              </w:rPr>
              <w:t>；该工序将产生噪声及粉尘。</w:t>
            </w:r>
          </w:p>
          <w:p>
            <w:pPr>
              <w:pStyle w:val="5"/>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eastAsia="宋体"/>
                <w:color w:val="auto"/>
                <w:u w:val="none"/>
                <w:lang w:val="en-US" w:eastAsia="zh-CN"/>
              </w:rPr>
            </w:pPr>
            <w:r>
              <w:rPr>
                <w:rFonts w:hint="eastAsia" w:ascii="宋体" w:hAnsi="宋体" w:eastAsia="宋体" w:cs="宋体"/>
                <w:color w:val="auto"/>
                <w:u w:val="none"/>
                <w:lang w:val="en-US" w:eastAsia="zh-CN"/>
              </w:rPr>
              <w:t>4.二次筛分：物料从中转料仓经运输皮带运输至振动筛进行二次筛分，粒径</w:t>
            </w:r>
            <w:r>
              <w:rPr>
                <w:rFonts w:hint="eastAsia"/>
                <w:color w:val="auto"/>
                <w:u w:val="none"/>
                <w:lang w:val="en-US" w:eastAsia="zh-CN"/>
              </w:rPr>
              <w:t>&gt;</w:t>
            </w:r>
            <w:r>
              <w:rPr>
                <w:rFonts w:hint="eastAsia"/>
                <w:color w:val="auto"/>
                <w:u w:val="none"/>
              </w:rPr>
              <w:t>1</w:t>
            </w:r>
            <w:r>
              <w:rPr>
                <w:rFonts w:hint="eastAsia"/>
                <w:color w:val="auto"/>
                <w:u w:val="none"/>
                <w:lang w:val="en-US" w:eastAsia="zh-CN"/>
              </w:rPr>
              <w:t>2</w:t>
            </w:r>
            <w:r>
              <w:rPr>
                <w:color w:val="auto"/>
                <w:u w:val="none"/>
              </w:rPr>
              <w:t>mm</w:t>
            </w:r>
            <w:r>
              <w:rPr>
                <w:rFonts w:hint="eastAsia" w:ascii="宋体" w:hAnsi="宋体" w:eastAsia="宋体" w:cs="宋体"/>
                <w:color w:val="auto"/>
                <w:u w:val="none"/>
                <w:lang w:val="en-US" w:eastAsia="zh-CN"/>
              </w:rPr>
              <w:t>的物料经运输皮带运输至</w:t>
            </w:r>
            <w:r>
              <w:rPr>
                <w:rFonts w:hint="eastAsia" w:ascii="宋体" w:hAnsi="宋体" w:cs="宋体"/>
                <w:color w:val="auto"/>
                <w:u w:val="none"/>
                <w:lang w:val="en-US" w:eastAsia="zh-CN"/>
              </w:rPr>
              <w:t>对辊机</w:t>
            </w:r>
            <w:r>
              <w:rPr>
                <w:rFonts w:hint="eastAsia" w:ascii="宋体" w:hAnsi="宋体" w:eastAsia="宋体" w:cs="宋体"/>
                <w:color w:val="auto"/>
                <w:u w:val="none"/>
                <w:lang w:val="en-US" w:eastAsia="zh-CN"/>
              </w:rPr>
              <w:t>进一步破碎</w:t>
            </w:r>
            <w:r>
              <w:rPr>
                <w:rFonts w:hint="eastAsia" w:ascii="宋体" w:hAnsi="宋体" w:cs="宋体"/>
                <w:color w:val="auto"/>
                <w:u w:val="none"/>
                <w:lang w:val="en-US" w:eastAsia="zh-CN"/>
              </w:rPr>
              <w:t>后回至振动筛筛分，</w:t>
            </w:r>
            <w:r>
              <w:rPr>
                <w:rFonts w:hint="eastAsia" w:ascii="宋体" w:hAnsi="宋体" w:eastAsia="宋体" w:cs="宋体"/>
                <w:color w:val="auto"/>
                <w:u w:val="none"/>
                <w:lang w:val="en-US" w:eastAsia="zh-CN"/>
              </w:rPr>
              <w:t>粒径</w:t>
            </w:r>
            <w:r>
              <w:rPr>
                <w:rFonts w:hint="eastAsia" w:ascii="宋体" w:hAnsi="宋体" w:cs="宋体"/>
                <w:color w:val="auto"/>
                <w:u w:val="none"/>
                <w:lang w:val="en-US" w:eastAsia="zh-CN"/>
              </w:rPr>
              <w:t>5</w:t>
            </w:r>
            <w:r>
              <w:rPr>
                <w:color w:val="auto"/>
                <w:u w:val="none"/>
              </w:rPr>
              <w:t>~</w:t>
            </w:r>
            <w:r>
              <w:rPr>
                <w:rFonts w:hint="eastAsia" w:ascii="宋体" w:hAnsi="宋体" w:cs="宋体"/>
                <w:color w:val="auto"/>
                <w:u w:val="none"/>
                <w:lang w:val="en-US" w:eastAsia="zh-CN"/>
              </w:rPr>
              <w:t>12</w:t>
            </w:r>
            <w:r>
              <w:rPr>
                <w:rFonts w:hint="eastAsia" w:ascii="宋体" w:hAnsi="宋体" w:eastAsia="宋体" w:cs="宋体"/>
                <w:color w:val="auto"/>
                <w:u w:val="none"/>
                <w:lang w:val="en-US" w:eastAsia="zh-CN"/>
              </w:rPr>
              <w:t>mm的物料</w:t>
            </w:r>
            <w:r>
              <w:rPr>
                <w:rFonts w:hint="eastAsia"/>
                <w:color w:val="auto"/>
                <w:u w:val="none"/>
                <w:lang w:eastAsia="zh-CN"/>
              </w:rPr>
              <w:t>作为成品（钠长石砂）</w:t>
            </w:r>
            <w:r>
              <w:rPr>
                <w:color w:val="auto"/>
                <w:u w:val="none"/>
              </w:rPr>
              <w:t>输送至</w:t>
            </w:r>
            <w:r>
              <w:rPr>
                <w:rFonts w:hint="eastAsia"/>
                <w:color w:val="auto"/>
                <w:u w:val="none"/>
                <w:lang w:eastAsia="zh-CN"/>
              </w:rPr>
              <w:t>成品堆场</w:t>
            </w:r>
            <w:r>
              <w:rPr>
                <w:rFonts w:hint="eastAsia"/>
                <w:color w:val="auto"/>
                <w:u w:val="none"/>
                <w:lang w:val="en-US" w:eastAsia="zh-CN"/>
              </w:rPr>
              <w:t>,粒径</w:t>
            </w:r>
            <w:r>
              <w:rPr>
                <w:color w:val="auto"/>
                <w:u w:val="none"/>
              </w:rPr>
              <w:t>＜</w:t>
            </w:r>
            <w:r>
              <w:rPr>
                <w:rFonts w:hint="eastAsia"/>
                <w:color w:val="auto"/>
                <w:u w:val="none"/>
                <w:lang w:val="en-US" w:eastAsia="zh-CN"/>
              </w:rPr>
              <w:t>5</w:t>
            </w:r>
            <w:r>
              <w:rPr>
                <w:color w:val="auto"/>
                <w:u w:val="none"/>
              </w:rPr>
              <w:t>mm</w:t>
            </w:r>
            <w:r>
              <w:rPr>
                <w:rFonts w:hint="eastAsia"/>
                <w:color w:val="auto"/>
                <w:u w:val="none"/>
                <w:lang w:eastAsia="zh-CN"/>
              </w:rPr>
              <w:t>的物料进入洗砂工序；该工序</w:t>
            </w:r>
            <w:r>
              <w:rPr>
                <w:rFonts w:hint="eastAsia"/>
                <w:color w:val="auto"/>
                <w:u w:val="none"/>
              </w:rPr>
              <w:t>将产生噪声及粉尘。</w:t>
            </w:r>
          </w:p>
          <w:p>
            <w:pPr>
              <w:pStyle w:val="5"/>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u w:val="none"/>
                <w:lang w:val="en-US" w:eastAsia="zh-CN"/>
              </w:rPr>
            </w:pPr>
            <w:r>
              <w:rPr>
                <w:rFonts w:hint="eastAsia"/>
                <w:color w:val="auto"/>
                <w:u w:val="none"/>
                <w:lang w:val="en-US" w:eastAsia="zh-CN"/>
              </w:rPr>
              <w:t>5.螺旋洗砂：物料经二次筛分后，粒径＜5mm砂通过洗砂机进行洗砂后得到钠长石湿砂。</w:t>
            </w:r>
            <w:r>
              <w:rPr>
                <w:rFonts w:hint="eastAsia"/>
                <w:color w:val="auto"/>
                <w:u w:val="none"/>
                <w:lang w:eastAsia="zh-CN"/>
              </w:rPr>
              <w:t>该工序</w:t>
            </w:r>
            <w:r>
              <w:rPr>
                <w:rFonts w:hint="eastAsia"/>
                <w:color w:val="auto"/>
                <w:u w:val="none"/>
              </w:rPr>
              <w:t>将产生噪声及</w:t>
            </w:r>
            <w:r>
              <w:rPr>
                <w:rFonts w:hint="eastAsia"/>
                <w:color w:val="auto"/>
                <w:u w:val="none"/>
                <w:lang w:eastAsia="zh-CN"/>
              </w:rPr>
              <w:t>废水</w:t>
            </w:r>
            <w:r>
              <w:rPr>
                <w:rFonts w:hint="eastAsia"/>
                <w:color w:val="auto"/>
                <w:u w:val="none"/>
              </w:rPr>
              <w:t>。</w:t>
            </w:r>
          </w:p>
          <w:p>
            <w:pPr>
              <w:pStyle w:val="5"/>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u w:val="none"/>
                <w:lang w:val="en-US" w:eastAsia="zh-CN"/>
              </w:rPr>
            </w:pPr>
            <w:r>
              <w:rPr>
                <w:rFonts w:hint="eastAsia"/>
                <w:color w:val="auto"/>
                <w:u w:val="none"/>
                <w:lang w:val="en-US" w:eastAsia="zh-CN"/>
              </w:rPr>
              <w:t>6.脱水筛：水洗后的湿砂通过脱水筛再次脱水，控制成品的含水率为10%左右。洗砂水进入浓密罐，罐中添加絮凝剂，絮凝沉淀的清水继续回用于生产。浓密罐中的沉淀物抽至压滤机压滤。</w:t>
            </w:r>
          </w:p>
          <w:p>
            <w:pPr>
              <w:pStyle w:val="5"/>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u w:val="none"/>
                <w:lang w:val="en-US" w:eastAsia="zh-CN"/>
              </w:rPr>
            </w:pPr>
            <w:r>
              <w:rPr>
                <w:rFonts w:hint="eastAsia"/>
                <w:color w:val="auto"/>
                <w:u w:val="none"/>
                <w:lang w:val="en-US" w:eastAsia="zh-CN"/>
              </w:rPr>
              <w:t>7.板式压滤机：浓密罐中的污泥经板式压滤机压滤后含水率降至30%，泥饼外售给附近砖瓦公司做为生产原料。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95" w:hRule="atLeast"/>
          <w:jc w:val="center"/>
        </w:trPr>
        <w:tc>
          <w:tcPr>
            <w:tcW w:w="823" w:type="dxa"/>
            <w:vAlign w:val="center"/>
          </w:tcPr>
          <w:p>
            <w:pPr>
              <w:pStyle w:val="18"/>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bCs/>
                <w:color w:val="auto"/>
                <w:kern w:val="2"/>
                <w:sz w:val="21"/>
                <w:szCs w:val="21"/>
              </w:rPr>
              <w:t>与项目有关的原有环境污染问题</w:t>
            </w:r>
          </w:p>
        </w:tc>
        <w:tc>
          <w:tcPr>
            <w:tcW w:w="8161" w:type="dxa"/>
          </w:tcPr>
          <w:p>
            <w:pPr>
              <w:pStyle w:val="5"/>
              <w:spacing w:after="0" w:line="360" w:lineRule="auto"/>
              <w:ind w:firstLineChars="200"/>
              <w:rPr>
                <w:bCs/>
                <w:color w:val="auto"/>
                <w:szCs w:val="21"/>
              </w:rPr>
            </w:pPr>
            <w:r>
              <w:rPr>
                <w:rFonts w:hint="eastAsia"/>
                <w:color w:val="auto"/>
                <w:lang w:eastAsia="zh-CN"/>
              </w:rPr>
              <w:t>本项目为新建项目，</w:t>
            </w:r>
            <w:r>
              <w:rPr>
                <w:rFonts w:hint="eastAsia" w:ascii="宋体" w:hAnsi="宋体"/>
                <w:bCs/>
                <w:color w:val="auto"/>
                <w:kern w:val="0"/>
                <w:szCs w:val="21"/>
              </w:rPr>
              <w:t>位于</w:t>
            </w:r>
            <w:r>
              <w:rPr>
                <w:rFonts w:hint="eastAsia" w:ascii="宋体" w:hAnsi="宋体" w:cs="宋体"/>
                <w:color w:val="auto"/>
                <w:szCs w:val="21"/>
              </w:rPr>
              <w:t>衡阳市衡阳县</w:t>
            </w:r>
            <w:r>
              <w:rPr>
                <w:rFonts w:hint="eastAsia" w:ascii="宋体" w:hAnsi="宋体" w:cs="宋体"/>
                <w:color w:val="auto"/>
                <w:szCs w:val="21"/>
                <w:lang w:eastAsia="zh-CN"/>
              </w:rPr>
              <w:t>界牌</w:t>
            </w:r>
            <w:r>
              <w:rPr>
                <w:rFonts w:hint="eastAsia" w:ascii="宋体" w:hAnsi="宋体" w:cs="宋体"/>
                <w:color w:val="auto"/>
                <w:szCs w:val="21"/>
              </w:rPr>
              <w:t>镇</w:t>
            </w:r>
            <w:r>
              <w:rPr>
                <w:rFonts w:hint="eastAsia" w:ascii="宋体" w:hAnsi="宋体" w:cs="宋体"/>
                <w:color w:val="auto"/>
                <w:szCs w:val="21"/>
                <w:lang w:eastAsia="zh-CN"/>
              </w:rPr>
              <w:t>桐梓坪社区</w:t>
            </w:r>
            <w:r>
              <w:rPr>
                <w:rFonts w:hint="eastAsia" w:ascii="宋体" w:hAnsi="宋体" w:cs="宋体"/>
                <w:color w:val="auto"/>
                <w:szCs w:val="21"/>
              </w:rPr>
              <w:t>，</w:t>
            </w:r>
            <w:r>
              <w:rPr>
                <w:rFonts w:hint="eastAsia" w:ascii="宋体" w:hAnsi="宋体" w:cs="宋体"/>
                <w:color w:val="auto"/>
                <w:szCs w:val="21"/>
                <w:lang w:eastAsia="zh-CN"/>
              </w:rPr>
              <w:t>原为湖南振弘陶瓷有限公司旧址</w:t>
            </w:r>
            <w:r>
              <w:rPr>
                <w:rFonts w:hint="eastAsia" w:ascii="宋体" w:hAnsi="宋体"/>
                <w:bCs/>
                <w:color w:val="auto"/>
                <w:kern w:val="0"/>
                <w:szCs w:val="21"/>
              </w:rPr>
              <w:t>，经现场勘查，</w:t>
            </w:r>
            <w:r>
              <w:rPr>
                <w:rFonts w:hint="eastAsia" w:ascii="宋体" w:hAnsi="宋体"/>
                <w:bCs/>
                <w:color w:val="auto"/>
                <w:kern w:val="0"/>
                <w:szCs w:val="21"/>
                <w:lang w:eastAsia="zh-CN"/>
              </w:rPr>
              <w:t>原厂地生产车间建筑已经拆除，建筑垃圾已经转运，场地已经平整，无遗留固体废物及相关设施设备等，</w:t>
            </w:r>
            <w:r>
              <w:rPr>
                <w:rFonts w:hint="eastAsia" w:ascii="宋体" w:hAnsi="宋体"/>
                <w:bCs/>
                <w:color w:val="auto"/>
                <w:kern w:val="0"/>
                <w:szCs w:val="21"/>
              </w:rPr>
              <w:t>不存在与该项目有关的原有污染情况。</w:t>
            </w:r>
          </w:p>
        </w:tc>
      </w:tr>
    </w:tbl>
    <w:p>
      <w:pPr>
        <w:pStyle w:val="18"/>
        <w:jc w:val="center"/>
        <w:rPr>
          <w:rFonts w:ascii="Times New Roman" w:hAnsi="Times New Roman" w:eastAsia="黑体"/>
          <w:snapToGrid w:val="0"/>
          <w:color w:val="auto"/>
          <w:sz w:val="36"/>
          <w:szCs w:val="36"/>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18"/>
        <w:jc w:val="center"/>
        <w:outlineLvl w:val="0"/>
        <w:rPr>
          <w:rFonts w:ascii="Times New Roman" w:hAnsi="Times New Roman" w:eastAsia="黑体"/>
          <w:snapToGrid w:val="0"/>
          <w:color w:val="auto"/>
          <w:sz w:val="30"/>
          <w:szCs w:val="30"/>
        </w:rPr>
      </w:pPr>
      <w:bookmarkStart w:id="5" w:name="_Toc71360645"/>
      <w:r>
        <w:rPr>
          <w:rFonts w:ascii="Times New Roman" w:hAnsi="Times New Roman" w:eastAsia="黑体"/>
          <w:snapToGrid w:val="0"/>
          <w:color w:val="auto"/>
          <w:sz w:val="30"/>
          <w:szCs w:val="30"/>
        </w:rPr>
        <w:t>三、区域环境质量现状、环境保护目标及评价标准</w:t>
      </w:r>
      <w:bookmarkEnd w:id="5"/>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800" w:type="dxa"/>
            <w:vAlign w:val="center"/>
          </w:tcPr>
          <w:p>
            <w:pPr>
              <w:adjustRightInd w:val="0"/>
              <w:snapToGrid w:val="0"/>
              <w:jc w:val="center"/>
              <w:rPr>
                <w:color w:val="auto"/>
                <w:kern w:val="0"/>
                <w:szCs w:val="21"/>
              </w:rPr>
            </w:pPr>
            <w:r>
              <w:rPr>
                <w:color w:val="auto"/>
                <w:kern w:val="0"/>
                <w:szCs w:val="21"/>
              </w:rPr>
              <w:t>区域</w:t>
            </w:r>
          </w:p>
          <w:p>
            <w:pPr>
              <w:adjustRightInd w:val="0"/>
              <w:snapToGrid w:val="0"/>
              <w:jc w:val="center"/>
              <w:rPr>
                <w:color w:val="auto"/>
                <w:kern w:val="0"/>
                <w:szCs w:val="21"/>
              </w:rPr>
            </w:pPr>
            <w:r>
              <w:rPr>
                <w:color w:val="auto"/>
                <w:kern w:val="0"/>
                <w:szCs w:val="21"/>
              </w:rPr>
              <w:t>环境</w:t>
            </w:r>
          </w:p>
          <w:p>
            <w:pPr>
              <w:adjustRightInd w:val="0"/>
              <w:snapToGrid w:val="0"/>
              <w:jc w:val="center"/>
              <w:rPr>
                <w:color w:val="auto"/>
                <w:kern w:val="0"/>
                <w:szCs w:val="21"/>
              </w:rPr>
            </w:pPr>
            <w:r>
              <w:rPr>
                <w:color w:val="auto"/>
                <w:kern w:val="0"/>
                <w:szCs w:val="21"/>
              </w:rPr>
              <w:t>质量</w:t>
            </w:r>
          </w:p>
          <w:p>
            <w:pPr>
              <w:adjustRightInd w:val="0"/>
              <w:snapToGrid w:val="0"/>
              <w:jc w:val="center"/>
              <w:rPr>
                <w:color w:val="auto"/>
                <w:kern w:val="0"/>
                <w:szCs w:val="21"/>
              </w:rPr>
            </w:pPr>
            <w:r>
              <w:rPr>
                <w:color w:val="auto"/>
                <w:kern w:val="0"/>
                <w:szCs w:val="21"/>
              </w:rPr>
              <w:t>现状</w:t>
            </w:r>
          </w:p>
        </w:tc>
        <w:tc>
          <w:tcPr>
            <w:tcW w:w="8190" w:type="dxa"/>
            <w:vAlign w:val="center"/>
          </w:tcPr>
          <w:p>
            <w:pPr>
              <w:adjustRightInd w:val="0"/>
              <w:snapToGrid w:val="0"/>
              <w:spacing w:line="360" w:lineRule="auto"/>
              <w:jc w:val="left"/>
              <w:rPr>
                <w:b/>
                <w:color w:val="auto"/>
                <w:kern w:val="0"/>
                <w:szCs w:val="21"/>
              </w:rPr>
            </w:pPr>
            <w:r>
              <w:rPr>
                <w:b/>
                <w:color w:val="auto"/>
                <w:kern w:val="0"/>
                <w:szCs w:val="21"/>
              </w:rPr>
              <w:t>1、大气环境</w:t>
            </w:r>
          </w:p>
          <w:p>
            <w:pPr>
              <w:pStyle w:val="48"/>
              <w:ind w:firstLine="420"/>
              <w:rPr>
                <w:color w:val="auto"/>
                <w:sz w:val="21"/>
              </w:rPr>
            </w:pPr>
            <w:r>
              <w:rPr>
                <w:color w:val="auto"/>
                <w:sz w:val="21"/>
              </w:rPr>
              <w:t>（1）基本污染物环境质量现状评价</w:t>
            </w:r>
          </w:p>
          <w:p>
            <w:pPr>
              <w:pStyle w:val="48"/>
              <w:ind w:firstLine="420"/>
              <w:rPr>
                <w:color w:val="auto"/>
                <w:sz w:val="21"/>
              </w:rPr>
            </w:pPr>
            <w:r>
              <w:rPr>
                <w:color w:val="auto"/>
                <w:sz w:val="21"/>
              </w:rPr>
              <w:t>《环境影响评价技术导则 大气环境》（HJ2.2-2018）“5.5 评价基准年筛选依据评价所需环境空气质量现状、气象资料等数据的可获得性、数据质量、代表性等因素，选择近3年中数据相对完整的1个日历年作为评价基准年”。</w:t>
            </w:r>
            <w:r>
              <w:rPr>
                <w:color w:val="auto"/>
                <w:sz w:val="21"/>
              </w:rPr>
              <w:softHyphen/>
            </w:r>
            <w:r>
              <w:rPr>
                <w:color w:val="auto"/>
                <w:sz w:val="21"/>
              </w:rPr>
              <w:t>依据上述新版大气导则要求，为了解本项目周边环境空气质量状况，本评价收集了衡阳县县城2020年环境空气质量监测点位的常规监测数据。根据《环境空气质量评价技术规范（试行）》（HJ663-2013）表1中年评价相关要求对衡阳县例行监测数据进行统计分析，SO</w:t>
            </w:r>
            <w:r>
              <w:rPr>
                <w:color w:val="auto"/>
                <w:sz w:val="21"/>
                <w:vertAlign w:val="subscript"/>
              </w:rPr>
              <w:t>2</w:t>
            </w:r>
            <w:r>
              <w:rPr>
                <w:color w:val="auto"/>
                <w:sz w:val="21"/>
              </w:rPr>
              <w:t>、NO</w:t>
            </w:r>
            <w:r>
              <w:rPr>
                <w:color w:val="auto"/>
                <w:sz w:val="21"/>
                <w:vertAlign w:val="subscript"/>
              </w:rPr>
              <w:t>2</w:t>
            </w:r>
            <w:r>
              <w:rPr>
                <w:color w:val="auto"/>
                <w:sz w:val="21"/>
              </w:rPr>
              <w:t>日均值保证率为24小时平均第98百分位数对应浓度值，CO日均值保证率为24小时平均第95百分位数对应浓度值，O</w:t>
            </w:r>
            <w:r>
              <w:rPr>
                <w:color w:val="auto"/>
                <w:sz w:val="21"/>
                <w:vertAlign w:val="subscript"/>
              </w:rPr>
              <w:t>3</w:t>
            </w:r>
            <w:r>
              <w:rPr>
                <w:color w:val="auto"/>
                <w:sz w:val="21"/>
              </w:rPr>
              <w:t>日最大8小时平均第90百分位数对应浓度值，颗粒物、PM</w:t>
            </w:r>
            <w:r>
              <w:rPr>
                <w:color w:val="auto"/>
                <w:sz w:val="21"/>
                <w:vertAlign w:val="subscript"/>
              </w:rPr>
              <w:t>2.5</w:t>
            </w:r>
            <w:r>
              <w:rPr>
                <w:color w:val="auto"/>
                <w:sz w:val="21"/>
              </w:rPr>
              <w:t>日均值保证率为24小时平均第95百分位数对应浓度值，分析日均值保证率及年平均浓度，详细统计见表3-1。</w:t>
            </w:r>
          </w:p>
          <w:p>
            <w:pPr>
              <w:pStyle w:val="8"/>
              <w:ind w:left="840" w:firstLine="210"/>
              <w:rPr>
                <w:color w:val="auto"/>
                <w:sz w:val="21"/>
                <w:szCs w:val="21"/>
              </w:rPr>
            </w:pPr>
            <w:r>
              <w:rPr>
                <w:color w:val="auto"/>
                <w:sz w:val="21"/>
                <w:szCs w:val="21"/>
              </w:rPr>
              <w:t>表3-1  2020年衡阳县县城市空气监测结果</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2050"/>
              <w:gridCol w:w="2120"/>
              <w:gridCol w:w="1919"/>
              <w:gridCol w:w="1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6" w:type="pct"/>
                  <w:vAlign w:val="center"/>
                </w:tcPr>
                <w:p>
                  <w:pPr>
                    <w:pStyle w:val="45"/>
                    <w:rPr>
                      <w:color w:val="auto"/>
                      <w:sz w:val="18"/>
                      <w:szCs w:val="18"/>
                      <w:lang w:bidi="ar"/>
                    </w:rPr>
                  </w:pPr>
                  <w:r>
                    <w:rPr>
                      <w:color w:val="auto"/>
                      <w:sz w:val="18"/>
                      <w:szCs w:val="18"/>
                      <w:lang w:bidi="ar"/>
                    </w:rPr>
                    <w:t>污染物</w:t>
                  </w:r>
                </w:p>
              </w:tc>
              <w:tc>
                <w:tcPr>
                  <w:tcW w:w="1287" w:type="pct"/>
                  <w:vAlign w:val="center"/>
                </w:tcPr>
                <w:p>
                  <w:pPr>
                    <w:pStyle w:val="45"/>
                    <w:rPr>
                      <w:color w:val="auto"/>
                      <w:sz w:val="18"/>
                      <w:szCs w:val="18"/>
                      <w:lang w:bidi="ar"/>
                    </w:rPr>
                  </w:pPr>
                  <w:r>
                    <w:rPr>
                      <w:color w:val="auto"/>
                      <w:sz w:val="18"/>
                      <w:szCs w:val="18"/>
                      <w:lang w:bidi="ar"/>
                    </w:rPr>
                    <w:t>年评价指标</w:t>
                  </w:r>
                </w:p>
              </w:tc>
              <w:tc>
                <w:tcPr>
                  <w:tcW w:w="1331" w:type="pct"/>
                  <w:vAlign w:val="center"/>
                </w:tcPr>
                <w:p>
                  <w:pPr>
                    <w:pStyle w:val="45"/>
                    <w:rPr>
                      <w:color w:val="auto"/>
                      <w:sz w:val="18"/>
                      <w:szCs w:val="18"/>
                      <w:lang w:bidi="ar"/>
                    </w:rPr>
                  </w:pPr>
                  <w:r>
                    <w:rPr>
                      <w:color w:val="auto"/>
                      <w:sz w:val="18"/>
                      <w:szCs w:val="18"/>
                      <w:lang w:bidi="ar"/>
                    </w:rPr>
                    <w:t>现状浓度/（μg/Nm</w:t>
                  </w:r>
                  <w:r>
                    <w:rPr>
                      <w:color w:val="auto"/>
                      <w:sz w:val="18"/>
                      <w:szCs w:val="18"/>
                      <w:vertAlign w:val="superscript"/>
                      <w:lang w:bidi="ar"/>
                    </w:rPr>
                    <w:t>3</w:t>
                  </w:r>
                  <w:r>
                    <w:rPr>
                      <w:color w:val="auto"/>
                      <w:sz w:val="18"/>
                      <w:szCs w:val="18"/>
                      <w:lang w:bidi="ar"/>
                    </w:rPr>
                    <w:t>）</w:t>
                  </w:r>
                </w:p>
              </w:tc>
              <w:tc>
                <w:tcPr>
                  <w:tcW w:w="1205" w:type="pct"/>
                  <w:vAlign w:val="center"/>
                </w:tcPr>
                <w:p>
                  <w:pPr>
                    <w:pStyle w:val="45"/>
                    <w:rPr>
                      <w:color w:val="auto"/>
                      <w:sz w:val="18"/>
                      <w:szCs w:val="18"/>
                      <w:lang w:bidi="ar"/>
                    </w:rPr>
                  </w:pPr>
                  <w:r>
                    <w:rPr>
                      <w:color w:val="auto"/>
                      <w:sz w:val="18"/>
                      <w:szCs w:val="18"/>
                      <w:lang w:bidi="ar"/>
                    </w:rPr>
                    <w:t>标准值/（μg/Nm</w:t>
                  </w:r>
                  <w:r>
                    <w:rPr>
                      <w:color w:val="auto"/>
                      <w:sz w:val="18"/>
                      <w:szCs w:val="18"/>
                      <w:vertAlign w:val="superscript"/>
                      <w:lang w:bidi="ar"/>
                    </w:rPr>
                    <w:t>3</w:t>
                  </w:r>
                  <w:r>
                    <w:rPr>
                      <w:color w:val="auto"/>
                      <w:sz w:val="18"/>
                      <w:szCs w:val="18"/>
                      <w:lang w:bidi="ar"/>
                    </w:rPr>
                    <w:t>）</w:t>
                  </w:r>
                </w:p>
              </w:tc>
              <w:tc>
                <w:tcPr>
                  <w:tcW w:w="651" w:type="pct"/>
                  <w:vAlign w:val="center"/>
                </w:tcPr>
                <w:p>
                  <w:pPr>
                    <w:pStyle w:val="45"/>
                    <w:rPr>
                      <w:color w:val="auto"/>
                      <w:sz w:val="18"/>
                      <w:szCs w:val="18"/>
                      <w:lang w:bidi="ar"/>
                    </w:rPr>
                  </w:pPr>
                  <w:r>
                    <w:rPr>
                      <w:color w:val="auto"/>
                      <w:sz w:val="18"/>
                      <w:szCs w:val="18"/>
                      <w:lang w:bidi="ar"/>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6" w:type="pct"/>
                  <w:vAlign w:val="center"/>
                </w:tcPr>
                <w:p>
                  <w:pPr>
                    <w:pStyle w:val="45"/>
                    <w:rPr>
                      <w:color w:val="auto"/>
                      <w:sz w:val="18"/>
                      <w:szCs w:val="18"/>
                      <w:lang w:bidi="ar"/>
                    </w:rPr>
                  </w:pPr>
                  <w:r>
                    <w:rPr>
                      <w:color w:val="auto"/>
                      <w:spacing w:val="-4"/>
                      <w:sz w:val="18"/>
                      <w:szCs w:val="18"/>
                    </w:rPr>
                    <w:t>SO</w:t>
                  </w:r>
                  <w:r>
                    <w:rPr>
                      <w:color w:val="auto"/>
                      <w:spacing w:val="-4"/>
                      <w:sz w:val="18"/>
                      <w:szCs w:val="18"/>
                      <w:vertAlign w:val="subscript"/>
                    </w:rPr>
                    <w:t>2</w:t>
                  </w:r>
                </w:p>
              </w:tc>
              <w:tc>
                <w:tcPr>
                  <w:tcW w:w="1287" w:type="pct"/>
                  <w:vAlign w:val="center"/>
                </w:tcPr>
                <w:p>
                  <w:pPr>
                    <w:pStyle w:val="45"/>
                    <w:rPr>
                      <w:color w:val="auto"/>
                      <w:sz w:val="18"/>
                      <w:szCs w:val="18"/>
                      <w:lang w:bidi="ar"/>
                    </w:rPr>
                  </w:pPr>
                  <w:r>
                    <w:rPr>
                      <w:color w:val="auto"/>
                      <w:sz w:val="18"/>
                      <w:szCs w:val="18"/>
                      <w:lang w:bidi="ar"/>
                    </w:rPr>
                    <w:t>年平均质量浓度</w:t>
                  </w:r>
                </w:p>
              </w:tc>
              <w:tc>
                <w:tcPr>
                  <w:tcW w:w="1331" w:type="pct"/>
                  <w:vAlign w:val="center"/>
                </w:tcPr>
                <w:p>
                  <w:pPr>
                    <w:pStyle w:val="45"/>
                    <w:rPr>
                      <w:color w:val="auto"/>
                      <w:sz w:val="18"/>
                      <w:szCs w:val="18"/>
                      <w:lang w:bidi="ar"/>
                    </w:rPr>
                  </w:pPr>
                  <w:r>
                    <w:rPr>
                      <w:color w:val="auto"/>
                      <w:sz w:val="18"/>
                      <w:szCs w:val="18"/>
                      <w:lang w:bidi="ar"/>
                    </w:rPr>
                    <w:t>7</w:t>
                  </w:r>
                </w:p>
              </w:tc>
              <w:tc>
                <w:tcPr>
                  <w:tcW w:w="1205" w:type="pct"/>
                  <w:vAlign w:val="center"/>
                </w:tcPr>
                <w:p>
                  <w:pPr>
                    <w:pStyle w:val="45"/>
                    <w:rPr>
                      <w:color w:val="auto"/>
                      <w:sz w:val="18"/>
                      <w:szCs w:val="18"/>
                      <w:lang w:bidi="ar"/>
                    </w:rPr>
                  </w:pPr>
                  <w:r>
                    <w:rPr>
                      <w:color w:val="auto"/>
                      <w:sz w:val="18"/>
                      <w:szCs w:val="18"/>
                    </w:rPr>
                    <w:t>60</w:t>
                  </w:r>
                </w:p>
              </w:tc>
              <w:tc>
                <w:tcPr>
                  <w:tcW w:w="651" w:type="pct"/>
                  <w:vAlign w:val="center"/>
                </w:tcPr>
                <w:p>
                  <w:pPr>
                    <w:pStyle w:val="45"/>
                    <w:rPr>
                      <w:color w:val="auto"/>
                      <w:sz w:val="18"/>
                      <w:szCs w:val="18"/>
                      <w:lang w:bidi="ar"/>
                    </w:rPr>
                  </w:pPr>
                  <w:r>
                    <w:rPr>
                      <w:color w:val="auto"/>
                      <w:sz w:val="18"/>
                      <w:szCs w:val="18"/>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6" w:type="pct"/>
                  <w:vAlign w:val="center"/>
                </w:tcPr>
                <w:p>
                  <w:pPr>
                    <w:pStyle w:val="45"/>
                    <w:rPr>
                      <w:color w:val="auto"/>
                      <w:sz w:val="18"/>
                      <w:szCs w:val="18"/>
                      <w:lang w:bidi="ar"/>
                    </w:rPr>
                  </w:pPr>
                  <w:r>
                    <w:rPr>
                      <w:color w:val="auto"/>
                      <w:spacing w:val="-4"/>
                      <w:sz w:val="18"/>
                      <w:szCs w:val="18"/>
                    </w:rPr>
                    <w:t>NO</w:t>
                  </w:r>
                  <w:r>
                    <w:rPr>
                      <w:color w:val="auto"/>
                      <w:spacing w:val="-4"/>
                      <w:sz w:val="18"/>
                      <w:szCs w:val="18"/>
                      <w:vertAlign w:val="subscript"/>
                    </w:rPr>
                    <w:t>2</w:t>
                  </w:r>
                </w:p>
              </w:tc>
              <w:tc>
                <w:tcPr>
                  <w:tcW w:w="1287" w:type="pct"/>
                  <w:vAlign w:val="center"/>
                </w:tcPr>
                <w:p>
                  <w:pPr>
                    <w:pStyle w:val="45"/>
                    <w:rPr>
                      <w:color w:val="auto"/>
                      <w:sz w:val="18"/>
                      <w:szCs w:val="18"/>
                      <w:lang w:bidi="ar"/>
                    </w:rPr>
                  </w:pPr>
                  <w:r>
                    <w:rPr>
                      <w:color w:val="auto"/>
                      <w:sz w:val="18"/>
                      <w:szCs w:val="18"/>
                      <w:lang w:bidi="ar"/>
                    </w:rPr>
                    <w:t>年平均质量浓度</w:t>
                  </w:r>
                </w:p>
              </w:tc>
              <w:tc>
                <w:tcPr>
                  <w:tcW w:w="1331" w:type="pct"/>
                  <w:vAlign w:val="center"/>
                </w:tcPr>
                <w:p>
                  <w:pPr>
                    <w:pStyle w:val="45"/>
                    <w:rPr>
                      <w:color w:val="auto"/>
                      <w:sz w:val="18"/>
                      <w:szCs w:val="18"/>
                      <w:lang w:bidi="ar"/>
                    </w:rPr>
                  </w:pPr>
                  <w:r>
                    <w:rPr>
                      <w:color w:val="auto"/>
                      <w:sz w:val="18"/>
                      <w:szCs w:val="18"/>
                      <w:lang w:bidi="ar"/>
                    </w:rPr>
                    <w:t>14</w:t>
                  </w:r>
                </w:p>
              </w:tc>
              <w:tc>
                <w:tcPr>
                  <w:tcW w:w="1205" w:type="pct"/>
                  <w:vAlign w:val="center"/>
                </w:tcPr>
                <w:p>
                  <w:pPr>
                    <w:pStyle w:val="45"/>
                    <w:rPr>
                      <w:color w:val="auto"/>
                      <w:sz w:val="18"/>
                      <w:szCs w:val="18"/>
                      <w:lang w:bidi="ar"/>
                    </w:rPr>
                  </w:pPr>
                  <w:r>
                    <w:rPr>
                      <w:color w:val="auto"/>
                      <w:spacing w:val="-4"/>
                      <w:sz w:val="18"/>
                      <w:szCs w:val="18"/>
                    </w:rPr>
                    <w:t>40</w:t>
                  </w:r>
                </w:p>
              </w:tc>
              <w:tc>
                <w:tcPr>
                  <w:tcW w:w="651" w:type="pct"/>
                  <w:vAlign w:val="center"/>
                </w:tcPr>
                <w:p>
                  <w:pPr>
                    <w:pStyle w:val="45"/>
                    <w:rPr>
                      <w:color w:val="auto"/>
                      <w:sz w:val="18"/>
                      <w:szCs w:val="18"/>
                      <w:lang w:bidi="ar"/>
                    </w:rPr>
                  </w:pPr>
                  <w:r>
                    <w:rPr>
                      <w:color w:val="auto"/>
                      <w:sz w:val="18"/>
                      <w:szCs w:val="18"/>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6" w:type="pct"/>
                  <w:vAlign w:val="center"/>
                </w:tcPr>
                <w:p>
                  <w:pPr>
                    <w:pStyle w:val="45"/>
                    <w:rPr>
                      <w:color w:val="auto"/>
                      <w:sz w:val="18"/>
                      <w:szCs w:val="18"/>
                      <w:lang w:bidi="ar"/>
                    </w:rPr>
                  </w:pPr>
                  <w:r>
                    <w:rPr>
                      <w:color w:val="auto"/>
                      <w:spacing w:val="-4"/>
                      <w:sz w:val="18"/>
                      <w:szCs w:val="18"/>
                    </w:rPr>
                    <w:t>PM</w:t>
                  </w:r>
                  <w:r>
                    <w:rPr>
                      <w:color w:val="auto"/>
                      <w:spacing w:val="-4"/>
                      <w:sz w:val="18"/>
                      <w:szCs w:val="18"/>
                      <w:vertAlign w:val="subscript"/>
                    </w:rPr>
                    <w:t>10</w:t>
                  </w:r>
                </w:p>
              </w:tc>
              <w:tc>
                <w:tcPr>
                  <w:tcW w:w="1287" w:type="pct"/>
                  <w:vAlign w:val="center"/>
                </w:tcPr>
                <w:p>
                  <w:pPr>
                    <w:pStyle w:val="45"/>
                    <w:rPr>
                      <w:color w:val="auto"/>
                      <w:sz w:val="18"/>
                      <w:szCs w:val="18"/>
                      <w:lang w:bidi="ar"/>
                    </w:rPr>
                  </w:pPr>
                  <w:r>
                    <w:rPr>
                      <w:color w:val="auto"/>
                      <w:sz w:val="18"/>
                      <w:szCs w:val="18"/>
                      <w:lang w:bidi="ar"/>
                    </w:rPr>
                    <w:t>年平均质量浓度</w:t>
                  </w:r>
                </w:p>
              </w:tc>
              <w:tc>
                <w:tcPr>
                  <w:tcW w:w="1331" w:type="pct"/>
                  <w:vAlign w:val="center"/>
                </w:tcPr>
                <w:p>
                  <w:pPr>
                    <w:pStyle w:val="45"/>
                    <w:rPr>
                      <w:color w:val="auto"/>
                      <w:sz w:val="18"/>
                      <w:szCs w:val="18"/>
                      <w:lang w:bidi="ar"/>
                    </w:rPr>
                  </w:pPr>
                  <w:r>
                    <w:rPr>
                      <w:color w:val="auto"/>
                      <w:sz w:val="18"/>
                      <w:szCs w:val="18"/>
                      <w:lang w:bidi="ar"/>
                    </w:rPr>
                    <w:t>67</w:t>
                  </w:r>
                </w:p>
              </w:tc>
              <w:tc>
                <w:tcPr>
                  <w:tcW w:w="1205" w:type="pct"/>
                  <w:vAlign w:val="center"/>
                </w:tcPr>
                <w:p>
                  <w:pPr>
                    <w:pStyle w:val="45"/>
                    <w:rPr>
                      <w:color w:val="auto"/>
                      <w:sz w:val="18"/>
                      <w:szCs w:val="18"/>
                      <w:lang w:bidi="ar"/>
                    </w:rPr>
                  </w:pPr>
                  <w:r>
                    <w:rPr>
                      <w:color w:val="auto"/>
                      <w:spacing w:val="-4"/>
                      <w:sz w:val="18"/>
                      <w:szCs w:val="18"/>
                    </w:rPr>
                    <w:t>70</w:t>
                  </w:r>
                </w:p>
              </w:tc>
              <w:tc>
                <w:tcPr>
                  <w:tcW w:w="651" w:type="pct"/>
                  <w:vAlign w:val="center"/>
                </w:tcPr>
                <w:p>
                  <w:pPr>
                    <w:pStyle w:val="45"/>
                    <w:rPr>
                      <w:color w:val="auto"/>
                      <w:sz w:val="18"/>
                      <w:szCs w:val="18"/>
                      <w:lang w:bidi="ar"/>
                    </w:rPr>
                  </w:pPr>
                  <w:r>
                    <w:rPr>
                      <w:color w:val="auto"/>
                      <w:sz w:val="18"/>
                      <w:szCs w:val="18"/>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6" w:type="pct"/>
                  <w:vAlign w:val="center"/>
                </w:tcPr>
                <w:p>
                  <w:pPr>
                    <w:pStyle w:val="45"/>
                    <w:rPr>
                      <w:color w:val="auto"/>
                      <w:sz w:val="18"/>
                      <w:szCs w:val="18"/>
                      <w:lang w:bidi="ar"/>
                    </w:rPr>
                  </w:pPr>
                  <w:r>
                    <w:rPr>
                      <w:color w:val="auto"/>
                      <w:spacing w:val="-4"/>
                      <w:sz w:val="18"/>
                      <w:szCs w:val="18"/>
                    </w:rPr>
                    <w:t>PM</w:t>
                  </w:r>
                  <w:r>
                    <w:rPr>
                      <w:color w:val="auto"/>
                      <w:spacing w:val="-4"/>
                      <w:sz w:val="18"/>
                      <w:szCs w:val="18"/>
                      <w:vertAlign w:val="subscript"/>
                    </w:rPr>
                    <w:t>2.5</w:t>
                  </w:r>
                </w:p>
              </w:tc>
              <w:tc>
                <w:tcPr>
                  <w:tcW w:w="1287" w:type="pct"/>
                  <w:vAlign w:val="center"/>
                </w:tcPr>
                <w:p>
                  <w:pPr>
                    <w:pStyle w:val="45"/>
                    <w:rPr>
                      <w:color w:val="auto"/>
                      <w:sz w:val="18"/>
                      <w:szCs w:val="18"/>
                      <w:lang w:bidi="ar"/>
                    </w:rPr>
                  </w:pPr>
                  <w:r>
                    <w:rPr>
                      <w:color w:val="auto"/>
                      <w:sz w:val="18"/>
                      <w:szCs w:val="18"/>
                      <w:lang w:bidi="ar"/>
                    </w:rPr>
                    <w:t>年平均质量浓度</w:t>
                  </w:r>
                </w:p>
              </w:tc>
              <w:tc>
                <w:tcPr>
                  <w:tcW w:w="1331" w:type="pct"/>
                  <w:vAlign w:val="center"/>
                </w:tcPr>
                <w:p>
                  <w:pPr>
                    <w:pStyle w:val="45"/>
                    <w:rPr>
                      <w:color w:val="auto"/>
                      <w:sz w:val="18"/>
                      <w:szCs w:val="18"/>
                      <w:lang w:bidi="ar"/>
                    </w:rPr>
                  </w:pPr>
                  <w:r>
                    <w:rPr>
                      <w:color w:val="auto"/>
                      <w:sz w:val="18"/>
                      <w:szCs w:val="18"/>
                      <w:lang w:bidi="ar"/>
                    </w:rPr>
                    <w:t>33</w:t>
                  </w:r>
                </w:p>
              </w:tc>
              <w:tc>
                <w:tcPr>
                  <w:tcW w:w="1205" w:type="pct"/>
                  <w:vAlign w:val="center"/>
                </w:tcPr>
                <w:p>
                  <w:pPr>
                    <w:pStyle w:val="45"/>
                    <w:rPr>
                      <w:color w:val="auto"/>
                      <w:sz w:val="18"/>
                      <w:szCs w:val="18"/>
                      <w:lang w:bidi="ar"/>
                    </w:rPr>
                  </w:pPr>
                  <w:r>
                    <w:rPr>
                      <w:color w:val="auto"/>
                      <w:spacing w:val="-4"/>
                      <w:sz w:val="18"/>
                      <w:szCs w:val="18"/>
                    </w:rPr>
                    <w:t>35</w:t>
                  </w:r>
                </w:p>
              </w:tc>
              <w:tc>
                <w:tcPr>
                  <w:tcW w:w="651" w:type="pct"/>
                  <w:vAlign w:val="center"/>
                </w:tcPr>
                <w:p>
                  <w:pPr>
                    <w:pStyle w:val="45"/>
                    <w:rPr>
                      <w:color w:val="auto"/>
                      <w:sz w:val="18"/>
                      <w:szCs w:val="18"/>
                      <w:lang w:bidi="ar"/>
                    </w:rPr>
                  </w:pPr>
                  <w:r>
                    <w:rPr>
                      <w:color w:val="auto"/>
                      <w:sz w:val="18"/>
                      <w:szCs w:val="18"/>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6" w:type="pct"/>
                  <w:vAlign w:val="center"/>
                </w:tcPr>
                <w:p>
                  <w:pPr>
                    <w:pStyle w:val="45"/>
                    <w:rPr>
                      <w:color w:val="auto"/>
                      <w:sz w:val="18"/>
                      <w:szCs w:val="18"/>
                      <w:lang w:bidi="ar"/>
                    </w:rPr>
                  </w:pPr>
                  <w:r>
                    <w:rPr>
                      <w:color w:val="auto"/>
                      <w:spacing w:val="-4"/>
                      <w:sz w:val="18"/>
                      <w:szCs w:val="18"/>
                    </w:rPr>
                    <w:t>CO</w:t>
                  </w:r>
                </w:p>
              </w:tc>
              <w:tc>
                <w:tcPr>
                  <w:tcW w:w="1287" w:type="pct"/>
                  <w:vAlign w:val="center"/>
                </w:tcPr>
                <w:p>
                  <w:pPr>
                    <w:pStyle w:val="45"/>
                    <w:rPr>
                      <w:color w:val="auto"/>
                      <w:sz w:val="18"/>
                      <w:szCs w:val="18"/>
                      <w:lang w:bidi="ar"/>
                    </w:rPr>
                  </w:pPr>
                  <w:r>
                    <w:rPr>
                      <w:color w:val="auto"/>
                      <w:sz w:val="18"/>
                      <w:szCs w:val="18"/>
                      <w:lang w:bidi="ar"/>
                    </w:rPr>
                    <w:t>95%日平均质量浓度</w:t>
                  </w:r>
                </w:p>
              </w:tc>
              <w:tc>
                <w:tcPr>
                  <w:tcW w:w="1331" w:type="pct"/>
                  <w:vAlign w:val="center"/>
                </w:tcPr>
                <w:p>
                  <w:pPr>
                    <w:pStyle w:val="45"/>
                    <w:rPr>
                      <w:color w:val="auto"/>
                      <w:sz w:val="18"/>
                      <w:szCs w:val="18"/>
                      <w:lang w:bidi="ar"/>
                    </w:rPr>
                  </w:pPr>
                  <w:r>
                    <w:rPr>
                      <w:color w:val="auto"/>
                      <w:sz w:val="18"/>
                      <w:szCs w:val="18"/>
                      <w:lang w:bidi="ar"/>
                    </w:rPr>
                    <w:t>1.0mg/m</w:t>
                  </w:r>
                  <w:r>
                    <w:rPr>
                      <w:color w:val="auto"/>
                      <w:sz w:val="18"/>
                      <w:szCs w:val="18"/>
                      <w:vertAlign w:val="superscript"/>
                      <w:lang w:bidi="ar"/>
                    </w:rPr>
                    <w:t>3</w:t>
                  </w:r>
                </w:p>
              </w:tc>
              <w:tc>
                <w:tcPr>
                  <w:tcW w:w="1205" w:type="pct"/>
                  <w:vAlign w:val="center"/>
                </w:tcPr>
                <w:p>
                  <w:pPr>
                    <w:pStyle w:val="45"/>
                    <w:rPr>
                      <w:color w:val="auto"/>
                      <w:sz w:val="18"/>
                      <w:szCs w:val="18"/>
                      <w:lang w:bidi="ar"/>
                    </w:rPr>
                  </w:pPr>
                  <w:r>
                    <w:rPr>
                      <w:color w:val="auto"/>
                      <w:spacing w:val="-4"/>
                      <w:sz w:val="18"/>
                      <w:szCs w:val="18"/>
                    </w:rPr>
                    <w:t>4</w:t>
                  </w:r>
                  <w:r>
                    <w:rPr>
                      <w:color w:val="auto"/>
                      <w:sz w:val="18"/>
                      <w:szCs w:val="18"/>
                      <w:lang w:bidi="ar"/>
                    </w:rPr>
                    <w:t>mg/m</w:t>
                  </w:r>
                  <w:r>
                    <w:rPr>
                      <w:color w:val="auto"/>
                      <w:sz w:val="18"/>
                      <w:szCs w:val="18"/>
                      <w:vertAlign w:val="superscript"/>
                      <w:lang w:bidi="ar"/>
                    </w:rPr>
                    <w:t>3</w:t>
                  </w:r>
                </w:p>
              </w:tc>
              <w:tc>
                <w:tcPr>
                  <w:tcW w:w="651" w:type="pct"/>
                  <w:vAlign w:val="center"/>
                </w:tcPr>
                <w:p>
                  <w:pPr>
                    <w:pStyle w:val="45"/>
                    <w:rPr>
                      <w:color w:val="auto"/>
                      <w:sz w:val="18"/>
                      <w:szCs w:val="18"/>
                      <w:lang w:bidi="ar"/>
                    </w:rPr>
                  </w:pPr>
                  <w:r>
                    <w:rPr>
                      <w:color w:val="auto"/>
                      <w:sz w:val="18"/>
                      <w:szCs w:val="18"/>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6" w:type="pct"/>
                  <w:vAlign w:val="center"/>
                </w:tcPr>
                <w:p>
                  <w:pPr>
                    <w:pStyle w:val="45"/>
                    <w:rPr>
                      <w:color w:val="auto"/>
                      <w:sz w:val="18"/>
                      <w:szCs w:val="18"/>
                      <w:lang w:bidi="ar"/>
                    </w:rPr>
                  </w:pPr>
                  <w:r>
                    <w:rPr>
                      <w:color w:val="auto"/>
                      <w:spacing w:val="-4"/>
                      <w:sz w:val="18"/>
                      <w:szCs w:val="18"/>
                    </w:rPr>
                    <w:t>O</w:t>
                  </w:r>
                  <w:r>
                    <w:rPr>
                      <w:color w:val="auto"/>
                      <w:spacing w:val="-4"/>
                      <w:sz w:val="18"/>
                      <w:szCs w:val="18"/>
                      <w:vertAlign w:val="subscript"/>
                    </w:rPr>
                    <w:t>3</w:t>
                  </w:r>
                </w:p>
              </w:tc>
              <w:tc>
                <w:tcPr>
                  <w:tcW w:w="1287" w:type="pct"/>
                  <w:vAlign w:val="center"/>
                </w:tcPr>
                <w:p>
                  <w:pPr>
                    <w:pStyle w:val="45"/>
                    <w:rPr>
                      <w:color w:val="auto"/>
                      <w:sz w:val="18"/>
                      <w:szCs w:val="18"/>
                      <w:lang w:bidi="ar"/>
                    </w:rPr>
                  </w:pPr>
                  <w:r>
                    <w:rPr>
                      <w:color w:val="auto"/>
                      <w:sz w:val="18"/>
                      <w:szCs w:val="18"/>
                      <w:lang w:bidi="ar"/>
                    </w:rPr>
                    <w:t>90%8h平均质量浓度</w:t>
                  </w:r>
                </w:p>
              </w:tc>
              <w:tc>
                <w:tcPr>
                  <w:tcW w:w="1331" w:type="pct"/>
                  <w:vAlign w:val="center"/>
                </w:tcPr>
                <w:p>
                  <w:pPr>
                    <w:pStyle w:val="45"/>
                    <w:rPr>
                      <w:color w:val="auto"/>
                      <w:sz w:val="18"/>
                      <w:szCs w:val="18"/>
                      <w:lang w:bidi="ar"/>
                    </w:rPr>
                  </w:pPr>
                  <w:r>
                    <w:rPr>
                      <w:color w:val="auto"/>
                      <w:sz w:val="18"/>
                      <w:szCs w:val="18"/>
                      <w:lang w:bidi="ar"/>
                    </w:rPr>
                    <w:t>128</w:t>
                  </w:r>
                </w:p>
              </w:tc>
              <w:tc>
                <w:tcPr>
                  <w:tcW w:w="1205" w:type="pct"/>
                  <w:vAlign w:val="center"/>
                </w:tcPr>
                <w:p>
                  <w:pPr>
                    <w:pStyle w:val="45"/>
                    <w:rPr>
                      <w:color w:val="auto"/>
                      <w:sz w:val="18"/>
                      <w:szCs w:val="18"/>
                      <w:lang w:bidi="ar"/>
                    </w:rPr>
                  </w:pPr>
                  <w:r>
                    <w:rPr>
                      <w:color w:val="auto"/>
                      <w:spacing w:val="-4"/>
                      <w:sz w:val="18"/>
                      <w:szCs w:val="18"/>
                    </w:rPr>
                    <w:t>160</w:t>
                  </w:r>
                </w:p>
              </w:tc>
              <w:tc>
                <w:tcPr>
                  <w:tcW w:w="651" w:type="pct"/>
                  <w:vAlign w:val="center"/>
                </w:tcPr>
                <w:p>
                  <w:pPr>
                    <w:pStyle w:val="45"/>
                    <w:rPr>
                      <w:color w:val="auto"/>
                      <w:sz w:val="18"/>
                      <w:szCs w:val="18"/>
                      <w:lang w:bidi="ar"/>
                    </w:rPr>
                  </w:pPr>
                  <w:r>
                    <w:rPr>
                      <w:color w:val="auto"/>
                      <w:sz w:val="18"/>
                      <w:szCs w:val="18"/>
                      <w:lang w:bidi="ar"/>
                    </w:rPr>
                    <w:t>达标</w:t>
                  </w:r>
                </w:p>
              </w:tc>
            </w:tr>
          </w:tbl>
          <w:p>
            <w:pPr>
              <w:spacing w:line="360" w:lineRule="auto"/>
              <w:ind w:firstLine="420" w:firstLineChars="200"/>
              <w:jc w:val="left"/>
              <w:rPr>
                <w:color w:val="auto"/>
                <w:position w:val="-2"/>
                <w:szCs w:val="21"/>
              </w:rPr>
            </w:pPr>
            <w:r>
              <w:rPr>
                <w:color w:val="auto"/>
                <w:kern w:val="0"/>
                <w:szCs w:val="21"/>
                <w:lang w:val="zh-CN"/>
              </w:rPr>
              <w:t>根据监测结果，评价区域空气环境各指标均能达到《环境空气质量标准》（GB3095-2012）修改单二级标准，</w:t>
            </w:r>
            <w:r>
              <w:rPr>
                <w:color w:val="auto"/>
                <w:position w:val="-2"/>
                <w:szCs w:val="21"/>
              </w:rPr>
              <w:t>说明本项目所在评价区域为环境空气质量为达标区，相比去年衡阳县环境空气质量在一定的程度上得到改善。</w:t>
            </w:r>
          </w:p>
          <w:p>
            <w:pPr>
              <w:pStyle w:val="48"/>
              <w:keepNext w:val="0"/>
              <w:keepLines w:val="0"/>
              <w:pageBreakBefore w:val="0"/>
              <w:widowControl/>
              <w:kinsoku/>
              <w:wordWrap/>
              <w:overflowPunct/>
              <w:topLinePunct w:val="0"/>
              <w:autoSpaceDE/>
              <w:autoSpaceDN/>
              <w:bidi w:val="0"/>
              <w:snapToGrid w:val="0"/>
              <w:spacing w:line="360" w:lineRule="auto"/>
              <w:ind w:firstLine="420"/>
              <w:textAlignment w:val="auto"/>
              <w:rPr>
                <w:color w:val="auto"/>
                <w:sz w:val="21"/>
                <w:u w:val="none"/>
              </w:rPr>
            </w:pPr>
            <w:r>
              <w:rPr>
                <w:color w:val="auto"/>
                <w:sz w:val="21"/>
                <w:u w:val="none"/>
              </w:rPr>
              <w:t>（2）环境空气质量现状补充监测</w:t>
            </w:r>
          </w:p>
          <w:p>
            <w:pPr>
              <w:keepNext w:val="0"/>
              <w:keepLines w:val="0"/>
              <w:pageBreakBefore w:val="0"/>
              <w:widowControl/>
              <w:suppressLineNumbers w:val="0"/>
              <w:kinsoku/>
              <w:wordWrap/>
              <w:overflowPunct/>
              <w:topLinePunct w:val="0"/>
              <w:autoSpaceDE/>
              <w:autoSpaceDN/>
              <w:bidi w:val="0"/>
              <w:snapToGrid w:val="0"/>
              <w:spacing w:line="360" w:lineRule="auto"/>
              <w:ind w:firstLine="420" w:firstLineChars="200"/>
              <w:jc w:val="left"/>
              <w:textAlignment w:val="auto"/>
              <w:rPr>
                <w:color w:val="auto"/>
                <w:sz w:val="21"/>
                <w:u w:val="none"/>
              </w:rPr>
            </w:pPr>
            <w:bookmarkStart w:id="6" w:name="OLE_LINK2"/>
            <w:r>
              <w:rPr>
                <w:rFonts w:hint="eastAsia"/>
                <w:color w:val="auto"/>
                <w:sz w:val="21"/>
                <w:u w:val="none"/>
                <w:lang w:eastAsia="zh-CN"/>
              </w:rPr>
              <w:t>根据《建设项目环境影响报告表编制技术指南（污染影响类）》（试行）对区域环境质量现状数据引用规定：</w:t>
            </w:r>
            <w:r>
              <w:rPr>
                <w:rFonts w:hint="eastAsia"/>
                <w:color w:val="auto"/>
                <w:sz w:val="21"/>
                <w:u w:val="none"/>
                <w:lang w:val="en-US" w:eastAsia="zh-CN"/>
              </w:rPr>
              <w:t>排放 国家、地方环境空气质量标准中有标准限值要求的特征污染物时，引用建设项目周边 5 千米范围内近 3 年的现有监测数据。本项目特征污染物为：TSP。故本次采用距离本项目场地2.1千米的</w:t>
            </w:r>
            <w:r>
              <w:rPr>
                <w:color w:val="auto"/>
                <w:sz w:val="21"/>
                <w:u w:val="none"/>
                <w:lang w:val="en-US" w:eastAsia="zh-CN"/>
              </w:rPr>
              <w:t>衡阳县明新陶瓷原料有限公司</w:t>
            </w:r>
            <w:r>
              <w:rPr>
                <w:rFonts w:hint="eastAsia"/>
                <w:color w:val="auto"/>
                <w:sz w:val="21"/>
                <w:u w:val="none"/>
                <w:lang w:val="en-US" w:eastAsia="zh-CN"/>
              </w:rPr>
              <w:t>环评报告表中监测数据，具体为</w:t>
            </w:r>
            <w:r>
              <w:rPr>
                <w:rFonts w:hint="eastAsia"/>
                <w:color w:val="auto"/>
                <w:sz w:val="21"/>
                <w:u w:val="none"/>
                <w:lang w:eastAsia="zh-CN"/>
              </w:rPr>
              <w:t>《</w:t>
            </w:r>
            <w:r>
              <w:rPr>
                <w:color w:val="auto"/>
                <w:sz w:val="21"/>
                <w:u w:val="none"/>
                <w:lang w:val="en-US" w:eastAsia="zh-CN"/>
              </w:rPr>
              <w:t>衡阳县明新陶瓷原料有限公司年产机制砂20万吨、干粉6万吨建设项目</w:t>
            </w:r>
            <w:r>
              <w:rPr>
                <w:rFonts w:hint="eastAsia"/>
                <w:color w:val="auto"/>
                <w:sz w:val="21"/>
                <w:u w:val="none"/>
                <w:lang w:val="en-US" w:eastAsia="zh-CN"/>
              </w:rPr>
              <w:t>环境影响评价报告表</w:t>
            </w:r>
            <w:r>
              <w:rPr>
                <w:rFonts w:hint="eastAsia"/>
                <w:color w:val="auto"/>
                <w:sz w:val="21"/>
                <w:u w:val="none"/>
                <w:lang w:eastAsia="zh-CN"/>
              </w:rPr>
              <w:t>》中</w:t>
            </w:r>
            <w:r>
              <w:rPr>
                <w:color w:val="auto"/>
                <w:sz w:val="21"/>
                <w:u w:val="none"/>
              </w:rPr>
              <w:t>监测的数据进行评价，具体数据如下：</w:t>
            </w:r>
          </w:p>
          <w:p>
            <w:pPr>
              <w:pStyle w:val="48"/>
              <w:ind w:firstLine="420"/>
              <w:rPr>
                <w:color w:val="auto"/>
                <w:sz w:val="21"/>
                <w:u w:val="none"/>
              </w:rPr>
            </w:pPr>
            <w:r>
              <w:rPr>
                <w:rFonts w:ascii="Times New Roman" w:hAnsi="Times New Roman" w:eastAsia="宋体" w:cs="Times New Roman"/>
                <w:color w:val="auto"/>
                <w:kern w:val="2"/>
                <w:sz w:val="21"/>
                <w:szCs w:val="21"/>
                <w:u w:val="none"/>
                <w:lang w:val="en-US" w:eastAsia="zh-CN" w:bidi="ar-SA"/>
              </w:rPr>
              <w:t>（1）</w:t>
            </w:r>
            <w:r>
              <w:rPr>
                <w:color w:val="auto"/>
                <w:sz w:val="21"/>
                <w:u w:val="none"/>
              </w:rPr>
              <w:t>监测布点：共设置1个监测点，G1：项目下风向西南侧270m居民点处</w:t>
            </w:r>
            <w:r>
              <w:rPr>
                <w:rFonts w:hint="eastAsia"/>
                <w:color w:val="auto"/>
                <w:sz w:val="21"/>
                <w:u w:val="none"/>
                <w:lang w:eastAsia="zh-CN"/>
              </w:rPr>
              <w:t>（本项目西南方向</w:t>
            </w:r>
            <w:r>
              <w:rPr>
                <w:rFonts w:hint="eastAsia"/>
                <w:color w:val="auto"/>
                <w:sz w:val="21"/>
                <w:u w:val="none"/>
                <w:lang w:val="en-US" w:eastAsia="zh-CN"/>
              </w:rPr>
              <w:t>2.3km处</w:t>
            </w:r>
            <w:r>
              <w:rPr>
                <w:rFonts w:hint="eastAsia"/>
                <w:color w:val="auto"/>
                <w:sz w:val="21"/>
                <w:u w:val="none"/>
                <w:lang w:eastAsia="zh-CN"/>
              </w:rPr>
              <w:t>）</w:t>
            </w:r>
            <w:r>
              <w:rPr>
                <w:color w:val="auto"/>
                <w:sz w:val="21"/>
                <w:u w:val="none"/>
              </w:rPr>
              <w:t>；</w:t>
            </w:r>
          </w:p>
          <w:p>
            <w:pPr>
              <w:pStyle w:val="48"/>
              <w:ind w:firstLine="420"/>
              <w:rPr>
                <w:color w:val="auto"/>
                <w:sz w:val="21"/>
                <w:u w:val="none"/>
              </w:rPr>
            </w:pPr>
            <w:r>
              <w:rPr>
                <w:rFonts w:ascii="Times New Roman" w:hAnsi="Times New Roman" w:eastAsia="宋体" w:cs="Times New Roman"/>
                <w:color w:val="auto"/>
                <w:kern w:val="2"/>
                <w:sz w:val="21"/>
                <w:szCs w:val="21"/>
                <w:u w:val="none"/>
                <w:lang w:val="en-US" w:eastAsia="zh-CN" w:bidi="ar-SA"/>
              </w:rPr>
              <w:t>（</w:t>
            </w:r>
            <w:r>
              <w:rPr>
                <w:rFonts w:hint="eastAsia" w:cs="Times New Roman"/>
                <w:color w:val="auto"/>
                <w:kern w:val="2"/>
                <w:sz w:val="21"/>
                <w:szCs w:val="21"/>
                <w:u w:val="none"/>
                <w:lang w:val="en-US" w:eastAsia="zh-CN" w:bidi="ar-SA"/>
              </w:rPr>
              <w:t>2</w:t>
            </w:r>
            <w:r>
              <w:rPr>
                <w:rFonts w:ascii="Times New Roman" w:hAnsi="Times New Roman" w:eastAsia="宋体" w:cs="Times New Roman"/>
                <w:color w:val="auto"/>
                <w:kern w:val="2"/>
                <w:sz w:val="21"/>
                <w:szCs w:val="21"/>
                <w:u w:val="none"/>
                <w:lang w:val="en-US" w:eastAsia="zh-CN" w:bidi="ar-SA"/>
              </w:rPr>
              <w:t>）</w:t>
            </w:r>
            <w:r>
              <w:rPr>
                <w:color w:val="auto"/>
                <w:sz w:val="21"/>
                <w:u w:val="none"/>
              </w:rPr>
              <w:t>监测项目：TSP；</w:t>
            </w:r>
          </w:p>
          <w:p>
            <w:pPr>
              <w:pStyle w:val="48"/>
              <w:ind w:firstLine="420"/>
              <w:rPr>
                <w:color w:val="auto"/>
                <w:sz w:val="21"/>
                <w:u w:val="none"/>
              </w:rPr>
            </w:pPr>
            <w:r>
              <w:rPr>
                <w:rFonts w:ascii="Times New Roman" w:hAnsi="Times New Roman" w:eastAsia="宋体" w:cs="Times New Roman"/>
                <w:color w:val="auto"/>
                <w:kern w:val="2"/>
                <w:sz w:val="21"/>
                <w:szCs w:val="21"/>
                <w:u w:val="none"/>
                <w:lang w:val="en-US" w:eastAsia="zh-CN" w:bidi="ar-SA"/>
              </w:rPr>
              <w:t>（</w:t>
            </w:r>
            <w:r>
              <w:rPr>
                <w:rFonts w:hint="eastAsia" w:cs="Times New Roman"/>
                <w:color w:val="auto"/>
                <w:kern w:val="2"/>
                <w:sz w:val="21"/>
                <w:szCs w:val="21"/>
                <w:u w:val="none"/>
                <w:lang w:val="en-US" w:eastAsia="zh-CN" w:bidi="ar-SA"/>
              </w:rPr>
              <w:t>3</w:t>
            </w:r>
            <w:r>
              <w:rPr>
                <w:rFonts w:ascii="Times New Roman" w:hAnsi="Times New Roman" w:eastAsia="宋体" w:cs="Times New Roman"/>
                <w:color w:val="auto"/>
                <w:kern w:val="2"/>
                <w:sz w:val="21"/>
                <w:szCs w:val="21"/>
                <w:u w:val="none"/>
                <w:lang w:val="en-US" w:eastAsia="zh-CN" w:bidi="ar-SA"/>
              </w:rPr>
              <w:t>）</w:t>
            </w:r>
            <w:r>
              <w:rPr>
                <w:color w:val="auto"/>
                <w:sz w:val="21"/>
                <w:u w:val="none"/>
              </w:rPr>
              <w:t>监测时间及频次：2020年7月15日~21日连续监测7天，一天一次；</w:t>
            </w:r>
          </w:p>
          <w:p>
            <w:pPr>
              <w:pStyle w:val="48"/>
              <w:ind w:firstLine="420"/>
              <w:rPr>
                <w:color w:val="auto"/>
                <w:sz w:val="21"/>
                <w:u w:val="none"/>
              </w:rPr>
            </w:pPr>
            <w:r>
              <w:rPr>
                <w:rFonts w:ascii="Times New Roman" w:hAnsi="Times New Roman" w:eastAsia="宋体" w:cs="Times New Roman"/>
                <w:color w:val="auto"/>
                <w:kern w:val="2"/>
                <w:sz w:val="21"/>
                <w:szCs w:val="21"/>
                <w:u w:val="none"/>
                <w:lang w:val="en-US" w:eastAsia="zh-CN" w:bidi="ar-SA"/>
              </w:rPr>
              <w:t>（</w:t>
            </w:r>
            <w:r>
              <w:rPr>
                <w:rFonts w:hint="eastAsia" w:cs="Times New Roman"/>
                <w:color w:val="auto"/>
                <w:kern w:val="2"/>
                <w:sz w:val="21"/>
                <w:szCs w:val="21"/>
                <w:u w:val="none"/>
                <w:lang w:val="en-US" w:eastAsia="zh-CN" w:bidi="ar-SA"/>
              </w:rPr>
              <w:t>4</w:t>
            </w:r>
            <w:r>
              <w:rPr>
                <w:rFonts w:ascii="Times New Roman" w:hAnsi="Times New Roman" w:eastAsia="宋体" w:cs="Times New Roman"/>
                <w:color w:val="auto"/>
                <w:kern w:val="2"/>
                <w:sz w:val="21"/>
                <w:szCs w:val="21"/>
                <w:u w:val="none"/>
                <w:lang w:val="en-US" w:eastAsia="zh-CN" w:bidi="ar-SA"/>
              </w:rPr>
              <w:t>）</w:t>
            </w:r>
            <w:r>
              <w:rPr>
                <w:color w:val="auto"/>
                <w:sz w:val="21"/>
                <w:u w:val="none"/>
              </w:rPr>
              <w:t>监测方法：</w:t>
            </w:r>
            <w:r>
              <w:rPr>
                <w:color w:val="auto"/>
                <w:u w:val="none"/>
              </w:rPr>
              <w:fldChar w:fldCharType="begin"/>
            </w:r>
            <w:r>
              <w:rPr>
                <w:color w:val="auto"/>
                <w:u w:val="none"/>
              </w:rPr>
              <w:instrText xml:space="preserve"> HYPERLINK "http://www.lzhb.gov.cn/Article/ShowArticle.asp?ArticleID=205" \t "_blank" </w:instrText>
            </w:r>
            <w:r>
              <w:rPr>
                <w:color w:val="auto"/>
                <w:u w:val="none"/>
              </w:rPr>
              <w:fldChar w:fldCharType="separate"/>
            </w:r>
            <w:r>
              <w:rPr>
                <w:color w:val="auto"/>
                <w:sz w:val="21"/>
                <w:u w:val="none"/>
              </w:rPr>
              <w:t>环境空气质量监测规范（试行）</w:t>
            </w:r>
            <w:r>
              <w:rPr>
                <w:color w:val="auto"/>
                <w:sz w:val="21"/>
                <w:u w:val="none"/>
              </w:rPr>
              <w:fldChar w:fldCharType="end"/>
            </w:r>
            <w:r>
              <w:rPr>
                <w:color w:val="auto"/>
                <w:sz w:val="21"/>
                <w:u w:val="none"/>
              </w:rPr>
              <w:t>；</w:t>
            </w:r>
          </w:p>
          <w:p>
            <w:pPr>
              <w:pStyle w:val="48"/>
              <w:ind w:firstLine="420"/>
              <w:rPr>
                <w:color w:val="auto"/>
                <w:sz w:val="21"/>
                <w:u w:val="none"/>
              </w:rPr>
            </w:pPr>
            <w:r>
              <w:rPr>
                <w:rFonts w:ascii="Times New Roman" w:hAnsi="Times New Roman" w:eastAsia="宋体" w:cs="Times New Roman"/>
                <w:color w:val="auto"/>
                <w:kern w:val="2"/>
                <w:sz w:val="21"/>
                <w:szCs w:val="21"/>
                <w:u w:val="none"/>
                <w:lang w:val="en-US" w:eastAsia="zh-CN" w:bidi="ar-SA"/>
              </w:rPr>
              <w:t>（</w:t>
            </w:r>
            <w:r>
              <w:rPr>
                <w:rFonts w:hint="eastAsia" w:cs="Times New Roman"/>
                <w:color w:val="auto"/>
                <w:kern w:val="2"/>
                <w:sz w:val="21"/>
                <w:szCs w:val="21"/>
                <w:u w:val="none"/>
                <w:lang w:val="en-US" w:eastAsia="zh-CN" w:bidi="ar-SA"/>
              </w:rPr>
              <w:t>5</w:t>
            </w:r>
            <w:r>
              <w:rPr>
                <w:rFonts w:ascii="Times New Roman" w:hAnsi="Times New Roman" w:eastAsia="宋体" w:cs="Times New Roman"/>
                <w:color w:val="auto"/>
                <w:kern w:val="2"/>
                <w:sz w:val="21"/>
                <w:szCs w:val="21"/>
                <w:u w:val="none"/>
                <w:lang w:val="en-US" w:eastAsia="zh-CN" w:bidi="ar-SA"/>
              </w:rPr>
              <w:t>）</w:t>
            </w:r>
            <w:r>
              <w:rPr>
                <w:color w:val="auto"/>
                <w:sz w:val="21"/>
                <w:u w:val="none"/>
              </w:rPr>
              <w:t>评价标准：</w:t>
            </w:r>
            <w:bookmarkEnd w:id="6"/>
            <w:r>
              <w:rPr>
                <w:color w:val="auto"/>
                <w:sz w:val="21"/>
                <w:u w:val="none"/>
              </w:rPr>
              <w:t>执行《环境空气质量标准》（GB3095-2012）修改单二级标准。</w:t>
            </w:r>
          </w:p>
          <w:p>
            <w:pPr>
              <w:pStyle w:val="48"/>
              <w:ind w:firstLine="420"/>
              <w:rPr>
                <w:color w:val="auto"/>
                <w:sz w:val="21"/>
                <w:u w:val="none"/>
              </w:rPr>
            </w:pPr>
            <w:r>
              <w:rPr>
                <w:rFonts w:ascii="Times New Roman" w:hAnsi="Times New Roman" w:eastAsia="宋体" w:cs="Times New Roman"/>
                <w:color w:val="auto"/>
                <w:kern w:val="2"/>
                <w:sz w:val="21"/>
                <w:szCs w:val="21"/>
                <w:u w:val="none"/>
                <w:lang w:val="en-US" w:eastAsia="zh-CN" w:bidi="ar-SA"/>
              </w:rPr>
              <w:t>（</w:t>
            </w:r>
            <w:r>
              <w:rPr>
                <w:rFonts w:hint="eastAsia" w:cs="Times New Roman"/>
                <w:color w:val="auto"/>
                <w:kern w:val="2"/>
                <w:sz w:val="21"/>
                <w:szCs w:val="21"/>
                <w:u w:val="none"/>
                <w:lang w:val="en-US" w:eastAsia="zh-CN" w:bidi="ar-SA"/>
              </w:rPr>
              <w:t>6</w:t>
            </w:r>
            <w:r>
              <w:rPr>
                <w:rFonts w:ascii="Times New Roman" w:hAnsi="Times New Roman" w:eastAsia="宋体" w:cs="Times New Roman"/>
                <w:color w:val="auto"/>
                <w:kern w:val="2"/>
                <w:sz w:val="21"/>
                <w:szCs w:val="21"/>
                <w:u w:val="none"/>
                <w:lang w:val="en-US" w:eastAsia="zh-CN" w:bidi="ar-SA"/>
              </w:rPr>
              <w:t>）</w:t>
            </w:r>
            <w:r>
              <w:rPr>
                <w:color w:val="auto"/>
                <w:sz w:val="21"/>
                <w:u w:val="none"/>
              </w:rPr>
              <w:t>监测结果：监测及评价结果见表3-2。</w:t>
            </w:r>
          </w:p>
          <w:p>
            <w:pPr>
              <w:pStyle w:val="8"/>
              <w:ind w:left="840" w:firstLine="210"/>
              <w:rPr>
                <w:color w:val="auto"/>
                <w:sz w:val="21"/>
                <w:szCs w:val="21"/>
                <w:u w:val="none"/>
              </w:rPr>
            </w:pPr>
            <w:r>
              <w:rPr>
                <w:color w:val="auto"/>
                <w:sz w:val="21"/>
                <w:szCs w:val="21"/>
                <w:u w:val="none"/>
              </w:rPr>
              <w:t>表3-2  环境空气现状监测统计结果</w:t>
            </w:r>
          </w:p>
          <w:tbl>
            <w:tblPr>
              <w:tblStyle w:val="20"/>
              <w:tblpPr w:leftFromText="180" w:rightFromText="180" w:vertAnchor="text" w:horzAnchor="page" w:tblpX="146" w:tblpY="218"/>
              <w:tblOverlap w:val="never"/>
              <w:tblW w:w="781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911"/>
              <w:gridCol w:w="970"/>
              <w:gridCol w:w="1455"/>
              <w:gridCol w:w="1333"/>
              <w:gridCol w:w="995"/>
              <w:gridCol w:w="1105"/>
              <w:gridCol w:w="1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4" w:hRule="atLeast"/>
              </w:trPr>
              <w:tc>
                <w:tcPr>
                  <w:tcW w:w="911" w:type="dxa"/>
                  <w:vMerge w:val="restart"/>
                  <w:tcBorders>
                    <w:tl2br w:val="nil"/>
                    <w:tr2bl w:val="nil"/>
                  </w:tcBorders>
                  <w:vAlign w:val="center"/>
                </w:tcPr>
                <w:p>
                  <w:pPr>
                    <w:pStyle w:val="45"/>
                    <w:rPr>
                      <w:rFonts w:hint="eastAsia" w:ascii="宋体" w:hAnsi="宋体" w:eastAsia="宋体" w:cs="宋体"/>
                      <w:color w:val="auto"/>
                      <w:sz w:val="20"/>
                      <w:szCs w:val="20"/>
                      <w:lang w:bidi="ar"/>
                    </w:rPr>
                  </w:pPr>
                  <w:r>
                    <w:rPr>
                      <w:rFonts w:hint="eastAsia" w:ascii="宋体" w:hAnsi="宋体" w:eastAsia="宋体" w:cs="宋体"/>
                      <w:color w:val="auto"/>
                      <w:sz w:val="20"/>
                      <w:szCs w:val="20"/>
                      <w:lang w:bidi="ar"/>
                    </w:rPr>
                    <w:t>监测点</w:t>
                  </w:r>
                </w:p>
              </w:tc>
              <w:tc>
                <w:tcPr>
                  <w:tcW w:w="970" w:type="dxa"/>
                  <w:vMerge w:val="restart"/>
                  <w:tcBorders>
                    <w:tl2br w:val="nil"/>
                    <w:tr2bl w:val="nil"/>
                  </w:tcBorders>
                  <w:vAlign w:val="center"/>
                </w:tcPr>
                <w:p>
                  <w:pPr>
                    <w:pStyle w:val="45"/>
                    <w:rPr>
                      <w:rFonts w:hint="eastAsia" w:ascii="宋体" w:hAnsi="宋体" w:eastAsia="宋体" w:cs="宋体"/>
                      <w:color w:val="auto"/>
                      <w:sz w:val="20"/>
                      <w:szCs w:val="20"/>
                      <w:lang w:bidi="ar"/>
                    </w:rPr>
                  </w:pPr>
                  <w:r>
                    <w:rPr>
                      <w:rFonts w:hint="eastAsia" w:ascii="宋体" w:hAnsi="宋体" w:eastAsia="宋体" w:cs="宋体"/>
                      <w:color w:val="auto"/>
                      <w:sz w:val="20"/>
                      <w:szCs w:val="20"/>
                      <w:lang w:bidi="ar"/>
                    </w:rPr>
                    <w:t>监测</w:t>
                  </w:r>
                </w:p>
                <w:p>
                  <w:pPr>
                    <w:pStyle w:val="45"/>
                    <w:rPr>
                      <w:rFonts w:hint="eastAsia" w:ascii="宋体" w:hAnsi="宋体" w:eastAsia="宋体" w:cs="宋体"/>
                      <w:color w:val="auto"/>
                      <w:sz w:val="20"/>
                      <w:szCs w:val="20"/>
                      <w:lang w:bidi="ar"/>
                    </w:rPr>
                  </w:pPr>
                  <w:r>
                    <w:rPr>
                      <w:rFonts w:hint="eastAsia" w:ascii="宋体" w:hAnsi="宋体" w:eastAsia="宋体" w:cs="宋体"/>
                      <w:color w:val="auto"/>
                      <w:sz w:val="20"/>
                      <w:szCs w:val="20"/>
                      <w:lang w:bidi="ar"/>
                    </w:rPr>
                    <w:t>项目</w:t>
                  </w:r>
                </w:p>
              </w:tc>
              <w:tc>
                <w:tcPr>
                  <w:tcW w:w="3783" w:type="dxa"/>
                  <w:gridSpan w:val="3"/>
                  <w:tcBorders>
                    <w:tl2br w:val="nil"/>
                    <w:tr2bl w:val="nil"/>
                  </w:tcBorders>
                  <w:vAlign w:val="center"/>
                </w:tcPr>
                <w:p>
                  <w:pPr>
                    <w:pStyle w:val="45"/>
                    <w:rPr>
                      <w:rFonts w:hint="eastAsia" w:ascii="宋体" w:hAnsi="宋体" w:eastAsia="宋体" w:cs="宋体"/>
                      <w:color w:val="auto"/>
                      <w:sz w:val="20"/>
                      <w:szCs w:val="20"/>
                      <w:lang w:bidi="ar"/>
                    </w:rPr>
                  </w:pPr>
                  <w:r>
                    <w:rPr>
                      <w:rFonts w:hint="eastAsia" w:ascii="宋体" w:hAnsi="宋体" w:eastAsia="宋体" w:cs="宋体"/>
                      <w:color w:val="auto"/>
                      <w:sz w:val="20"/>
                      <w:szCs w:val="20"/>
                      <w:lang w:bidi="ar"/>
                    </w:rPr>
                    <w:t>日平均浓度（mg/Nm</w:t>
                  </w:r>
                  <w:r>
                    <w:rPr>
                      <w:rFonts w:hint="eastAsia" w:ascii="宋体" w:hAnsi="宋体" w:eastAsia="宋体" w:cs="宋体"/>
                      <w:color w:val="auto"/>
                      <w:sz w:val="20"/>
                      <w:szCs w:val="20"/>
                      <w:vertAlign w:val="superscript"/>
                      <w:lang w:bidi="ar"/>
                    </w:rPr>
                    <w:t>3</w:t>
                  </w:r>
                  <w:r>
                    <w:rPr>
                      <w:rFonts w:hint="eastAsia" w:ascii="宋体" w:hAnsi="宋体" w:eastAsia="宋体" w:cs="宋体"/>
                      <w:color w:val="auto"/>
                      <w:sz w:val="20"/>
                      <w:szCs w:val="20"/>
                      <w:lang w:bidi="ar"/>
                    </w:rPr>
                    <w:t>）</w:t>
                  </w:r>
                </w:p>
              </w:tc>
              <w:tc>
                <w:tcPr>
                  <w:tcW w:w="1105" w:type="dxa"/>
                  <w:vMerge w:val="restart"/>
                  <w:tcBorders>
                    <w:tl2br w:val="nil"/>
                    <w:tr2bl w:val="nil"/>
                  </w:tcBorders>
                  <w:vAlign w:val="center"/>
                </w:tcPr>
                <w:p>
                  <w:pPr>
                    <w:pStyle w:val="45"/>
                    <w:rPr>
                      <w:rFonts w:hint="eastAsia" w:ascii="宋体" w:hAnsi="宋体" w:eastAsia="宋体" w:cs="宋体"/>
                      <w:color w:val="auto"/>
                      <w:sz w:val="20"/>
                      <w:szCs w:val="20"/>
                      <w:lang w:bidi="ar"/>
                    </w:rPr>
                  </w:pPr>
                  <w:r>
                    <w:rPr>
                      <w:rFonts w:hint="eastAsia" w:ascii="宋体" w:hAnsi="宋体" w:eastAsia="宋体" w:cs="宋体"/>
                      <w:color w:val="auto"/>
                      <w:sz w:val="20"/>
                      <w:szCs w:val="20"/>
                      <w:lang w:bidi="ar"/>
                    </w:rPr>
                    <w:t>标准值（mg/m</w:t>
                  </w:r>
                  <w:r>
                    <w:rPr>
                      <w:rFonts w:hint="eastAsia" w:ascii="宋体" w:hAnsi="宋体" w:eastAsia="宋体" w:cs="宋体"/>
                      <w:color w:val="auto"/>
                      <w:sz w:val="20"/>
                      <w:szCs w:val="20"/>
                      <w:vertAlign w:val="superscript"/>
                      <w:lang w:bidi="ar"/>
                    </w:rPr>
                    <w:t>3</w:t>
                  </w:r>
                  <w:r>
                    <w:rPr>
                      <w:rFonts w:hint="eastAsia" w:ascii="宋体" w:hAnsi="宋体" w:eastAsia="宋体" w:cs="宋体"/>
                      <w:color w:val="auto"/>
                      <w:sz w:val="20"/>
                      <w:szCs w:val="20"/>
                      <w:lang w:bidi="ar"/>
                    </w:rPr>
                    <w:t>）</w:t>
                  </w:r>
                </w:p>
              </w:tc>
              <w:tc>
                <w:tcPr>
                  <w:tcW w:w="1047" w:type="dxa"/>
                  <w:vMerge w:val="restart"/>
                  <w:tcBorders>
                    <w:tl2br w:val="nil"/>
                    <w:tr2bl w:val="nil"/>
                  </w:tcBorders>
                  <w:vAlign w:val="center"/>
                </w:tcPr>
                <w:p>
                  <w:pPr>
                    <w:pStyle w:val="45"/>
                    <w:rPr>
                      <w:rFonts w:hint="eastAsia" w:ascii="宋体" w:hAnsi="宋体" w:eastAsia="宋体" w:cs="宋体"/>
                      <w:color w:val="auto"/>
                      <w:sz w:val="20"/>
                      <w:szCs w:val="20"/>
                      <w:lang w:bidi="ar"/>
                    </w:rPr>
                  </w:pPr>
                  <w:r>
                    <w:rPr>
                      <w:rFonts w:hint="eastAsia" w:ascii="宋体" w:hAnsi="宋体" w:eastAsia="宋体" w:cs="宋体"/>
                      <w:color w:val="auto"/>
                      <w:sz w:val="20"/>
                      <w:szCs w:val="20"/>
                      <w:lang w:bidi="ar"/>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4" w:hRule="atLeast"/>
              </w:trPr>
              <w:tc>
                <w:tcPr>
                  <w:tcW w:w="911" w:type="dxa"/>
                  <w:vMerge w:val="continue"/>
                  <w:tcBorders>
                    <w:tl2br w:val="nil"/>
                    <w:tr2bl w:val="nil"/>
                  </w:tcBorders>
                  <w:vAlign w:val="center"/>
                </w:tcPr>
                <w:p>
                  <w:pPr>
                    <w:pStyle w:val="45"/>
                    <w:rPr>
                      <w:rFonts w:hint="eastAsia" w:ascii="宋体" w:hAnsi="宋体" w:eastAsia="宋体" w:cs="宋体"/>
                      <w:color w:val="auto"/>
                      <w:sz w:val="20"/>
                      <w:szCs w:val="20"/>
                      <w:lang w:bidi="ar"/>
                    </w:rPr>
                  </w:pPr>
                </w:p>
              </w:tc>
              <w:tc>
                <w:tcPr>
                  <w:tcW w:w="970" w:type="dxa"/>
                  <w:vMerge w:val="continue"/>
                  <w:tcBorders>
                    <w:tl2br w:val="nil"/>
                    <w:tr2bl w:val="nil"/>
                  </w:tcBorders>
                  <w:vAlign w:val="center"/>
                </w:tcPr>
                <w:p>
                  <w:pPr>
                    <w:pStyle w:val="45"/>
                    <w:rPr>
                      <w:rFonts w:hint="eastAsia" w:ascii="宋体" w:hAnsi="宋体" w:eastAsia="宋体" w:cs="宋体"/>
                      <w:color w:val="auto"/>
                      <w:sz w:val="20"/>
                      <w:szCs w:val="20"/>
                      <w:lang w:bidi="ar"/>
                    </w:rPr>
                  </w:pPr>
                </w:p>
              </w:tc>
              <w:tc>
                <w:tcPr>
                  <w:tcW w:w="1455" w:type="dxa"/>
                  <w:tcBorders>
                    <w:tl2br w:val="nil"/>
                    <w:tr2bl w:val="nil"/>
                  </w:tcBorders>
                  <w:vAlign w:val="center"/>
                </w:tcPr>
                <w:p>
                  <w:pPr>
                    <w:pStyle w:val="45"/>
                    <w:rPr>
                      <w:rFonts w:hint="eastAsia" w:ascii="宋体" w:hAnsi="宋体" w:eastAsia="宋体" w:cs="宋体"/>
                      <w:color w:val="auto"/>
                      <w:sz w:val="20"/>
                      <w:szCs w:val="20"/>
                      <w:lang w:bidi="ar"/>
                    </w:rPr>
                  </w:pPr>
                  <w:r>
                    <w:rPr>
                      <w:rFonts w:hint="eastAsia" w:ascii="宋体" w:hAnsi="宋体" w:eastAsia="宋体" w:cs="宋体"/>
                      <w:color w:val="auto"/>
                      <w:sz w:val="20"/>
                      <w:szCs w:val="20"/>
                      <w:lang w:bidi="ar"/>
                    </w:rPr>
                    <w:t>浓度范围</w:t>
                  </w:r>
                </w:p>
              </w:tc>
              <w:tc>
                <w:tcPr>
                  <w:tcW w:w="1333" w:type="dxa"/>
                  <w:tcBorders>
                    <w:tl2br w:val="nil"/>
                    <w:tr2bl w:val="nil"/>
                  </w:tcBorders>
                  <w:vAlign w:val="center"/>
                </w:tcPr>
                <w:p>
                  <w:pPr>
                    <w:pStyle w:val="45"/>
                    <w:rPr>
                      <w:rFonts w:hint="eastAsia" w:ascii="宋体" w:hAnsi="宋体" w:eastAsia="宋体" w:cs="宋体"/>
                      <w:color w:val="auto"/>
                      <w:sz w:val="20"/>
                      <w:szCs w:val="20"/>
                      <w:lang w:bidi="ar"/>
                    </w:rPr>
                  </w:pPr>
                  <w:r>
                    <w:rPr>
                      <w:rFonts w:hint="eastAsia" w:ascii="宋体" w:hAnsi="宋体" w:eastAsia="宋体" w:cs="宋体"/>
                      <w:color w:val="auto"/>
                      <w:sz w:val="20"/>
                      <w:szCs w:val="20"/>
                      <w:lang w:bidi="ar"/>
                    </w:rPr>
                    <w:t>最大超标倍数</w:t>
                  </w:r>
                </w:p>
              </w:tc>
              <w:tc>
                <w:tcPr>
                  <w:tcW w:w="995" w:type="dxa"/>
                  <w:tcBorders>
                    <w:tl2br w:val="nil"/>
                    <w:tr2bl w:val="nil"/>
                  </w:tcBorders>
                  <w:vAlign w:val="center"/>
                </w:tcPr>
                <w:p>
                  <w:pPr>
                    <w:pStyle w:val="45"/>
                    <w:rPr>
                      <w:rFonts w:hint="eastAsia" w:ascii="宋体" w:hAnsi="宋体" w:eastAsia="宋体" w:cs="宋体"/>
                      <w:color w:val="auto"/>
                      <w:sz w:val="20"/>
                      <w:szCs w:val="20"/>
                      <w:lang w:bidi="ar"/>
                    </w:rPr>
                  </w:pPr>
                  <w:r>
                    <w:rPr>
                      <w:rFonts w:hint="eastAsia" w:ascii="宋体" w:hAnsi="宋体" w:eastAsia="宋体" w:cs="宋体"/>
                      <w:color w:val="auto"/>
                      <w:sz w:val="20"/>
                      <w:szCs w:val="20"/>
                      <w:lang w:bidi="ar"/>
                    </w:rPr>
                    <w:t>超标率（%）</w:t>
                  </w:r>
                </w:p>
              </w:tc>
              <w:tc>
                <w:tcPr>
                  <w:tcW w:w="1105" w:type="dxa"/>
                  <w:vMerge w:val="continue"/>
                  <w:tcBorders>
                    <w:tl2br w:val="nil"/>
                    <w:tr2bl w:val="nil"/>
                  </w:tcBorders>
                  <w:vAlign w:val="center"/>
                </w:tcPr>
                <w:p>
                  <w:pPr>
                    <w:pStyle w:val="45"/>
                    <w:rPr>
                      <w:rFonts w:hint="eastAsia" w:ascii="宋体" w:hAnsi="宋体" w:eastAsia="宋体" w:cs="宋体"/>
                      <w:color w:val="auto"/>
                      <w:sz w:val="20"/>
                      <w:szCs w:val="20"/>
                      <w:lang w:bidi="ar"/>
                    </w:rPr>
                  </w:pPr>
                </w:p>
              </w:tc>
              <w:tc>
                <w:tcPr>
                  <w:tcW w:w="1047" w:type="dxa"/>
                  <w:vMerge w:val="continue"/>
                  <w:tcBorders>
                    <w:tl2br w:val="nil"/>
                    <w:tr2bl w:val="nil"/>
                  </w:tcBorders>
                  <w:vAlign w:val="center"/>
                </w:tcPr>
                <w:p>
                  <w:pPr>
                    <w:pStyle w:val="45"/>
                    <w:rPr>
                      <w:rFonts w:hint="eastAsia" w:ascii="宋体" w:hAnsi="宋体" w:eastAsia="宋体" w:cs="宋体"/>
                      <w:color w:val="auto"/>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2" w:hRule="atLeast"/>
              </w:trPr>
              <w:tc>
                <w:tcPr>
                  <w:tcW w:w="911" w:type="dxa"/>
                  <w:tcBorders>
                    <w:tl2br w:val="nil"/>
                    <w:tr2bl w:val="nil"/>
                  </w:tcBorders>
                  <w:vAlign w:val="center"/>
                </w:tcPr>
                <w:p>
                  <w:pPr>
                    <w:pStyle w:val="45"/>
                    <w:rPr>
                      <w:rFonts w:hint="eastAsia" w:ascii="宋体" w:hAnsi="宋体" w:eastAsia="宋体" w:cs="宋体"/>
                      <w:color w:val="auto"/>
                      <w:sz w:val="20"/>
                      <w:szCs w:val="20"/>
                      <w:lang w:bidi="ar"/>
                    </w:rPr>
                  </w:pPr>
                  <w:r>
                    <w:rPr>
                      <w:rFonts w:hint="eastAsia" w:ascii="宋体" w:hAnsi="宋体" w:eastAsia="宋体" w:cs="宋体"/>
                      <w:color w:val="auto"/>
                      <w:sz w:val="20"/>
                      <w:szCs w:val="20"/>
                      <w:lang w:bidi="ar"/>
                    </w:rPr>
                    <w:t>G1</w:t>
                  </w:r>
                </w:p>
              </w:tc>
              <w:tc>
                <w:tcPr>
                  <w:tcW w:w="970" w:type="dxa"/>
                  <w:tcBorders>
                    <w:tl2br w:val="nil"/>
                    <w:tr2bl w:val="nil"/>
                  </w:tcBorders>
                  <w:vAlign w:val="center"/>
                </w:tcPr>
                <w:p>
                  <w:pPr>
                    <w:pStyle w:val="45"/>
                    <w:rPr>
                      <w:rFonts w:hint="eastAsia" w:ascii="宋体" w:hAnsi="宋体" w:eastAsia="宋体" w:cs="宋体"/>
                      <w:color w:val="auto"/>
                      <w:sz w:val="20"/>
                      <w:szCs w:val="20"/>
                      <w:lang w:bidi="ar"/>
                    </w:rPr>
                  </w:pPr>
                  <w:r>
                    <w:rPr>
                      <w:rFonts w:hint="eastAsia" w:ascii="宋体" w:hAnsi="宋体" w:eastAsia="宋体" w:cs="宋体"/>
                      <w:color w:val="auto"/>
                      <w:sz w:val="20"/>
                      <w:szCs w:val="20"/>
                      <w:lang w:bidi="ar"/>
                    </w:rPr>
                    <w:t>TSP</w:t>
                  </w:r>
                </w:p>
              </w:tc>
              <w:tc>
                <w:tcPr>
                  <w:tcW w:w="1455" w:type="dxa"/>
                  <w:tcBorders>
                    <w:tl2br w:val="nil"/>
                    <w:tr2bl w:val="nil"/>
                  </w:tcBorders>
                  <w:vAlign w:val="center"/>
                </w:tcPr>
                <w:p>
                  <w:pPr>
                    <w:pStyle w:val="45"/>
                    <w:rPr>
                      <w:rFonts w:hint="eastAsia" w:ascii="宋体" w:hAnsi="宋体" w:eastAsia="宋体" w:cs="宋体"/>
                      <w:color w:val="auto"/>
                      <w:sz w:val="20"/>
                      <w:szCs w:val="20"/>
                      <w:lang w:bidi="ar"/>
                    </w:rPr>
                  </w:pPr>
                  <w:r>
                    <w:rPr>
                      <w:rFonts w:hint="eastAsia" w:ascii="宋体" w:hAnsi="宋体" w:eastAsia="宋体" w:cs="宋体"/>
                      <w:color w:val="auto"/>
                      <w:sz w:val="20"/>
                      <w:szCs w:val="20"/>
                      <w:lang w:bidi="ar"/>
                    </w:rPr>
                    <w:t>0.</w:t>
                  </w:r>
                  <w:r>
                    <w:rPr>
                      <w:rFonts w:hint="eastAsia" w:ascii="宋体" w:hAnsi="宋体" w:eastAsia="宋体" w:cs="宋体"/>
                      <w:color w:val="auto"/>
                      <w:sz w:val="20"/>
                      <w:szCs w:val="20"/>
                      <w:lang w:eastAsia="zh-CN" w:bidi="ar"/>
                    </w:rPr>
                    <w:t>0733</w:t>
                  </w:r>
                  <w:r>
                    <w:rPr>
                      <w:rFonts w:hint="default" w:ascii="Times New Roman" w:hAnsi="Times New Roman" w:eastAsia="宋体" w:cs="Times New Roman"/>
                      <w:color w:val="auto"/>
                      <w:sz w:val="20"/>
                      <w:szCs w:val="20"/>
                      <w:lang w:bidi="ar"/>
                    </w:rPr>
                    <w:t>~</w:t>
                  </w:r>
                  <w:r>
                    <w:rPr>
                      <w:rFonts w:hint="eastAsia" w:ascii="宋体" w:hAnsi="宋体" w:eastAsia="宋体" w:cs="宋体"/>
                      <w:color w:val="auto"/>
                      <w:sz w:val="20"/>
                      <w:szCs w:val="20"/>
                      <w:lang w:bidi="ar"/>
                    </w:rPr>
                    <w:t>0.</w:t>
                  </w:r>
                  <w:r>
                    <w:rPr>
                      <w:rFonts w:hint="eastAsia" w:ascii="宋体" w:hAnsi="宋体" w:eastAsia="宋体" w:cs="宋体"/>
                      <w:color w:val="auto"/>
                      <w:sz w:val="20"/>
                      <w:szCs w:val="20"/>
                      <w:lang w:eastAsia="zh-CN" w:bidi="ar"/>
                    </w:rPr>
                    <w:t>156</w:t>
                  </w:r>
                </w:p>
              </w:tc>
              <w:tc>
                <w:tcPr>
                  <w:tcW w:w="1333" w:type="dxa"/>
                  <w:tcBorders>
                    <w:tl2br w:val="nil"/>
                    <w:tr2bl w:val="nil"/>
                  </w:tcBorders>
                  <w:vAlign w:val="center"/>
                </w:tcPr>
                <w:p>
                  <w:pPr>
                    <w:pStyle w:val="45"/>
                    <w:rPr>
                      <w:rFonts w:hint="eastAsia" w:ascii="宋体" w:hAnsi="宋体" w:eastAsia="宋体" w:cs="宋体"/>
                      <w:color w:val="auto"/>
                      <w:sz w:val="20"/>
                      <w:szCs w:val="20"/>
                      <w:lang w:bidi="ar"/>
                    </w:rPr>
                  </w:pPr>
                  <w:r>
                    <w:rPr>
                      <w:rFonts w:hint="eastAsia" w:ascii="宋体" w:hAnsi="宋体" w:eastAsia="宋体" w:cs="宋体"/>
                      <w:color w:val="auto"/>
                      <w:sz w:val="20"/>
                      <w:szCs w:val="20"/>
                      <w:lang w:bidi="ar"/>
                    </w:rPr>
                    <w:t>/</w:t>
                  </w:r>
                </w:p>
              </w:tc>
              <w:tc>
                <w:tcPr>
                  <w:tcW w:w="995" w:type="dxa"/>
                  <w:tcBorders>
                    <w:tl2br w:val="nil"/>
                    <w:tr2bl w:val="nil"/>
                  </w:tcBorders>
                  <w:vAlign w:val="center"/>
                </w:tcPr>
                <w:p>
                  <w:pPr>
                    <w:pStyle w:val="45"/>
                    <w:rPr>
                      <w:rFonts w:hint="eastAsia" w:ascii="宋体" w:hAnsi="宋体" w:eastAsia="宋体" w:cs="宋体"/>
                      <w:color w:val="auto"/>
                      <w:sz w:val="20"/>
                      <w:szCs w:val="20"/>
                      <w:lang w:bidi="ar"/>
                    </w:rPr>
                  </w:pPr>
                  <w:r>
                    <w:rPr>
                      <w:rFonts w:hint="eastAsia" w:ascii="宋体" w:hAnsi="宋体" w:eastAsia="宋体" w:cs="宋体"/>
                      <w:color w:val="auto"/>
                      <w:sz w:val="20"/>
                      <w:szCs w:val="20"/>
                      <w:lang w:bidi="ar"/>
                    </w:rPr>
                    <w:t>0</w:t>
                  </w:r>
                </w:p>
              </w:tc>
              <w:tc>
                <w:tcPr>
                  <w:tcW w:w="1105" w:type="dxa"/>
                  <w:tcBorders>
                    <w:tl2br w:val="nil"/>
                    <w:tr2bl w:val="nil"/>
                  </w:tcBorders>
                  <w:vAlign w:val="center"/>
                </w:tcPr>
                <w:p>
                  <w:pPr>
                    <w:pStyle w:val="45"/>
                    <w:rPr>
                      <w:rFonts w:hint="eastAsia" w:ascii="宋体" w:hAnsi="宋体" w:eastAsia="宋体" w:cs="宋体"/>
                      <w:color w:val="auto"/>
                      <w:sz w:val="20"/>
                      <w:szCs w:val="20"/>
                      <w:lang w:bidi="ar"/>
                    </w:rPr>
                  </w:pPr>
                  <w:r>
                    <w:rPr>
                      <w:rFonts w:hint="eastAsia" w:ascii="宋体" w:hAnsi="宋体" w:eastAsia="宋体" w:cs="宋体"/>
                      <w:color w:val="auto"/>
                      <w:sz w:val="20"/>
                      <w:szCs w:val="20"/>
                      <w:lang w:bidi="ar"/>
                    </w:rPr>
                    <w:t>0.3</w:t>
                  </w:r>
                </w:p>
              </w:tc>
              <w:tc>
                <w:tcPr>
                  <w:tcW w:w="1047" w:type="dxa"/>
                  <w:tcBorders>
                    <w:tl2br w:val="nil"/>
                    <w:tr2bl w:val="nil"/>
                  </w:tcBorders>
                  <w:vAlign w:val="center"/>
                </w:tcPr>
                <w:p>
                  <w:pPr>
                    <w:pStyle w:val="45"/>
                    <w:rPr>
                      <w:rFonts w:hint="eastAsia" w:ascii="宋体" w:hAnsi="宋体" w:eastAsia="宋体" w:cs="宋体"/>
                      <w:color w:val="auto"/>
                      <w:sz w:val="20"/>
                      <w:szCs w:val="20"/>
                      <w:lang w:bidi="ar"/>
                    </w:rPr>
                  </w:pPr>
                  <w:r>
                    <w:rPr>
                      <w:rFonts w:hint="eastAsia" w:ascii="宋体" w:hAnsi="宋体" w:eastAsia="宋体" w:cs="宋体"/>
                      <w:color w:val="auto"/>
                      <w:sz w:val="20"/>
                      <w:szCs w:val="20"/>
                      <w:lang w:bidi="ar"/>
                    </w:rPr>
                    <w:t>达标</w:t>
                  </w:r>
                </w:p>
              </w:tc>
            </w:tr>
          </w:tbl>
          <w:p>
            <w:pPr>
              <w:pStyle w:val="5"/>
              <w:ind w:firstLine="210"/>
              <w:jc w:val="center"/>
              <w:rPr>
                <w:color w:val="auto"/>
                <w:u w:val="single"/>
              </w:rPr>
            </w:pPr>
          </w:p>
          <w:p>
            <w:pPr>
              <w:keepNext w:val="0"/>
              <w:keepLines w:val="0"/>
              <w:pageBreakBefore w:val="0"/>
              <w:widowControl w:val="0"/>
              <w:kinsoku/>
              <w:wordWrap/>
              <w:overflowPunct/>
              <w:topLinePunct w:val="0"/>
              <w:autoSpaceDE/>
              <w:autoSpaceDN/>
              <w:bidi w:val="0"/>
              <w:snapToGrid w:val="0"/>
              <w:spacing w:line="360" w:lineRule="auto"/>
              <w:ind w:firstLine="420" w:firstLineChars="200"/>
              <w:jc w:val="left"/>
              <w:textAlignment w:val="auto"/>
              <w:rPr>
                <w:rFonts w:ascii="Times New Roman" w:hAnsi="Times New Roman" w:eastAsia="宋体" w:cs="Times New Roman"/>
                <w:color w:val="auto"/>
                <w:kern w:val="2"/>
                <w:sz w:val="21"/>
                <w:szCs w:val="21"/>
                <w:u w:val="none"/>
                <w:lang w:val="en-US" w:eastAsia="zh-CN" w:bidi="ar-SA"/>
              </w:rPr>
            </w:pPr>
            <w:r>
              <w:rPr>
                <w:rFonts w:ascii="Times New Roman" w:hAnsi="Times New Roman" w:eastAsia="宋体" w:cs="Times New Roman"/>
                <w:color w:val="auto"/>
                <w:kern w:val="2"/>
                <w:sz w:val="21"/>
                <w:szCs w:val="21"/>
                <w:u w:val="none"/>
                <w:lang w:val="en-US" w:eastAsia="zh-CN" w:bidi="ar-SA"/>
              </w:rPr>
              <w:t>根据监测结果，TSP达到《环境空气质量标准》（GB3095-2012）二级标准，区域环境空气质量良好。</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b/>
                <w:color w:val="auto"/>
                <w:kern w:val="0"/>
                <w:szCs w:val="21"/>
              </w:rPr>
            </w:pPr>
            <w:r>
              <w:rPr>
                <w:b/>
                <w:color w:val="auto"/>
                <w:kern w:val="0"/>
                <w:szCs w:val="21"/>
              </w:rPr>
              <w:t>2、地表水环境</w:t>
            </w:r>
          </w:p>
          <w:p>
            <w:pPr>
              <w:pStyle w:val="11"/>
              <w:keepNext w:val="0"/>
              <w:keepLines w:val="0"/>
              <w:pageBreakBefore w:val="0"/>
              <w:widowControl w:val="0"/>
              <w:kinsoku/>
              <w:wordWrap/>
              <w:overflowPunct/>
              <w:topLinePunct w:val="0"/>
              <w:autoSpaceDE/>
              <w:autoSpaceDN/>
              <w:bidi w:val="0"/>
              <w:snapToGrid w:val="0"/>
              <w:ind w:firstLine="480"/>
              <w:textAlignment w:val="auto"/>
              <w:rPr>
                <w:rFonts w:ascii="Times New Roman" w:hAnsi="Times New Roman" w:eastAsia="宋体" w:cs="Times New Roman"/>
                <w:color w:val="auto"/>
                <w:kern w:val="2"/>
                <w:sz w:val="21"/>
                <w:szCs w:val="21"/>
                <w:u w:val="none"/>
                <w:lang w:val="zh-CN" w:eastAsia="zh-CN" w:bidi="ar-SA"/>
              </w:rPr>
            </w:pPr>
            <w:r>
              <w:rPr>
                <w:rFonts w:ascii="Times New Roman" w:hAnsi="Times New Roman" w:eastAsia="宋体" w:cs="Times New Roman"/>
                <w:color w:val="auto"/>
                <w:kern w:val="2"/>
                <w:sz w:val="21"/>
                <w:szCs w:val="21"/>
                <w:u w:val="none"/>
                <w:lang w:val="zh-CN" w:eastAsia="zh-CN" w:bidi="ar-SA"/>
              </w:rPr>
              <w:t>本次评价采用《</w:t>
            </w:r>
            <w:r>
              <w:rPr>
                <w:rFonts w:ascii="Times New Roman" w:hAnsi="Times New Roman" w:eastAsia="宋体" w:cs="Times New Roman"/>
                <w:color w:val="auto"/>
                <w:kern w:val="2"/>
                <w:sz w:val="21"/>
                <w:szCs w:val="21"/>
                <w:u w:val="none"/>
                <w:lang w:val="en-US" w:eastAsia="zh-CN" w:bidi="ar-SA"/>
              </w:rPr>
              <w:t>衡阳县明新陶瓷原料有限公司年产机制砂20万吨、干粉6万吨建设项目</w:t>
            </w:r>
            <w:r>
              <w:rPr>
                <w:rFonts w:hint="eastAsia" w:ascii="Times New Roman" w:hAnsi="Times New Roman" w:eastAsia="宋体" w:cs="Times New Roman"/>
                <w:color w:val="auto"/>
                <w:kern w:val="2"/>
                <w:sz w:val="21"/>
                <w:szCs w:val="21"/>
                <w:u w:val="none"/>
                <w:lang w:val="en-US" w:eastAsia="zh-CN" w:bidi="ar-SA"/>
              </w:rPr>
              <w:t>环境影响评价报告表</w:t>
            </w:r>
            <w:r>
              <w:rPr>
                <w:rFonts w:ascii="Times New Roman" w:hAnsi="Times New Roman" w:eastAsia="宋体" w:cs="Times New Roman"/>
                <w:color w:val="auto"/>
                <w:kern w:val="2"/>
                <w:sz w:val="21"/>
                <w:szCs w:val="21"/>
                <w:u w:val="none"/>
                <w:lang w:val="zh-CN" w:eastAsia="zh-CN" w:bidi="ar-SA"/>
              </w:rPr>
              <w:t>》2020年7月15日</w:t>
            </w:r>
            <w:r>
              <w:rPr>
                <w:rFonts w:hint="default" w:ascii="Times New Roman" w:hAnsi="Times New Roman" w:eastAsia="宋体" w:cs="Times New Roman"/>
                <w:color w:val="auto"/>
                <w:kern w:val="2"/>
                <w:sz w:val="21"/>
                <w:szCs w:val="21"/>
                <w:u w:val="none"/>
                <w:lang w:val="zh-CN" w:eastAsia="zh-CN" w:bidi="ar-SA"/>
              </w:rPr>
              <w:t>~</w:t>
            </w:r>
            <w:r>
              <w:rPr>
                <w:rFonts w:ascii="Times New Roman" w:hAnsi="Times New Roman" w:eastAsia="宋体" w:cs="Times New Roman"/>
                <w:color w:val="auto"/>
                <w:kern w:val="2"/>
                <w:sz w:val="21"/>
                <w:szCs w:val="21"/>
                <w:u w:val="none"/>
                <w:lang w:val="zh-CN" w:eastAsia="zh-CN" w:bidi="ar-SA"/>
              </w:rPr>
              <w:t>16日的地表水监测数据，其监测点为该项目</w:t>
            </w:r>
            <w:r>
              <w:rPr>
                <w:rFonts w:hint="eastAsia" w:ascii="Times New Roman" w:hAnsi="Times New Roman" w:eastAsia="宋体" w:cs="Times New Roman"/>
                <w:color w:val="auto"/>
                <w:kern w:val="2"/>
                <w:sz w:val="21"/>
                <w:szCs w:val="21"/>
                <w:u w:val="none"/>
                <w:lang w:val="zh-CN" w:eastAsia="zh-CN" w:bidi="ar-SA"/>
              </w:rPr>
              <w:t>西北</w:t>
            </w:r>
            <w:r>
              <w:rPr>
                <w:rFonts w:ascii="Times New Roman" w:hAnsi="Times New Roman" w:eastAsia="宋体" w:cs="Times New Roman"/>
                <w:color w:val="auto"/>
                <w:kern w:val="2"/>
                <w:sz w:val="21"/>
                <w:szCs w:val="21"/>
                <w:u w:val="none"/>
                <w:lang w:val="zh-CN" w:eastAsia="zh-CN" w:bidi="ar-SA"/>
              </w:rPr>
              <w:t>侧</w:t>
            </w:r>
            <w:r>
              <w:rPr>
                <w:rFonts w:hint="eastAsia" w:ascii="Times New Roman" w:hAnsi="Times New Roman" w:eastAsia="宋体" w:cs="Times New Roman"/>
                <w:color w:val="auto"/>
                <w:kern w:val="2"/>
                <w:sz w:val="21"/>
                <w:szCs w:val="21"/>
                <w:u w:val="none"/>
                <w:lang w:val="en-US" w:eastAsia="zh-CN" w:bidi="ar-SA"/>
              </w:rPr>
              <w:t>2</w:t>
            </w:r>
            <w:r>
              <w:rPr>
                <w:rFonts w:ascii="Times New Roman" w:hAnsi="Times New Roman" w:eastAsia="宋体" w:cs="Times New Roman"/>
                <w:color w:val="auto"/>
                <w:kern w:val="2"/>
                <w:sz w:val="21"/>
                <w:szCs w:val="21"/>
                <w:u w:val="none"/>
                <w:lang w:val="zh-CN" w:eastAsia="zh-CN" w:bidi="ar-SA"/>
              </w:rPr>
              <w:t>00m处斜坡堰水库，位于本项目</w:t>
            </w:r>
            <w:r>
              <w:rPr>
                <w:rFonts w:hint="eastAsia" w:ascii="Times New Roman" w:hAnsi="Times New Roman" w:eastAsia="宋体" w:cs="Times New Roman"/>
                <w:color w:val="auto"/>
                <w:kern w:val="2"/>
                <w:sz w:val="21"/>
                <w:szCs w:val="21"/>
                <w:u w:val="none"/>
                <w:lang w:val="zh-CN" w:eastAsia="zh-CN" w:bidi="ar-SA"/>
              </w:rPr>
              <w:t>西南</w:t>
            </w:r>
            <w:r>
              <w:rPr>
                <w:rFonts w:ascii="Times New Roman" w:hAnsi="Times New Roman" w:eastAsia="宋体" w:cs="Times New Roman"/>
                <w:color w:val="auto"/>
                <w:kern w:val="2"/>
                <w:sz w:val="21"/>
                <w:szCs w:val="21"/>
                <w:u w:val="none"/>
                <w:lang w:val="zh-CN" w:eastAsia="zh-CN" w:bidi="ar-SA"/>
              </w:rPr>
              <w:t>侧</w:t>
            </w:r>
            <w:r>
              <w:rPr>
                <w:rFonts w:hint="eastAsia" w:ascii="Times New Roman" w:hAnsi="Times New Roman" w:eastAsia="宋体" w:cs="Times New Roman"/>
                <w:color w:val="auto"/>
                <w:kern w:val="2"/>
                <w:sz w:val="21"/>
                <w:szCs w:val="21"/>
                <w:u w:val="none"/>
                <w:lang w:val="en-US" w:eastAsia="zh-CN" w:bidi="ar-SA"/>
              </w:rPr>
              <w:t>2</w:t>
            </w:r>
            <w:r>
              <w:rPr>
                <w:rFonts w:hint="eastAsia" w:ascii="Times New Roman" w:hAnsi="Times New Roman" w:eastAsia="宋体" w:cs="Times New Roman"/>
                <w:color w:val="auto"/>
                <w:kern w:val="2"/>
                <w:sz w:val="21"/>
                <w:szCs w:val="21"/>
                <w:u w:val="none"/>
                <w:lang w:val="zh-CN" w:eastAsia="zh-CN" w:bidi="ar-SA"/>
              </w:rPr>
              <w:t>.</w:t>
            </w:r>
            <w:r>
              <w:rPr>
                <w:rFonts w:hint="eastAsia" w:ascii="Times New Roman" w:hAnsi="Times New Roman" w:eastAsia="宋体" w:cs="Times New Roman"/>
                <w:color w:val="auto"/>
                <w:kern w:val="2"/>
                <w:sz w:val="21"/>
                <w:szCs w:val="21"/>
                <w:u w:val="none"/>
                <w:lang w:val="en-US" w:eastAsia="zh-CN" w:bidi="ar-SA"/>
              </w:rPr>
              <w:t>5</w:t>
            </w:r>
            <w:r>
              <w:rPr>
                <w:rFonts w:hint="eastAsia" w:ascii="Times New Roman" w:hAnsi="Times New Roman" w:eastAsia="宋体" w:cs="Times New Roman"/>
                <w:color w:val="auto"/>
                <w:kern w:val="2"/>
                <w:sz w:val="21"/>
                <w:szCs w:val="21"/>
                <w:u w:val="none"/>
                <w:lang w:val="zh-CN" w:eastAsia="zh-CN" w:bidi="ar-SA"/>
              </w:rPr>
              <w:t>k</w:t>
            </w:r>
            <w:r>
              <w:rPr>
                <w:rFonts w:ascii="Times New Roman" w:hAnsi="Times New Roman" w:eastAsia="宋体" w:cs="Times New Roman"/>
                <w:color w:val="auto"/>
                <w:kern w:val="2"/>
                <w:sz w:val="21"/>
                <w:szCs w:val="21"/>
                <w:u w:val="none"/>
                <w:lang w:val="zh-CN" w:eastAsia="zh-CN" w:bidi="ar-SA"/>
              </w:rPr>
              <w:t>m处；详见下列内容：</w:t>
            </w:r>
          </w:p>
          <w:p>
            <w:pPr>
              <w:pStyle w:val="11"/>
              <w:keepNext w:val="0"/>
              <w:keepLines w:val="0"/>
              <w:pageBreakBefore w:val="0"/>
              <w:widowControl w:val="0"/>
              <w:kinsoku/>
              <w:wordWrap/>
              <w:overflowPunct/>
              <w:topLinePunct w:val="0"/>
              <w:autoSpaceDE/>
              <w:autoSpaceDN/>
              <w:bidi w:val="0"/>
              <w:adjustRightInd/>
              <w:snapToGrid w:val="0"/>
              <w:ind w:firstLine="480"/>
              <w:textAlignment w:val="auto"/>
              <w:rPr>
                <w:rFonts w:ascii="Times New Roman" w:hAnsi="Times New Roman" w:eastAsia="宋体" w:cs="Times New Roman"/>
                <w:color w:val="auto"/>
                <w:kern w:val="2"/>
                <w:sz w:val="21"/>
                <w:szCs w:val="21"/>
                <w:u w:val="none"/>
                <w:lang w:val="en-US" w:eastAsia="zh-CN" w:bidi="ar-SA"/>
              </w:rPr>
            </w:pPr>
            <w:bookmarkStart w:id="7" w:name="_Ref476902464"/>
            <w:r>
              <w:rPr>
                <w:rFonts w:ascii="Times New Roman" w:hAnsi="Times New Roman" w:eastAsia="宋体" w:cs="Times New Roman"/>
                <w:color w:val="auto"/>
                <w:kern w:val="2"/>
                <w:sz w:val="21"/>
                <w:szCs w:val="21"/>
                <w:u w:val="none"/>
                <w:lang w:val="en-US" w:eastAsia="zh-CN" w:bidi="ar-SA"/>
              </w:rPr>
              <w:t>（1）监测断面设置：</w:t>
            </w:r>
          </w:p>
          <w:p>
            <w:pPr>
              <w:pStyle w:val="11"/>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ascii="Times New Roman" w:hAnsi="Times New Roman" w:eastAsia="宋体" w:cs="Times New Roman"/>
                <w:color w:val="auto"/>
                <w:kern w:val="2"/>
                <w:sz w:val="21"/>
                <w:szCs w:val="21"/>
                <w:u w:val="none"/>
                <w:lang w:val="en-US" w:eastAsia="zh-CN" w:bidi="ar-SA"/>
              </w:rPr>
            </w:pPr>
            <w:r>
              <w:rPr>
                <w:rFonts w:ascii="Times New Roman" w:hAnsi="Times New Roman" w:eastAsia="宋体" w:cs="Times New Roman"/>
                <w:color w:val="auto"/>
                <w:kern w:val="2"/>
                <w:sz w:val="21"/>
                <w:szCs w:val="21"/>
                <w:u w:val="none"/>
                <w:lang w:val="en-US" w:eastAsia="zh-CN" w:bidi="ar-SA"/>
              </w:rPr>
              <w:t>W1：斜坡堰水库。</w:t>
            </w:r>
          </w:p>
          <w:p>
            <w:pPr>
              <w:pStyle w:val="11"/>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ascii="Times New Roman" w:hAnsi="Times New Roman" w:eastAsia="宋体" w:cs="Times New Roman"/>
                <w:color w:val="auto"/>
                <w:kern w:val="2"/>
                <w:sz w:val="21"/>
                <w:szCs w:val="21"/>
                <w:u w:val="none"/>
                <w:lang w:val="en-US" w:eastAsia="zh-CN" w:bidi="ar-SA"/>
              </w:rPr>
            </w:pPr>
            <w:r>
              <w:rPr>
                <w:rFonts w:ascii="Times New Roman" w:hAnsi="Times New Roman" w:eastAsia="宋体" w:cs="Times New Roman"/>
                <w:color w:val="auto"/>
                <w:kern w:val="2"/>
                <w:sz w:val="21"/>
                <w:szCs w:val="21"/>
                <w:u w:val="none"/>
                <w:lang w:val="en-US" w:eastAsia="zh-CN" w:bidi="ar-SA"/>
              </w:rPr>
              <w:t>（2）监测时间及频率：连续监测2天，2020年7月15日~16日，监测频次为每天1次。</w:t>
            </w:r>
          </w:p>
          <w:p>
            <w:pPr>
              <w:pStyle w:val="5"/>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ascii="Times New Roman" w:hAnsi="Times New Roman" w:eastAsia="宋体" w:cs="Times New Roman"/>
                <w:color w:val="auto"/>
                <w:kern w:val="2"/>
                <w:sz w:val="21"/>
                <w:szCs w:val="21"/>
                <w:u w:val="none"/>
                <w:lang w:val="en-US" w:eastAsia="zh-CN" w:bidi="ar-SA"/>
              </w:rPr>
            </w:pPr>
            <w:r>
              <w:rPr>
                <w:rFonts w:ascii="Times New Roman" w:hAnsi="Times New Roman" w:eastAsia="宋体" w:cs="Times New Roman"/>
                <w:color w:val="auto"/>
                <w:kern w:val="2"/>
                <w:sz w:val="21"/>
                <w:szCs w:val="21"/>
                <w:u w:val="none"/>
                <w:lang w:val="en-US" w:eastAsia="zh-CN" w:bidi="ar-SA"/>
              </w:rPr>
              <w:t>（3）监测项目：pH、CODCr、SS、BOD5、氨氮、粪大肠菌群。</w:t>
            </w:r>
          </w:p>
          <w:p>
            <w:pPr>
              <w:pStyle w:val="5"/>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ascii="Times New Roman" w:hAnsi="Times New Roman" w:eastAsia="宋体" w:cs="Times New Roman"/>
                <w:color w:val="auto"/>
                <w:kern w:val="2"/>
                <w:sz w:val="21"/>
                <w:szCs w:val="21"/>
                <w:u w:val="none"/>
                <w:lang w:val="en-US" w:eastAsia="zh-CN" w:bidi="ar-SA"/>
              </w:rPr>
            </w:pPr>
            <w:r>
              <w:rPr>
                <w:rFonts w:ascii="Times New Roman" w:hAnsi="Times New Roman" w:eastAsia="宋体" w:cs="Times New Roman"/>
                <w:color w:val="auto"/>
                <w:kern w:val="2"/>
                <w:sz w:val="21"/>
                <w:szCs w:val="21"/>
                <w:u w:val="none"/>
                <w:lang w:val="en-US" w:eastAsia="zh-CN" w:bidi="ar-SA"/>
              </w:rPr>
              <w:t>（4）采样和分析方法：样品的采集和保存、分析均按《地表水和污水监测技术规范》（HJ/T91-2002）《水质监测质量保证手册》和《环境监测标准分析方法》中的有关规定进行。</w:t>
            </w:r>
            <w:bookmarkStart w:id="8" w:name="_Toc338401938"/>
            <w:bookmarkStart w:id="9" w:name="_Toc314042903"/>
          </w:p>
          <w:bookmarkEnd w:id="8"/>
          <w:bookmarkEnd w:id="9"/>
          <w:p>
            <w:pPr>
              <w:pStyle w:val="5"/>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ascii="Times New Roman" w:hAnsi="Times New Roman" w:eastAsia="宋体" w:cs="Times New Roman"/>
                <w:color w:val="auto"/>
                <w:kern w:val="2"/>
                <w:sz w:val="21"/>
                <w:szCs w:val="21"/>
                <w:u w:val="none"/>
                <w:lang w:val="en-US" w:eastAsia="zh-CN" w:bidi="ar-SA"/>
              </w:rPr>
            </w:pPr>
            <w:r>
              <w:rPr>
                <w:rFonts w:ascii="Times New Roman" w:hAnsi="Times New Roman" w:eastAsia="宋体" w:cs="Times New Roman"/>
                <w:color w:val="auto"/>
                <w:kern w:val="2"/>
                <w:sz w:val="21"/>
                <w:szCs w:val="21"/>
                <w:u w:val="none"/>
                <w:lang w:val="en-US" w:eastAsia="zh-CN" w:bidi="ar-SA"/>
              </w:rPr>
              <w:t>（5）评价标准：执行《地表水环境质量标准》（GB3838-2002）Ⅲ类标准。</w:t>
            </w:r>
          </w:p>
          <w:p>
            <w:pPr>
              <w:pStyle w:val="5"/>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ascii="Times New Roman" w:hAnsi="Times New Roman" w:eastAsia="宋体" w:cs="Times New Roman"/>
                <w:color w:val="auto"/>
                <w:kern w:val="2"/>
                <w:sz w:val="21"/>
                <w:szCs w:val="21"/>
                <w:u w:val="none"/>
                <w:lang w:val="en-US" w:eastAsia="zh-CN" w:bidi="ar-SA"/>
              </w:rPr>
            </w:pPr>
            <w:r>
              <w:rPr>
                <w:rFonts w:ascii="Times New Roman" w:hAnsi="Times New Roman" w:eastAsia="宋体" w:cs="Times New Roman"/>
                <w:color w:val="auto"/>
                <w:kern w:val="2"/>
                <w:sz w:val="21"/>
                <w:szCs w:val="21"/>
                <w:u w:val="none"/>
                <w:lang w:val="en-US" w:eastAsia="zh-CN" w:bidi="ar-SA"/>
              </w:rPr>
              <w:t>（6）评价方法：采用超标率和最大超标倍数等数理统计法进行评价。</w:t>
            </w:r>
          </w:p>
          <w:p>
            <w:pPr>
              <w:pStyle w:val="5"/>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ascii="Times New Roman" w:hAnsi="Times New Roman" w:eastAsia="宋体" w:cs="Times New Roman"/>
                <w:color w:val="auto"/>
                <w:kern w:val="2"/>
                <w:sz w:val="21"/>
                <w:szCs w:val="21"/>
                <w:u w:val="none"/>
                <w:lang w:val="en-US" w:eastAsia="zh-CN" w:bidi="ar-SA"/>
              </w:rPr>
            </w:pPr>
            <w:r>
              <w:rPr>
                <w:rFonts w:ascii="Times New Roman" w:hAnsi="Times New Roman" w:eastAsia="宋体" w:cs="Times New Roman"/>
                <w:color w:val="auto"/>
                <w:kern w:val="2"/>
                <w:sz w:val="21"/>
                <w:szCs w:val="21"/>
                <w:u w:val="none"/>
                <w:lang w:val="en-US" w:eastAsia="zh-CN" w:bidi="ar-SA"/>
              </w:rPr>
              <w:t>（7）监测结果：监测及评价结果见表3.2-1。</w:t>
            </w:r>
          </w:p>
          <w:p>
            <w:pPr>
              <w:pStyle w:val="8"/>
              <w:ind w:left="840" w:firstLine="210"/>
              <w:rPr>
                <w:color w:val="auto"/>
                <w:sz w:val="21"/>
                <w:szCs w:val="21"/>
              </w:rPr>
            </w:pPr>
          </w:p>
          <w:p>
            <w:pPr>
              <w:pStyle w:val="8"/>
              <w:ind w:left="840" w:firstLine="210"/>
              <w:rPr>
                <w:color w:val="auto"/>
                <w:sz w:val="21"/>
                <w:szCs w:val="21"/>
              </w:rPr>
            </w:pPr>
          </w:p>
          <w:p>
            <w:pPr>
              <w:pStyle w:val="5"/>
              <w:rPr>
                <w:color w:val="auto"/>
              </w:rPr>
            </w:pPr>
          </w:p>
          <w:p>
            <w:pPr>
              <w:pStyle w:val="8"/>
              <w:ind w:left="640" w:leftChars="0" w:firstLine="0" w:firstLineChars="0"/>
              <w:rPr>
                <w:color w:val="auto"/>
                <w:sz w:val="21"/>
                <w:szCs w:val="21"/>
              </w:rPr>
            </w:pPr>
            <w:r>
              <w:rPr>
                <w:color w:val="auto"/>
                <w:sz w:val="21"/>
                <w:szCs w:val="21"/>
              </w:rPr>
              <w:t>表</w:t>
            </w:r>
            <w:bookmarkEnd w:id="7"/>
            <w:r>
              <w:rPr>
                <w:color w:val="auto"/>
                <w:sz w:val="21"/>
                <w:szCs w:val="21"/>
              </w:rPr>
              <w:t>3-</w:t>
            </w:r>
            <w:r>
              <w:rPr>
                <w:color w:val="auto"/>
                <w:sz w:val="21"/>
                <w:szCs w:val="21"/>
                <w:lang w:eastAsia="zh-CN"/>
              </w:rPr>
              <w:t>3</w:t>
            </w:r>
            <w:r>
              <w:rPr>
                <w:color w:val="auto"/>
                <w:sz w:val="21"/>
                <w:szCs w:val="21"/>
              </w:rPr>
              <w:t xml:space="preserve">   地表水水质监测统计评价表单位：mg/L，pH无量纲</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1260"/>
              <w:gridCol w:w="1389"/>
              <w:gridCol w:w="1036"/>
              <w:gridCol w:w="924"/>
              <w:gridCol w:w="1503"/>
              <w:gridCol w:w="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64" w:type="dxa"/>
                  <w:tcBorders>
                    <w:tl2br w:val="nil"/>
                    <w:tr2bl w:val="nil"/>
                  </w:tcBorders>
                  <w:vAlign w:val="center"/>
                </w:tcPr>
                <w:p>
                  <w:pPr>
                    <w:pStyle w:val="45"/>
                    <w:keepNext w:val="0"/>
                    <w:keepLines w:val="0"/>
                    <w:pageBreakBefore w:val="0"/>
                    <w:widowControl/>
                    <w:kinsoku/>
                    <w:wordWrap/>
                    <w:overflowPunct/>
                    <w:topLinePunct w:val="0"/>
                    <w:autoSpaceDE/>
                    <w:autoSpaceDN/>
                    <w:bidi w:val="0"/>
                    <w:adjustRightInd w:val="0"/>
                    <w:snapToGrid w:val="0"/>
                    <w:textAlignment w:val="auto"/>
                    <w:rPr>
                      <w:color w:val="auto"/>
                    </w:rPr>
                  </w:pPr>
                  <w:r>
                    <w:rPr>
                      <w:color w:val="auto"/>
                    </w:rPr>
                    <w:t>监测</w:t>
                  </w:r>
                </w:p>
                <w:p>
                  <w:pPr>
                    <w:pStyle w:val="45"/>
                    <w:keepNext w:val="0"/>
                    <w:keepLines w:val="0"/>
                    <w:pageBreakBefore w:val="0"/>
                    <w:widowControl/>
                    <w:kinsoku/>
                    <w:wordWrap/>
                    <w:overflowPunct/>
                    <w:topLinePunct w:val="0"/>
                    <w:autoSpaceDE/>
                    <w:autoSpaceDN/>
                    <w:bidi w:val="0"/>
                    <w:adjustRightInd w:val="0"/>
                    <w:snapToGrid w:val="0"/>
                    <w:textAlignment w:val="auto"/>
                    <w:rPr>
                      <w:color w:val="auto"/>
                    </w:rPr>
                  </w:pPr>
                  <w:r>
                    <w:rPr>
                      <w:color w:val="auto"/>
                    </w:rPr>
                    <w:t>断面</w:t>
                  </w:r>
                </w:p>
              </w:tc>
              <w:tc>
                <w:tcPr>
                  <w:tcW w:w="1260" w:type="dxa"/>
                  <w:tcBorders>
                    <w:tl2br w:val="nil"/>
                    <w:tr2bl w:val="nil"/>
                  </w:tcBorders>
                  <w:vAlign w:val="center"/>
                </w:tcPr>
                <w:p>
                  <w:pPr>
                    <w:pStyle w:val="45"/>
                    <w:keepNext w:val="0"/>
                    <w:keepLines w:val="0"/>
                    <w:pageBreakBefore w:val="0"/>
                    <w:widowControl/>
                    <w:kinsoku/>
                    <w:wordWrap/>
                    <w:overflowPunct/>
                    <w:topLinePunct w:val="0"/>
                    <w:autoSpaceDE/>
                    <w:autoSpaceDN/>
                    <w:bidi w:val="0"/>
                    <w:adjustRightInd w:val="0"/>
                    <w:snapToGrid w:val="0"/>
                    <w:textAlignment w:val="auto"/>
                    <w:rPr>
                      <w:color w:val="auto"/>
                    </w:rPr>
                  </w:pPr>
                  <w:r>
                    <w:rPr>
                      <w:color w:val="auto"/>
                    </w:rPr>
                    <w:t>监测</w:t>
                  </w:r>
                </w:p>
                <w:p>
                  <w:pPr>
                    <w:pStyle w:val="45"/>
                    <w:keepNext w:val="0"/>
                    <w:keepLines w:val="0"/>
                    <w:pageBreakBefore w:val="0"/>
                    <w:widowControl/>
                    <w:kinsoku/>
                    <w:wordWrap/>
                    <w:overflowPunct/>
                    <w:topLinePunct w:val="0"/>
                    <w:autoSpaceDE/>
                    <w:autoSpaceDN/>
                    <w:bidi w:val="0"/>
                    <w:adjustRightInd w:val="0"/>
                    <w:snapToGrid w:val="0"/>
                    <w:textAlignment w:val="auto"/>
                    <w:rPr>
                      <w:color w:val="auto"/>
                    </w:rPr>
                  </w:pPr>
                  <w:r>
                    <w:rPr>
                      <w:color w:val="auto"/>
                    </w:rPr>
                    <w:t>项目</w:t>
                  </w:r>
                </w:p>
              </w:tc>
              <w:tc>
                <w:tcPr>
                  <w:tcW w:w="1389" w:type="dxa"/>
                  <w:tcBorders>
                    <w:tl2br w:val="nil"/>
                    <w:tr2bl w:val="nil"/>
                  </w:tcBorders>
                  <w:vAlign w:val="center"/>
                </w:tcPr>
                <w:p>
                  <w:pPr>
                    <w:pStyle w:val="45"/>
                    <w:keepNext w:val="0"/>
                    <w:keepLines w:val="0"/>
                    <w:pageBreakBefore w:val="0"/>
                    <w:widowControl/>
                    <w:kinsoku/>
                    <w:wordWrap/>
                    <w:overflowPunct/>
                    <w:topLinePunct w:val="0"/>
                    <w:autoSpaceDE/>
                    <w:autoSpaceDN/>
                    <w:bidi w:val="0"/>
                    <w:adjustRightInd w:val="0"/>
                    <w:snapToGrid w:val="0"/>
                    <w:textAlignment w:val="auto"/>
                    <w:rPr>
                      <w:color w:val="auto"/>
                    </w:rPr>
                  </w:pPr>
                  <w:r>
                    <w:rPr>
                      <w:color w:val="auto"/>
                    </w:rPr>
                    <w:t>监测结果</w:t>
                  </w:r>
                </w:p>
              </w:tc>
              <w:tc>
                <w:tcPr>
                  <w:tcW w:w="1036" w:type="dxa"/>
                  <w:tcBorders>
                    <w:tl2br w:val="nil"/>
                    <w:tr2bl w:val="nil"/>
                  </w:tcBorders>
                  <w:vAlign w:val="center"/>
                </w:tcPr>
                <w:p>
                  <w:pPr>
                    <w:pStyle w:val="45"/>
                    <w:keepNext w:val="0"/>
                    <w:keepLines w:val="0"/>
                    <w:pageBreakBefore w:val="0"/>
                    <w:widowControl/>
                    <w:kinsoku/>
                    <w:wordWrap/>
                    <w:overflowPunct/>
                    <w:topLinePunct w:val="0"/>
                    <w:autoSpaceDE/>
                    <w:autoSpaceDN/>
                    <w:bidi w:val="0"/>
                    <w:adjustRightInd w:val="0"/>
                    <w:snapToGrid w:val="0"/>
                    <w:textAlignment w:val="auto"/>
                    <w:rPr>
                      <w:color w:val="auto"/>
                    </w:rPr>
                  </w:pPr>
                  <w:r>
                    <w:rPr>
                      <w:color w:val="auto"/>
                    </w:rPr>
                    <w:t>最大超标</w:t>
                  </w:r>
                </w:p>
                <w:p>
                  <w:pPr>
                    <w:pStyle w:val="45"/>
                    <w:keepNext w:val="0"/>
                    <w:keepLines w:val="0"/>
                    <w:pageBreakBefore w:val="0"/>
                    <w:widowControl/>
                    <w:kinsoku/>
                    <w:wordWrap/>
                    <w:overflowPunct/>
                    <w:topLinePunct w:val="0"/>
                    <w:autoSpaceDE/>
                    <w:autoSpaceDN/>
                    <w:bidi w:val="0"/>
                    <w:adjustRightInd w:val="0"/>
                    <w:snapToGrid w:val="0"/>
                    <w:textAlignment w:val="auto"/>
                    <w:rPr>
                      <w:color w:val="auto"/>
                    </w:rPr>
                  </w:pPr>
                  <w:r>
                    <w:rPr>
                      <w:color w:val="auto"/>
                    </w:rPr>
                    <w:t>倍数</w:t>
                  </w:r>
                </w:p>
              </w:tc>
              <w:tc>
                <w:tcPr>
                  <w:tcW w:w="924" w:type="dxa"/>
                  <w:tcBorders>
                    <w:tl2br w:val="nil"/>
                    <w:tr2bl w:val="nil"/>
                  </w:tcBorders>
                  <w:vAlign w:val="center"/>
                </w:tcPr>
                <w:p>
                  <w:pPr>
                    <w:pStyle w:val="45"/>
                    <w:keepNext w:val="0"/>
                    <w:keepLines w:val="0"/>
                    <w:pageBreakBefore w:val="0"/>
                    <w:widowControl/>
                    <w:kinsoku/>
                    <w:wordWrap/>
                    <w:overflowPunct/>
                    <w:topLinePunct w:val="0"/>
                    <w:autoSpaceDE/>
                    <w:autoSpaceDN/>
                    <w:bidi w:val="0"/>
                    <w:adjustRightInd w:val="0"/>
                    <w:snapToGrid w:val="0"/>
                    <w:textAlignment w:val="auto"/>
                    <w:rPr>
                      <w:color w:val="auto"/>
                    </w:rPr>
                  </w:pPr>
                  <w:r>
                    <w:rPr>
                      <w:color w:val="auto"/>
                    </w:rPr>
                    <w:t>超标率</w:t>
                  </w:r>
                </w:p>
                <w:p>
                  <w:pPr>
                    <w:pStyle w:val="45"/>
                    <w:keepNext w:val="0"/>
                    <w:keepLines w:val="0"/>
                    <w:pageBreakBefore w:val="0"/>
                    <w:widowControl/>
                    <w:kinsoku/>
                    <w:wordWrap/>
                    <w:overflowPunct/>
                    <w:topLinePunct w:val="0"/>
                    <w:autoSpaceDE/>
                    <w:autoSpaceDN/>
                    <w:bidi w:val="0"/>
                    <w:adjustRightInd w:val="0"/>
                    <w:snapToGrid w:val="0"/>
                    <w:textAlignment w:val="auto"/>
                    <w:rPr>
                      <w:color w:val="auto"/>
                    </w:rPr>
                  </w:pPr>
                  <w:r>
                    <w:rPr>
                      <w:color w:val="auto"/>
                    </w:rPr>
                    <w:t>（%）</w:t>
                  </w:r>
                </w:p>
              </w:tc>
              <w:tc>
                <w:tcPr>
                  <w:tcW w:w="1503" w:type="dxa"/>
                  <w:tcBorders>
                    <w:tl2br w:val="nil"/>
                    <w:tr2bl w:val="nil"/>
                  </w:tcBorders>
                  <w:vAlign w:val="center"/>
                </w:tcPr>
                <w:p>
                  <w:pPr>
                    <w:pStyle w:val="45"/>
                    <w:keepNext w:val="0"/>
                    <w:keepLines w:val="0"/>
                    <w:pageBreakBefore w:val="0"/>
                    <w:widowControl/>
                    <w:kinsoku/>
                    <w:wordWrap/>
                    <w:overflowPunct/>
                    <w:topLinePunct w:val="0"/>
                    <w:autoSpaceDE/>
                    <w:autoSpaceDN/>
                    <w:bidi w:val="0"/>
                    <w:adjustRightInd w:val="0"/>
                    <w:snapToGrid w:val="0"/>
                    <w:textAlignment w:val="auto"/>
                    <w:rPr>
                      <w:color w:val="auto"/>
                    </w:rPr>
                  </w:pPr>
                  <w:r>
                    <w:rPr>
                      <w:color w:val="auto"/>
                    </w:rPr>
                    <w:t>GB3838-2002</w:t>
                  </w:r>
                </w:p>
                <w:p>
                  <w:pPr>
                    <w:pStyle w:val="45"/>
                    <w:keepNext w:val="0"/>
                    <w:keepLines w:val="0"/>
                    <w:pageBreakBefore w:val="0"/>
                    <w:widowControl/>
                    <w:kinsoku/>
                    <w:wordWrap/>
                    <w:overflowPunct/>
                    <w:topLinePunct w:val="0"/>
                    <w:autoSpaceDE/>
                    <w:autoSpaceDN/>
                    <w:bidi w:val="0"/>
                    <w:adjustRightInd w:val="0"/>
                    <w:snapToGrid w:val="0"/>
                    <w:textAlignment w:val="auto"/>
                    <w:rPr>
                      <w:color w:val="auto"/>
                    </w:rPr>
                  </w:pPr>
                  <w:r>
                    <w:rPr>
                      <w:color w:val="auto"/>
                    </w:rPr>
                    <w:t>Ⅲ类标准</w:t>
                  </w:r>
                </w:p>
              </w:tc>
              <w:tc>
                <w:tcPr>
                  <w:tcW w:w="940" w:type="dxa"/>
                  <w:tcBorders>
                    <w:tl2br w:val="nil"/>
                    <w:tr2bl w:val="nil"/>
                  </w:tcBorders>
                  <w:vAlign w:val="center"/>
                </w:tcPr>
                <w:p>
                  <w:pPr>
                    <w:pStyle w:val="45"/>
                    <w:keepNext w:val="0"/>
                    <w:keepLines w:val="0"/>
                    <w:pageBreakBefore w:val="0"/>
                    <w:widowControl/>
                    <w:kinsoku/>
                    <w:wordWrap/>
                    <w:overflowPunct/>
                    <w:topLinePunct w:val="0"/>
                    <w:autoSpaceDE/>
                    <w:autoSpaceDN/>
                    <w:bidi w:val="0"/>
                    <w:adjustRightInd w:val="0"/>
                    <w:snapToGrid w:val="0"/>
                    <w:textAlignment w:val="auto"/>
                    <w:rPr>
                      <w:color w:val="auto"/>
                    </w:rPr>
                  </w:pPr>
                  <w:r>
                    <w:rPr>
                      <w:color w:val="auto"/>
                    </w:rPr>
                    <w:t>评价</w:t>
                  </w:r>
                </w:p>
                <w:p>
                  <w:pPr>
                    <w:pStyle w:val="45"/>
                    <w:keepNext w:val="0"/>
                    <w:keepLines w:val="0"/>
                    <w:pageBreakBefore w:val="0"/>
                    <w:widowControl/>
                    <w:kinsoku/>
                    <w:wordWrap/>
                    <w:overflowPunct/>
                    <w:topLinePunct w:val="0"/>
                    <w:autoSpaceDE/>
                    <w:autoSpaceDN/>
                    <w:bidi w:val="0"/>
                    <w:adjustRightInd w:val="0"/>
                    <w:snapToGrid w:val="0"/>
                    <w:textAlignment w:val="auto"/>
                    <w:rPr>
                      <w:color w:val="auto"/>
                    </w:rPr>
                  </w:pPr>
                  <w:r>
                    <w:rPr>
                      <w:color w:val="auto"/>
                    </w:rPr>
                    <w:t>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64" w:type="dxa"/>
                  <w:vMerge w:val="restart"/>
                  <w:tcBorders>
                    <w:tl2br w:val="nil"/>
                    <w:tr2bl w:val="nil"/>
                  </w:tcBorders>
                  <w:vAlign w:val="center"/>
                </w:tcPr>
                <w:p>
                  <w:pPr>
                    <w:pStyle w:val="45"/>
                    <w:rPr>
                      <w:color w:val="auto"/>
                    </w:rPr>
                  </w:pPr>
                  <w:r>
                    <w:rPr>
                      <w:bCs/>
                      <w:color w:val="auto"/>
                    </w:rPr>
                    <w:t>W1</w:t>
                  </w:r>
                </w:p>
              </w:tc>
              <w:tc>
                <w:tcPr>
                  <w:tcW w:w="1260" w:type="dxa"/>
                  <w:tcBorders>
                    <w:tl2br w:val="nil"/>
                    <w:tr2bl w:val="nil"/>
                  </w:tcBorders>
                  <w:vAlign w:val="center"/>
                </w:tcPr>
                <w:p>
                  <w:pPr>
                    <w:pStyle w:val="45"/>
                    <w:rPr>
                      <w:color w:val="auto"/>
                    </w:rPr>
                  </w:pPr>
                  <w:r>
                    <w:rPr>
                      <w:color w:val="auto"/>
                    </w:rPr>
                    <w:t>pH</w:t>
                  </w:r>
                </w:p>
              </w:tc>
              <w:tc>
                <w:tcPr>
                  <w:tcW w:w="1389" w:type="dxa"/>
                  <w:tcBorders>
                    <w:tl2br w:val="nil"/>
                    <w:tr2bl w:val="nil"/>
                  </w:tcBorders>
                  <w:vAlign w:val="center"/>
                </w:tcPr>
                <w:p>
                  <w:pPr>
                    <w:pStyle w:val="45"/>
                    <w:rPr>
                      <w:color w:val="auto"/>
                    </w:rPr>
                  </w:pPr>
                  <w:r>
                    <w:rPr>
                      <w:color w:val="auto"/>
                    </w:rPr>
                    <w:t>7.0</w:t>
                  </w:r>
                  <w:r>
                    <w:rPr>
                      <w:color w:val="auto"/>
                      <w:lang w:eastAsia="zh-CN"/>
                    </w:rPr>
                    <w:t>2</w:t>
                  </w:r>
                  <w:r>
                    <w:rPr>
                      <w:color w:val="auto"/>
                    </w:rPr>
                    <w:t>~7.04</w:t>
                  </w:r>
                </w:p>
              </w:tc>
              <w:tc>
                <w:tcPr>
                  <w:tcW w:w="1036" w:type="dxa"/>
                  <w:tcBorders>
                    <w:tl2br w:val="nil"/>
                    <w:tr2bl w:val="nil"/>
                  </w:tcBorders>
                  <w:vAlign w:val="center"/>
                </w:tcPr>
                <w:p>
                  <w:pPr>
                    <w:pStyle w:val="45"/>
                    <w:rPr>
                      <w:color w:val="auto"/>
                    </w:rPr>
                  </w:pPr>
                  <w:r>
                    <w:rPr>
                      <w:color w:val="auto"/>
                    </w:rPr>
                    <w:t>--</w:t>
                  </w:r>
                </w:p>
              </w:tc>
              <w:tc>
                <w:tcPr>
                  <w:tcW w:w="924" w:type="dxa"/>
                  <w:tcBorders>
                    <w:tl2br w:val="nil"/>
                    <w:tr2bl w:val="nil"/>
                  </w:tcBorders>
                  <w:vAlign w:val="center"/>
                </w:tcPr>
                <w:p>
                  <w:pPr>
                    <w:pStyle w:val="45"/>
                    <w:rPr>
                      <w:color w:val="auto"/>
                    </w:rPr>
                  </w:pPr>
                  <w:r>
                    <w:rPr>
                      <w:color w:val="auto"/>
                    </w:rPr>
                    <w:t>--</w:t>
                  </w:r>
                </w:p>
              </w:tc>
              <w:tc>
                <w:tcPr>
                  <w:tcW w:w="1503" w:type="dxa"/>
                  <w:tcBorders>
                    <w:tl2br w:val="nil"/>
                    <w:tr2bl w:val="nil"/>
                  </w:tcBorders>
                  <w:vAlign w:val="center"/>
                </w:tcPr>
                <w:p>
                  <w:pPr>
                    <w:pStyle w:val="45"/>
                    <w:rPr>
                      <w:color w:val="auto"/>
                    </w:rPr>
                  </w:pPr>
                  <w:r>
                    <w:rPr>
                      <w:color w:val="auto"/>
                    </w:rPr>
                    <w:t>6~9</w:t>
                  </w:r>
                </w:p>
              </w:tc>
              <w:tc>
                <w:tcPr>
                  <w:tcW w:w="940" w:type="dxa"/>
                  <w:tcBorders>
                    <w:tl2br w:val="nil"/>
                    <w:tr2bl w:val="nil"/>
                  </w:tcBorders>
                  <w:vAlign w:val="center"/>
                </w:tcPr>
                <w:p>
                  <w:pPr>
                    <w:pStyle w:val="45"/>
                    <w:rPr>
                      <w:color w:val="auto"/>
                    </w:rPr>
                  </w:pPr>
                  <w:r>
                    <w:rPr>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64" w:type="dxa"/>
                  <w:vMerge w:val="continue"/>
                  <w:tcBorders>
                    <w:tl2br w:val="nil"/>
                    <w:tr2bl w:val="nil"/>
                  </w:tcBorders>
                  <w:vAlign w:val="center"/>
                </w:tcPr>
                <w:p>
                  <w:pPr>
                    <w:pStyle w:val="45"/>
                    <w:rPr>
                      <w:color w:val="auto"/>
                    </w:rPr>
                  </w:pPr>
                </w:p>
              </w:tc>
              <w:tc>
                <w:tcPr>
                  <w:tcW w:w="1260" w:type="dxa"/>
                  <w:tcBorders>
                    <w:tl2br w:val="nil"/>
                    <w:tr2bl w:val="nil"/>
                  </w:tcBorders>
                  <w:vAlign w:val="center"/>
                </w:tcPr>
                <w:p>
                  <w:pPr>
                    <w:pStyle w:val="45"/>
                    <w:rPr>
                      <w:color w:val="auto"/>
                    </w:rPr>
                  </w:pPr>
                  <w:r>
                    <w:rPr>
                      <w:color w:val="auto"/>
                    </w:rPr>
                    <w:t>COD</w:t>
                  </w:r>
                  <w:r>
                    <w:rPr>
                      <w:color w:val="auto"/>
                      <w:vertAlign w:val="subscript"/>
                    </w:rPr>
                    <w:t>cr</w:t>
                  </w:r>
                </w:p>
              </w:tc>
              <w:tc>
                <w:tcPr>
                  <w:tcW w:w="1389" w:type="dxa"/>
                  <w:tcBorders>
                    <w:tl2br w:val="nil"/>
                    <w:tr2bl w:val="nil"/>
                  </w:tcBorders>
                  <w:vAlign w:val="center"/>
                </w:tcPr>
                <w:p>
                  <w:pPr>
                    <w:pStyle w:val="45"/>
                    <w:rPr>
                      <w:color w:val="auto"/>
                      <w:lang w:eastAsia="zh-CN"/>
                    </w:rPr>
                  </w:pPr>
                  <w:r>
                    <w:rPr>
                      <w:color w:val="auto"/>
                    </w:rPr>
                    <w:t>15.3~17.</w:t>
                  </w:r>
                  <w:r>
                    <w:rPr>
                      <w:color w:val="auto"/>
                      <w:lang w:eastAsia="zh-CN"/>
                    </w:rPr>
                    <w:t>9</w:t>
                  </w:r>
                </w:p>
              </w:tc>
              <w:tc>
                <w:tcPr>
                  <w:tcW w:w="1036" w:type="dxa"/>
                  <w:tcBorders>
                    <w:tl2br w:val="nil"/>
                    <w:tr2bl w:val="nil"/>
                  </w:tcBorders>
                  <w:vAlign w:val="center"/>
                </w:tcPr>
                <w:p>
                  <w:pPr>
                    <w:pStyle w:val="45"/>
                    <w:rPr>
                      <w:color w:val="auto"/>
                    </w:rPr>
                  </w:pPr>
                  <w:r>
                    <w:rPr>
                      <w:color w:val="auto"/>
                    </w:rPr>
                    <w:t>0</w:t>
                  </w:r>
                </w:p>
              </w:tc>
              <w:tc>
                <w:tcPr>
                  <w:tcW w:w="924" w:type="dxa"/>
                  <w:tcBorders>
                    <w:tl2br w:val="nil"/>
                    <w:tr2bl w:val="nil"/>
                  </w:tcBorders>
                  <w:vAlign w:val="center"/>
                </w:tcPr>
                <w:p>
                  <w:pPr>
                    <w:pStyle w:val="45"/>
                    <w:rPr>
                      <w:color w:val="auto"/>
                    </w:rPr>
                  </w:pPr>
                  <w:r>
                    <w:rPr>
                      <w:color w:val="auto"/>
                    </w:rPr>
                    <w:t>0</w:t>
                  </w:r>
                </w:p>
              </w:tc>
              <w:tc>
                <w:tcPr>
                  <w:tcW w:w="1503" w:type="dxa"/>
                  <w:tcBorders>
                    <w:tl2br w:val="nil"/>
                    <w:tr2bl w:val="nil"/>
                  </w:tcBorders>
                  <w:vAlign w:val="center"/>
                </w:tcPr>
                <w:p>
                  <w:pPr>
                    <w:pStyle w:val="45"/>
                    <w:rPr>
                      <w:color w:val="auto"/>
                    </w:rPr>
                  </w:pPr>
                  <w:r>
                    <w:rPr>
                      <w:color w:val="auto"/>
                    </w:rPr>
                    <w:t>20</w:t>
                  </w:r>
                </w:p>
              </w:tc>
              <w:tc>
                <w:tcPr>
                  <w:tcW w:w="940" w:type="dxa"/>
                  <w:tcBorders>
                    <w:tl2br w:val="nil"/>
                    <w:tr2bl w:val="nil"/>
                  </w:tcBorders>
                  <w:vAlign w:val="center"/>
                </w:tcPr>
                <w:p>
                  <w:pPr>
                    <w:pStyle w:val="45"/>
                    <w:rPr>
                      <w:color w:val="auto"/>
                    </w:rPr>
                  </w:pPr>
                  <w:r>
                    <w:rPr>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64" w:type="dxa"/>
                  <w:vMerge w:val="continue"/>
                  <w:tcBorders>
                    <w:tl2br w:val="nil"/>
                    <w:tr2bl w:val="nil"/>
                  </w:tcBorders>
                  <w:vAlign w:val="center"/>
                </w:tcPr>
                <w:p>
                  <w:pPr>
                    <w:pStyle w:val="45"/>
                    <w:rPr>
                      <w:color w:val="auto"/>
                    </w:rPr>
                  </w:pPr>
                </w:p>
              </w:tc>
              <w:tc>
                <w:tcPr>
                  <w:tcW w:w="1260" w:type="dxa"/>
                  <w:tcBorders>
                    <w:tl2br w:val="nil"/>
                    <w:tr2bl w:val="nil"/>
                  </w:tcBorders>
                  <w:vAlign w:val="center"/>
                </w:tcPr>
                <w:p>
                  <w:pPr>
                    <w:pStyle w:val="45"/>
                    <w:rPr>
                      <w:color w:val="auto"/>
                    </w:rPr>
                  </w:pPr>
                  <w:r>
                    <w:rPr>
                      <w:color w:val="auto"/>
                    </w:rPr>
                    <w:t>SS</w:t>
                  </w:r>
                </w:p>
              </w:tc>
              <w:tc>
                <w:tcPr>
                  <w:tcW w:w="1389" w:type="dxa"/>
                  <w:tcBorders>
                    <w:tl2br w:val="nil"/>
                    <w:tr2bl w:val="nil"/>
                  </w:tcBorders>
                  <w:vAlign w:val="center"/>
                </w:tcPr>
                <w:p>
                  <w:pPr>
                    <w:pStyle w:val="45"/>
                    <w:rPr>
                      <w:color w:val="auto"/>
                      <w:lang w:eastAsia="zh-CN"/>
                    </w:rPr>
                  </w:pPr>
                  <w:r>
                    <w:rPr>
                      <w:color w:val="auto"/>
                    </w:rPr>
                    <w:t>22~2</w:t>
                  </w:r>
                  <w:r>
                    <w:rPr>
                      <w:color w:val="auto"/>
                      <w:lang w:eastAsia="zh-CN"/>
                    </w:rPr>
                    <w:t>8</w:t>
                  </w:r>
                </w:p>
              </w:tc>
              <w:tc>
                <w:tcPr>
                  <w:tcW w:w="1036" w:type="dxa"/>
                  <w:tcBorders>
                    <w:tl2br w:val="nil"/>
                    <w:tr2bl w:val="nil"/>
                  </w:tcBorders>
                  <w:vAlign w:val="center"/>
                </w:tcPr>
                <w:p>
                  <w:pPr>
                    <w:pStyle w:val="45"/>
                    <w:rPr>
                      <w:color w:val="auto"/>
                    </w:rPr>
                  </w:pPr>
                  <w:r>
                    <w:rPr>
                      <w:color w:val="auto"/>
                    </w:rPr>
                    <w:t>--</w:t>
                  </w:r>
                </w:p>
              </w:tc>
              <w:tc>
                <w:tcPr>
                  <w:tcW w:w="924" w:type="dxa"/>
                  <w:tcBorders>
                    <w:tl2br w:val="nil"/>
                    <w:tr2bl w:val="nil"/>
                  </w:tcBorders>
                  <w:vAlign w:val="center"/>
                </w:tcPr>
                <w:p>
                  <w:pPr>
                    <w:pStyle w:val="45"/>
                    <w:rPr>
                      <w:color w:val="auto"/>
                    </w:rPr>
                  </w:pPr>
                  <w:r>
                    <w:rPr>
                      <w:color w:val="auto"/>
                    </w:rPr>
                    <w:t>--</w:t>
                  </w:r>
                </w:p>
              </w:tc>
              <w:tc>
                <w:tcPr>
                  <w:tcW w:w="1503" w:type="dxa"/>
                  <w:tcBorders>
                    <w:tl2br w:val="nil"/>
                    <w:tr2bl w:val="nil"/>
                  </w:tcBorders>
                  <w:vAlign w:val="center"/>
                </w:tcPr>
                <w:p>
                  <w:pPr>
                    <w:pStyle w:val="45"/>
                    <w:rPr>
                      <w:color w:val="auto"/>
                    </w:rPr>
                  </w:pPr>
                  <w:r>
                    <w:rPr>
                      <w:color w:val="auto"/>
                    </w:rPr>
                    <w:t>--</w:t>
                  </w:r>
                </w:p>
              </w:tc>
              <w:tc>
                <w:tcPr>
                  <w:tcW w:w="940" w:type="dxa"/>
                  <w:tcBorders>
                    <w:tl2br w:val="nil"/>
                    <w:tr2bl w:val="nil"/>
                  </w:tcBorders>
                  <w:vAlign w:val="center"/>
                </w:tcPr>
                <w:p>
                  <w:pPr>
                    <w:pStyle w:val="45"/>
                    <w:rPr>
                      <w:color w:val="auto"/>
                    </w:rPr>
                  </w:pPr>
                  <w:r>
                    <w:rPr>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64" w:type="dxa"/>
                  <w:vMerge w:val="continue"/>
                  <w:tcBorders>
                    <w:tl2br w:val="nil"/>
                    <w:tr2bl w:val="nil"/>
                  </w:tcBorders>
                  <w:vAlign w:val="center"/>
                </w:tcPr>
                <w:p>
                  <w:pPr>
                    <w:pStyle w:val="45"/>
                    <w:rPr>
                      <w:color w:val="auto"/>
                    </w:rPr>
                  </w:pPr>
                </w:p>
              </w:tc>
              <w:tc>
                <w:tcPr>
                  <w:tcW w:w="1260" w:type="dxa"/>
                  <w:tcBorders>
                    <w:tl2br w:val="nil"/>
                    <w:tr2bl w:val="nil"/>
                  </w:tcBorders>
                  <w:vAlign w:val="center"/>
                </w:tcPr>
                <w:p>
                  <w:pPr>
                    <w:pStyle w:val="45"/>
                    <w:rPr>
                      <w:color w:val="auto"/>
                    </w:rPr>
                  </w:pPr>
                  <w:r>
                    <w:rPr>
                      <w:color w:val="auto"/>
                    </w:rPr>
                    <w:t>BOD</w:t>
                  </w:r>
                  <w:r>
                    <w:rPr>
                      <w:color w:val="auto"/>
                      <w:vertAlign w:val="subscript"/>
                    </w:rPr>
                    <w:t>5</w:t>
                  </w:r>
                </w:p>
              </w:tc>
              <w:tc>
                <w:tcPr>
                  <w:tcW w:w="1389" w:type="dxa"/>
                  <w:tcBorders>
                    <w:tl2br w:val="nil"/>
                    <w:tr2bl w:val="nil"/>
                  </w:tcBorders>
                  <w:vAlign w:val="center"/>
                </w:tcPr>
                <w:p>
                  <w:pPr>
                    <w:pStyle w:val="45"/>
                    <w:rPr>
                      <w:color w:val="auto"/>
                      <w:lang w:eastAsia="zh-CN"/>
                    </w:rPr>
                  </w:pPr>
                  <w:r>
                    <w:rPr>
                      <w:color w:val="auto"/>
                    </w:rPr>
                    <w:t>1.</w:t>
                  </w:r>
                  <w:r>
                    <w:rPr>
                      <w:color w:val="auto"/>
                      <w:lang w:eastAsia="zh-CN"/>
                    </w:rPr>
                    <w:t>2~1.6</w:t>
                  </w:r>
                </w:p>
              </w:tc>
              <w:tc>
                <w:tcPr>
                  <w:tcW w:w="1036" w:type="dxa"/>
                  <w:tcBorders>
                    <w:tl2br w:val="nil"/>
                    <w:tr2bl w:val="nil"/>
                  </w:tcBorders>
                  <w:vAlign w:val="center"/>
                </w:tcPr>
                <w:p>
                  <w:pPr>
                    <w:pStyle w:val="45"/>
                    <w:rPr>
                      <w:color w:val="auto"/>
                    </w:rPr>
                  </w:pPr>
                  <w:r>
                    <w:rPr>
                      <w:color w:val="auto"/>
                    </w:rPr>
                    <w:t>0</w:t>
                  </w:r>
                </w:p>
              </w:tc>
              <w:tc>
                <w:tcPr>
                  <w:tcW w:w="924" w:type="dxa"/>
                  <w:tcBorders>
                    <w:tl2br w:val="nil"/>
                    <w:tr2bl w:val="nil"/>
                  </w:tcBorders>
                  <w:vAlign w:val="center"/>
                </w:tcPr>
                <w:p>
                  <w:pPr>
                    <w:pStyle w:val="45"/>
                    <w:rPr>
                      <w:color w:val="auto"/>
                    </w:rPr>
                  </w:pPr>
                  <w:r>
                    <w:rPr>
                      <w:color w:val="auto"/>
                    </w:rPr>
                    <w:t>0</w:t>
                  </w:r>
                </w:p>
              </w:tc>
              <w:tc>
                <w:tcPr>
                  <w:tcW w:w="1503" w:type="dxa"/>
                  <w:tcBorders>
                    <w:tl2br w:val="nil"/>
                    <w:tr2bl w:val="nil"/>
                  </w:tcBorders>
                  <w:vAlign w:val="center"/>
                </w:tcPr>
                <w:p>
                  <w:pPr>
                    <w:pStyle w:val="45"/>
                    <w:rPr>
                      <w:color w:val="auto"/>
                    </w:rPr>
                  </w:pPr>
                  <w:r>
                    <w:rPr>
                      <w:color w:val="auto"/>
                    </w:rPr>
                    <w:t>4</w:t>
                  </w:r>
                </w:p>
              </w:tc>
              <w:tc>
                <w:tcPr>
                  <w:tcW w:w="940" w:type="dxa"/>
                  <w:tcBorders>
                    <w:tl2br w:val="nil"/>
                    <w:tr2bl w:val="nil"/>
                  </w:tcBorders>
                  <w:vAlign w:val="center"/>
                </w:tcPr>
                <w:p>
                  <w:pPr>
                    <w:pStyle w:val="45"/>
                    <w:rPr>
                      <w:color w:val="auto"/>
                    </w:rPr>
                  </w:pPr>
                  <w:r>
                    <w:rPr>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64" w:type="dxa"/>
                  <w:vMerge w:val="continue"/>
                  <w:tcBorders>
                    <w:tl2br w:val="nil"/>
                    <w:tr2bl w:val="nil"/>
                  </w:tcBorders>
                  <w:vAlign w:val="center"/>
                </w:tcPr>
                <w:p>
                  <w:pPr>
                    <w:pStyle w:val="45"/>
                    <w:rPr>
                      <w:color w:val="auto"/>
                    </w:rPr>
                  </w:pPr>
                </w:p>
              </w:tc>
              <w:tc>
                <w:tcPr>
                  <w:tcW w:w="1260" w:type="dxa"/>
                  <w:tcBorders>
                    <w:tl2br w:val="nil"/>
                    <w:tr2bl w:val="nil"/>
                  </w:tcBorders>
                  <w:vAlign w:val="center"/>
                </w:tcPr>
                <w:p>
                  <w:pPr>
                    <w:pStyle w:val="45"/>
                    <w:rPr>
                      <w:color w:val="auto"/>
                    </w:rPr>
                  </w:pPr>
                  <w:r>
                    <w:rPr>
                      <w:color w:val="auto"/>
                    </w:rPr>
                    <w:t>氨氮</w:t>
                  </w:r>
                </w:p>
              </w:tc>
              <w:tc>
                <w:tcPr>
                  <w:tcW w:w="1389" w:type="dxa"/>
                  <w:tcBorders>
                    <w:tl2br w:val="nil"/>
                    <w:tr2bl w:val="nil"/>
                  </w:tcBorders>
                  <w:vAlign w:val="center"/>
                </w:tcPr>
                <w:p>
                  <w:pPr>
                    <w:pStyle w:val="45"/>
                    <w:rPr>
                      <w:color w:val="auto"/>
                    </w:rPr>
                  </w:pPr>
                  <w:r>
                    <w:rPr>
                      <w:color w:val="auto"/>
                    </w:rPr>
                    <w:t>0.472~0.532</w:t>
                  </w:r>
                </w:p>
              </w:tc>
              <w:tc>
                <w:tcPr>
                  <w:tcW w:w="1036" w:type="dxa"/>
                  <w:tcBorders>
                    <w:tl2br w:val="nil"/>
                    <w:tr2bl w:val="nil"/>
                  </w:tcBorders>
                  <w:vAlign w:val="center"/>
                </w:tcPr>
                <w:p>
                  <w:pPr>
                    <w:pStyle w:val="45"/>
                    <w:rPr>
                      <w:color w:val="auto"/>
                    </w:rPr>
                  </w:pPr>
                  <w:r>
                    <w:rPr>
                      <w:color w:val="auto"/>
                    </w:rPr>
                    <w:t>0</w:t>
                  </w:r>
                </w:p>
              </w:tc>
              <w:tc>
                <w:tcPr>
                  <w:tcW w:w="924" w:type="dxa"/>
                  <w:tcBorders>
                    <w:tl2br w:val="nil"/>
                    <w:tr2bl w:val="nil"/>
                  </w:tcBorders>
                  <w:vAlign w:val="center"/>
                </w:tcPr>
                <w:p>
                  <w:pPr>
                    <w:pStyle w:val="45"/>
                    <w:rPr>
                      <w:color w:val="auto"/>
                    </w:rPr>
                  </w:pPr>
                  <w:r>
                    <w:rPr>
                      <w:color w:val="auto"/>
                    </w:rPr>
                    <w:t>0</w:t>
                  </w:r>
                </w:p>
              </w:tc>
              <w:tc>
                <w:tcPr>
                  <w:tcW w:w="1503" w:type="dxa"/>
                  <w:tcBorders>
                    <w:tl2br w:val="nil"/>
                    <w:tr2bl w:val="nil"/>
                  </w:tcBorders>
                  <w:vAlign w:val="center"/>
                </w:tcPr>
                <w:p>
                  <w:pPr>
                    <w:pStyle w:val="45"/>
                    <w:rPr>
                      <w:color w:val="auto"/>
                    </w:rPr>
                  </w:pPr>
                  <w:r>
                    <w:rPr>
                      <w:color w:val="auto"/>
                    </w:rPr>
                    <w:t>1.0</w:t>
                  </w:r>
                </w:p>
              </w:tc>
              <w:tc>
                <w:tcPr>
                  <w:tcW w:w="940" w:type="dxa"/>
                  <w:tcBorders>
                    <w:tl2br w:val="nil"/>
                    <w:tr2bl w:val="nil"/>
                  </w:tcBorders>
                  <w:vAlign w:val="center"/>
                </w:tcPr>
                <w:p>
                  <w:pPr>
                    <w:pStyle w:val="45"/>
                    <w:rPr>
                      <w:color w:val="auto"/>
                    </w:rPr>
                  </w:pPr>
                  <w:r>
                    <w:rPr>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764" w:type="dxa"/>
                  <w:vMerge w:val="continue"/>
                  <w:tcBorders>
                    <w:tl2br w:val="nil"/>
                    <w:tr2bl w:val="nil"/>
                  </w:tcBorders>
                  <w:vAlign w:val="center"/>
                </w:tcPr>
                <w:p>
                  <w:pPr>
                    <w:pStyle w:val="45"/>
                    <w:rPr>
                      <w:color w:val="auto"/>
                    </w:rPr>
                  </w:pPr>
                </w:p>
              </w:tc>
              <w:tc>
                <w:tcPr>
                  <w:tcW w:w="1260" w:type="dxa"/>
                  <w:tcBorders>
                    <w:tl2br w:val="nil"/>
                    <w:tr2bl w:val="nil"/>
                  </w:tcBorders>
                  <w:vAlign w:val="center"/>
                </w:tcPr>
                <w:p>
                  <w:pPr>
                    <w:pStyle w:val="45"/>
                    <w:rPr>
                      <w:color w:val="auto"/>
                    </w:rPr>
                  </w:pPr>
                  <w:r>
                    <w:rPr>
                      <w:color w:val="auto"/>
                    </w:rPr>
                    <w:t>粪大肠菌群</w:t>
                  </w:r>
                </w:p>
              </w:tc>
              <w:tc>
                <w:tcPr>
                  <w:tcW w:w="1389" w:type="dxa"/>
                  <w:tcBorders>
                    <w:tl2br w:val="nil"/>
                    <w:tr2bl w:val="nil"/>
                  </w:tcBorders>
                  <w:vAlign w:val="center"/>
                </w:tcPr>
                <w:p>
                  <w:pPr>
                    <w:pStyle w:val="45"/>
                    <w:rPr>
                      <w:color w:val="auto"/>
                    </w:rPr>
                  </w:pPr>
                  <w:r>
                    <w:rPr>
                      <w:color w:val="auto"/>
                    </w:rPr>
                    <w:t>3100~3700</w:t>
                  </w:r>
                </w:p>
              </w:tc>
              <w:tc>
                <w:tcPr>
                  <w:tcW w:w="1036" w:type="dxa"/>
                  <w:tcBorders>
                    <w:tl2br w:val="nil"/>
                    <w:tr2bl w:val="nil"/>
                  </w:tcBorders>
                  <w:vAlign w:val="center"/>
                </w:tcPr>
                <w:p>
                  <w:pPr>
                    <w:pStyle w:val="45"/>
                    <w:rPr>
                      <w:color w:val="auto"/>
                    </w:rPr>
                  </w:pPr>
                  <w:r>
                    <w:rPr>
                      <w:color w:val="auto"/>
                    </w:rPr>
                    <w:t>0</w:t>
                  </w:r>
                </w:p>
              </w:tc>
              <w:tc>
                <w:tcPr>
                  <w:tcW w:w="924" w:type="dxa"/>
                  <w:tcBorders>
                    <w:tl2br w:val="nil"/>
                    <w:tr2bl w:val="nil"/>
                  </w:tcBorders>
                  <w:vAlign w:val="center"/>
                </w:tcPr>
                <w:p>
                  <w:pPr>
                    <w:pStyle w:val="45"/>
                    <w:rPr>
                      <w:color w:val="auto"/>
                    </w:rPr>
                  </w:pPr>
                  <w:r>
                    <w:rPr>
                      <w:color w:val="auto"/>
                    </w:rPr>
                    <w:t>0</w:t>
                  </w:r>
                </w:p>
              </w:tc>
              <w:tc>
                <w:tcPr>
                  <w:tcW w:w="1503" w:type="dxa"/>
                  <w:tcBorders>
                    <w:tl2br w:val="nil"/>
                    <w:tr2bl w:val="nil"/>
                  </w:tcBorders>
                  <w:vAlign w:val="center"/>
                </w:tcPr>
                <w:p>
                  <w:pPr>
                    <w:pStyle w:val="45"/>
                    <w:rPr>
                      <w:color w:val="auto"/>
                    </w:rPr>
                  </w:pPr>
                  <w:r>
                    <w:rPr>
                      <w:color w:val="auto"/>
                    </w:rPr>
                    <w:t>10000</w:t>
                  </w:r>
                </w:p>
              </w:tc>
              <w:tc>
                <w:tcPr>
                  <w:tcW w:w="940" w:type="dxa"/>
                  <w:tcBorders>
                    <w:tl2br w:val="nil"/>
                    <w:tr2bl w:val="nil"/>
                  </w:tcBorders>
                  <w:vAlign w:val="center"/>
                </w:tcPr>
                <w:p>
                  <w:pPr>
                    <w:pStyle w:val="45"/>
                    <w:rPr>
                      <w:color w:val="auto"/>
                    </w:rPr>
                  </w:pPr>
                  <w:r>
                    <w:rPr>
                      <w:color w:val="auto"/>
                    </w:rPr>
                    <w:t>达标</w:t>
                  </w:r>
                </w:p>
              </w:tc>
            </w:tr>
          </w:tbl>
          <w:p>
            <w:pPr>
              <w:spacing w:line="360" w:lineRule="auto"/>
              <w:ind w:firstLine="420" w:firstLineChars="200"/>
              <w:jc w:val="left"/>
              <w:rPr>
                <w:color w:val="auto"/>
                <w:kern w:val="0"/>
                <w:szCs w:val="21"/>
                <w:lang w:val="zh-CN"/>
              </w:rPr>
            </w:pPr>
          </w:p>
          <w:p>
            <w:pPr>
              <w:pStyle w:val="5"/>
              <w:keepNext w:val="0"/>
              <w:keepLines w:val="0"/>
              <w:pageBreakBefore w:val="0"/>
              <w:widowControl w:val="0"/>
              <w:kinsoku/>
              <w:wordWrap/>
              <w:overflowPunct/>
              <w:topLinePunct w:val="0"/>
              <w:autoSpaceDE/>
              <w:autoSpaceDN/>
              <w:bidi w:val="0"/>
              <w:adjustRightInd/>
              <w:snapToGrid w:val="0"/>
              <w:spacing w:after="0" w:line="360" w:lineRule="auto"/>
              <w:ind w:firstLine="480"/>
              <w:textAlignment w:val="auto"/>
              <w:rPr>
                <w:color w:val="auto"/>
                <w:lang w:eastAsia="zh-CN"/>
              </w:rPr>
            </w:pPr>
            <w:bookmarkStart w:id="10" w:name="_Toc373420562"/>
            <w:bookmarkStart w:id="11" w:name="_Toc382922397"/>
            <w:r>
              <w:rPr>
                <w:color w:val="auto"/>
              </w:rPr>
              <w:t>根据监测结果，断面各监测因子均能达到《地表水环境质量标准》（GB3838-2002）Ⅲ</w:t>
            </w:r>
            <w:r>
              <w:rPr>
                <w:color w:val="auto"/>
                <w:szCs w:val="24"/>
              </w:rPr>
              <w:t>类标准，</w:t>
            </w:r>
            <w:r>
              <w:rPr>
                <w:bCs/>
                <w:color w:val="auto"/>
                <w:szCs w:val="24"/>
                <w:lang w:eastAsia="zh-CN"/>
              </w:rPr>
              <w:t>斜坡堰</w:t>
            </w:r>
            <w:r>
              <w:rPr>
                <w:bCs/>
                <w:color w:val="auto"/>
                <w:szCs w:val="24"/>
              </w:rPr>
              <w:t>水库</w:t>
            </w:r>
            <w:r>
              <w:rPr>
                <w:color w:val="auto"/>
                <w:szCs w:val="24"/>
              </w:rPr>
              <w:t>水环境质量较好</w:t>
            </w:r>
            <w:r>
              <w:rPr>
                <w:color w:val="auto"/>
                <w:szCs w:val="24"/>
                <w:lang w:eastAsia="zh-CN"/>
              </w:rPr>
              <w:t>。</w:t>
            </w:r>
          </w:p>
          <w:p>
            <w:pPr>
              <w:adjustRightInd w:val="0"/>
              <w:snapToGrid w:val="0"/>
              <w:spacing w:line="360" w:lineRule="auto"/>
              <w:jc w:val="left"/>
              <w:rPr>
                <w:b/>
                <w:snapToGrid w:val="0"/>
                <w:color w:val="auto"/>
                <w:kern w:val="0"/>
                <w:sz w:val="21"/>
                <w:szCs w:val="21"/>
                <w:u w:val="single"/>
              </w:rPr>
            </w:pPr>
            <w:r>
              <w:rPr>
                <w:b/>
                <w:snapToGrid w:val="0"/>
                <w:color w:val="auto"/>
                <w:kern w:val="0"/>
                <w:sz w:val="21"/>
                <w:szCs w:val="21"/>
                <w:u w:val="single"/>
              </w:rPr>
              <w:t>3、声环境质量现状调查与评价</w:t>
            </w:r>
            <w:bookmarkEnd w:id="10"/>
            <w:bookmarkEnd w:id="11"/>
          </w:p>
          <w:p>
            <w:pPr>
              <w:pStyle w:val="48"/>
              <w:ind w:firstLine="420"/>
              <w:rPr>
                <w:color w:val="auto"/>
                <w:sz w:val="21"/>
                <w:u w:val="single"/>
              </w:rPr>
            </w:pPr>
            <w:r>
              <w:rPr>
                <w:color w:val="auto"/>
                <w:sz w:val="21"/>
                <w:u w:val="single"/>
              </w:rPr>
              <w:t>本次采用</w:t>
            </w:r>
            <w:r>
              <w:rPr>
                <w:rFonts w:hint="eastAsia"/>
                <w:color w:val="auto"/>
                <w:sz w:val="21"/>
                <w:u w:val="single"/>
                <w:lang w:eastAsia="zh-CN"/>
              </w:rPr>
              <w:t>衡阳职安环保科技有限责任</w:t>
            </w:r>
            <w:r>
              <w:rPr>
                <w:color w:val="auto"/>
                <w:sz w:val="21"/>
                <w:u w:val="single"/>
              </w:rPr>
              <w:t>公司于2021年</w:t>
            </w:r>
            <w:r>
              <w:rPr>
                <w:rFonts w:hint="eastAsia"/>
                <w:color w:val="auto"/>
                <w:sz w:val="21"/>
                <w:u w:val="single"/>
                <w:lang w:val="en-US" w:eastAsia="zh-CN"/>
              </w:rPr>
              <w:t>6</w:t>
            </w:r>
            <w:r>
              <w:rPr>
                <w:color w:val="auto"/>
                <w:sz w:val="21"/>
                <w:u w:val="single"/>
              </w:rPr>
              <w:t>月</w:t>
            </w:r>
            <w:r>
              <w:rPr>
                <w:rFonts w:hint="eastAsia"/>
                <w:color w:val="auto"/>
                <w:sz w:val="21"/>
                <w:u w:val="single"/>
                <w:lang w:val="en-US" w:eastAsia="zh-CN"/>
              </w:rPr>
              <w:t>2</w:t>
            </w:r>
            <w:r>
              <w:rPr>
                <w:color w:val="auto"/>
                <w:sz w:val="21"/>
                <w:u w:val="single"/>
              </w:rPr>
              <w:t>1日监测的数据进行评价，具体数据如下：</w:t>
            </w:r>
          </w:p>
          <w:p>
            <w:pPr>
              <w:pStyle w:val="5"/>
              <w:ind w:firstLine="472"/>
              <w:rPr>
                <w:color w:val="auto"/>
                <w:spacing w:val="-2"/>
              </w:rPr>
            </w:pPr>
            <w:r>
              <w:rPr>
                <w:color w:val="auto"/>
                <w:spacing w:val="-2"/>
              </w:rPr>
              <w:t>（1）监测点位：</w:t>
            </w:r>
            <w:r>
              <w:rPr>
                <w:color w:val="auto"/>
              </w:rPr>
              <w:t>本项目东、南、西、北</w:t>
            </w:r>
            <w:r>
              <w:rPr>
                <w:bCs/>
                <w:color w:val="auto"/>
              </w:rPr>
              <w:t>四个方向边界外1m处</w:t>
            </w:r>
            <w:r>
              <w:rPr>
                <w:rFonts w:hint="eastAsia"/>
                <w:bCs/>
                <w:color w:val="auto"/>
                <w:lang w:eastAsia="zh-CN"/>
              </w:rPr>
              <w:t>及厂界东北侧</w:t>
            </w:r>
            <w:r>
              <w:rPr>
                <w:rFonts w:hint="eastAsia"/>
                <w:bCs/>
                <w:color w:val="auto"/>
                <w:lang w:val="en-US" w:eastAsia="zh-CN"/>
              </w:rPr>
              <w:t>20m处民居</w:t>
            </w:r>
            <w:r>
              <w:rPr>
                <w:bCs/>
                <w:color w:val="auto"/>
              </w:rPr>
              <w:t>；</w:t>
            </w:r>
          </w:p>
          <w:p>
            <w:pPr>
              <w:pStyle w:val="5"/>
              <w:ind w:firstLine="472"/>
              <w:rPr>
                <w:color w:val="auto"/>
                <w:spacing w:val="-2"/>
              </w:rPr>
            </w:pPr>
            <w:r>
              <w:rPr>
                <w:color w:val="auto"/>
                <w:spacing w:val="-2"/>
              </w:rPr>
              <w:t>（2）监测因子：</w:t>
            </w:r>
            <w:r>
              <w:rPr>
                <w:bCs/>
                <w:color w:val="auto"/>
              </w:rPr>
              <w:t>Leq(A)</w:t>
            </w:r>
            <w:r>
              <w:rPr>
                <w:color w:val="auto"/>
                <w:spacing w:val="-2"/>
              </w:rPr>
              <w:t>；</w:t>
            </w:r>
          </w:p>
          <w:p>
            <w:pPr>
              <w:pStyle w:val="5"/>
              <w:ind w:firstLine="472"/>
              <w:rPr>
                <w:color w:val="auto"/>
                <w:spacing w:val="-2"/>
              </w:rPr>
            </w:pPr>
            <w:r>
              <w:rPr>
                <w:color w:val="auto"/>
                <w:spacing w:val="-2"/>
              </w:rPr>
              <w:t>（3）监测时间及频次：20</w:t>
            </w:r>
            <w:r>
              <w:rPr>
                <w:rFonts w:hint="eastAsia"/>
                <w:color w:val="auto"/>
                <w:spacing w:val="-2"/>
                <w:lang w:eastAsia="zh-CN"/>
              </w:rPr>
              <w:t>2</w:t>
            </w:r>
            <w:r>
              <w:rPr>
                <w:rFonts w:hint="eastAsia"/>
                <w:color w:val="auto"/>
                <w:spacing w:val="-2"/>
                <w:lang w:val="en-US" w:eastAsia="zh-CN"/>
              </w:rPr>
              <w:t>1</w:t>
            </w:r>
            <w:r>
              <w:rPr>
                <w:color w:val="auto"/>
                <w:spacing w:val="-2"/>
              </w:rPr>
              <w:t>年</w:t>
            </w:r>
            <w:r>
              <w:rPr>
                <w:rFonts w:hint="eastAsia"/>
                <w:color w:val="auto"/>
                <w:spacing w:val="-2"/>
                <w:lang w:val="en-US" w:eastAsia="zh-CN"/>
              </w:rPr>
              <w:t>6</w:t>
            </w:r>
            <w:r>
              <w:rPr>
                <w:color w:val="auto"/>
                <w:spacing w:val="-2"/>
              </w:rPr>
              <w:t>月</w:t>
            </w:r>
            <w:r>
              <w:rPr>
                <w:rFonts w:hint="eastAsia"/>
                <w:color w:val="auto"/>
                <w:spacing w:val="-2"/>
                <w:lang w:val="en-US" w:eastAsia="zh-CN"/>
              </w:rPr>
              <w:t>21</w:t>
            </w:r>
            <w:r>
              <w:rPr>
                <w:color w:val="auto"/>
                <w:spacing w:val="-2"/>
              </w:rPr>
              <w:t>日，监测</w:t>
            </w:r>
            <w:r>
              <w:rPr>
                <w:rFonts w:hint="eastAsia"/>
                <w:color w:val="auto"/>
                <w:spacing w:val="-2"/>
                <w:lang w:val="en-US" w:eastAsia="zh-CN"/>
              </w:rPr>
              <w:t>1</w:t>
            </w:r>
            <w:r>
              <w:rPr>
                <w:color w:val="auto"/>
                <w:spacing w:val="-2"/>
              </w:rPr>
              <w:t>天，</w:t>
            </w:r>
            <w:r>
              <w:rPr>
                <w:color w:val="auto"/>
              </w:rPr>
              <w:t>昼间、夜间各</w:t>
            </w:r>
            <w:r>
              <w:rPr>
                <w:color w:val="auto"/>
                <w:spacing w:val="-2"/>
              </w:rPr>
              <w:t>1次；</w:t>
            </w:r>
          </w:p>
          <w:p>
            <w:pPr>
              <w:pStyle w:val="5"/>
              <w:ind w:firstLine="480"/>
              <w:rPr>
                <w:color w:val="auto"/>
              </w:rPr>
            </w:pPr>
            <w:r>
              <w:rPr>
                <w:color w:val="auto"/>
              </w:rPr>
              <w:t>（4）评价标准：</w:t>
            </w:r>
            <w:r>
              <w:rPr>
                <w:bCs/>
                <w:color w:val="auto"/>
              </w:rPr>
              <w:t>《声环境质量标准》（GB3096-2008）中的2类标准；</w:t>
            </w:r>
          </w:p>
          <w:p>
            <w:pPr>
              <w:pStyle w:val="5"/>
              <w:ind w:firstLine="480"/>
              <w:rPr>
                <w:color w:val="auto"/>
              </w:rPr>
            </w:pPr>
            <w:r>
              <w:rPr>
                <w:color w:val="auto"/>
              </w:rPr>
              <w:t>（5）监测结果：见下表。</w:t>
            </w:r>
          </w:p>
          <w:p>
            <w:pPr>
              <w:pStyle w:val="8"/>
              <w:rPr>
                <w:color w:val="auto"/>
                <w:spacing w:val="2"/>
              </w:rPr>
            </w:pPr>
            <w:r>
              <w:rPr>
                <w:color w:val="auto"/>
              </w:rPr>
              <w:t>表3.3-1   噪声监测结果单位：dB(A)</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
              <w:gridCol w:w="1917"/>
              <w:gridCol w:w="750"/>
              <w:gridCol w:w="773"/>
              <w:gridCol w:w="1068"/>
              <w:gridCol w:w="959"/>
              <w:gridCol w:w="1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901" w:type="dxa"/>
                  <w:vMerge w:val="restart"/>
                  <w:noWrap w:val="0"/>
                  <w:vAlign w:val="center"/>
                </w:tcPr>
                <w:p>
                  <w:pPr>
                    <w:pStyle w:val="45"/>
                    <w:rPr>
                      <w:color w:val="auto"/>
                      <w:sz w:val="21"/>
                      <w:szCs w:val="21"/>
                    </w:rPr>
                  </w:pPr>
                  <w:r>
                    <w:rPr>
                      <w:color w:val="auto"/>
                      <w:sz w:val="21"/>
                      <w:szCs w:val="21"/>
                    </w:rPr>
                    <w:t>监测日期</w:t>
                  </w:r>
                </w:p>
              </w:tc>
              <w:tc>
                <w:tcPr>
                  <w:tcW w:w="1917" w:type="dxa"/>
                  <w:vMerge w:val="restart"/>
                  <w:noWrap w:val="0"/>
                  <w:vAlign w:val="center"/>
                </w:tcPr>
                <w:p>
                  <w:pPr>
                    <w:pStyle w:val="45"/>
                    <w:rPr>
                      <w:color w:val="auto"/>
                      <w:sz w:val="21"/>
                      <w:szCs w:val="21"/>
                    </w:rPr>
                  </w:pPr>
                  <w:r>
                    <w:rPr>
                      <w:color w:val="auto"/>
                      <w:sz w:val="21"/>
                      <w:szCs w:val="21"/>
                    </w:rPr>
                    <w:t>监测位置</w:t>
                  </w:r>
                </w:p>
              </w:tc>
              <w:tc>
                <w:tcPr>
                  <w:tcW w:w="4821" w:type="dxa"/>
                  <w:gridSpan w:val="5"/>
                  <w:noWrap w:val="0"/>
                  <w:vAlign w:val="center"/>
                </w:tcPr>
                <w:p>
                  <w:pPr>
                    <w:pStyle w:val="45"/>
                    <w:rPr>
                      <w:color w:val="auto"/>
                      <w:sz w:val="21"/>
                      <w:szCs w:val="21"/>
                    </w:rPr>
                  </w:pPr>
                  <w:r>
                    <w:rPr>
                      <w:color w:val="auto"/>
                      <w:sz w:val="21"/>
                      <w:szCs w:val="21"/>
                    </w:rPr>
                    <w:t>监测结果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901" w:type="dxa"/>
                  <w:vMerge w:val="continue"/>
                  <w:noWrap w:val="0"/>
                  <w:vAlign w:val="center"/>
                </w:tcPr>
                <w:p>
                  <w:pPr>
                    <w:pStyle w:val="45"/>
                    <w:rPr>
                      <w:color w:val="auto"/>
                      <w:sz w:val="21"/>
                      <w:szCs w:val="21"/>
                    </w:rPr>
                  </w:pPr>
                </w:p>
              </w:tc>
              <w:tc>
                <w:tcPr>
                  <w:tcW w:w="1917" w:type="dxa"/>
                  <w:vMerge w:val="continue"/>
                  <w:noWrap w:val="0"/>
                  <w:vAlign w:val="center"/>
                </w:tcPr>
                <w:p>
                  <w:pPr>
                    <w:pStyle w:val="45"/>
                    <w:rPr>
                      <w:color w:val="auto"/>
                      <w:sz w:val="21"/>
                      <w:szCs w:val="21"/>
                    </w:rPr>
                  </w:pPr>
                </w:p>
              </w:tc>
              <w:tc>
                <w:tcPr>
                  <w:tcW w:w="750" w:type="dxa"/>
                  <w:vMerge w:val="restart"/>
                  <w:noWrap w:val="0"/>
                  <w:vAlign w:val="center"/>
                </w:tcPr>
                <w:p>
                  <w:pPr>
                    <w:pStyle w:val="45"/>
                    <w:rPr>
                      <w:color w:val="auto"/>
                      <w:sz w:val="21"/>
                      <w:szCs w:val="21"/>
                    </w:rPr>
                  </w:pPr>
                  <w:r>
                    <w:rPr>
                      <w:color w:val="auto"/>
                      <w:sz w:val="21"/>
                      <w:szCs w:val="21"/>
                    </w:rPr>
                    <w:t>昼间</w:t>
                  </w:r>
                </w:p>
              </w:tc>
              <w:tc>
                <w:tcPr>
                  <w:tcW w:w="773" w:type="dxa"/>
                  <w:vMerge w:val="restart"/>
                  <w:noWrap w:val="0"/>
                  <w:vAlign w:val="center"/>
                </w:tcPr>
                <w:p>
                  <w:pPr>
                    <w:pStyle w:val="45"/>
                    <w:rPr>
                      <w:color w:val="auto"/>
                      <w:sz w:val="21"/>
                      <w:szCs w:val="21"/>
                    </w:rPr>
                  </w:pPr>
                  <w:r>
                    <w:rPr>
                      <w:color w:val="auto"/>
                      <w:sz w:val="21"/>
                      <w:szCs w:val="21"/>
                    </w:rPr>
                    <w:t>夜间</w:t>
                  </w:r>
                </w:p>
              </w:tc>
              <w:tc>
                <w:tcPr>
                  <w:tcW w:w="2027" w:type="dxa"/>
                  <w:gridSpan w:val="2"/>
                  <w:noWrap w:val="0"/>
                  <w:vAlign w:val="center"/>
                </w:tcPr>
                <w:p>
                  <w:pPr>
                    <w:pStyle w:val="45"/>
                    <w:rPr>
                      <w:bCs/>
                      <w:color w:val="auto"/>
                      <w:sz w:val="21"/>
                      <w:szCs w:val="21"/>
                    </w:rPr>
                  </w:pPr>
                  <w:r>
                    <w:rPr>
                      <w:bCs/>
                      <w:color w:val="auto"/>
                      <w:sz w:val="21"/>
                      <w:szCs w:val="21"/>
                    </w:rPr>
                    <w:t>（GB3096-2008）</w:t>
                  </w:r>
                </w:p>
                <w:p>
                  <w:pPr>
                    <w:pStyle w:val="45"/>
                    <w:rPr>
                      <w:bCs/>
                      <w:color w:val="auto"/>
                      <w:sz w:val="21"/>
                      <w:szCs w:val="21"/>
                    </w:rPr>
                  </w:pPr>
                  <w:r>
                    <w:rPr>
                      <w:bCs/>
                      <w:color w:val="auto"/>
                      <w:sz w:val="21"/>
                      <w:szCs w:val="21"/>
                    </w:rPr>
                    <w:t>2类标准</w:t>
                  </w:r>
                </w:p>
              </w:tc>
              <w:tc>
                <w:tcPr>
                  <w:tcW w:w="1271" w:type="dxa"/>
                  <w:vMerge w:val="restart"/>
                  <w:noWrap w:val="0"/>
                  <w:vAlign w:val="center"/>
                </w:tcPr>
                <w:p>
                  <w:pPr>
                    <w:pStyle w:val="45"/>
                    <w:rPr>
                      <w:color w:val="auto"/>
                      <w:sz w:val="21"/>
                      <w:szCs w:val="21"/>
                    </w:rPr>
                  </w:pPr>
                  <w:r>
                    <w:rPr>
                      <w:color w:val="auto"/>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901" w:type="dxa"/>
                  <w:vMerge w:val="continue"/>
                  <w:noWrap w:val="0"/>
                  <w:vAlign w:val="center"/>
                </w:tcPr>
                <w:p>
                  <w:pPr>
                    <w:pStyle w:val="45"/>
                    <w:rPr>
                      <w:color w:val="auto"/>
                      <w:sz w:val="21"/>
                      <w:szCs w:val="21"/>
                    </w:rPr>
                  </w:pPr>
                </w:p>
              </w:tc>
              <w:tc>
                <w:tcPr>
                  <w:tcW w:w="1917" w:type="dxa"/>
                  <w:vMerge w:val="continue"/>
                  <w:noWrap w:val="0"/>
                  <w:vAlign w:val="center"/>
                </w:tcPr>
                <w:p>
                  <w:pPr>
                    <w:pStyle w:val="45"/>
                    <w:rPr>
                      <w:color w:val="auto"/>
                      <w:sz w:val="21"/>
                      <w:szCs w:val="21"/>
                    </w:rPr>
                  </w:pPr>
                </w:p>
              </w:tc>
              <w:tc>
                <w:tcPr>
                  <w:tcW w:w="750" w:type="dxa"/>
                  <w:vMerge w:val="continue"/>
                  <w:noWrap w:val="0"/>
                  <w:vAlign w:val="center"/>
                </w:tcPr>
                <w:p>
                  <w:pPr>
                    <w:pStyle w:val="45"/>
                    <w:rPr>
                      <w:color w:val="auto"/>
                      <w:sz w:val="21"/>
                      <w:szCs w:val="21"/>
                    </w:rPr>
                  </w:pPr>
                </w:p>
              </w:tc>
              <w:tc>
                <w:tcPr>
                  <w:tcW w:w="773" w:type="dxa"/>
                  <w:vMerge w:val="continue"/>
                  <w:noWrap w:val="0"/>
                  <w:vAlign w:val="center"/>
                </w:tcPr>
                <w:p>
                  <w:pPr>
                    <w:pStyle w:val="45"/>
                    <w:rPr>
                      <w:color w:val="auto"/>
                      <w:sz w:val="21"/>
                      <w:szCs w:val="21"/>
                    </w:rPr>
                  </w:pPr>
                </w:p>
              </w:tc>
              <w:tc>
                <w:tcPr>
                  <w:tcW w:w="1068" w:type="dxa"/>
                  <w:noWrap w:val="0"/>
                  <w:vAlign w:val="center"/>
                </w:tcPr>
                <w:p>
                  <w:pPr>
                    <w:pStyle w:val="45"/>
                    <w:rPr>
                      <w:color w:val="auto"/>
                      <w:sz w:val="21"/>
                      <w:szCs w:val="21"/>
                    </w:rPr>
                  </w:pPr>
                  <w:r>
                    <w:rPr>
                      <w:color w:val="auto"/>
                      <w:sz w:val="21"/>
                      <w:szCs w:val="21"/>
                    </w:rPr>
                    <w:t>昼间</w:t>
                  </w:r>
                </w:p>
              </w:tc>
              <w:tc>
                <w:tcPr>
                  <w:tcW w:w="959" w:type="dxa"/>
                  <w:noWrap w:val="0"/>
                  <w:vAlign w:val="center"/>
                </w:tcPr>
                <w:p>
                  <w:pPr>
                    <w:pStyle w:val="45"/>
                    <w:rPr>
                      <w:color w:val="auto"/>
                      <w:sz w:val="21"/>
                      <w:szCs w:val="21"/>
                    </w:rPr>
                  </w:pPr>
                  <w:r>
                    <w:rPr>
                      <w:color w:val="auto"/>
                      <w:sz w:val="21"/>
                      <w:szCs w:val="21"/>
                    </w:rPr>
                    <w:t>夜间</w:t>
                  </w:r>
                </w:p>
              </w:tc>
              <w:tc>
                <w:tcPr>
                  <w:tcW w:w="1271" w:type="dxa"/>
                  <w:vMerge w:val="continue"/>
                  <w:noWrap w:val="0"/>
                  <w:vAlign w:val="center"/>
                </w:tcPr>
                <w:p>
                  <w:pPr>
                    <w:pStyle w:val="45"/>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01" w:type="dxa"/>
                  <w:vMerge w:val="restart"/>
                  <w:noWrap w:val="0"/>
                  <w:vAlign w:val="center"/>
                </w:tcPr>
                <w:p>
                  <w:pPr>
                    <w:pStyle w:val="45"/>
                    <w:rPr>
                      <w:color w:val="auto"/>
                      <w:sz w:val="21"/>
                      <w:szCs w:val="21"/>
                    </w:rPr>
                  </w:pPr>
                  <w:r>
                    <w:rPr>
                      <w:color w:val="auto"/>
                      <w:spacing w:val="-2"/>
                      <w:sz w:val="21"/>
                      <w:szCs w:val="21"/>
                    </w:rPr>
                    <w:t>20</w:t>
                  </w:r>
                  <w:r>
                    <w:rPr>
                      <w:rFonts w:hint="eastAsia"/>
                      <w:color w:val="auto"/>
                      <w:spacing w:val="-2"/>
                      <w:sz w:val="21"/>
                      <w:szCs w:val="21"/>
                      <w:lang w:eastAsia="zh-CN"/>
                    </w:rPr>
                    <w:t>2</w:t>
                  </w:r>
                  <w:r>
                    <w:rPr>
                      <w:rFonts w:hint="eastAsia"/>
                      <w:color w:val="auto"/>
                      <w:spacing w:val="-2"/>
                      <w:sz w:val="21"/>
                      <w:szCs w:val="21"/>
                      <w:lang w:val="en-US" w:eastAsia="zh-CN"/>
                    </w:rPr>
                    <w:t>1</w:t>
                  </w:r>
                  <w:r>
                    <w:rPr>
                      <w:color w:val="auto"/>
                      <w:spacing w:val="-2"/>
                      <w:sz w:val="21"/>
                      <w:szCs w:val="21"/>
                    </w:rPr>
                    <w:t>年</w:t>
                  </w:r>
                  <w:r>
                    <w:rPr>
                      <w:rFonts w:hint="eastAsia"/>
                      <w:color w:val="auto"/>
                      <w:spacing w:val="-2"/>
                      <w:sz w:val="21"/>
                      <w:szCs w:val="21"/>
                      <w:lang w:val="en-US" w:eastAsia="zh-CN"/>
                    </w:rPr>
                    <w:t>6</w:t>
                  </w:r>
                  <w:r>
                    <w:rPr>
                      <w:color w:val="auto"/>
                      <w:spacing w:val="-2"/>
                      <w:sz w:val="21"/>
                      <w:szCs w:val="21"/>
                    </w:rPr>
                    <w:t>月</w:t>
                  </w:r>
                  <w:r>
                    <w:rPr>
                      <w:rFonts w:hint="eastAsia"/>
                      <w:color w:val="auto"/>
                      <w:spacing w:val="-2"/>
                      <w:sz w:val="21"/>
                      <w:szCs w:val="21"/>
                      <w:lang w:val="en-US" w:eastAsia="zh-CN"/>
                    </w:rPr>
                    <w:t>21</w:t>
                  </w:r>
                  <w:r>
                    <w:rPr>
                      <w:color w:val="auto"/>
                      <w:spacing w:val="-2"/>
                      <w:sz w:val="21"/>
                      <w:szCs w:val="21"/>
                    </w:rPr>
                    <w:t>日</w:t>
                  </w:r>
                </w:p>
              </w:tc>
              <w:tc>
                <w:tcPr>
                  <w:tcW w:w="1917" w:type="dxa"/>
                  <w:noWrap w:val="0"/>
                  <w:vAlign w:val="center"/>
                </w:tcPr>
                <w:p>
                  <w:pPr>
                    <w:pStyle w:val="45"/>
                    <w:rPr>
                      <w:color w:val="auto"/>
                      <w:sz w:val="21"/>
                      <w:szCs w:val="21"/>
                    </w:rPr>
                  </w:pPr>
                  <w:r>
                    <w:rPr>
                      <w:color w:val="auto"/>
                      <w:sz w:val="21"/>
                      <w:szCs w:val="21"/>
                    </w:rPr>
                    <w:t>N1：北厂界外1m</w:t>
                  </w:r>
                </w:p>
              </w:tc>
              <w:tc>
                <w:tcPr>
                  <w:tcW w:w="750" w:type="dxa"/>
                  <w:noWrap w:val="0"/>
                  <w:vAlign w:val="center"/>
                </w:tcPr>
                <w:p>
                  <w:pPr>
                    <w:pStyle w:val="45"/>
                    <w:rPr>
                      <w:bCs/>
                      <w:color w:val="auto"/>
                      <w:sz w:val="21"/>
                      <w:szCs w:val="21"/>
                    </w:rPr>
                  </w:pPr>
                  <w:r>
                    <w:rPr>
                      <w:bCs/>
                      <w:color w:val="auto"/>
                      <w:sz w:val="21"/>
                      <w:szCs w:val="21"/>
                    </w:rPr>
                    <w:t>5</w:t>
                  </w:r>
                  <w:r>
                    <w:rPr>
                      <w:rFonts w:hint="default"/>
                      <w:bCs/>
                      <w:color w:val="auto"/>
                      <w:sz w:val="21"/>
                      <w:szCs w:val="21"/>
                      <w:lang w:val="en-US"/>
                    </w:rPr>
                    <w:t>7</w:t>
                  </w:r>
                </w:p>
              </w:tc>
              <w:tc>
                <w:tcPr>
                  <w:tcW w:w="773" w:type="dxa"/>
                  <w:noWrap w:val="0"/>
                  <w:vAlign w:val="center"/>
                </w:tcPr>
                <w:p>
                  <w:pPr>
                    <w:pStyle w:val="45"/>
                    <w:rPr>
                      <w:color w:val="auto"/>
                      <w:sz w:val="21"/>
                      <w:szCs w:val="21"/>
                    </w:rPr>
                  </w:pPr>
                  <w:r>
                    <w:rPr>
                      <w:color w:val="auto"/>
                      <w:sz w:val="21"/>
                      <w:szCs w:val="21"/>
                    </w:rPr>
                    <w:t>4</w:t>
                  </w:r>
                  <w:r>
                    <w:rPr>
                      <w:rFonts w:hint="default"/>
                      <w:color w:val="auto"/>
                      <w:sz w:val="21"/>
                      <w:szCs w:val="21"/>
                      <w:lang w:val="en-US" w:eastAsia="zh-CN"/>
                    </w:rPr>
                    <w:t>6</w:t>
                  </w:r>
                </w:p>
              </w:tc>
              <w:tc>
                <w:tcPr>
                  <w:tcW w:w="1068" w:type="dxa"/>
                  <w:noWrap w:val="0"/>
                  <w:vAlign w:val="center"/>
                </w:tcPr>
                <w:p>
                  <w:pPr>
                    <w:pStyle w:val="45"/>
                    <w:rPr>
                      <w:color w:val="auto"/>
                      <w:sz w:val="21"/>
                      <w:szCs w:val="21"/>
                    </w:rPr>
                  </w:pPr>
                  <w:r>
                    <w:rPr>
                      <w:color w:val="auto"/>
                      <w:sz w:val="21"/>
                      <w:szCs w:val="21"/>
                    </w:rPr>
                    <w:t>60</w:t>
                  </w:r>
                </w:p>
              </w:tc>
              <w:tc>
                <w:tcPr>
                  <w:tcW w:w="959" w:type="dxa"/>
                  <w:noWrap w:val="0"/>
                  <w:vAlign w:val="center"/>
                </w:tcPr>
                <w:p>
                  <w:pPr>
                    <w:pStyle w:val="45"/>
                    <w:rPr>
                      <w:color w:val="auto"/>
                      <w:sz w:val="21"/>
                      <w:szCs w:val="21"/>
                    </w:rPr>
                  </w:pPr>
                  <w:r>
                    <w:rPr>
                      <w:color w:val="auto"/>
                      <w:sz w:val="21"/>
                      <w:szCs w:val="21"/>
                    </w:rPr>
                    <w:t>50</w:t>
                  </w:r>
                </w:p>
              </w:tc>
              <w:tc>
                <w:tcPr>
                  <w:tcW w:w="1271" w:type="dxa"/>
                  <w:noWrap w:val="0"/>
                  <w:vAlign w:val="center"/>
                </w:tcPr>
                <w:p>
                  <w:pPr>
                    <w:pStyle w:val="45"/>
                    <w:rPr>
                      <w:color w:val="auto"/>
                      <w:sz w:val="21"/>
                      <w:szCs w:val="21"/>
                    </w:rPr>
                  </w:pPr>
                  <w:r>
                    <w:rPr>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901" w:type="dxa"/>
                  <w:vMerge w:val="continue"/>
                  <w:noWrap w:val="0"/>
                  <w:vAlign w:val="center"/>
                </w:tcPr>
                <w:p>
                  <w:pPr>
                    <w:pStyle w:val="45"/>
                    <w:rPr>
                      <w:color w:val="auto"/>
                      <w:sz w:val="21"/>
                      <w:szCs w:val="21"/>
                    </w:rPr>
                  </w:pPr>
                </w:p>
              </w:tc>
              <w:tc>
                <w:tcPr>
                  <w:tcW w:w="1917" w:type="dxa"/>
                  <w:noWrap w:val="0"/>
                  <w:vAlign w:val="center"/>
                </w:tcPr>
                <w:p>
                  <w:pPr>
                    <w:pStyle w:val="45"/>
                    <w:rPr>
                      <w:color w:val="auto"/>
                      <w:sz w:val="21"/>
                      <w:szCs w:val="21"/>
                    </w:rPr>
                  </w:pPr>
                  <w:r>
                    <w:rPr>
                      <w:color w:val="auto"/>
                      <w:sz w:val="21"/>
                      <w:szCs w:val="21"/>
                    </w:rPr>
                    <w:t>N2：西厂界外1m</w:t>
                  </w:r>
                </w:p>
              </w:tc>
              <w:tc>
                <w:tcPr>
                  <w:tcW w:w="750" w:type="dxa"/>
                  <w:noWrap w:val="0"/>
                  <w:vAlign w:val="center"/>
                </w:tcPr>
                <w:p>
                  <w:pPr>
                    <w:pStyle w:val="45"/>
                    <w:rPr>
                      <w:bCs/>
                      <w:color w:val="auto"/>
                      <w:sz w:val="21"/>
                      <w:szCs w:val="21"/>
                    </w:rPr>
                  </w:pPr>
                  <w:r>
                    <w:rPr>
                      <w:bCs/>
                      <w:color w:val="auto"/>
                      <w:sz w:val="21"/>
                      <w:szCs w:val="21"/>
                    </w:rPr>
                    <w:t>5</w:t>
                  </w:r>
                  <w:r>
                    <w:rPr>
                      <w:rFonts w:hint="default"/>
                      <w:bCs/>
                      <w:color w:val="auto"/>
                      <w:sz w:val="21"/>
                      <w:szCs w:val="21"/>
                      <w:lang w:val="en-US" w:eastAsia="zh-CN"/>
                    </w:rPr>
                    <w:t>0</w:t>
                  </w:r>
                </w:p>
              </w:tc>
              <w:tc>
                <w:tcPr>
                  <w:tcW w:w="773" w:type="dxa"/>
                  <w:noWrap w:val="0"/>
                  <w:vAlign w:val="center"/>
                </w:tcPr>
                <w:p>
                  <w:pPr>
                    <w:pStyle w:val="45"/>
                    <w:rPr>
                      <w:rFonts w:hint="default"/>
                      <w:color w:val="auto"/>
                      <w:sz w:val="21"/>
                      <w:szCs w:val="21"/>
                      <w:lang w:val="en-US"/>
                    </w:rPr>
                  </w:pPr>
                  <w:r>
                    <w:rPr>
                      <w:rFonts w:hint="default"/>
                      <w:color w:val="auto"/>
                      <w:sz w:val="21"/>
                      <w:szCs w:val="21"/>
                      <w:lang w:val="en-US"/>
                    </w:rPr>
                    <w:t>44</w:t>
                  </w:r>
                </w:p>
              </w:tc>
              <w:tc>
                <w:tcPr>
                  <w:tcW w:w="1068" w:type="dxa"/>
                  <w:noWrap w:val="0"/>
                  <w:vAlign w:val="center"/>
                </w:tcPr>
                <w:p>
                  <w:pPr>
                    <w:pStyle w:val="45"/>
                    <w:rPr>
                      <w:color w:val="auto"/>
                      <w:sz w:val="21"/>
                      <w:szCs w:val="21"/>
                    </w:rPr>
                  </w:pPr>
                  <w:r>
                    <w:rPr>
                      <w:color w:val="auto"/>
                      <w:sz w:val="21"/>
                      <w:szCs w:val="21"/>
                    </w:rPr>
                    <w:t>60</w:t>
                  </w:r>
                </w:p>
              </w:tc>
              <w:tc>
                <w:tcPr>
                  <w:tcW w:w="959" w:type="dxa"/>
                  <w:noWrap w:val="0"/>
                  <w:vAlign w:val="center"/>
                </w:tcPr>
                <w:p>
                  <w:pPr>
                    <w:pStyle w:val="45"/>
                    <w:rPr>
                      <w:color w:val="auto"/>
                      <w:sz w:val="21"/>
                      <w:szCs w:val="21"/>
                    </w:rPr>
                  </w:pPr>
                  <w:r>
                    <w:rPr>
                      <w:color w:val="auto"/>
                      <w:sz w:val="21"/>
                      <w:szCs w:val="21"/>
                    </w:rPr>
                    <w:t>50</w:t>
                  </w:r>
                </w:p>
              </w:tc>
              <w:tc>
                <w:tcPr>
                  <w:tcW w:w="1271" w:type="dxa"/>
                  <w:noWrap w:val="0"/>
                  <w:vAlign w:val="center"/>
                </w:tcPr>
                <w:p>
                  <w:pPr>
                    <w:pStyle w:val="45"/>
                    <w:rPr>
                      <w:color w:val="auto"/>
                      <w:sz w:val="21"/>
                      <w:szCs w:val="21"/>
                    </w:rPr>
                  </w:pPr>
                  <w:r>
                    <w:rPr>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901" w:type="dxa"/>
                  <w:vMerge w:val="continue"/>
                  <w:noWrap w:val="0"/>
                  <w:vAlign w:val="center"/>
                </w:tcPr>
                <w:p>
                  <w:pPr>
                    <w:pStyle w:val="45"/>
                    <w:rPr>
                      <w:color w:val="auto"/>
                      <w:sz w:val="21"/>
                      <w:szCs w:val="21"/>
                    </w:rPr>
                  </w:pPr>
                </w:p>
              </w:tc>
              <w:tc>
                <w:tcPr>
                  <w:tcW w:w="1917" w:type="dxa"/>
                  <w:noWrap w:val="0"/>
                  <w:vAlign w:val="center"/>
                </w:tcPr>
                <w:p>
                  <w:pPr>
                    <w:pStyle w:val="45"/>
                    <w:rPr>
                      <w:color w:val="auto"/>
                      <w:sz w:val="21"/>
                      <w:szCs w:val="21"/>
                    </w:rPr>
                  </w:pPr>
                  <w:r>
                    <w:rPr>
                      <w:color w:val="auto"/>
                      <w:sz w:val="21"/>
                      <w:szCs w:val="21"/>
                    </w:rPr>
                    <w:t>N3：东厂界外1m</w:t>
                  </w:r>
                </w:p>
              </w:tc>
              <w:tc>
                <w:tcPr>
                  <w:tcW w:w="750" w:type="dxa"/>
                  <w:noWrap w:val="0"/>
                  <w:vAlign w:val="center"/>
                </w:tcPr>
                <w:p>
                  <w:pPr>
                    <w:pStyle w:val="45"/>
                    <w:rPr>
                      <w:rFonts w:hint="default"/>
                      <w:bCs/>
                      <w:color w:val="auto"/>
                      <w:sz w:val="21"/>
                      <w:szCs w:val="21"/>
                      <w:lang w:val="en-US"/>
                    </w:rPr>
                  </w:pPr>
                  <w:r>
                    <w:rPr>
                      <w:rFonts w:hint="default"/>
                      <w:bCs/>
                      <w:color w:val="auto"/>
                      <w:sz w:val="21"/>
                      <w:szCs w:val="21"/>
                      <w:lang w:val="en-US"/>
                    </w:rPr>
                    <w:t>52</w:t>
                  </w:r>
                </w:p>
              </w:tc>
              <w:tc>
                <w:tcPr>
                  <w:tcW w:w="773" w:type="dxa"/>
                  <w:noWrap w:val="0"/>
                  <w:vAlign w:val="center"/>
                </w:tcPr>
                <w:p>
                  <w:pPr>
                    <w:pStyle w:val="45"/>
                    <w:rPr>
                      <w:rFonts w:hint="default"/>
                      <w:color w:val="auto"/>
                      <w:sz w:val="21"/>
                      <w:szCs w:val="21"/>
                      <w:lang w:val="en-US"/>
                    </w:rPr>
                  </w:pPr>
                  <w:r>
                    <w:rPr>
                      <w:rFonts w:hint="default"/>
                      <w:color w:val="auto"/>
                      <w:sz w:val="21"/>
                      <w:szCs w:val="21"/>
                      <w:lang w:val="en-US"/>
                    </w:rPr>
                    <w:t>47</w:t>
                  </w:r>
                </w:p>
              </w:tc>
              <w:tc>
                <w:tcPr>
                  <w:tcW w:w="1068" w:type="dxa"/>
                  <w:noWrap w:val="0"/>
                  <w:vAlign w:val="center"/>
                </w:tcPr>
                <w:p>
                  <w:pPr>
                    <w:pStyle w:val="45"/>
                    <w:rPr>
                      <w:color w:val="auto"/>
                      <w:sz w:val="21"/>
                      <w:szCs w:val="21"/>
                    </w:rPr>
                  </w:pPr>
                  <w:r>
                    <w:rPr>
                      <w:color w:val="auto"/>
                      <w:sz w:val="21"/>
                      <w:szCs w:val="21"/>
                    </w:rPr>
                    <w:t>60</w:t>
                  </w:r>
                </w:p>
              </w:tc>
              <w:tc>
                <w:tcPr>
                  <w:tcW w:w="959" w:type="dxa"/>
                  <w:noWrap w:val="0"/>
                  <w:vAlign w:val="center"/>
                </w:tcPr>
                <w:p>
                  <w:pPr>
                    <w:pStyle w:val="45"/>
                    <w:rPr>
                      <w:color w:val="auto"/>
                      <w:sz w:val="21"/>
                      <w:szCs w:val="21"/>
                    </w:rPr>
                  </w:pPr>
                  <w:r>
                    <w:rPr>
                      <w:color w:val="auto"/>
                      <w:sz w:val="21"/>
                      <w:szCs w:val="21"/>
                    </w:rPr>
                    <w:t>50</w:t>
                  </w:r>
                </w:p>
              </w:tc>
              <w:tc>
                <w:tcPr>
                  <w:tcW w:w="1271" w:type="dxa"/>
                  <w:noWrap w:val="0"/>
                  <w:vAlign w:val="center"/>
                </w:tcPr>
                <w:p>
                  <w:pPr>
                    <w:pStyle w:val="45"/>
                    <w:rPr>
                      <w:color w:val="auto"/>
                      <w:sz w:val="21"/>
                      <w:szCs w:val="21"/>
                    </w:rPr>
                  </w:pPr>
                  <w:r>
                    <w:rPr>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901" w:type="dxa"/>
                  <w:vMerge w:val="continue"/>
                  <w:noWrap w:val="0"/>
                  <w:vAlign w:val="center"/>
                </w:tcPr>
                <w:p>
                  <w:pPr>
                    <w:pStyle w:val="45"/>
                    <w:rPr>
                      <w:color w:val="auto"/>
                      <w:sz w:val="21"/>
                      <w:szCs w:val="21"/>
                    </w:rPr>
                  </w:pPr>
                </w:p>
              </w:tc>
              <w:tc>
                <w:tcPr>
                  <w:tcW w:w="1917" w:type="dxa"/>
                  <w:noWrap w:val="0"/>
                  <w:vAlign w:val="center"/>
                </w:tcPr>
                <w:p>
                  <w:pPr>
                    <w:pStyle w:val="45"/>
                    <w:rPr>
                      <w:color w:val="auto"/>
                      <w:sz w:val="21"/>
                      <w:szCs w:val="21"/>
                    </w:rPr>
                  </w:pPr>
                  <w:r>
                    <w:rPr>
                      <w:color w:val="auto"/>
                      <w:sz w:val="21"/>
                      <w:szCs w:val="21"/>
                    </w:rPr>
                    <w:t>N4：南厂界外1m</w:t>
                  </w:r>
                </w:p>
              </w:tc>
              <w:tc>
                <w:tcPr>
                  <w:tcW w:w="750" w:type="dxa"/>
                  <w:noWrap w:val="0"/>
                  <w:vAlign w:val="center"/>
                </w:tcPr>
                <w:p>
                  <w:pPr>
                    <w:pStyle w:val="45"/>
                    <w:rPr>
                      <w:rFonts w:hint="default"/>
                      <w:bCs/>
                      <w:color w:val="auto"/>
                      <w:sz w:val="21"/>
                      <w:szCs w:val="21"/>
                      <w:lang w:val="en-US"/>
                    </w:rPr>
                  </w:pPr>
                  <w:r>
                    <w:rPr>
                      <w:rFonts w:hint="default"/>
                      <w:bCs/>
                      <w:color w:val="auto"/>
                      <w:sz w:val="21"/>
                      <w:szCs w:val="21"/>
                      <w:lang w:val="en-US"/>
                    </w:rPr>
                    <w:t>51</w:t>
                  </w:r>
                </w:p>
              </w:tc>
              <w:tc>
                <w:tcPr>
                  <w:tcW w:w="773" w:type="dxa"/>
                  <w:noWrap w:val="0"/>
                  <w:vAlign w:val="center"/>
                </w:tcPr>
                <w:p>
                  <w:pPr>
                    <w:pStyle w:val="45"/>
                    <w:rPr>
                      <w:rFonts w:hint="default"/>
                      <w:color w:val="auto"/>
                      <w:sz w:val="21"/>
                      <w:szCs w:val="21"/>
                      <w:lang w:val="en-US"/>
                    </w:rPr>
                  </w:pPr>
                  <w:r>
                    <w:rPr>
                      <w:rFonts w:hint="default"/>
                      <w:color w:val="auto"/>
                      <w:sz w:val="21"/>
                      <w:szCs w:val="21"/>
                      <w:lang w:val="en-US"/>
                    </w:rPr>
                    <w:t>47</w:t>
                  </w:r>
                </w:p>
              </w:tc>
              <w:tc>
                <w:tcPr>
                  <w:tcW w:w="1068" w:type="dxa"/>
                  <w:noWrap w:val="0"/>
                  <w:vAlign w:val="center"/>
                </w:tcPr>
                <w:p>
                  <w:pPr>
                    <w:pStyle w:val="45"/>
                    <w:rPr>
                      <w:color w:val="auto"/>
                      <w:sz w:val="21"/>
                      <w:szCs w:val="21"/>
                    </w:rPr>
                  </w:pPr>
                  <w:r>
                    <w:rPr>
                      <w:color w:val="auto"/>
                      <w:sz w:val="21"/>
                      <w:szCs w:val="21"/>
                    </w:rPr>
                    <w:t>60</w:t>
                  </w:r>
                </w:p>
              </w:tc>
              <w:tc>
                <w:tcPr>
                  <w:tcW w:w="959" w:type="dxa"/>
                  <w:noWrap w:val="0"/>
                  <w:vAlign w:val="center"/>
                </w:tcPr>
                <w:p>
                  <w:pPr>
                    <w:pStyle w:val="45"/>
                    <w:rPr>
                      <w:color w:val="auto"/>
                      <w:sz w:val="21"/>
                      <w:szCs w:val="21"/>
                    </w:rPr>
                  </w:pPr>
                  <w:r>
                    <w:rPr>
                      <w:color w:val="auto"/>
                      <w:sz w:val="21"/>
                      <w:szCs w:val="21"/>
                    </w:rPr>
                    <w:t>50</w:t>
                  </w:r>
                </w:p>
              </w:tc>
              <w:tc>
                <w:tcPr>
                  <w:tcW w:w="1271" w:type="dxa"/>
                  <w:noWrap w:val="0"/>
                  <w:vAlign w:val="center"/>
                </w:tcPr>
                <w:p>
                  <w:pPr>
                    <w:pStyle w:val="45"/>
                    <w:rPr>
                      <w:color w:val="auto"/>
                      <w:sz w:val="21"/>
                      <w:szCs w:val="21"/>
                    </w:rPr>
                  </w:pPr>
                  <w:r>
                    <w:rPr>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901" w:type="dxa"/>
                  <w:vMerge w:val="continue"/>
                  <w:noWrap w:val="0"/>
                  <w:vAlign w:val="center"/>
                </w:tcPr>
                <w:p>
                  <w:pPr>
                    <w:pStyle w:val="45"/>
                    <w:rPr>
                      <w:color w:val="auto"/>
                      <w:sz w:val="21"/>
                      <w:szCs w:val="21"/>
                    </w:rPr>
                  </w:pPr>
                </w:p>
              </w:tc>
              <w:tc>
                <w:tcPr>
                  <w:tcW w:w="1917" w:type="dxa"/>
                  <w:noWrap w:val="0"/>
                  <w:vAlign w:val="center"/>
                </w:tcPr>
                <w:p>
                  <w:pPr>
                    <w:pStyle w:val="45"/>
                    <w:rPr>
                      <w:rFonts w:hint="default" w:eastAsia="宋体"/>
                      <w:color w:val="auto"/>
                      <w:sz w:val="21"/>
                      <w:szCs w:val="21"/>
                      <w:lang w:val="en-US" w:eastAsia="zh-CN"/>
                    </w:rPr>
                  </w:pPr>
                  <w:r>
                    <w:rPr>
                      <w:rFonts w:hint="eastAsia"/>
                      <w:color w:val="auto"/>
                      <w:sz w:val="21"/>
                      <w:szCs w:val="21"/>
                      <w:lang w:val="en-US" w:eastAsia="zh-CN"/>
                    </w:rPr>
                    <w:t>N5：</w:t>
                  </w:r>
                  <w:r>
                    <w:rPr>
                      <w:rFonts w:hint="eastAsia"/>
                      <w:bCs/>
                      <w:color w:val="auto"/>
                      <w:lang w:eastAsia="zh-CN"/>
                    </w:rPr>
                    <w:t>厂界东北侧</w:t>
                  </w:r>
                  <w:r>
                    <w:rPr>
                      <w:rFonts w:hint="eastAsia"/>
                      <w:bCs/>
                      <w:color w:val="auto"/>
                      <w:lang w:val="en-US" w:eastAsia="zh-CN"/>
                    </w:rPr>
                    <w:t>20m处民居</w:t>
                  </w:r>
                </w:p>
              </w:tc>
              <w:tc>
                <w:tcPr>
                  <w:tcW w:w="750" w:type="dxa"/>
                  <w:noWrap w:val="0"/>
                  <w:vAlign w:val="center"/>
                </w:tcPr>
                <w:p>
                  <w:pPr>
                    <w:pStyle w:val="45"/>
                    <w:rPr>
                      <w:rFonts w:hint="default" w:eastAsia="宋体"/>
                      <w:bCs/>
                      <w:color w:val="auto"/>
                      <w:sz w:val="21"/>
                      <w:szCs w:val="21"/>
                      <w:lang w:val="en-US" w:eastAsia="zh-CN"/>
                    </w:rPr>
                  </w:pPr>
                  <w:r>
                    <w:rPr>
                      <w:rFonts w:hint="eastAsia"/>
                      <w:bCs/>
                      <w:color w:val="auto"/>
                      <w:sz w:val="21"/>
                      <w:szCs w:val="21"/>
                      <w:lang w:val="en-US" w:eastAsia="zh-CN"/>
                    </w:rPr>
                    <w:t>53</w:t>
                  </w:r>
                </w:p>
              </w:tc>
              <w:tc>
                <w:tcPr>
                  <w:tcW w:w="773" w:type="dxa"/>
                  <w:noWrap w:val="0"/>
                  <w:vAlign w:val="center"/>
                </w:tcPr>
                <w:p>
                  <w:pPr>
                    <w:pStyle w:val="45"/>
                    <w:rPr>
                      <w:rFonts w:hint="default" w:eastAsia="宋体"/>
                      <w:color w:val="auto"/>
                      <w:sz w:val="21"/>
                      <w:szCs w:val="21"/>
                      <w:lang w:val="en-US" w:eastAsia="zh-CN"/>
                    </w:rPr>
                  </w:pPr>
                  <w:r>
                    <w:rPr>
                      <w:rFonts w:hint="default"/>
                      <w:color w:val="auto"/>
                      <w:sz w:val="21"/>
                      <w:szCs w:val="21"/>
                      <w:lang w:val="en-US" w:eastAsia="zh-CN"/>
                    </w:rPr>
                    <w:t>44</w:t>
                  </w:r>
                </w:p>
              </w:tc>
              <w:tc>
                <w:tcPr>
                  <w:tcW w:w="1068" w:type="dxa"/>
                  <w:noWrap w:val="0"/>
                  <w:vAlign w:val="center"/>
                </w:tcPr>
                <w:p>
                  <w:pPr>
                    <w:pStyle w:val="45"/>
                    <w:rPr>
                      <w:rFonts w:hint="default" w:eastAsia="宋体"/>
                      <w:color w:val="auto"/>
                      <w:sz w:val="21"/>
                      <w:szCs w:val="21"/>
                      <w:lang w:val="en-US" w:eastAsia="zh-CN"/>
                    </w:rPr>
                  </w:pPr>
                  <w:r>
                    <w:rPr>
                      <w:rFonts w:hint="eastAsia"/>
                      <w:color w:val="auto"/>
                      <w:sz w:val="21"/>
                      <w:szCs w:val="21"/>
                      <w:lang w:val="en-US" w:eastAsia="zh-CN"/>
                    </w:rPr>
                    <w:t>60</w:t>
                  </w:r>
                </w:p>
              </w:tc>
              <w:tc>
                <w:tcPr>
                  <w:tcW w:w="959" w:type="dxa"/>
                  <w:noWrap w:val="0"/>
                  <w:vAlign w:val="center"/>
                </w:tcPr>
                <w:p>
                  <w:pPr>
                    <w:pStyle w:val="45"/>
                    <w:rPr>
                      <w:rFonts w:hint="default" w:eastAsia="宋体"/>
                      <w:color w:val="auto"/>
                      <w:sz w:val="21"/>
                      <w:szCs w:val="21"/>
                      <w:lang w:val="en-US" w:eastAsia="zh-CN"/>
                    </w:rPr>
                  </w:pPr>
                  <w:r>
                    <w:rPr>
                      <w:rFonts w:hint="eastAsia"/>
                      <w:color w:val="auto"/>
                      <w:sz w:val="21"/>
                      <w:szCs w:val="21"/>
                      <w:lang w:val="en-US" w:eastAsia="zh-CN"/>
                    </w:rPr>
                    <w:t>50</w:t>
                  </w:r>
                </w:p>
              </w:tc>
              <w:tc>
                <w:tcPr>
                  <w:tcW w:w="1271" w:type="dxa"/>
                  <w:noWrap w:val="0"/>
                  <w:vAlign w:val="center"/>
                </w:tcPr>
                <w:p>
                  <w:pPr>
                    <w:pStyle w:val="45"/>
                    <w:rPr>
                      <w:color w:val="auto"/>
                      <w:sz w:val="21"/>
                      <w:szCs w:val="21"/>
                    </w:rPr>
                  </w:pPr>
                  <w:r>
                    <w:rPr>
                      <w:color w:val="auto"/>
                      <w:sz w:val="21"/>
                      <w:szCs w:val="21"/>
                    </w:rPr>
                    <w:t>达标</w:t>
                  </w:r>
                </w:p>
              </w:tc>
            </w:tr>
          </w:tbl>
          <w:p>
            <w:pPr>
              <w:spacing w:line="360" w:lineRule="auto"/>
              <w:ind w:firstLine="420" w:firstLineChars="200"/>
              <w:jc w:val="left"/>
              <w:rPr>
                <w:color w:val="auto"/>
                <w:kern w:val="0"/>
                <w:szCs w:val="21"/>
                <w:lang w:val="zh-CN"/>
              </w:rPr>
            </w:pPr>
            <w:r>
              <w:rPr>
                <w:color w:val="auto"/>
                <w:kern w:val="0"/>
                <w:szCs w:val="21"/>
                <w:u w:val="none"/>
                <w:lang w:val="zh-CN"/>
              </w:rPr>
              <w:t>根据监测结果，区域声环境质量能够达到《声环境质量标准》（GB3096-2008）2类标准，声环境质量良好。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65" w:hRule="atLeast"/>
          <w:jc w:val="center"/>
        </w:trPr>
        <w:tc>
          <w:tcPr>
            <w:tcW w:w="800" w:type="dxa"/>
            <w:vAlign w:val="center"/>
          </w:tcPr>
          <w:p>
            <w:pPr>
              <w:adjustRightInd w:val="0"/>
              <w:snapToGrid w:val="0"/>
              <w:jc w:val="center"/>
              <w:rPr>
                <w:color w:val="auto"/>
                <w:kern w:val="0"/>
                <w:szCs w:val="21"/>
              </w:rPr>
            </w:pPr>
            <w:r>
              <w:rPr>
                <w:color w:val="auto"/>
                <w:kern w:val="0"/>
                <w:szCs w:val="21"/>
              </w:rPr>
              <w:t>环境</w:t>
            </w:r>
          </w:p>
          <w:p>
            <w:pPr>
              <w:adjustRightInd w:val="0"/>
              <w:snapToGrid w:val="0"/>
              <w:jc w:val="center"/>
              <w:rPr>
                <w:color w:val="auto"/>
                <w:kern w:val="0"/>
                <w:szCs w:val="21"/>
              </w:rPr>
            </w:pPr>
            <w:r>
              <w:rPr>
                <w:color w:val="auto"/>
                <w:kern w:val="0"/>
                <w:szCs w:val="21"/>
              </w:rPr>
              <w:t>保护</w:t>
            </w:r>
          </w:p>
          <w:p>
            <w:pPr>
              <w:adjustRightInd w:val="0"/>
              <w:snapToGrid w:val="0"/>
              <w:jc w:val="center"/>
              <w:rPr>
                <w:color w:val="auto"/>
                <w:kern w:val="0"/>
                <w:szCs w:val="21"/>
              </w:rPr>
            </w:pPr>
            <w:r>
              <w:rPr>
                <w:color w:val="auto"/>
                <w:kern w:val="0"/>
                <w:szCs w:val="21"/>
              </w:rPr>
              <w:t>目标</w:t>
            </w:r>
          </w:p>
        </w:tc>
        <w:tc>
          <w:tcPr>
            <w:tcW w:w="8190" w:type="dxa"/>
            <w:vAlign w:val="center"/>
          </w:tcPr>
          <w:p>
            <w:pPr>
              <w:widowControl/>
              <w:adjustRightInd w:val="0"/>
              <w:snapToGrid w:val="0"/>
              <w:spacing w:line="360" w:lineRule="auto"/>
              <w:ind w:firstLine="420" w:firstLineChars="200"/>
              <w:rPr>
                <w:rFonts w:hint="eastAsia"/>
                <w:color w:val="auto"/>
                <w:kern w:val="0"/>
                <w:szCs w:val="21"/>
                <w:u w:val="none"/>
              </w:rPr>
            </w:pPr>
            <w:r>
              <w:rPr>
                <w:rFonts w:hint="eastAsia"/>
                <w:color w:val="auto"/>
                <w:kern w:val="0"/>
                <w:szCs w:val="21"/>
                <w:u w:val="none"/>
              </w:rPr>
              <w:t>本项目位于湖南省衡阳市衡阳县</w:t>
            </w:r>
            <w:r>
              <w:rPr>
                <w:rFonts w:hint="eastAsia"/>
                <w:color w:val="auto"/>
                <w:kern w:val="0"/>
                <w:szCs w:val="21"/>
                <w:u w:val="none"/>
                <w:lang w:eastAsia="zh-CN"/>
              </w:rPr>
              <w:t>界牌</w:t>
            </w:r>
            <w:r>
              <w:rPr>
                <w:rFonts w:hint="eastAsia"/>
                <w:color w:val="auto"/>
                <w:kern w:val="0"/>
                <w:szCs w:val="21"/>
                <w:u w:val="none"/>
              </w:rPr>
              <w:t>镇</w:t>
            </w:r>
            <w:r>
              <w:rPr>
                <w:rFonts w:hint="eastAsia"/>
                <w:color w:val="auto"/>
                <w:kern w:val="0"/>
                <w:szCs w:val="21"/>
                <w:u w:val="none"/>
                <w:lang w:eastAsia="zh-CN"/>
              </w:rPr>
              <w:t>桐梓坪社区</w:t>
            </w:r>
            <w:r>
              <w:rPr>
                <w:rFonts w:hint="eastAsia"/>
                <w:color w:val="auto"/>
                <w:kern w:val="0"/>
                <w:szCs w:val="21"/>
                <w:u w:val="none"/>
              </w:rPr>
              <w:t>，经现场踏勘，项目周围没有文物、历史名胜古迹及有价值的自然景观和珍稀动植物物种等需要特殊保护的对象，项目主要环境保护目标见下表。</w:t>
            </w:r>
          </w:p>
          <w:p>
            <w:pPr>
              <w:widowControl/>
              <w:adjustRightInd w:val="0"/>
              <w:snapToGrid w:val="0"/>
              <w:jc w:val="center"/>
              <w:rPr>
                <w:rFonts w:eastAsia="黑体"/>
                <w:color w:val="auto"/>
                <w:kern w:val="0"/>
                <w:szCs w:val="21"/>
                <w:u w:val="none"/>
              </w:rPr>
            </w:pPr>
            <w:r>
              <w:rPr>
                <w:rFonts w:eastAsia="黑体"/>
                <w:color w:val="auto"/>
                <w:kern w:val="0"/>
                <w:szCs w:val="21"/>
                <w:u w:val="none"/>
              </w:rPr>
              <w:t>表3.</w:t>
            </w:r>
            <w:r>
              <w:rPr>
                <w:rFonts w:hint="eastAsia" w:eastAsia="黑体"/>
                <w:color w:val="auto"/>
                <w:kern w:val="0"/>
                <w:szCs w:val="21"/>
                <w:u w:val="none"/>
              </w:rPr>
              <w:t>2</w:t>
            </w:r>
            <w:r>
              <w:rPr>
                <w:rFonts w:eastAsia="黑体"/>
                <w:color w:val="auto"/>
                <w:kern w:val="0"/>
                <w:szCs w:val="21"/>
                <w:u w:val="none"/>
              </w:rPr>
              <w:t xml:space="preserve">  环境保护目标</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6"/>
              <w:gridCol w:w="1219"/>
              <w:gridCol w:w="1119"/>
              <w:gridCol w:w="1022"/>
              <w:gridCol w:w="1365"/>
              <w:gridCol w:w="1077"/>
              <w:gridCol w:w="1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361" w:type="pct"/>
                  <w:vMerge w:val="restart"/>
                  <w:noWrap w:val="0"/>
                  <w:vAlign w:val="center"/>
                </w:tcPr>
                <w:p>
                  <w:pPr>
                    <w:widowControl/>
                    <w:adjustRightInd w:val="0"/>
                    <w:snapToGrid w:val="0"/>
                    <w:jc w:val="center"/>
                    <w:rPr>
                      <w:color w:val="auto"/>
                      <w:kern w:val="0"/>
                      <w:sz w:val="18"/>
                      <w:szCs w:val="18"/>
                      <w:u w:val="none"/>
                    </w:rPr>
                  </w:pPr>
                  <w:r>
                    <w:rPr>
                      <w:color w:val="auto"/>
                      <w:kern w:val="0"/>
                      <w:sz w:val="18"/>
                      <w:szCs w:val="18"/>
                      <w:u w:val="none"/>
                    </w:rPr>
                    <w:t>环境要素</w:t>
                  </w:r>
                </w:p>
              </w:tc>
              <w:tc>
                <w:tcPr>
                  <w:tcW w:w="1467" w:type="pct"/>
                  <w:gridSpan w:val="2"/>
                  <w:noWrap w:val="0"/>
                  <w:vAlign w:val="center"/>
                </w:tcPr>
                <w:p>
                  <w:pPr>
                    <w:widowControl/>
                    <w:adjustRightInd w:val="0"/>
                    <w:snapToGrid w:val="0"/>
                    <w:jc w:val="center"/>
                    <w:rPr>
                      <w:color w:val="auto"/>
                      <w:kern w:val="0"/>
                      <w:sz w:val="18"/>
                      <w:szCs w:val="18"/>
                      <w:u w:val="none"/>
                    </w:rPr>
                  </w:pPr>
                  <w:r>
                    <w:rPr>
                      <w:color w:val="auto"/>
                      <w:kern w:val="0"/>
                      <w:sz w:val="18"/>
                      <w:szCs w:val="18"/>
                      <w:u w:val="none"/>
                    </w:rPr>
                    <w:t>坐标</w:t>
                  </w:r>
                </w:p>
              </w:tc>
              <w:tc>
                <w:tcPr>
                  <w:tcW w:w="641" w:type="pct"/>
                  <w:vMerge w:val="restart"/>
                  <w:noWrap w:val="0"/>
                  <w:vAlign w:val="center"/>
                </w:tcPr>
                <w:p>
                  <w:pPr>
                    <w:widowControl/>
                    <w:adjustRightInd w:val="0"/>
                    <w:snapToGrid w:val="0"/>
                    <w:jc w:val="center"/>
                    <w:rPr>
                      <w:color w:val="auto"/>
                      <w:kern w:val="0"/>
                      <w:sz w:val="18"/>
                      <w:szCs w:val="18"/>
                      <w:u w:val="none"/>
                    </w:rPr>
                  </w:pPr>
                  <w:r>
                    <w:rPr>
                      <w:color w:val="auto"/>
                      <w:kern w:val="0"/>
                      <w:sz w:val="18"/>
                      <w:szCs w:val="18"/>
                      <w:u w:val="none"/>
                    </w:rPr>
                    <w:t>环境敏感点</w:t>
                  </w:r>
                </w:p>
              </w:tc>
              <w:tc>
                <w:tcPr>
                  <w:tcW w:w="856" w:type="pct"/>
                  <w:vMerge w:val="restart"/>
                  <w:noWrap w:val="0"/>
                  <w:vAlign w:val="center"/>
                </w:tcPr>
                <w:p>
                  <w:pPr>
                    <w:widowControl/>
                    <w:adjustRightInd w:val="0"/>
                    <w:snapToGrid w:val="0"/>
                    <w:jc w:val="center"/>
                    <w:rPr>
                      <w:color w:val="auto"/>
                      <w:kern w:val="0"/>
                      <w:sz w:val="18"/>
                      <w:szCs w:val="18"/>
                      <w:u w:val="none"/>
                    </w:rPr>
                  </w:pPr>
                  <w:r>
                    <w:rPr>
                      <w:color w:val="auto"/>
                      <w:kern w:val="0"/>
                      <w:sz w:val="18"/>
                      <w:szCs w:val="18"/>
                      <w:u w:val="none"/>
                    </w:rPr>
                    <w:t>与厂界方位距离</w:t>
                  </w:r>
                </w:p>
              </w:tc>
              <w:tc>
                <w:tcPr>
                  <w:tcW w:w="676" w:type="pct"/>
                  <w:vMerge w:val="restart"/>
                  <w:noWrap w:val="0"/>
                  <w:vAlign w:val="center"/>
                </w:tcPr>
                <w:p>
                  <w:pPr>
                    <w:widowControl/>
                    <w:adjustRightInd w:val="0"/>
                    <w:snapToGrid w:val="0"/>
                    <w:jc w:val="center"/>
                    <w:rPr>
                      <w:color w:val="auto"/>
                      <w:kern w:val="0"/>
                      <w:sz w:val="18"/>
                      <w:szCs w:val="18"/>
                      <w:u w:val="none"/>
                    </w:rPr>
                  </w:pPr>
                  <w:r>
                    <w:rPr>
                      <w:color w:val="auto"/>
                      <w:kern w:val="0"/>
                      <w:sz w:val="18"/>
                      <w:szCs w:val="18"/>
                      <w:u w:val="none"/>
                    </w:rPr>
                    <w:t>功</w:t>
                  </w:r>
                  <w:r>
                    <w:rPr>
                      <w:rFonts w:hint="eastAsia"/>
                      <w:color w:val="auto"/>
                      <w:kern w:val="0"/>
                      <w:sz w:val="18"/>
                      <w:szCs w:val="18"/>
                      <w:u w:val="none"/>
                    </w:rPr>
                    <w:t>能</w:t>
                  </w:r>
                  <w:r>
                    <w:rPr>
                      <w:color w:val="auto"/>
                      <w:kern w:val="0"/>
                      <w:sz w:val="18"/>
                      <w:szCs w:val="18"/>
                      <w:u w:val="none"/>
                    </w:rPr>
                    <w:t>/规模</w:t>
                  </w:r>
                </w:p>
              </w:tc>
              <w:tc>
                <w:tcPr>
                  <w:tcW w:w="995" w:type="pct"/>
                  <w:vMerge w:val="restart"/>
                  <w:noWrap w:val="0"/>
                  <w:vAlign w:val="center"/>
                </w:tcPr>
                <w:p>
                  <w:pPr>
                    <w:widowControl/>
                    <w:adjustRightInd w:val="0"/>
                    <w:snapToGrid w:val="0"/>
                    <w:jc w:val="center"/>
                    <w:rPr>
                      <w:color w:val="auto"/>
                      <w:kern w:val="0"/>
                      <w:sz w:val="18"/>
                      <w:szCs w:val="18"/>
                      <w:u w:val="none"/>
                    </w:rPr>
                  </w:pPr>
                  <w:r>
                    <w:rPr>
                      <w:color w:val="auto"/>
                      <w:kern w:val="0"/>
                      <w:sz w:val="18"/>
                      <w:szCs w:val="18"/>
                      <w:u w:val="none"/>
                    </w:rPr>
                    <w:t>环境保护区域标准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61" w:type="pct"/>
                  <w:vMerge w:val="continue"/>
                  <w:noWrap w:val="0"/>
                  <w:vAlign w:val="center"/>
                </w:tcPr>
                <w:p>
                  <w:pPr>
                    <w:widowControl/>
                    <w:adjustRightInd w:val="0"/>
                    <w:snapToGrid w:val="0"/>
                    <w:jc w:val="center"/>
                    <w:rPr>
                      <w:color w:val="auto"/>
                      <w:kern w:val="0"/>
                      <w:sz w:val="18"/>
                      <w:szCs w:val="18"/>
                      <w:u w:val="none"/>
                    </w:rPr>
                  </w:pPr>
                </w:p>
              </w:tc>
              <w:tc>
                <w:tcPr>
                  <w:tcW w:w="765" w:type="pct"/>
                  <w:noWrap w:val="0"/>
                  <w:vAlign w:val="center"/>
                </w:tcPr>
                <w:p>
                  <w:pPr>
                    <w:widowControl/>
                    <w:adjustRightInd w:val="0"/>
                    <w:snapToGrid w:val="0"/>
                    <w:jc w:val="center"/>
                    <w:rPr>
                      <w:color w:val="auto"/>
                      <w:kern w:val="0"/>
                      <w:sz w:val="18"/>
                      <w:szCs w:val="18"/>
                      <w:u w:val="none"/>
                    </w:rPr>
                  </w:pPr>
                  <w:r>
                    <w:rPr>
                      <w:color w:val="auto"/>
                      <w:kern w:val="0"/>
                      <w:sz w:val="18"/>
                      <w:szCs w:val="18"/>
                      <w:u w:val="none"/>
                    </w:rPr>
                    <w:t>东经</w:t>
                  </w:r>
                </w:p>
              </w:tc>
              <w:tc>
                <w:tcPr>
                  <w:tcW w:w="702" w:type="pct"/>
                  <w:noWrap w:val="0"/>
                  <w:vAlign w:val="center"/>
                </w:tcPr>
                <w:p>
                  <w:pPr>
                    <w:widowControl/>
                    <w:adjustRightInd w:val="0"/>
                    <w:snapToGrid w:val="0"/>
                    <w:jc w:val="center"/>
                    <w:rPr>
                      <w:color w:val="auto"/>
                      <w:kern w:val="0"/>
                      <w:sz w:val="18"/>
                      <w:szCs w:val="18"/>
                      <w:u w:val="none"/>
                    </w:rPr>
                  </w:pPr>
                  <w:r>
                    <w:rPr>
                      <w:color w:val="auto"/>
                      <w:kern w:val="0"/>
                      <w:sz w:val="18"/>
                      <w:szCs w:val="18"/>
                      <w:u w:val="none"/>
                    </w:rPr>
                    <w:t>北纬</w:t>
                  </w:r>
                </w:p>
              </w:tc>
              <w:tc>
                <w:tcPr>
                  <w:tcW w:w="641" w:type="pct"/>
                  <w:vMerge w:val="continue"/>
                  <w:noWrap w:val="0"/>
                  <w:vAlign w:val="center"/>
                </w:tcPr>
                <w:p>
                  <w:pPr>
                    <w:widowControl/>
                    <w:adjustRightInd w:val="0"/>
                    <w:snapToGrid w:val="0"/>
                    <w:jc w:val="center"/>
                    <w:rPr>
                      <w:color w:val="auto"/>
                      <w:kern w:val="0"/>
                      <w:sz w:val="18"/>
                      <w:szCs w:val="18"/>
                      <w:u w:val="none"/>
                    </w:rPr>
                  </w:pPr>
                </w:p>
              </w:tc>
              <w:tc>
                <w:tcPr>
                  <w:tcW w:w="856" w:type="pct"/>
                  <w:vMerge w:val="continue"/>
                  <w:noWrap w:val="0"/>
                  <w:vAlign w:val="center"/>
                </w:tcPr>
                <w:p>
                  <w:pPr>
                    <w:widowControl/>
                    <w:adjustRightInd w:val="0"/>
                    <w:snapToGrid w:val="0"/>
                    <w:jc w:val="center"/>
                    <w:rPr>
                      <w:color w:val="auto"/>
                      <w:kern w:val="0"/>
                      <w:sz w:val="18"/>
                      <w:szCs w:val="18"/>
                      <w:u w:val="none"/>
                    </w:rPr>
                  </w:pPr>
                </w:p>
              </w:tc>
              <w:tc>
                <w:tcPr>
                  <w:tcW w:w="676" w:type="pct"/>
                  <w:vMerge w:val="continue"/>
                  <w:noWrap w:val="0"/>
                  <w:vAlign w:val="center"/>
                </w:tcPr>
                <w:p>
                  <w:pPr>
                    <w:widowControl/>
                    <w:adjustRightInd w:val="0"/>
                    <w:snapToGrid w:val="0"/>
                    <w:jc w:val="center"/>
                    <w:rPr>
                      <w:color w:val="auto"/>
                      <w:kern w:val="0"/>
                      <w:sz w:val="18"/>
                      <w:szCs w:val="18"/>
                      <w:u w:val="none"/>
                    </w:rPr>
                  </w:pPr>
                </w:p>
              </w:tc>
              <w:tc>
                <w:tcPr>
                  <w:tcW w:w="995" w:type="pct"/>
                  <w:vMerge w:val="continue"/>
                  <w:noWrap w:val="0"/>
                  <w:vAlign w:val="center"/>
                </w:tcPr>
                <w:p>
                  <w:pPr>
                    <w:widowControl/>
                    <w:adjustRightInd w:val="0"/>
                    <w:snapToGrid w:val="0"/>
                    <w:jc w:val="center"/>
                    <w:rPr>
                      <w:color w:val="auto"/>
                      <w:kern w:val="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1" w:type="pct"/>
                  <w:vMerge w:val="restart"/>
                  <w:noWrap w:val="0"/>
                  <w:vAlign w:val="center"/>
                </w:tcPr>
                <w:p>
                  <w:pPr>
                    <w:widowControl/>
                    <w:adjustRightInd w:val="0"/>
                    <w:snapToGrid w:val="0"/>
                    <w:jc w:val="center"/>
                    <w:rPr>
                      <w:color w:val="auto"/>
                      <w:kern w:val="0"/>
                      <w:sz w:val="18"/>
                      <w:szCs w:val="18"/>
                      <w:u w:val="none"/>
                    </w:rPr>
                  </w:pPr>
                  <w:r>
                    <w:rPr>
                      <w:color w:val="auto"/>
                      <w:kern w:val="0"/>
                      <w:sz w:val="18"/>
                      <w:szCs w:val="18"/>
                      <w:u w:val="none"/>
                    </w:rPr>
                    <w:t>大气环境</w:t>
                  </w:r>
                </w:p>
              </w:tc>
              <w:tc>
                <w:tcPr>
                  <w:tcW w:w="765" w:type="pct"/>
                  <w:noWrap w:val="0"/>
                  <w:vAlign w:val="center"/>
                </w:tcPr>
                <w:p>
                  <w:pPr>
                    <w:widowControl/>
                    <w:adjustRightInd w:val="0"/>
                    <w:snapToGrid w:val="0"/>
                    <w:jc w:val="center"/>
                    <w:rPr>
                      <w:rFonts w:hint="default" w:eastAsia="宋体"/>
                      <w:color w:val="auto"/>
                      <w:kern w:val="0"/>
                      <w:sz w:val="18"/>
                      <w:szCs w:val="18"/>
                      <w:u w:val="none"/>
                      <w:lang w:val="en-US" w:eastAsia="zh-CN"/>
                    </w:rPr>
                  </w:pPr>
                  <w:r>
                    <w:rPr>
                      <w:color w:val="auto"/>
                      <w:kern w:val="0"/>
                      <w:sz w:val="18"/>
                      <w:szCs w:val="18"/>
                      <w:u w:val="none"/>
                    </w:rPr>
                    <w:t>112.</w:t>
                  </w:r>
                  <w:r>
                    <w:rPr>
                      <w:rFonts w:hint="eastAsia"/>
                      <w:color w:val="auto"/>
                      <w:kern w:val="0"/>
                      <w:sz w:val="18"/>
                      <w:szCs w:val="18"/>
                      <w:u w:val="none"/>
                      <w:lang w:val="en-US" w:eastAsia="zh-CN"/>
                    </w:rPr>
                    <w:t>5527214</w:t>
                  </w:r>
                </w:p>
              </w:tc>
              <w:tc>
                <w:tcPr>
                  <w:tcW w:w="702" w:type="pct"/>
                  <w:noWrap w:val="0"/>
                  <w:vAlign w:val="center"/>
                </w:tcPr>
                <w:p>
                  <w:pPr>
                    <w:widowControl/>
                    <w:adjustRightInd w:val="0"/>
                    <w:snapToGrid w:val="0"/>
                    <w:jc w:val="center"/>
                    <w:rPr>
                      <w:rFonts w:hint="default" w:eastAsia="宋体"/>
                      <w:color w:val="auto"/>
                      <w:kern w:val="0"/>
                      <w:sz w:val="18"/>
                      <w:szCs w:val="18"/>
                      <w:u w:val="none"/>
                      <w:lang w:val="en-US" w:eastAsia="zh-CN"/>
                    </w:rPr>
                  </w:pPr>
                  <w:r>
                    <w:rPr>
                      <w:color w:val="auto"/>
                      <w:kern w:val="0"/>
                      <w:sz w:val="18"/>
                      <w:szCs w:val="18"/>
                      <w:u w:val="none"/>
                    </w:rPr>
                    <w:t>2</w:t>
                  </w:r>
                  <w:r>
                    <w:rPr>
                      <w:rFonts w:hint="eastAsia"/>
                      <w:color w:val="auto"/>
                      <w:kern w:val="0"/>
                      <w:sz w:val="18"/>
                      <w:szCs w:val="18"/>
                      <w:u w:val="none"/>
                      <w:lang w:val="en-US" w:eastAsia="zh-CN"/>
                    </w:rPr>
                    <w:t>7.2422851</w:t>
                  </w:r>
                </w:p>
              </w:tc>
              <w:tc>
                <w:tcPr>
                  <w:tcW w:w="641" w:type="pct"/>
                  <w:noWrap w:val="0"/>
                  <w:vAlign w:val="center"/>
                </w:tcPr>
                <w:p>
                  <w:pPr>
                    <w:widowControl/>
                    <w:adjustRightInd w:val="0"/>
                    <w:snapToGrid w:val="0"/>
                    <w:jc w:val="center"/>
                    <w:rPr>
                      <w:color w:val="auto"/>
                      <w:kern w:val="0"/>
                      <w:sz w:val="18"/>
                      <w:szCs w:val="18"/>
                      <w:u w:val="none"/>
                    </w:rPr>
                  </w:pPr>
                  <w:r>
                    <w:rPr>
                      <w:rFonts w:hint="eastAsia"/>
                      <w:color w:val="auto"/>
                      <w:kern w:val="0"/>
                      <w:sz w:val="18"/>
                      <w:szCs w:val="18"/>
                      <w:u w:val="none"/>
                      <w:lang w:eastAsia="zh-CN"/>
                    </w:rPr>
                    <w:t>界牌镇</w:t>
                  </w:r>
                  <w:r>
                    <w:rPr>
                      <w:rFonts w:hint="eastAsia"/>
                      <w:color w:val="auto"/>
                      <w:kern w:val="0"/>
                      <w:sz w:val="18"/>
                      <w:szCs w:val="18"/>
                      <w:u w:val="none"/>
                    </w:rPr>
                    <w:t>居民点</w:t>
                  </w:r>
                  <w:r>
                    <w:rPr>
                      <w:rFonts w:hint="eastAsia"/>
                      <w:color w:val="auto"/>
                      <w:kern w:val="0"/>
                      <w:sz w:val="18"/>
                      <w:szCs w:val="18"/>
                      <w:u w:val="none"/>
                      <w:lang w:val="en-US" w:eastAsia="zh-CN"/>
                    </w:rPr>
                    <w:t>H</w:t>
                  </w:r>
                  <w:r>
                    <w:rPr>
                      <w:rFonts w:hint="eastAsia"/>
                      <w:color w:val="auto"/>
                      <w:kern w:val="0"/>
                      <w:sz w:val="18"/>
                      <w:szCs w:val="18"/>
                      <w:u w:val="none"/>
                    </w:rPr>
                    <w:t>1</w:t>
                  </w:r>
                </w:p>
              </w:tc>
              <w:tc>
                <w:tcPr>
                  <w:tcW w:w="856" w:type="pct"/>
                  <w:noWrap w:val="0"/>
                  <w:vAlign w:val="center"/>
                </w:tcPr>
                <w:p>
                  <w:pPr>
                    <w:widowControl/>
                    <w:adjustRightInd w:val="0"/>
                    <w:snapToGrid w:val="0"/>
                    <w:jc w:val="center"/>
                    <w:rPr>
                      <w:rFonts w:hint="eastAsia"/>
                      <w:color w:val="auto"/>
                      <w:kern w:val="0"/>
                      <w:sz w:val="18"/>
                      <w:szCs w:val="18"/>
                      <w:u w:val="none"/>
                      <w:lang w:val="en-US" w:eastAsia="zh-CN"/>
                    </w:rPr>
                  </w:pPr>
                  <w:r>
                    <w:rPr>
                      <w:rFonts w:hint="eastAsia"/>
                      <w:color w:val="auto"/>
                      <w:kern w:val="0"/>
                      <w:sz w:val="18"/>
                      <w:szCs w:val="18"/>
                      <w:u w:val="none"/>
                      <w:lang w:val="en-US" w:eastAsia="zh-CN"/>
                    </w:rPr>
                    <w:t>EN</w:t>
                  </w:r>
                </w:p>
                <w:p>
                  <w:pPr>
                    <w:widowControl/>
                    <w:adjustRightInd w:val="0"/>
                    <w:snapToGrid w:val="0"/>
                    <w:jc w:val="center"/>
                    <w:rPr>
                      <w:color w:val="auto"/>
                      <w:kern w:val="0"/>
                      <w:sz w:val="18"/>
                      <w:szCs w:val="18"/>
                      <w:u w:val="none"/>
                    </w:rPr>
                  </w:pPr>
                  <w:r>
                    <w:rPr>
                      <w:rFonts w:hint="eastAsia"/>
                      <w:color w:val="auto"/>
                      <w:kern w:val="0"/>
                      <w:sz w:val="18"/>
                      <w:szCs w:val="18"/>
                      <w:u w:val="none"/>
                      <w:lang w:val="en-US" w:eastAsia="zh-CN"/>
                    </w:rPr>
                    <w:t>20</w:t>
                  </w:r>
                  <w:r>
                    <w:rPr>
                      <w:rFonts w:hint="eastAsia"/>
                      <w:color w:val="auto"/>
                      <w:kern w:val="0"/>
                      <w:sz w:val="18"/>
                      <w:szCs w:val="18"/>
                      <w:u w:val="none"/>
                    </w:rPr>
                    <w:t>m~</w:t>
                  </w:r>
                  <w:r>
                    <w:rPr>
                      <w:rFonts w:hint="eastAsia"/>
                      <w:color w:val="auto"/>
                      <w:kern w:val="0"/>
                      <w:sz w:val="18"/>
                      <w:szCs w:val="18"/>
                      <w:u w:val="none"/>
                      <w:lang w:val="en-US" w:eastAsia="zh-CN"/>
                    </w:rPr>
                    <w:t>50</w:t>
                  </w:r>
                  <w:r>
                    <w:rPr>
                      <w:rFonts w:hint="eastAsia"/>
                      <w:color w:val="auto"/>
                      <w:kern w:val="0"/>
                      <w:sz w:val="18"/>
                      <w:szCs w:val="18"/>
                      <w:u w:val="none"/>
                    </w:rPr>
                    <w:t xml:space="preserve">m </w:t>
                  </w:r>
                </w:p>
              </w:tc>
              <w:tc>
                <w:tcPr>
                  <w:tcW w:w="676" w:type="pct"/>
                  <w:noWrap w:val="0"/>
                  <w:vAlign w:val="center"/>
                </w:tcPr>
                <w:p>
                  <w:pPr>
                    <w:widowControl/>
                    <w:adjustRightInd w:val="0"/>
                    <w:snapToGrid w:val="0"/>
                    <w:jc w:val="center"/>
                    <w:rPr>
                      <w:color w:val="auto"/>
                      <w:kern w:val="0"/>
                      <w:sz w:val="18"/>
                      <w:szCs w:val="18"/>
                      <w:u w:val="none"/>
                    </w:rPr>
                  </w:pPr>
                  <w:r>
                    <w:rPr>
                      <w:rFonts w:hint="eastAsia"/>
                      <w:color w:val="auto"/>
                      <w:kern w:val="0"/>
                      <w:sz w:val="18"/>
                      <w:szCs w:val="18"/>
                      <w:u w:val="none"/>
                    </w:rPr>
                    <w:t>居住，</w:t>
                  </w:r>
                  <w:r>
                    <w:rPr>
                      <w:rFonts w:hint="eastAsia"/>
                      <w:color w:val="auto"/>
                      <w:kern w:val="0"/>
                      <w:sz w:val="18"/>
                      <w:szCs w:val="18"/>
                      <w:u w:val="none"/>
                      <w:lang w:val="en-US" w:eastAsia="zh-CN"/>
                    </w:rPr>
                    <w:t>2</w:t>
                  </w:r>
                  <w:r>
                    <w:rPr>
                      <w:rFonts w:hint="eastAsia"/>
                      <w:color w:val="auto"/>
                      <w:kern w:val="0"/>
                      <w:sz w:val="18"/>
                      <w:szCs w:val="18"/>
                      <w:u w:val="none"/>
                    </w:rPr>
                    <w:t>户，</w:t>
                  </w:r>
                  <w:r>
                    <w:rPr>
                      <w:rFonts w:hint="eastAsia"/>
                      <w:color w:val="auto"/>
                      <w:kern w:val="0"/>
                      <w:sz w:val="18"/>
                      <w:szCs w:val="18"/>
                      <w:u w:val="none"/>
                      <w:lang w:val="en-US" w:eastAsia="zh-CN"/>
                    </w:rPr>
                    <w:t>6</w:t>
                  </w:r>
                  <w:r>
                    <w:rPr>
                      <w:rFonts w:hint="eastAsia"/>
                      <w:color w:val="auto"/>
                      <w:kern w:val="0"/>
                      <w:sz w:val="18"/>
                      <w:szCs w:val="18"/>
                      <w:u w:val="none"/>
                    </w:rPr>
                    <w:t>人</w:t>
                  </w:r>
                </w:p>
              </w:tc>
              <w:tc>
                <w:tcPr>
                  <w:tcW w:w="995" w:type="pct"/>
                  <w:vMerge w:val="restart"/>
                  <w:noWrap w:val="0"/>
                  <w:vAlign w:val="center"/>
                </w:tcPr>
                <w:p>
                  <w:pPr>
                    <w:widowControl/>
                    <w:adjustRightInd w:val="0"/>
                    <w:snapToGrid w:val="0"/>
                    <w:jc w:val="center"/>
                    <w:rPr>
                      <w:color w:val="auto"/>
                      <w:kern w:val="0"/>
                      <w:sz w:val="18"/>
                      <w:szCs w:val="18"/>
                      <w:u w:val="none"/>
                    </w:rPr>
                  </w:pPr>
                  <w:r>
                    <w:rPr>
                      <w:color w:val="auto"/>
                      <w:kern w:val="0"/>
                      <w:sz w:val="18"/>
                      <w:szCs w:val="18"/>
                      <w:u w:val="none"/>
                    </w:rPr>
                    <w:t>《环境空气质量标准》（GB3095-2012）及其修改</w:t>
                  </w:r>
                  <w:r>
                    <w:rPr>
                      <w:color w:val="auto"/>
                      <w:kern w:val="0"/>
                      <w:sz w:val="18"/>
                      <w:szCs w:val="18"/>
                      <w:u w:val="none"/>
                    </w:rPr>
                    <w:cr/>
                  </w:r>
                  <w:r>
                    <w:rPr>
                      <w:color w:val="auto"/>
                      <w:kern w:val="0"/>
                      <w:sz w:val="18"/>
                      <w:szCs w:val="18"/>
                      <w:u w:val="none"/>
                    </w:rPr>
                    <w:t>中的二级标准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1" w:type="pct"/>
                  <w:vMerge w:val="continue"/>
                  <w:noWrap w:val="0"/>
                  <w:vAlign w:val="center"/>
                </w:tcPr>
                <w:p>
                  <w:pPr>
                    <w:widowControl/>
                    <w:adjustRightInd w:val="0"/>
                    <w:snapToGrid w:val="0"/>
                    <w:jc w:val="center"/>
                    <w:rPr>
                      <w:color w:val="auto"/>
                      <w:kern w:val="0"/>
                      <w:sz w:val="18"/>
                      <w:szCs w:val="18"/>
                      <w:u w:val="none"/>
                    </w:rPr>
                  </w:pPr>
                </w:p>
              </w:tc>
              <w:tc>
                <w:tcPr>
                  <w:tcW w:w="765" w:type="pct"/>
                  <w:noWrap w:val="0"/>
                  <w:vAlign w:val="center"/>
                </w:tcPr>
                <w:p>
                  <w:pPr>
                    <w:widowControl/>
                    <w:adjustRightInd w:val="0"/>
                    <w:snapToGrid w:val="0"/>
                    <w:jc w:val="center"/>
                    <w:rPr>
                      <w:rFonts w:hint="default" w:eastAsia="宋体"/>
                      <w:color w:val="auto"/>
                      <w:kern w:val="0"/>
                      <w:sz w:val="18"/>
                      <w:szCs w:val="18"/>
                      <w:u w:val="none"/>
                      <w:lang w:val="en-US" w:eastAsia="zh-CN"/>
                    </w:rPr>
                  </w:pPr>
                  <w:r>
                    <w:rPr>
                      <w:rFonts w:hint="eastAsia"/>
                      <w:color w:val="auto"/>
                      <w:kern w:val="0"/>
                      <w:sz w:val="18"/>
                      <w:szCs w:val="18"/>
                      <w:u w:val="none"/>
                      <w:lang w:val="en-US" w:eastAsia="zh-CN"/>
                    </w:rPr>
                    <w:t>112.5536066</w:t>
                  </w:r>
                </w:p>
              </w:tc>
              <w:tc>
                <w:tcPr>
                  <w:tcW w:w="702" w:type="pct"/>
                  <w:noWrap w:val="0"/>
                  <w:vAlign w:val="center"/>
                </w:tcPr>
                <w:p>
                  <w:pPr>
                    <w:widowControl/>
                    <w:adjustRightInd w:val="0"/>
                    <w:snapToGrid w:val="0"/>
                    <w:jc w:val="center"/>
                    <w:rPr>
                      <w:rFonts w:hint="default" w:eastAsia="宋体"/>
                      <w:color w:val="auto"/>
                      <w:kern w:val="0"/>
                      <w:sz w:val="18"/>
                      <w:szCs w:val="18"/>
                      <w:u w:val="none"/>
                      <w:lang w:val="en-US" w:eastAsia="zh-CN"/>
                    </w:rPr>
                  </w:pPr>
                  <w:r>
                    <w:rPr>
                      <w:rFonts w:hint="eastAsia"/>
                      <w:color w:val="auto"/>
                      <w:kern w:val="0"/>
                      <w:sz w:val="18"/>
                      <w:szCs w:val="18"/>
                      <w:u w:val="none"/>
                      <w:lang w:val="en-US" w:eastAsia="zh-CN"/>
                    </w:rPr>
                    <w:t>27.2422904</w:t>
                  </w:r>
                </w:p>
              </w:tc>
              <w:tc>
                <w:tcPr>
                  <w:tcW w:w="641" w:type="pct"/>
                  <w:noWrap w:val="0"/>
                  <w:vAlign w:val="center"/>
                </w:tcPr>
                <w:p>
                  <w:pPr>
                    <w:widowControl/>
                    <w:adjustRightInd w:val="0"/>
                    <w:snapToGrid w:val="0"/>
                    <w:jc w:val="center"/>
                    <w:rPr>
                      <w:rFonts w:hint="eastAsia" w:eastAsia="宋体"/>
                      <w:color w:val="auto"/>
                      <w:szCs w:val="21"/>
                      <w:u w:val="none"/>
                      <w:lang w:eastAsia="zh-CN"/>
                    </w:rPr>
                  </w:pPr>
                  <w:r>
                    <w:rPr>
                      <w:rFonts w:hint="eastAsia"/>
                      <w:color w:val="auto"/>
                      <w:kern w:val="0"/>
                      <w:sz w:val="18"/>
                      <w:szCs w:val="18"/>
                      <w:u w:val="none"/>
                      <w:lang w:eastAsia="zh-CN"/>
                    </w:rPr>
                    <w:t>界牌镇</w:t>
                  </w:r>
                  <w:r>
                    <w:rPr>
                      <w:rFonts w:hint="eastAsia"/>
                      <w:color w:val="auto"/>
                      <w:kern w:val="0"/>
                      <w:sz w:val="18"/>
                      <w:szCs w:val="18"/>
                      <w:u w:val="none"/>
                    </w:rPr>
                    <w:t>居民点</w:t>
                  </w:r>
                  <w:r>
                    <w:rPr>
                      <w:rFonts w:hint="eastAsia"/>
                      <w:color w:val="auto"/>
                      <w:kern w:val="0"/>
                      <w:sz w:val="18"/>
                      <w:szCs w:val="18"/>
                      <w:u w:val="none"/>
                      <w:lang w:val="en-US" w:eastAsia="zh-CN"/>
                    </w:rPr>
                    <w:t>H2</w:t>
                  </w:r>
                </w:p>
              </w:tc>
              <w:tc>
                <w:tcPr>
                  <w:tcW w:w="856" w:type="pct"/>
                  <w:noWrap w:val="0"/>
                  <w:vAlign w:val="center"/>
                </w:tcPr>
                <w:p>
                  <w:pPr>
                    <w:widowControl/>
                    <w:adjustRightInd w:val="0"/>
                    <w:snapToGrid w:val="0"/>
                    <w:jc w:val="center"/>
                    <w:rPr>
                      <w:rFonts w:hint="eastAsia"/>
                      <w:color w:val="auto"/>
                      <w:kern w:val="0"/>
                      <w:sz w:val="18"/>
                      <w:szCs w:val="18"/>
                      <w:u w:val="none"/>
                      <w:lang w:val="en-US" w:eastAsia="zh-CN"/>
                    </w:rPr>
                  </w:pPr>
                  <w:r>
                    <w:rPr>
                      <w:rFonts w:hint="eastAsia"/>
                      <w:color w:val="auto"/>
                      <w:kern w:val="0"/>
                      <w:sz w:val="18"/>
                      <w:szCs w:val="18"/>
                      <w:u w:val="none"/>
                      <w:lang w:val="en-US" w:eastAsia="zh-CN"/>
                    </w:rPr>
                    <w:t>EN</w:t>
                  </w:r>
                </w:p>
                <w:p>
                  <w:pPr>
                    <w:widowControl/>
                    <w:adjustRightInd w:val="0"/>
                    <w:snapToGrid w:val="0"/>
                    <w:jc w:val="center"/>
                    <w:rPr>
                      <w:color w:val="auto"/>
                      <w:kern w:val="0"/>
                      <w:sz w:val="18"/>
                      <w:szCs w:val="18"/>
                      <w:u w:val="none"/>
                    </w:rPr>
                  </w:pPr>
                  <w:r>
                    <w:rPr>
                      <w:rFonts w:hint="eastAsia"/>
                      <w:color w:val="auto"/>
                      <w:kern w:val="0"/>
                      <w:sz w:val="18"/>
                      <w:szCs w:val="18"/>
                      <w:u w:val="none"/>
                      <w:lang w:val="en-US" w:eastAsia="zh-CN"/>
                    </w:rPr>
                    <w:t>50</w:t>
                  </w:r>
                  <w:r>
                    <w:rPr>
                      <w:rFonts w:hint="eastAsia"/>
                      <w:color w:val="auto"/>
                      <w:kern w:val="0"/>
                      <w:sz w:val="18"/>
                      <w:szCs w:val="18"/>
                      <w:u w:val="none"/>
                    </w:rPr>
                    <w:t>m~</w:t>
                  </w:r>
                  <w:r>
                    <w:rPr>
                      <w:rFonts w:hint="eastAsia"/>
                      <w:color w:val="auto"/>
                      <w:kern w:val="0"/>
                      <w:sz w:val="18"/>
                      <w:szCs w:val="18"/>
                      <w:u w:val="none"/>
                      <w:lang w:val="en-US" w:eastAsia="zh-CN"/>
                    </w:rPr>
                    <w:t>137</w:t>
                  </w:r>
                  <w:r>
                    <w:rPr>
                      <w:rFonts w:hint="eastAsia"/>
                      <w:color w:val="auto"/>
                      <w:kern w:val="0"/>
                      <w:sz w:val="18"/>
                      <w:szCs w:val="18"/>
                      <w:u w:val="none"/>
                    </w:rPr>
                    <w:t>m</w:t>
                  </w:r>
                </w:p>
              </w:tc>
              <w:tc>
                <w:tcPr>
                  <w:tcW w:w="676" w:type="pct"/>
                  <w:noWrap w:val="0"/>
                  <w:vAlign w:val="center"/>
                </w:tcPr>
                <w:p>
                  <w:pPr>
                    <w:widowControl/>
                    <w:adjustRightInd w:val="0"/>
                    <w:snapToGrid w:val="0"/>
                    <w:jc w:val="center"/>
                    <w:rPr>
                      <w:color w:val="auto"/>
                      <w:kern w:val="0"/>
                      <w:sz w:val="18"/>
                      <w:szCs w:val="18"/>
                      <w:u w:val="none"/>
                    </w:rPr>
                  </w:pPr>
                  <w:r>
                    <w:rPr>
                      <w:rFonts w:hint="eastAsia"/>
                      <w:color w:val="auto"/>
                      <w:kern w:val="0"/>
                      <w:sz w:val="18"/>
                      <w:szCs w:val="18"/>
                      <w:u w:val="none"/>
                    </w:rPr>
                    <w:t>居住，6户，18人</w:t>
                  </w:r>
                </w:p>
              </w:tc>
              <w:tc>
                <w:tcPr>
                  <w:tcW w:w="995" w:type="pct"/>
                  <w:vMerge w:val="continue"/>
                  <w:noWrap w:val="0"/>
                  <w:vAlign w:val="center"/>
                </w:tcPr>
                <w:p>
                  <w:pPr>
                    <w:widowControl/>
                    <w:adjustRightInd w:val="0"/>
                    <w:snapToGrid w:val="0"/>
                    <w:jc w:val="center"/>
                    <w:rPr>
                      <w:color w:val="auto"/>
                      <w:kern w:val="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1" w:type="pct"/>
                  <w:vMerge w:val="continue"/>
                  <w:noWrap w:val="0"/>
                  <w:vAlign w:val="center"/>
                </w:tcPr>
                <w:p>
                  <w:pPr>
                    <w:widowControl/>
                    <w:adjustRightInd w:val="0"/>
                    <w:snapToGrid w:val="0"/>
                    <w:jc w:val="center"/>
                    <w:rPr>
                      <w:color w:val="auto"/>
                      <w:kern w:val="0"/>
                      <w:sz w:val="18"/>
                      <w:szCs w:val="18"/>
                      <w:u w:val="none"/>
                    </w:rPr>
                  </w:pPr>
                </w:p>
              </w:tc>
              <w:tc>
                <w:tcPr>
                  <w:tcW w:w="765" w:type="pct"/>
                  <w:noWrap w:val="0"/>
                  <w:vAlign w:val="center"/>
                </w:tcPr>
                <w:p>
                  <w:pPr>
                    <w:widowControl/>
                    <w:adjustRightInd w:val="0"/>
                    <w:snapToGrid w:val="0"/>
                    <w:jc w:val="center"/>
                    <w:rPr>
                      <w:rFonts w:hint="default" w:eastAsia="宋体"/>
                      <w:color w:val="auto"/>
                      <w:kern w:val="0"/>
                      <w:sz w:val="18"/>
                      <w:szCs w:val="18"/>
                      <w:u w:val="none"/>
                      <w:lang w:val="en-US" w:eastAsia="zh-CN"/>
                    </w:rPr>
                  </w:pPr>
                  <w:r>
                    <w:rPr>
                      <w:rFonts w:hint="eastAsia"/>
                      <w:color w:val="auto"/>
                      <w:kern w:val="0"/>
                      <w:sz w:val="18"/>
                      <w:szCs w:val="18"/>
                      <w:u w:val="none"/>
                      <w:lang w:val="en-US" w:eastAsia="zh-CN"/>
                    </w:rPr>
                    <w:t>112.5552856</w:t>
                  </w:r>
                </w:p>
              </w:tc>
              <w:tc>
                <w:tcPr>
                  <w:tcW w:w="702" w:type="pct"/>
                  <w:noWrap w:val="0"/>
                  <w:vAlign w:val="center"/>
                </w:tcPr>
                <w:p>
                  <w:pPr>
                    <w:widowControl/>
                    <w:adjustRightInd w:val="0"/>
                    <w:snapToGrid w:val="0"/>
                    <w:jc w:val="center"/>
                    <w:rPr>
                      <w:rFonts w:hint="default" w:eastAsia="宋体"/>
                      <w:color w:val="auto"/>
                      <w:kern w:val="0"/>
                      <w:sz w:val="18"/>
                      <w:szCs w:val="18"/>
                      <w:u w:val="none"/>
                      <w:lang w:val="en-US" w:eastAsia="zh-CN"/>
                    </w:rPr>
                  </w:pPr>
                  <w:r>
                    <w:rPr>
                      <w:rFonts w:hint="eastAsia"/>
                      <w:color w:val="auto"/>
                      <w:kern w:val="0"/>
                      <w:sz w:val="18"/>
                      <w:szCs w:val="18"/>
                      <w:u w:val="none"/>
                      <w:lang w:val="en-US" w:eastAsia="zh-CN"/>
                    </w:rPr>
                    <w:t>27.2442324</w:t>
                  </w:r>
                </w:p>
              </w:tc>
              <w:tc>
                <w:tcPr>
                  <w:tcW w:w="641" w:type="pct"/>
                  <w:noWrap w:val="0"/>
                  <w:vAlign w:val="center"/>
                </w:tcPr>
                <w:p>
                  <w:pPr>
                    <w:widowControl/>
                    <w:adjustRightInd w:val="0"/>
                    <w:snapToGrid w:val="0"/>
                    <w:jc w:val="center"/>
                    <w:rPr>
                      <w:rFonts w:hint="eastAsia" w:eastAsia="宋体"/>
                      <w:color w:val="auto"/>
                      <w:szCs w:val="21"/>
                      <w:u w:val="none"/>
                      <w:lang w:eastAsia="zh-CN"/>
                    </w:rPr>
                  </w:pPr>
                  <w:r>
                    <w:rPr>
                      <w:rFonts w:hint="eastAsia"/>
                      <w:color w:val="auto"/>
                      <w:kern w:val="0"/>
                      <w:sz w:val="18"/>
                      <w:szCs w:val="18"/>
                      <w:u w:val="none"/>
                      <w:lang w:eastAsia="zh-CN"/>
                    </w:rPr>
                    <w:t>界牌镇</w:t>
                  </w:r>
                  <w:r>
                    <w:rPr>
                      <w:rFonts w:hint="eastAsia"/>
                      <w:color w:val="auto"/>
                      <w:kern w:val="0"/>
                      <w:sz w:val="18"/>
                      <w:szCs w:val="18"/>
                      <w:u w:val="none"/>
                    </w:rPr>
                    <w:t>居民点</w:t>
                  </w:r>
                  <w:r>
                    <w:rPr>
                      <w:rFonts w:hint="eastAsia"/>
                      <w:color w:val="auto"/>
                      <w:kern w:val="0"/>
                      <w:sz w:val="18"/>
                      <w:szCs w:val="18"/>
                      <w:u w:val="none"/>
                      <w:lang w:val="en-US" w:eastAsia="zh-CN"/>
                    </w:rPr>
                    <w:t>H3</w:t>
                  </w:r>
                </w:p>
              </w:tc>
              <w:tc>
                <w:tcPr>
                  <w:tcW w:w="856" w:type="pct"/>
                  <w:noWrap w:val="0"/>
                  <w:vAlign w:val="center"/>
                </w:tcPr>
                <w:p>
                  <w:pPr>
                    <w:widowControl/>
                    <w:adjustRightInd w:val="0"/>
                    <w:snapToGrid w:val="0"/>
                    <w:jc w:val="center"/>
                    <w:rPr>
                      <w:rFonts w:hint="eastAsia"/>
                      <w:color w:val="auto"/>
                      <w:kern w:val="0"/>
                      <w:sz w:val="18"/>
                      <w:szCs w:val="18"/>
                      <w:u w:val="none"/>
                      <w:lang w:val="en-US" w:eastAsia="zh-CN"/>
                    </w:rPr>
                  </w:pPr>
                  <w:r>
                    <w:rPr>
                      <w:rFonts w:hint="eastAsia"/>
                      <w:color w:val="auto"/>
                      <w:kern w:val="0"/>
                      <w:sz w:val="18"/>
                      <w:szCs w:val="18"/>
                      <w:u w:val="none"/>
                      <w:lang w:val="en-US" w:eastAsia="zh-CN"/>
                    </w:rPr>
                    <w:t>EN</w:t>
                  </w:r>
                </w:p>
                <w:p>
                  <w:pPr>
                    <w:widowControl/>
                    <w:adjustRightInd w:val="0"/>
                    <w:snapToGrid w:val="0"/>
                    <w:jc w:val="center"/>
                    <w:rPr>
                      <w:color w:val="auto"/>
                      <w:kern w:val="0"/>
                      <w:sz w:val="18"/>
                      <w:szCs w:val="18"/>
                      <w:u w:val="none"/>
                    </w:rPr>
                  </w:pPr>
                  <w:r>
                    <w:rPr>
                      <w:rFonts w:hint="eastAsia"/>
                      <w:color w:val="auto"/>
                      <w:kern w:val="0"/>
                      <w:sz w:val="18"/>
                      <w:szCs w:val="18"/>
                      <w:u w:val="none"/>
                    </w:rPr>
                    <w:t>2</w:t>
                  </w:r>
                  <w:r>
                    <w:rPr>
                      <w:rFonts w:hint="eastAsia"/>
                      <w:color w:val="auto"/>
                      <w:kern w:val="0"/>
                      <w:sz w:val="18"/>
                      <w:szCs w:val="18"/>
                      <w:u w:val="none"/>
                      <w:lang w:val="en-US" w:eastAsia="zh-CN"/>
                    </w:rPr>
                    <w:t>45</w:t>
                  </w:r>
                  <w:r>
                    <w:rPr>
                      <w:rFonts w:hint="eastAsia"/>
                      <w:color w:val="auto"/>
                      <w:kern w:val="0"/>
                      <w:sz w:val="18"/>
                      <w:szCs w:val="18"/>
                      <w:u w:val="none"/>
                    </w:rPr>
                    <w:t>m~</w:t>
                  </w:r>
                  <w:r>
                    <w:rPr>
                      <w:rFonts w:hint="eastAsia"/>
                      <w:color w:val="auto"/>
                      <w:kern w:val="0"/>
                      <w:sz w:val="18"/>
                      <w:szCs w:val="18"/>
                      <w:u w:val="none"/>
                      <w:lang w:val="en-US" w:eastAsia="zh-CN"/>
                    </w:rPr>
                    <w:t>500</w:t>
                  </w:r>
                  <w:r>
                    <w:rPr>
                      <w:rFonts w:hint="eastAsia"/>
                      <w:color w:val="auto"/>
                      <w:kern w:val="0"/>
                      <w:sz w:val="18"/>
                      <w:szCs w:val="18"/>
                      <w:u w:val="none"/>
                    </w:rPr>
                    <w:t>m</w:t>
                  </w:r>
                </w:p>
              </w:tc>
              <w:tc>
                <w:tcPr>
                  <w:tcW w:w="676" w:type="pct"/>
                  <w:noWrap w:val="0"/>
                  <w:vAlign w:val="center"/>
                </w:tcPr>
                <w:p>
                  <w:pPr>
                    <w:widowControl/>
                    <w:adjustRightInd w:val="0"/>
                    <w:snapToGrid w:val="0"/>
                    <w:jc w:val="center"/>
                    <w:rPr>
                      <w:color w:val="auto"/>
                      <w:kern w:val="0"/>
                      <w:sz w:val="18"/>
                      <w:szCs w:val="18"/>
                      <w:u w:val="none"/>
                    </w:rPr>
                  </w:pPr>
                  <w:r>
                    <w:rPr>
                      <w:rFonts w:hint="eastAsia"/>
                      <w:color w:val="auto"/>
                      <w:kern w:val="0"/>
                      <w:sz w:val="18"/>
                      <w:szCs w:val="18"/>
                      <w:u w:val="none"/>
                    </w:rPr>
                    <w:t>居住，</w:t>
                  </w:r>
                  <w:r>
                    <w:rPr>
                      <w:rFonts w:hint="eastAsia"/>
                      <w:color w:val="auto"/>
                      <w:kern w:val="0"/>
                      <w:sz w:val="18"/>
                      <w:szCs w:val="18"/>
                      <w:u w:val="none"/>
                      <w:lang w:val="en-US" w:eastAsia="zh-CN"/>
                    </w:rPr>
                    <w:t>2</w:t>
                  </w:r>
                  <w:r>
                    <w:rPr>
                      <w:rFonts w:hint="eastAsia"/>
                      <w:color w:val="auto"/>
                      <w:kern w:val="0"/>
                      <w:sz w:val="18"/>
                      <w:szCs w:val="18"/>
                      <w:u w:val="none"/>
                    </w:rPr>
                    <w:t>4户，</w:t>
                  </w:r>
                  <w:r>
                    <w:rPr>
                      <w:rFonts w:hint="eastAsia"/>
                      <w:color w:val="auto"/>
                      <w:kern w:val="0"/>
                      <w:sz w:val="18"/>
                      <w:szCs w:val="18"/>
                      <w:u w:val="none"/>
                      <w:lang w:val="en-US" w:eastAsia="zh-CN"/>
                    </w:rPr>
                    <w:t>8</w:t>
                  </w:r>
                  <w:r>
                    <w:rPr>
                      <w:rFonts w:hint="eastAsia"/>
                      <w:color w:val="auto"/>
                      <w:kern w:val="0"/>
                      <w:sz w:val="18"/>
                      <w:szCs w:val="18"/>
                      <w:u w:val="none"/>
                    </w:rPr>
                    <w:t>2人</w:t>
                  </w:r>
                </w:p>
              </w:tc>
              <w:tc>
                <w:tcPr>
                  <w:tcW w:w="995" w:type="pct"/>
                  <w:vMerge w:val="continue"/>
                  <w:noWrap w:val="0"/>
                  <w:vAlign w:val="center"/>
                </w:tcPr>
                <w:p>
                  <w:pPr>
                    <w:widowControl/>
                    <w:adjustRightInd w:val="0"/>
                    <w:snapToGrid w:val="0"/>
                    <w:jc w:val="center"/>
                    <w:rPr>
                      <w:color w:val="auto"/>
                      <w:kern w:val="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361" w:type="pct"/>
                  <w:vMerge w:val="continue"/>
                  <w:noWrap w:val="0"/>
                  <w:vAlign w:val="center"/>
                </w:tcPr>
                <w:p>
                  <w:pPr>
                    <w:widowControl/>
                    <w:adjustRightInd w:val="0"/>
                    <w:snapToGrid w:val="0"/>
                    <w:jc w:val="center"/>
                    <w:rPr>
                      <w:color w:val="auto"/>
                      <w:kern w:val="0"/>
                      <w:sz w:val="18"/>
                      <w:szCs w:val="18"/>
                      <w:u w:val="none"/>
                    </w:rPr>
                  </w:pPr>
                </w:p>
              </w:tc>
              <w:tc>
                <w:tcPr>
                  <w:tcW w:w="765" w:type="pct"/>
                  <w:noWrap w:val="0"/>
                  <w:vAlign w:val="center"/>
                </w:tcPr>
                <w:p>
                  <w:pPr>
                    <w:widowControl/>
                    <w:adjustRightInd w:val="0"/>
                    <w:snapToGrid w:val="0"/>
                    <w:jc w:val="center"/>
                    <w:rPr>
                      <w:rFonts w:hint="default" w:eastAsia="宋体"/>
                      <w:color w:val="auto"/>
                      <w:kern w:val="0"/>
                      <w:sz w:val="18"/>
                      <w:szCs w:val="18"/>
                      <w:u w:val="none"/>
                      <w:lang w:val="en-US" w:eastAsia="zh-CN"/>
                    </w:rPr>
                  </w:pPr>
                  <w:r>
                    <w:rPr>
                      <w:rFonts w:hint="eastAsia"/>
                      <w:color w:val="auto"/>
                      <w:kern w:val="0"/>
                      <w:sz w:val="18"/>
                      <w:szCs w:val="18"/>
                      <w:u w:val="none"/>
                      <w:lang w:val="en-US" w:eastAsia="zh-CN"/>
                    </w:rPr>
                    <w:t>112.5549531</w:t>
                  </w:r>
                </w:p>
              </w:tc>
              <w:tc>
                <w:tcPr>
                  <w:tcW w:w="702" w:type="pct"/>
                  <w:noWrap w:val="0"/>
                  <w:vAlign w:val="center"/>
                </w:tcPr>
                <w:p>
                  <w:pPr>
                    <w:widowControl/>
                    <w:adjustRightInd w:val="0"/>
                    <w:snapToGrid w:val="0"/>
                    <w:jc w:val="center"/>
                    <w:rPr>
                      <w:rFonts w:hint="default" w:eastAsia="宋体"/>
                      <w:color w:val="auto"/>
                      <w:kern w:val="0"/>
                      <w:sz w:val="18"/>
                      <w:szCs w:val="18"/>
                      <w:u w:val="none"/>
                      <w:lang w:val="en-US" w:eastAsia="zh-CN"/>
                    </w:rPr>
                  </w:pPr>
                  <w:r>
                    <w:rPr>
                      <w:rFonts w:hint="eastAsia"/>
                      <w:color w:val="auto"/>
                      <w:kern w:val="0"/>
                      <w:sz w:val="18"/>
                      <w:szCs w:val="18"/>
                      <w:u w:val="none"/>
                      <w:lang w:val="en-US" w:eastAsia="zh-CN"/>
                    </w:rPr>
                    <w:t>27.2401447</w:t>
                  </w:r>
                </w:p>
              </w:tc>
              <w:tc>
                <w:tcPr>
                  <w:tcW w:w="641" w:type="pct"/>
                  <w:noWrap w:val="0"/>
                  <w:vAlign w:val="center"/>
                </w:tcPr>
                <w:p>
                  <w:pPr>
                    <w:widowControl/>
                    <w:adjustRightInd w:val="0"/>
                    <w:snapToGrid w:val="0"/>
                    <w:jc w:val="center"/>
                    <w:rPr>
                      <w:rFonts w:hint="eastAsia" w:eastAsia="宋体"/>
                      <w:color w:val="auto"/>
                      <w:szCs w:val="21"/>
                      <w:u w:val="none"/>
                      <w:lang w:eastAsia="zh-CN"/>
                    </w:rPr>
                  </w:pPr>
                  <w:r>
                    <w:rPr>
                      <w:rFonts w:hint="eastAsia"/>
                      <w:color w:val="auto"/>
                      <w:kern w:val="0"/>
                      <w:sz w:val="18"/>
                      <w:szCs w:val="18"/>
                      <w:u w:val="none"/>
                      <w:lang w:eastAsia="zh-CN"/>
                    </w:rPr>
                    <w:t>界牌镇</w:t>
                  </w:r>
                  <w:r>
                    <w:rPr>
                      <w:rFonts w:hint="eastAsia"/>
                      <w:color w:val="auto"/>
                      <w:kern w:val="0"/>
                      <w:sz w:val="18"/>
                      <w:szCs w:val="18"/>
                      <w:u w:val="none"/>
                    </w:rPr>
                    <w:t>居民点</w:t>
                  </w:r>
                  <w:r>
                    <w:rPr>
                      <w:rFonts w:hint="eastAsia"/>
                      <w:color w:val="auto"/>
                      <w:kern w:val="0"/>
                      <w:sz w:val="18"/>
                      <w:szCs w:val="18"/>
                      <w:u w:val="none"/>
                      <w:lang w:val="en-US" w:eastAsia="zh-CN"/>
                    </w:rPr>
                    <w:t>H4</w:t>
                  </w:r>
                </w:p>
              </w:tc>
              <w:tc>
                <w:tcPr>
                  <w:tcW w:w="856" w:type="pct"/>
                  <w:noWrap w:val="0"/>
                  <w:vAlign w:val="center"/>
                </w:tcPr>
                <w:p>
                  <w:pPr>
                    <w:widowControl/>
                    <w:adjustRightInd w:val="0"/>
                    <w:snapToGrid w:val="0"/>
                    <w:jc w:val="center"/>
                    <w:rPr>
                      <w:rFonts w:hint="eastAsia"/>
                      <w:color w:val="auto"/>
                      <w:kern w:val="0"/>
                      <w:sz w:val="18"/>
                      <w:szCs w:val="18"/>
                      <w:u w:val="none"/>
                      <w:lang w:val="en-US" w:eastAsia="zh-CN"/>
                    </w:rPr>
                  </w:pPr>
                  <w:r>
                    <w:rPr>
                      <w:rFonts w:hint="eastAsia"/>
                      <w:color w:val="auto"/>
                      <w:kern w:val="0"/>
                      <w:sz w:val="18"/>
                      <w:szCs w:val="18"/>
                      <w:u w:val="none"/>
                      <w:lang w:val="en-US" w:eastAsia="zh-CN"/>
                    </w:rPr>
                    <w:t>E</w:t>
                  </w:r>
                </w:p>
                <w:p>
                  <w:pPr>
                    <w:widowControl/>
                    <w:adjustRightInd w:val="0"/>
                    <w:snapToGrid w:val="0"/>
                    <w:jc w:val="center"/>
                    <w:rPr>
                      <w:color w:val="auto"/>
                      <w:kern w:val="0"/>
                      <w:sz w:val="18"/>
                      <w:szCs w:val="18"/>
                      <w:u w:val="none"/>
                    </w:rPr>
                  </w:pPr>
                  <w:r>
                    <w:rPr>
                      <w:rFonts w:hint="eastAsia"/>
                      <w:color w:val="auto"/>
                      <w:kern w:val="0"/>
                      <w:sz w:val="18"/>
                      <w:szCs w:val="18"/>
                      <w:u w:val="none"/>
                      <w:lang w:val="en-US" w:eastAsia="zh-CN"/>
                    </w:rPr>
                    <w:t>130</w:t>
                  </w:r>
                  <w:r>
                    <w:rPr>
                      <w:rFonts w:hint="eastAsia"/>
                      <w:color w:val="auto"/>
                      <w:kern w:val="0"/>
                      <w:sz w:val="18"/>
                      <w:szCs w:val="18"/>
                      <w:u w:val="none"/>
                    </w:rPr>
                    <w:t>m~</w:t>
                  </w:r>
                  <w:r>
                    <w:rPr>
                      <w:rFonts w:hint="eastAsia"/>
                      <w:color w:val="auto"/>
                      <w:kern w:val="0"/>
                      <w:sz w:val="18"/>
                      <w:szCs w:val="18"/>
                      <w:u w:val="none"/>
                      <w:lang w:val="en-US" w:eastAsia="zh-CN"/>
                    </w:rPr>
                    <w:t>500</w:t>
                  </w:r>
                  <w:r>
                    <w:rPr>
                      <w:rFonts w:hint="eastAsia"/>
                      <w:color w:val="auto"/>
                      <w:kern w:val="0"/>
                      <w:sz w:val="18"/>
                      <w:szCs w:val="18"/>
                      <w:u w:val="none"/>
                    </w:rPr>
                    <w:t>m</w:t>
                  </w:r>
                </w:p>
              </w:tc>
              <w:tc>
                <w:tcPr>
                  <w:tcW w:w="676" w:type="pct"/>
                  <w:noWrap w:val="0"/>
                  <w:vAlign w:val="center"/>
                </w:tcPr>
                <w:p>
                  <w:pPr>
                    <w:widowControl/>
                    <w:adjustRightInd w:val="0"/>
                    <w:snapToGrid w:val="0"/>
                    <w:jc w:val="center"/>
                    <w:rPr>
                      <w:color w:val="auto"/>
                      <w:kern w:val="0"/>
                      <w:sz w:val="18"/>
                      <w:szCs w:val="18"/>
                      <w:u w:val="none"/>
                    </w:rPr>
                  </w:pPr>
                  <w:r>
                    <w:rPr>
                      <w:rFonts w:hint="eastAsia"/>
                      <w:color w:val="auto"/>
                      <w:kern w:val="0"/>
                      <w:sz w:val="18"/>
                      <w:szCs w:val="18"/>
                      <w:u w:val="none"/>
                    </w:rPr>
                    <w:t>居住，</w:t>
                  </w:r>
                  <w:r>
                    <w:rPr>
                      <w:rFonts w:hint="eastAsia"/>
                      <w:color w:val="auto"/>
                      <w:kern w:val="0"/>
                      <w:sz w:val="18"/>
                      <w:szCs w:val="18"/>
                      <w:u w:val="none"/>
                      <w:lang w:val="en-US" w:eastAsia="zh-CN"/>
                    </w:rPr>
                    <w:t>160</w:t>
                  </w:r>
                  <w:r>
                    <w:rPr>
                      <w:rFonts w:hint="eastAsia"/>
                      <w:color w:val="auto"/>
                      <w:kern w:val="0"/>
                      <w:sz w:val="18"/>
                      <w:szCs w:val="18"/>
                      <w:u w:val="none"/>
                    </w:rPr>
                    <w:t>户，</w:t>
                  </w:r>
                  <w:r>
                    <w:rPr>
                      <w:rFonts w:hint="eastAsia"/>
                      <w:color w:val="auto"/>
                      <w:kern w:val="0"/>
                      <w:sz w:val="18"/>
                      <w:szCs w:val="18"/>
                      <w:u w:val="none"/>
                      <w:lang w:val="en-US" w:eastAsia="zh-CN"/>
                    </w:rPr>
                    <w:t>480</w:t>
                  </w:r>
                  <w:r>
                    <w:rPr>
                      <w:rFonts w:hint="eastAsia"/>
                      <w:color w:val="auto"/>
                      <w:kern w:val="0"/>
                      <w:sz w:val="18"/>
                      <w:szCs w:val="18"/>
                      <w:u w:val="none"/>
                    </w:rPr>
                    <w:t>人</w:t>
                  </w:r>
                </w:p>
              </w:tc>
              <w:tc>
                <w:tcPr>
                  <w:tcW w:w="995" w:type="pct"/>
                  <w:vMerge w:val="continue"/>
                  <w:noWrap w:val="0"/>
                  <w:vAlign w:val="center"/>
                </w:tcPr>
                <w:p>
                  <w:pPr>
                    <w:widowControl/>
                    <w:adjustRightInd w:val="0"/>
                    <w:snapToGrid w:val="0"/>
                    <w:jc w:val="center"/>
                    <w:rPr>
                      <w:color w:val="auto"/>
                      <w:kern w:val="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1" w:type="pct"/>
                  <w:vMerge w:val="continue"/>
                  <w:noWrap w:val="0"/>
                  <w:vAlign w:val="center"/>
                </w:tcPr>
                <w:p>
                  <w:pPr>
                    <w:widowControl/>
                    <w:adjustRightInd w:val="0"/>
                    <w:snapToGrid w:val="0"/>
                    <w:jc w:val="center"/>
                    <w:rPr>
                      <w:color w:val="auto"/>
                      <w:kern w:val="0"/>
                      <w:sz w:val="18"/>
                      <w:szCs w:val="18"/>
                      <w:u w:val="none"/>
                    </w:rPr>
                  </w:pPr>
                </w:p>
              </w:tc>
              <w:tc>
                <w:tcPr>
                  <w:tcW w:w="765" w:type="pct"/>
                  <w:noWrap w:val="0"/>
                  <w:vAlign w:val="center"/>
                </w:tcPr>
                <w:p>
                  <w:pPr>
                    <w:widowControl/>
                    <w:adjustRightInd w:val="0"/>
                    <w:snapToGrid w:val="0"/>
                    <w:jc w:val="center"/>
                    <w:rPr>
                      <w:rFonts w:hint="default" w:eastAsia="宋体"/>
                      <w:color w:val="auto"/>
                      <w:kern w:val="0"/>
                      <w:sz w:val="18"/>
                      <w:szCs w:val="18"/>
                      <w:u w:val="none"/>
                      <w:lang w:val="en-US" w:eastAsia="zh-CN"/>
                    </w:rPr>
                  </w:pPr>
                  <w:r>
                    <w:rPr>
                      <w:rFonts w:hint="eastAsia"/>
                      <w:color w:val="auto"/>
                      <w:kern w:val="0"/>
                      <w:sz w:val="18"/>
                      <w:szCs w:val="18"/>
                      <w:u w:val="none"/>
                      <w:lang w:val="en-US" w:eastAsia="zh-CN"/>
                    </w:rPr>
                    <w:t>112.5515091</w:t>
                  </w:r>
                </w:p>
              </w:tc>
              <w:tc>
                <w:tcPr>
                  <w:tcW w:w="702" w:type="pct"/>
                  <w:noWrap w:val="0"/>
                  <w:vAlign w:val="center"/>
                </w:tcPr>
                <w:p>
                  <w:pPr>
                    <w:widowControl/>
                    <w:adjustRightInd w:val="0"/>
                    <w:snapToGrid w:val="0"/>
                    <w:jc w:val="center"/>
                    <w:rPr>
                      <w:rFonts w:hint="default" w:eastAsia="宋体"/>
                      <w:color w:val="auto"/>
                      <w:kern w:val="0"/>
                      <w:sz w:val="18"/>
                      <w:szCs w:val="18"/>
                      <w:u w:val="none"/>
                      <w:lang w:val="en-US" w:eastAsia="zh-CN"/>
                    </w:rPr>
                  </w:pPr>
                  <w:r>
                    <w:rPr>
                      <w:rFonts w:hint="eastAsia"/>
                      <w:color w:val="auto"/>
                      <w:kern w:val="0"/>
                      <w:sz w:val="18"/>
                      <w:szCs w:val="18"/>
                      <w:u w:val="none"/>
                      <w:lang w:val="en-US" w:eastAsia="zh-CN"/>
                    </w:rPr>
                    <w:t>27.2399837</w:t>
                  </w:r>
                </w:p>
              </w:tc>
              <w:tc>
                <w:tcPr>
                  <w:tcW w:w="641" w:type="pct"/>
                  <w:noWrap w:val="0"/>
                  <w:vAlign w:val="center"/>
                </w:tcPr>
                <w:p>
                  <w:pPr>
                    <w:widowControl/>
                    <w:adjustRightInd w:val="0"/>
                    <w:snapToGrid w:val="0"/>
                    <w:jc w:val="center"/>
                    <w:rPr>
                      <w:rFonts w:hint="eastAsia" w:eastAsia="宋体"/>
                      <w:color w:val="auto"/>
                      <w:szCs w:val="21"/>
                      <w:u w:val="none"/>
                      <w:lang w:eastAsia="zh-CN"/>
                    </w:rPr>
                  </w:pPr>
                  <w:r>
                    <w:rPr>
                      <w:rFonts w:hint="eastAsia"/>
                      <w:color w:val="auto"/>
                      <w:kern w:val="0"/>
                      <w:sz w:val="18"/>
                      <w:szCs w:val="18"/>
                      <w:u w:val="none"/>
                      <w:lang w:eastAsia="zh-CN"/>
                    </w:rPr>
                    <w:t>界牌镇</w:t>
                  </w:r>
                  <w:r>
                    <w:rPr>
                      <w:rFonts w:hint="eastAsia"/>
                      <w:color w:val="auto"/>
                      <w:kern w:val="0"/>
                      <w:sz w:val="18"/>
                      <w:szCs w:val="18"/>
                      <w:u w:val="none"/>
                    </w:rPr>
                    <w:t>居民点</w:t>
                  </w:r>
                  <w:r>
                    <w:rPr>
                      <w:rFonts w:hint="eastAsia"/>
                      <w:color w:val="auto"/>
                      <w:kern w:val="0"/>
                      <w:sz w:val="18"/>
                      <w:szCs w:val="18"/>
                      <w:u w:val="none"/>
                      <w:lang w:val="en-US" w:eastAsia="zh-CN"/>
                    </w:rPr>
                    <w:t>H5</w:t>
                  </w:r>
                </w:p>
              </w:tc>
              <w:tc>
                <w:tcPr>
                  <w:tcW w:w="856" w:type="pct"/>
                  <w:noWrap w:val="0"/>
                  <w:vAlign w:val="center"/>
                </w:tcPr>
                <w:p>
                  <w:pPr>
                    <w:widowControl/>
                    <w:adjustRightInd w:val="0"/>
                    <w:snapToGrid w:val="0"/>
                    <w:jc w:val="center"/>
                    <w:rPr>
                      <w:rFonts w:hint="eastAsia"/>
                      <w:color w:val="auto"/>
                      <w:kern w:val="0"/>
                      <w:sz w:val="18"/>
                      <w:szCs w:val="18"/>
                      <w:u w:val="none"/>
                      <w:lang w:val="en-US" w:eastAsia="zh-CN"/>
                    </w:rPr>
                  </w:pPr>
                  <w:r>
                    <w:rPr>
                      <w:rFonts w:hint="eastAsia"/>
                      <w:color w:val="auto"/>
                      <w:kern w:val="0"/>
                      <w:sz w:val="18"/>
                      <w:szCs w:val="18"/>
                      <w:u w:val="none"/>
                      <w:lang w:val="en-US" w:eastAsia="zh-CN"/>
                    </w:rPr>
                    <w:t>S</w:t>
                  </w:r>
                </w:p>
                <w:p>
                  <w:pPr>
                    <w:widowControl/>
                    <w:adjustRightInd w:val="0"/>
                    <w:snapToGrid w:val="0"/>
                    <w:jc w:val="center"/>
                    <w:rPr>
                      <w:color w:val="auto"/>
                      <w:kern w:val="0"/>
                      <w:sz w:val="18"/>
                      <w:szCs w:val="18"/>
                      <w:u w:val="none"/>
                    </w:rPr>
                  </w:pPr>
                  <w:r>
                    <w:rPr>
                      <w:rFonts w:hint="eastAsia"/>
                      <w:color w:val="auto"/>
                      <w:kern w:val="0"/>
                      <w:sz w:val="18"/>
                      <w:szCs w:val="18"/>
                      <w:u w:val="none"/>
                    </w:rPr>
                    <w:t xml:space="preserve"> </w:t>
                  </w:r>
                  <w:r>
                    <w:rPr>
                      <w:rFonts w:hint="eastAsia"/>
                      <w:color w:val="auto"/>
                      <w:kern w:val="0"/>
                      <w:sz w:val="18"/>
                      <w:szCs w:val="18"/>
                      <w:u w:val="none"/>
                      <w:lang w:val="en-US" w:eastAsia="zh-CN"/>
                    </w:rPr>
                    <w:t>120</w:t>
                  </w:r>
                  <w:r>
                    <w:rPr>
                      <w:rFonts w:hint="eastAsia"/>
                      <w:color w:val="auto"/>
                      <w:kern w:val="0"/>
                      <w:sz w:val="18"/>
                      <w:szCs w:val="18"/>
                      <w:u w:val="none"/>
                    </w:rPr>
                    <w:t>m~</w:t>
                  </w:r>
                  <w:r>
                    <w:rPr>
                      <w:rFonts w:hint="eastAsia"/>
                      <w:color w:val="auto"/>
                      <w:kern w:val="0"/>
                      <w:sz w:val="18"/>
                      <w:szCs w:val="18"/>
                      <w:u w:val="none"/>
                      <w:lang w:val="en-US" w:eastAsia="zh-CN"/>
                    </w:rPr>
                    <w:t>320</w:t>
                  </w:r>
                  <w:r>
                    <w:rPr>
                      <w:rFonts w:hint="eastAsia"/>
                      <w:color w:val="auto"/>
                      <w:kern w:val="0"/>
                      <w:sz w:val="18"/>
                      <w:szCs w:val="18"/>
                      <w:u w:val="none"/>
                    </w:rPr>
                    <w:t>m</w:t>
                  </w:r>
                </w:p>
              </w:tc>
              <w:tc>
                <w:tcPr>
                  <w:tcW w:w="676" w:type="pct"/>
                  <w:noWrap w:val="0"/>
                  <w:vAlign w:val="center"/>
                </w:tcPr>
                <w:p>
                  <w:pPr>
                    <w:widowControl/>
                    <w:adjustRightInd w:val="0"/>
                    <w:snapToGrid w:val="0"/>
                    <w:jc w:val="center"/>
                    <w:rPr>
                      <w:color w:val="auto"/>
                      <w:kern w:val="0"/>
                      <w:sz w:val="18"/>
                      <w:szCs w:val="18"/>
                      <w:u w:val="none"/>
                    </w:rPr>
                  </w:pPr>
                  <w:r>
                    <w:rPr>
                      <w:rFonts w:hint="eastAsia"/>
                      <w:color w:val="auto"/>
                      <w:kern w:val="0"/>
                      <w:sz w:val="18"/>
                      <w:szCs w:val="18"/>
                      <w:u w:val="none"/>
                    </w:rPr>
                    <w:t>居住，</w:t>
                  </w:r>
                  <w:r>
                    <w:rPr>
                      <w:rFonts w:hint="eastAsia"/>
                      <w:color w:val="auto"/>
                      <w:kern w:val="0"/>
                      <w:sz w:val="18"/>
                      <w:szCs w:val="18"/>
                      <w:u w:val="none"/>
                      <w:lang w:val="en-US" w:eastAsia="zh-CN"/>
                    </w:rPr>
                    <w:t>12</w:t>
                  </w:r>
                  <w:r>
                    <w:rPr>
                      <w:rFonts w:hint="eastAsia"/>
                      <w:color w:val="auto"/>
                      <w:kern w:val="0"/>
                      <w:sz w:val="18"/>
                      <w:szCs w:val="18"/>
                      <w:u w:val="none"/>
                    </w:rPr>
                    <w:t>户，</w:t>
                  </w:r>
                  <w:r>
                    <w:rPr>
                      <w:rFonts w:hint="eastAsia"/>
                      <w:color w:val="auto"/>
                      <w:kern w:val="0"/>
                      <w:sz w:val="18"/>
                      <w:szCs w:val="18"/>
                      <w:u w:val="none"/>
                      <w:lang w:val="en-US" w:eastAsia="zh-CN"/>
                    </w:rPr>
                    <w:t>36</w:t>
                  </w:r>
                  <w:r>
                    <w:rPr>
                      <w:rFonts w:hint="eastAsia"/>
                      <w:color w:val="auto"/>
                      <w:kern w:val="0"/>
                      <w:sz w:val="18"/>
                      <w:szCs w:val="18"/>
                      <w:u w:val="none"/>
                    </w:rPr>
                    <w:t>人</w:t>
                  </w:r>
                </w:p>
              </w:tc>
              <w:tc>
                <w:tcPr>
                  <w:tcW w:w="995" w:type="pct"/>
                  <w:vMerge w:val="continue"/>
                  <w:noWrap w:val="0"/>
                  <w:vAlign w:val="center"/>
                </w:tcPr>
                <w:p>
                  <w:pPr>
                    <w:widowControl/>
                    <w:adjustRightInd w:val="0"/>
                    <w:snapToGrid w:val="0"/>
                    <w:jc w:val="center"/>
                    <w:rPr>
                      <w:color w:val="auto"/>
                      <w:kern w:val="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1" w:type="pct"/>
                  <w:vMerge w:val="continue"/>
                  <w:noWrap w:val="0"/>
                  <w:vAlign w:val="center"/>
                </w:tcPr>
                <w:p>
                  <w:pPr>
                    <w:widowControl/>
                    <w:adjustRightInd w:val="0"/>
                    <w:snapToGrid w:val="0"/>
                    <w:jc w:val="center"/>
                    <w:rPr>
                      <w:color w:val="auto"/>
                      <w:kern w:val="0"/>
                      <w:sz w:val="18"/>
                      <w:szCs w:val="18"/>
                      <w:u w:val="none"/>
                    </w:rPr>
                  </w:pPr>
                </w:p>
              </w:tc>
              <w:tc>
                <w:tcPr>
                  <w:tcW w:w="765" w:type="pct"/>
                  <w:noWrap w:val="0"/>
                  <w:vAlign w:val="center"/>
                </w:tcPr>
                <w:p>
                  <w:pPr>
                    <w:widowControl/>
                    <w:adjustRightInd w:val="0"/>
                    <w:snapToGrid w:val="0"/>
                    <w:jc w:val="center"/>
                    <w:rPr>
                      <w:rFonts w:hint="default" w:eastAsia="宋体"/>
                      <w:color w:val="auto"/>
                      <w:kern w:val="0"/>
                      <w:sz w:val="18"/>
                      <w:szCs w:val="18"/>
                      <w:u w:val="none"/>
                      <w:lang w:val="en-US" w:eastAsia="zh-CN"/>
                    </w:rPr>
                  </w:pPr>
                  <w:r>
                    <w:rPr>
                      <w:rFonts w:hint="eastAsia"/>
                      <w:color w:val="auto"/>
                      <w:kern w:val="0"/>
                      <w:sz w:val="18"/>
                      <w:szCs w:val="18"/>
                      <w:u w:val="none"/>
                      <w:lang w:val="en-US" w:eastAsia="zh-CN"/>
                    </w:rPr>
                    <w:t>112.5484299</w:t>
                  </w:r>
                </w:p>
              </w:tc>
              <w:tc>
                <w:tcPr>
                  <w:tcW w:w="702" w:type="pct"/>
                  <w:noWrap w:val="0"/>
                  <w:vAlign w:val="center"/>
                </w:tcPr>
                <w:p>
                  <w:pPr>
                    <w:widowControl/>
                    <w:adjustRightInd w:val="0"/>
                    <w:snapToGrid w:val="0"/>
                    <w:jc w:val="center"/>
                    <w:rPr>
                      <w:rFonts w:hint="default" w:eastAsia="宋体"/>
                      <w:color w:val="auto"/>
                      <w:kern w:val="0"/>
                      <w:sz w:val="18"/>
                      <w:szCs w:val="18"/>
                      <w:u w:val="none"/>
                      <w:lang w:val="en-US" w:eastAsia="zh-CN"/>
                    </w:rPr>
                  </w:pPr>
                  <w:r>
                    <w:rPr>
                      <w:rFonts w:hint="eastAsia"/>
                      <w:color w:val="auto"/>
                      <w:kern w:val="0"/>
                      <w:sz w:val="18"/>
                      <w:szCs w:val="18"/>
                      <w:u w:val="none"/>
                      <w:lang w:val="en-US" w:eastAsia="zh-CN"/>
                    </w:rPr>
                    <w:t>27.2432238</w:t>
                  </w:r>
                </w:p>
              </w:tc>
              <w:tc>
                <w:tcPr>
                  <w:tcW w:w="641" w:type="pct"/>
                  <w:noWrap w:val="0"/>
                  <w:vAlign w:val="center"/>
                </w:tcPr>
                <w:p>
                  <w:pPr>
                    <w:widowControl/>
                    <w:adjustRightInd w:val="0"/>
                    <w:snapToGrid w:val="0"/>
                    <w:jc w:val="center"/>
                    <w:rPr>
                      <w:rFonts w:hint="eastAsia" w:eastAsia="宋体"/>
                      <w:color w:val="auto"/>
                      <w:szCs w:val="21"/>
                      <w:u w:val="none"/>
                      <w:lang w:eastAsia="zh-CN"/>
                    </w:rPr>
                  </w:pPr>
                  <w:r>
                    <w:rPr>
                      <w:rFonts w:hint="eastAsia"/>
                      <w:color w:val="auto"/>
                      <w:kern w:val="0"/>
                      <w:sz w:val="18"/>
                      <w:szCs w:val="18"/>
                      <w:u w:val="none"/>
                      <w:lang w:eastAsia="zh-CN"/>
                    </w:rPr>
                    <w:t>界牌镇</w:t>
                  </w:r>
                  <w:r>
                    <w:rPr>
                      <w:rFonts w:hint="eastAsia"/>
                      <w:color w:val="auto"/>
                      <w:kern w:val="0"/>
                      <w:sz w:val="18"/>
                      <w:szCs w:val="18"/>
                      <w:u w:val="none"/>
                    </w:rPr>
                    <w:t>居民点</w:t>
                  </w:r>
                  <w:r>
                    <w:rPr>
                      <w:rFonts w:hint="eastAsia"/>
                      <w:color w:val="auto"/>
                      <w:kern w:val="0"/>
                      <w:sz w:val="18"/>
                      <w:szCs w:val="18"/>
                      <w:u w:val="none"/>
                      <w:lang w:val="en-US" w:eastAsia="zh-CN"/>
                    </w:rPr>
                    <w:t>H6</w:t>
                  </w:r>
                </w:p>
              </w:tc>
              <w:tc>
                <w:tcPr>
                  <w:tcW w:w="856" w:type="pct"/>
                  <w:noWrap w:val="0"/>
                  <w:vAlign w:val="center"/>
                </w:tcPr>
                <w:p>
                  <w:pPr>
                    <w:widowControl/>
                    <w:adjustRightInd w:val="0"/>
                    <w:snapToGrid w:val="0"/>
                    <w:jc w:val="center"/>
                    <w:rPr>
                      <w:color w:val="auto"/>
                      <w:kern w:val="0"/>
                      <w:sz w:val="18"/>
                      <w:szCs w:val="18"/>
                      <w:u w:val="none"/>
                    </w:rPr>
                  </w:pPr>
                  <w:r>
                    <w:rPr>
                      <w:rFonts w:hint="eastAsia"/>
                      <w:color w:val="auto"/>
                      <w:kern w:val="0"/>
                      <w:sz w:val="18"/>
                      <w:szCs w:val="18"/>
                      <w:u w:val="none"/>
                    </w:rPr>
                    <w:t>N 80m~390m</w:t>
                  </w:r>
                </w:p>
              </w:tc>
              <w:tc>
                <w:tcPr>
                  <w:tcW w:w="676" w:type="pct"/>
                  <w:noWrap w:val="0"/>
                  <w:vAlign w:val="center"/>
                </w:tcPr>
                <w:p>
                  <w:pPr>
                    <w:widowControl/>
                    <w:adjustRightInd w:val="0"/>
                    <w:snapToGrid w:val="0"/>
                    <w:jc w:val="center"/>
                    <w:rPr>
                      <w:color w:val="auto"/>
                      <w:kern w:val="0"/>
                      <w:sz w:val="18"/>
                      <w:szCs w:val="18"/>
                      <w:u w:val="none"/>
                    </w:rPr>
                  </w:pPr>
                  <w:r>
                    <w:rPr>
                      <w:rFonts w:hint="eastAsia"/>
                      <w:color w:val="auto"/>
                      <w:kern w:val="0"/>
                      <w:sz w:val="18"/>
                      <w:szCs w:val="18"/>
                      <w:u w:val="none"/>
                    </w:rPr>
                    <w:t>居住，18户，54人</w:t>
                  </w:r>
                </w:p>
              </w:tc>
              <w:tc>
                <w:tcPr>
                  <w:tcW w:w="995" w:type="pct"/>
                  <w:vMerge w:val="continue"/>
                  <w:noWrap w:val="0"/>
                  <w:vAlign w:val="center"/>
                </w:tcPr>
                <w:p>
                  <w:pPr>
                    <w:widowControl/>
                    <w:adjustRightInd w:val="0"/>
                    <w:snapToGrid w:val="0"/>
                    <w:jc w:val="center"/>
                    <w:rPr>
                      <w:color w:val="auto"/>
                      <w:kern w:val="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1" w:type="pct"/>
                  <w:vMerge w:val="continue"/>
                  <w:noWrap w:val="0"/>
                  <w:vAlign w:val="center"/>
                </w:tcPr>
                <w:p>
                  <w:pPr>
                    <w:widowControl/>
                    <w:adjustRightInd w:val="0"/>
                    <w:snapToGrid w:val="0"/>
                    <w:jc w:val="center"/>
                    <w:rPr>
                      <w:color w:val="auto"/>
                      <w:kern w:val="0"/>
                      <w:sz w:val="18"/>
                      <w:szCs w:val="18"/>
                      <w:u w:val="none"/>
                    </w:rPr>
                  </w:pPr>
                </w:p>
              </w:tc>
              <w:tc>
                <w:tcPr>
                  <w:tcW w:w="765" w:type="pct"/>
                  <w:noWrap w:val="0"/>
                  <w:vAlign w:val="center"/>
                </w:tcPr>
                <w:p>
                  <w:pPr>
                    <w:widowControl/>
                    <w:adjustRightInd w:val="0"/>
                    <w:snapToGrid w:val="0"/>
                    <w:jc w:val="center"/>
                    <w:rPr>
                      <w:rFonts w:hint="default" w:eastAsia="宋体"/>
                      <w:color w:val="auto"/>
                      <w:kern w:val="0"/>
                      <w:sz w:val="18"/>
                      <w:szCs w:val="18"/>
                      <w:u w:val="none"/>
                      <w:lang w:val="en-US" w:eastAsia="zh-CN"/>
                    </w:rPr>
                  </w:pPr>
                  <w:r>
                    <w:rPr>
                      <w:rFonts w:hint="eastAsia"/>
                      <w:color w:val="auto"/>
                      <w:kern w:val="0"/>
                      <w:sz w:val="18"/>
                      <w:szCs w:val="18"/>
                      <w:u w:val="none"/>
                      <w:lang w:val="en-US" w:eastAsia="zh-CN"/>
                    </w:rPr>
                    <w:t>112.5509083</w:t>
                  </w:r>
                </w:p>
              </w:tc>
              <w:tc>
                <w:tcPr>
                  <w:tcW w:w="702" w:type="pct"/>
                  <w:noWrap w:val="0"/>
                  <w:vAlign w:val="center"/>
                </w:tcPr>
                <w:p>
                  <w:pPr>
                    <w:widowControl/>
                    <w:adjustRightInd w:val="0"/>
                    <w:snapToGrid w:val="0"/>
                    <w:jc w:val="center"/>
                    <w:rPr>
                      <w:rFonts w:hint="default" w:eastAsia="宋体"/>
                      <w:color w:val="auto"/>
                      <w:kern w:val="0"/>
                      <w:sz w:val="18"/>
                      <w:szCs w:val="18"/>
                      <w:u w:val="none"/>
                      <w:lang w:val="en-US" w:eastAsia="zh-CN"/>
                    </w:rPr>
                  </w:pPr>
                  <w:r>
                    <w:rPr>
                      <w:rFonts w:hint="eastAsia"/>
                      <w:color w:val="auto"/>
                      <w:kern w:val="0"/>
                      <w:sz w:val="18"/>
                      <w:szCs w:val="18"/>
                      <w:u w:val="none"/>
                      <w:lang w:val="en-US" w:eastAsia="zh-CN"/>
                    </w:rPr>
                    <w:t>27.2442324</w:t>
                  </w:r>
                </w:p>
              </w:tc>
              <w:tc>
                <w:tcPr>
                  <w:tcW w:w="641" w:type="pct"/>
                  <w:noWrap w:val="0"/>
                  <w:vAlign w:val="center"/>
                </w:tcPr>
                <w:p>
                  <w:pPr>
                    <w:widowControl/>
                    <w:adjustRightInd w:val="0"/>
                    <w:snapToGrid w:val="0"/>
                    <w:jc w:val="center"/>
                    <w:rPr>
                      <w:rFonts w:hint="eastAsia"/>
                      <w:color w:val="auto"/>
                      <w:kern w:val="0"/>
                      <w:sz w:val="18"/>
                      <w:szCs w:val="18"/>
                      <w:u w:val="none"/>
                      <w:lang w:eastAsia="zh-CN"/>
                    </w:rPr>
                  </w:pPr>
                  <w:r>
                    <w:rPr>
                      <w:rFonts w:hint="eastAsia"/>
                      <w:color w:val="auto"/>
                      <w:kern w:val="0"/>
                      <w:sz w:val="18"/>
                      <w:szCs w:val="18"/>
                      <w:u w:val="none"/>
                      <w:lang w:eastAsia="zh-CN"/>
                    </w:rPr>
                    <w:t>界牌镇</w:t>
                  </w:r>
                  <w:r>
                    <w:rPr>
                      <w:rFonts w:hint="eastAsia"/>
                      <w:color w:val="auto"/>
                      <w:kern w:val="0"/>
                      <w:sz w:val="18"/>
                      <w:szCs w:val="18"/>
                      <w:u w:val="none"/>
                    </w:rPr>
                    <w:t>居民点</w:t>
                  </w:r>
                  <w:r>
                    <w:rPr>
                      <w:rFonts w:hint="eastAsia"/>
                      <w:color w:val="auto"/>
                      <w:kern w:val="0"/>
                      <w:sz w:val="18"/>
                      <w:szCs w:val="18"/>
                      <w:u w:val="none"/>
                      <w:lang w:val="en-US" w:eastAsia="zh-CN"/>
                    </w:rPr>
                    <w:t>H7</w:t>
                  </w:r>
                </w:p>
              </w:tc>
              <w:tc>
                <w:tcPr>
                  <w:tcW w:w="856" w:type="pct"/>
                  <w:noWrap w:val="0"/>
                  <w:vAlign w:val="center"/>
                </w:tcPr>
                <w:p>
                  <w:pPr>
                    <w:widowControl/>
                    <w:adjustRightInd w:val="0"/>
                    <w:snapToGrid w:val="0"/>
                    <w:jc w:val="center"/>
                    <w:rPr>
                      <w:rFonts w:hint="eastAsia"/>
                      <w:color w:val="auto"/>
                      <w:kern w:val="0"/>
                      <w:sz w:val="18"/>
                      <w:szCs w:val="18"/>
                      <w:u w:val="none"/>
                      <w:lang w:val="en-US" w:eastAsia="zh-CN"/>
                    </w:rPr>
                  </w:pPr>
                  <w:r>
                    <w:rPr>
                      <w:rFonts w:hint="eastAsia"/>
                      <w:color w:val="auto"/>
                      <w:kern w:val="0"/>
                      <w:sz w:val="18"/>
                      <w:szCs w:val="18"/>
                      <w:u w:val="none"/>
                      <w:lang w:val="en-US" w:eastAsia="zh-CN"/>
                    </w:rPr>
                    <w:t>WN</w:t>
                  </w:r>
                </w:p>
                <w:p>
                  <w:pPr>
                    <w:widowControl/>
                    <w:adjustRightInd w:val="0"/>
                    <w:snapToGrid w:val="0"/>
                    <w:jc w:val="center"/>
                    <w:rPr>
                      <w:rFonts w:hint="default"/>
                      <w:color w:val="auto"/>
                      <w:kern w:val="0"/>
                      <w:sz w:val="18"/>
                      <w:szCs w:val="18"/>
                      <w:u w:val="none"/>
                      <w:lang w:val="en-US" w:eastAsia="zh-CN"/>
                    </w:rPr>
                  </w:pPr>
                  <w:r>
                    <w:rPr>
                      <w:rFonts w:hint="eastAsia"/>
                      <w:color w:val="auto"/>
                      <w:kern w:val="0"/>
                      <w:sz w:val="18"/>
                      <w:szCs w:val="18"/>
                      <w:u w:val="none"/>
                      <w:lang w:val="en-US" w:eastAsia="zh-CN"/>
                    </w:rPr>
                    <w:t>180m</w:t>
                  </w:r>
                  <w:r>
                    <w:rPr>
                      <w:rFonts w:hint="eastAsia"/>
                      <w:color w:val="auto"/>
                      <w:kern w:val="0"/>
                      <w:sz w:val="18"/>
                      <w:szCs w:val="18"/>
                      <w:u w:val="none"/>
                    </w:rPr>
                    <w:t>~</w:t>
                  </w:r>
                  <w:r>
                    <w:rPr>
                      <w:rFonts w:hint="eastAsia"/>
                      <w:color w:val="auto"/>
                      <w:kern w:val="0"/>
                      <w:sz w:val="18"/>
                      <w:szCs w:val="18"/>
                      <w:u w:val="none"/>
                      <w:lang w:val="en-US" w:eastAsia="zh-CN"/>
                    </w:rPr>
                    <w:t>500</w:t>
                  </w:r>
                  <w:r>
                    <w:rPr>
                      <w:rFonts w:hint="eastAsia"/>
                      <w:color w:val="auto"/>
                      <w:kern w:val="0"/>
                      <w:sz w:val="18"/>
                      <w:szCs w:val="18"/>
                      <w:u w:val="none"/>
                    </w:rPr>
                    <w:t>m</w:t>
                  </w:r>
                </w:p>
              </w:tc>
              <w:tc>
                <w:tcPr>
                  <w:tcW w:w="676" w:type="pct"/>
                  <w:noWrap w:val="0"/>
                  <w:vAlign w:val="center"/>
                </w:tcPr>
                <w:p>
                  <w:pPr>
                    <w:widowControl/>
                    <w:adjustRightInd w:val="0"/>
                    <w:snapToGrid w:val="0"/>
                    <w:jc w:val="center"/>
                    <w:rPr>
                      <w:rFonts w:hint="eastAsia"/>
                      <w:color w:val="auto"/>
                      <w:kern w:val="0"/>
                      <w:sz w:val="18"/>
                      <w:szCs w:val="18"/>
                      <w:u w:val="none"/>
                    </w:rPr>
                  </w:pPr>
                  <w:r>
                    <w:rPr>
                      <w:rFonts w:hint="eastAsia"/>
                      <w:color w:val="auto"/>
                      <w:kern w:val="0"/>
                      <w:sz w:val="18"/>
                      <w:szCs w:val="18"/>
                      <w:u w:val="none"/>
                    </w:rPr>
                    <w:t>居住，</w:t>
                  </w:r>
                  <w:r>
                    <w:rPr>
                      <w:rFonts w:hint="eastAsia"/>
                      <w:color w:val="auto"/>
                      <w:kern w:val="0"/>
                      <w:sz w:val="18"/>
                      <w:szCs w:val="18"/>
                      <w:u w:val="none"/>
                      <w:lang w:val="en-US" w:eastAsia="zh-CN"/>
                    </w:rPr>
                    <w:t>22</w:t>
                  </w:r>
                  <w:r>
                    <w:rPr>
                      <w:rFonts w:hint="eastAsia"/>
                      <w:color w:val="auto"/>
                      <w:kern w:val="0"/>
                      <w:sz w:val="18"/>
                      <w:szCs w:val="18"/>
                      <w:u w:val="none"/>
                    </w:rPr>
                    <w:t>户，</w:t>
                  </w:r>
                  <w:r>
                    <w:rPr>
                      <w:rFonts w:hint="eastAsia"/>
                      <w:color w:val="auto"/>
                      <w:kern w:val="0"/>
                      <w:sz w:val="18"/>
                      <w:szCs w:val="18"/>
                      <w:u w:val="none"/>
                      <w:lang w:val="en-US" w:eastAsia="zh-CN"/>
                    </w:rPr>
                    <w:t>66</w:t>
                  </w:r>
                  <w:r>
                    <w:rPr>
                      <w:rFonts w:hint="eastAsia"/>
                      <w:color w:val="auto"/>
                      <w:kern w:val="0"/>
                      <w:sz w:val="18"/>
                      <w:szCs w:val="18"/>
                      <w:u w:val="none"/>
                    </w:rPr>
                    <w:t>人</w:t>
                  </w:r>
                </w:p>
              </w:tc>
              <w:tc>
                <w:tcPr>
                  <w:tcW w:w="995" w:type="pct"/>
                  <w:vMerge w:val="continue"/>
                  <w:noWrap w:val="0"/>
                  <w:vAlign w:val="center"/>
                </w:tcPr>
                <w:p>
                  <w:pPr>
                    <w:widowControl/>
                    <w:adjustRightInd w:val="0"/>
                    <w:snapToGrid w:val="0"/>
                    <w:jc w:val="center"/>
                    <w:rPr>
                      <w:color w:val="auto"/>
                      <w:kern w:val="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361" w:type="pct"/>
                  <w:noWrap w:val="0"/>
                  <w:vAlign w:val="center"/>
                </w:tcPr>
                <w:p>
                  <w:pPr>
                    <w:adjustRightInd w:val="0"/>
                    <w:snapToGrid w:val="0"/>
                    <w:jc w:val="center"/>
                    <w:rPr>
                      <w:color w:val="auto"/>
                      <w:kern w:val="0"/>
                      <w:sz w:val="18"/>
                      <w:szCs w:val="18"/>
                      <w:u w:val="none"/>
                    </w:rPr>
                  </w:pPr>
                  <w:r>
                    <w:rPr>
                      <w:color w:val="auto"/>
                      <w:kern w:val="0"/>
                      <w:sz w:val="18"/>
                      <w:szCs w:val="18"/>
                      <w:u w:val="none"/>
                    </w:rPr>
                    <w:t>声环境</w:t>
                  </w:r>
                </w:p>
              </w:tc>
              <w:tc>
                <w:tcPr>
                  <w:tcW w:w="765" w:type="pct"/>
                  <w:noWrap w:val="0"/>
                  <w:vAlign w:val="center"/>
                </w:tcPr>
                <w:p>
                  <w:pPr>
                    <w:widowControl/>
                    <w:adjustRightInd w:val="0"/>
                    <w:snapToGrid w:val="0"/>
                    <w:jc w:val="center"/>
                    <w:rPr>
                      <w:color w:val="auto"/>
                      <w:kern w:val="0"/>
                      <w:sz w:val="18"/>
                      <w:szCs w:val="18"/>
                      <w:u w:val="none"/>
                    </w:rPr>
                  </w:pPr>
                  <w:r>
                    <w:rPr>
                      <w:color w:val="auto"/>
                      <w:kern w:val="0"/>
                      <w:sz w:val="18"/>
                      <w:szCs w:val="18"/>
                      <w:u w:val="none"/>
                    </w:rPr>
                    <w:t>112.</w:t>
                  </w:r>
                  <w:r>
                    <w:rPr>
                      <w:rFonts w:hint="eastAsia"/>
                      <w:color w:val="auto"/>
                      <w:kern w:val="0"/>
                      <w:sz w:val="18"/>
                      <w:szCs w:val="18"/>
                      <w:u w:val="none"/>
                      <w:lang w:val="en-US" w:eastAsia="zh-CN"/>
                    </w:rPr>
                    <w:t>5527214</w:t>
                  </w:r>
                </w:p>
              </w:tc>
              <w:tc>
                <w:tcPr>
                  <w:tcW w:w="702" w:type="pct"/>
                  <w:noWrap w:val="0"/>
                  <w:vAlign w:val="center"/>
                </w:tcPr>
                <w:p>
                  <w:pPr>
                    <w:widowControl/>
                    <w:adjustRightInd w:val="0"/>
                    <w:snapToGrid w:val="0"/>
                    <w:jc w:val="center"/>
                    <w:rPr>
                      <w:color w:val="auto"/>
                      <w:kern w:val="0"/>
                      <w:sz w:val="18"/>
                      <w:szCs w:val="18"/>
                      <w:u w:val="none"/>
                    </w:rPr>
                  </w:pPr>
                  <w:r>
                    <w:rPr>
                      <w:color w:val="auto"/>
                      <w:kern w:val="0"/>
                      <w:sz w:val="18"/>
                      <w:szCs w:val="18"/>
                      <w:u w:val="none"/>
                    </w:rPr>
                    <w:t>2</w:t>
                  </w:r>
                  <w:r>
                    <w:rPr>
                      <w:rFonts w:hint="eastAsia"/>
                      <w:color w:val="auto"/>
                      <w:kern w:val="0"/>
                      <w:sz w:val="18"/>
                      <w:szCs w:val="18"/>
                      <w:u w:val="none"/>
                      <w:lang w:val="en-US" w:eastAsia="zh-CN"/>
                    </w:rPr>
                    <w:t>7.2422851</w:t>
                  </w:r>
                </w:p>
              </w:tc>
              <w:tc>
                <w:tcPr>
                  <w:tcW w:w="641" w:type="pct"/>
                  <w:noWrap w:val="0"/>
                  <w:vAlign w:val="center"/>
                </w:tcPr>
                <w:p>
                  <w:pPr>
                    <w:widowControl/>
                    <w:adjustRightInd w:val="0"/>
                    <w:snapToGrid w:val="0"/>
                    <w:jc w:val="center"/>
                    <w:rPr>
                      <w:color w:val="auto"/>
                      <w:szCs w:val="21"/>
                      <w:u w:val="none"/>
                    </w:rPr>
                  </w:pPr>
                  <w:r>
                    <w:rPr>
                      <w:rFonts w:hint="eastAsia"/>
                      <w:color w:val="auto"/>
                      <w:kern w:val="0"/>
                      <w:sz w:val="18"/>
                      <w:szCs w:val="18"/>
                      <w:u w:val="none"/>
                      <w:lang w:eastAsia="zh-CN"/>
                    </w:rPr>
                    <w:t>界牌镇</w:t>
                  </w:r>
                  <w:r>
                    <w:rPr>
                      <w:rFonts w:hint="eastAsia"/>
                      <w:color w:val="auto"/>
                      <w:kern w:val="0"/>
                      <w:sz w:val="18"/>
                      <w:szCs w:val="18"/>
                      <w:u w:val="none"/>
                    </w:rPr>
                    <w:t>居民点</w:t>
                  </w:r>
                  <w:r>
                    <w:rPr>
                      <w:rFonts w:hint="eastAsia"/>
                      <w:color w:val="auto"/>
                      <w:kern w:val="0"/>
                      <w:sz w:val="18"/>
                      <w:szCs w:val="18"/>
                      <w:u w:val="none"/>
                      <w:lang w:val="en-US" w:eastAsia="zh-CN"/>
                    </w:rPr>
                    <w:t>H</w:t>
                  </w:r>
                  <w:r>
                    <w:rPr>
                      <w:rFonts w:hint="eastAsia"/>
                      <w:color w:val="auto"/>
                      <w:kern w:val="0"/>
                      <w:sz w:val="18"/>
                      <w:szCs w:val="18"/>
                      <w:u w:val="none"/>
                    </w:rPr>
                    <w:t>1</w:t>
                  </w:r>
                </w:p>
              </w:tc>
              <w:tc>
                <w:tcPr>
                  <w:tcW w:w="856" w:type="pct"/>
                  <w:noWrap w:val="0"/>
                  <w:vAlign w:val="center"/>
                </w:tcPr>
                <w:p>
                  <w:pPr>
                    <w:widowControl/>
                    <w:adjustRightInd w:val="0"/>
                    <w:snapToGrid w:val="0"/>
                    <w:jc w:val="center"/>
                    <w:rPr>
                      <w:rFonts w:hint="eastAsia"/>
                      <w:color w:val="auto"/>
                      <w:kern w:val="0"/>
                      <w:sz w:val="18"/>
                      <w:szCs w:val="18"/>
                      <w:u w:val="none"/>
                      <w:lang w:val="en-US" w:eastAsia="zh-CN"/>
                    </w:rPr>
                  </w:pPr>
                  <w:r>
                    <w:rPr>
                      <w:rFonts w:hint="eastAsia"/>
                      <w:color w:val="auto"/>
                      <w:kern w:val="0"/>
                      <w:sz w:val="18"/>
                      <w:szCs w:val="18"/>
                      <w:u w:val="none"/>
                      <w:lang w:val="en-US" w:eastAsia="zh-CN"/>
                    </w:rPr>
                    <w:t>EN</w:t>
                  </w:r>
                </w:p>
                <w:p>
                  <w:pPr>
                    <w:widowControl/>
                    <w:adjustRightInd w:val="0"/>
                    <w:snapToGrid w:val="0"/>
                    <w:jc w:val="center"/>
                    <w:rPr>
                      <w:color w:val="auto"/>
                      <w:kern w:val="0"/>
                      <w:sz w:val="18"/>
                      <w:szCs w:val="18"/>
                      <w:u w:val="none"/>
                    </w:rPr>
                  </w:pPr>
                  <w:r>
                    <w:rPr>
                      <w:rFonts w:hint="eastAsia"/>
                      <w:color w:val="auto"/>
                      <w:kern w:val="0"/>
                      <w:sz w:val="18"/>
                      <w:szCs w:val="18"/>
                      <w:u w:val="none"/>
                      <w:lang w:val="en-US" w:eastAsia="zh-CN"/>
                    </w:rPr>
                    <w:t>20</w:t>
                  </w:r>
                  <w:r>
                    <w:rPr>
                      <w:rFonts w:hint="eastAsia"/>
                      <w:color w:val="auto"/>
                      <w:kern w:val="0"/>
                      <w:sz w:val="18"/>
                      <w:szCs w:val="18"/>
                      <w:u w:val="none"/>
                    </w:rPr>
                    <w:t>m~</w:t>
                  </w:r>
                  <w:r>
                    <w:rPr>
                      <w:rFonts w:hint="eastAsia"/>
                      <w:color w:val="auto"/>
                      <w:kern w:val="0"/>
                      <w:sz w:val="18"/>
                      <w:szCs w:val="18"/>
                      <w:u w:val="none"/>
                      <w:lang w:val="en-US" w:eastAsia="zh-CN"/>
                    </w:rPr>
                    <w:t>50</w:t>
                  </w:r>
                  <w:r>
                    <w:rPr>
                      <w:rFonts w:hint="eastAsia"/>
                      <w:color w:val="auto"/>
                      <w:kern w:val="0"/>
                      <w:sz w:val="18"/>
                      <w:szCs w:val="18"/>
                      <w:u w:val="none"/>
                    </w:rPr>
                    <w:t xml:space="preserve">m </w:t>
                  </w:r>
                </w:p>
              </w:tc>
              <w:tc>
                <w:tcPr>
                  <w:tcW w:w="676" w:type="pct"/>
                  <w:noWrap w:val="0"/>
                  <w:vAlign w:val="center"/>
                </w:tcPr>
                <w:p>
                  <w:pPr>
                    <w:widowControl/>
                    <w:adjustRightInd w:val="0"/>
                    <w:snapToGrid w:val="0"/>
                    <w:jc w:val="center"/>
                    <w:rPr>
                      <w:color w:val="auto"/>
                      <w:kern w:val="0"/>
                      <w:sz w:val="18"/>
                      <w:szCs w:val="18"/>
                      <w:u w:val="none"/>
                    </w:rPr>
                  </w:pPr>
                  <w:r>
                    <w:rPr>
                      <w:rFonts w:hint="eastAsia"/>
                      <w:color w:val="auto"/>
                      <w:kern w:val="0"/>
                      <w:sz w:val="18"/>
                      <w:szCs w:val="18"/>
                      <w:u w:val="none"/>
                    </w:rPr>
                    <w:t>居住，</w:t>
                  </w:r>
                  <w:r>
                    <w:rPr>
                      <w:rFonts w:hint="eastAsia"/>
                      <w:color w:val="auto"/>
                      <w:kern w:val="0"/>
                      <w:sz w:val="18"/>
                      <w:szCs w:val="18"/>
                      <w:u w:val="none"/>
                      <w:lang w:val="en-US" w:eastAsia="zh-CN"/>
                    </w:rPr>
                    <w:t>2</w:t>
                  </w:r>
                  <w:r>
                    <w:rPr>
                      <w:rFonts w:hint="eastAsia"/>
                      <w:color w:val="auto"/>
                      <w:kern w:val="0"/>
                      <w:sz w:val="18"/>
                      <w:szCs w:val="18"/>
                      <w:u w:val="none"/>
                    </w:rPr>
                    <w:t>户，</w:t>
                  </w:r>
                  <w:r>
                    <w:rPr>
                      <w:rFonts w:hint="eastAsia"/>
                      <w:color w:val="auto"/>
                      <w:kern w:val="0"/>
                      <w:sz w:val="18"/>
                      <w:szCs w:val="18"/>
                      <w:u w:val="none"/>
                      <w:lang w:val="en-US" w:eastAsia="zh-CN"/>
                    </w:rPr>
                    <w:t>6</w:t>
                  </w:r>
                  <w:r>
                    <w:rPr>
                      <w:rFonts w:hint="eastAsia"/>
                      <w:color w:val="auto"/>
                      <w:kern w:val="0"/>
                      <w:sz w:val="18"/>
                      <w:szCs w:val="18"/>
                      <w:u w:val="none"/>
                    </w:rPr>
                    <w:t>人</w:t>
                  </w:r>
                </w:p>
              </w:tc>
              <w:tc>
                <w:tcPr>
                  <w:tcW w:w="995" w:type="pct"/>
                  <w:noWrap w:val="0"/>
                  <w:vAlign w:val="center"/>
                </w:tcPr>
                <w:p>
                  <w:pPr>
                    <w:adjustRightInd w:val="0"/>
                    <w:snapToGrid w:val="0"/>
                    <w:jc w:val="center"/>
                    <w:rPr>
                      <w:color w:val="auto"/>
                      <w:kern w:val="0"/>
                      <w:sz w:val="18"/>
                      <w:szCs w:val="18"/>
                      <w:u w:val="none"/>
                    </w:rPr>
                  </w:pPr>
                  <w:r>
                    <w:rPr>
                      <w:color w:val="auto"/>
                      <w:spacing w:val="-11"/>
                      <w:kern w:val="0"/>
                      <w:sz w:val="18"/>
                      <w:szCs w:val="18"/>
                      <w:u w:val="none"/>
                    </w:rPr>
                    <w:t>《声环境质量标准</w:t>
                  </w:r>
                  <w:r>
                    <w:rPr>
                      <w:rFonts w:hint="eastAsia"/>
                      <w:color w:val="auto"/>
                      <w:spacing w:val="-11"/>
                      <w:kern w:val="0"/>
                      <w:sz w:val="18"/>
                      <w:szCs w:val="18"/>
                      <w:u w:val="none"/>
                      <w:lang w:eastAsia="zh-CN"/>
                    </w:rPr>
                    <w:t>》</w:t>
                  </w:r>
                  <w:r>
                    <w:rPr>
                      <w:color w:val="auto"/>
                      <w:spacing w:val="0"/>
                      <w:kern w:val="0"/>
                      <w:sz w:val="18"/>
                      <w:szCs w:val="18"/>
                      <w:u w:val="none"/>
                    </w:rPr>
                    <w:t>（GB3096-2</w:t>
                  </w:r>
                  <w:r>
                    <w:rPr>
                      <w:rFonts w:hint="default"/>
                      <w:color w:val="auto"/>
                      <w:spacing w:val="0"/>
                      <w:kern w:val="0"/>
                      <w:sz w:val="18"/>
                      <w:szCs w:val="18"/>
                      <w:u w:val="none"/>
                      <w:lang w:val="en-US"/>
                    </w:rPr>
                    <w:t>0</w:t>
                  </w:r>
                  <w:r>
                    <w:rPr>
                      <w:color w:val="auto"/>
                      <w:spacing w:val="0"/>
                      <w:kern w:val="0"/>
                      <w:sz w:val="18"/>
                      <w:szCs w:val="18"/>
                      <w:u w:val="none"/>
                    </w:rPr>
                    <w:t>0</w:t>
                  </w:r>
                  <w:r>
                    <w:rPr>
                      <w:color w:val="auto"/>
                      <w:spacing w:val="0"/>
                      <w:kern w:val="0"/>
                      <w:sz w:val="18"/>
                      <w:szCs w:val="18"/>
                      <w:u w:val="none"/>
                    </w:rPr>
                    <w:cr/>
                  </w:r>
                  <w:r>
                    <w:rPr>
                      <w:color w:val="auto"/>
                      <w:spacing w:val="0"/>
                      <w:kern w:val="0"/>
                      <w:sz w:val="18"/>
                      <w:szCs w:val="18"/>
                      <w:u w:val="none"/>
                    </w:rPr>
                    <w:t>8）</w:t>
                  </w:r>
                  <w:r>
                    <w:rPr>
                      <w:color w:val="auto"/>
                      <w:kern w:val="0"/>
                      <w:sz w:val="18"/>
                      <w:szCs w:val="18"/>
                      <w:u w:val="none"/>
                    </w:rPr>
                    <w:t>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1" w:type="pct"/>
                  <w:noWrap w:val="0"/>
                  <w:vAlign w:val="center"/>
                </w:tcPr>
                <w:p>
                  <w:pPr>
                    <w:widowControl/>
                    <w:adjustRightInd w:val="0"/>
                    <w:snapToGrid w:val="0"/>
                    <w:jc w:val="center"/>
                    <w:rPr>
                      <w:color w:val="auto"/>
                      <w:kern w:val="0"/>
                      <w:sz w:val="18"/>
                      <w:szCs w:val="18"/>
                      <w:u w:val="none"/>
                    </w:rPr>
                  </w:pPr>
                  <w:r>
                    <w:rPr>
                      <w:rFonts w:hint="eastAsia"/>
                      <w:color w:val="auto"/>
                      <w:kern w:val="0"/>
                      <w:sz w:val="18"/>
                      <w:szCs w:val="18"/>
                      <w:u w:val="none"/>
                    </w:rPr>
                    <w:t>生态环境</w:t>
                  </w:r>
                </w:p>
              </w:tc>
              <w:tc>
                <w:tcPr>
                  <w:tcW w:w="4638" w:type="pct"/>
                  <w:gridSpan w:val="6"/>
                  <w:noWrap w:val="0"/>
                  <w:vAlign w:val="center"/>
                </w:tcPr>
                <w:p>
                  <w:pPr>
                    <w:widowControl/>
                    <w:adjustRightInd w:val="0"/>
                    <w:snapToGrid w:val="0"/>
                    <w:jc w:val="center"/>
                    <w:rPr>
                      <w:color w:val="auto"/>
                      <w:kern w:val="0"/>
                      <w:sz w:val="18"/>
                      <w:szCs w:val="18"/>
                      <w:u w:val="none"/>
                    </w:rPr>
                  </w:pPr>
                  <w:r>
                    <w:rPr>
                      <w:rFonts w:hint="eastAsia"/>
                      <w:color w:val="auto"/>
                      <w:kern w:val="0"/>
                      <w:sz w:val="18"/>
                      <w:szCs w:val="18"/>
                      <w:u w:val="none"/>
                    </w:rPr>
                    <w:t>不受本项目施工影响</w:t>
                  </w:r>
                </w:p>
              </w:tc>
            </w:tr>
          </w:tbl>
          <w:p>
            <w:pPr>
              <w:adjustRightInd w:val="0"/>
              <w:snapToGrid w:val="0"/>
              <w:jc w:val="center"/>
              <w:rPr>
                <w:color w:val="auto"/>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800" w:type="dxa"/>
            <w:tcMar>
              <w:left w:w="28" w:type="dxa"/>
              <w:right w:w="28" w:type="dxa"/>
            </w:tcMar>
            <w:vAlign w:val="center"/>
          </w:tcPr>
          <w:p>
            <w:pPr>
              <w:adjustRightInd w:val="0"/>
              <w:snapToGrid w:val="0"/>
              <w:jc w:val="center"/>
              <w:rPr>
                <w:color w:val="auto"/>
                <w:kern w:val="0"/>
                <w:szCs w:val="21"/>
              </w:rPr>
            </w:pPr>
            <w:r>
              <w:rPr>
                <w:color w:val="auto"/>
                <w:kern w:val="0"/>
                <w:szCs w:val="21"/>
              </w:rPr>
              <w:t>污染</w:t>
            </w:r>
          </w:p>
          <w:p>
            <w:pPr>
              <w:adjustRightInd w:val="0"/>
              <w:snapToGrid w:val="0"/>
              <w:jc w:val="center"/>
              <w:rPr>
                <w:color w:val="auto"/>
                <w:kern w:val="0"/>
                <w:szCs w:val="21"/>
              </w:rPr>
            </w:pPr>
            <w:r>
              <w:rPr>
                <w:color w:val="auto"/>
                <w:kern w:val="0"/>
                <w:szCs w:val="21"/>
              </w:rPr>
              <w:t>物排</w:t>
            </w:r>
          </w:p>
          <w:p>
            <w:pPr>
              <w:adjustRightInd w:val="0"/>
              <w:snapToGrid w:val="0"/>
              <w:jc w:val="center"/>
              <w:rPr>
                <w:color w:val="auto"/>
                <w:kern w:val="0"/>
                <w:szCs w:val="21"/>
              </w:rPr>
            </w:pPr>
            <w:r>
              <w:rPr>
                <w:color w:val="auto"/>
                <w:kern w:val="0"/>
                <w:szCs w:val="21"/>
              </w:rPr>
              <w:t>放控</w:t>
            </w:r>
          </w:p>
          <w:p>
            <w:pPr>
              <w:adjustRightInd w:val="0"/>
              <w:snapToGrid w:val="0"/>
              <w:jc w:val="center"/>
              <w:rPr>
                <w:color w:val="auto"/>
                <w:kern w:val="0"/>
                <w:szCs w:val="21"/>
              </w:rPr>
            </w:pPr>
            <w:r>
              <w:rPr>
                <w:color w:val="auto"/>
                <w:kern w:val="0"/>
                <w:szCs w:val="21"/>
              </w:rPr>
              <w:t>制标</w:t>
            </w:r>
          </w:p>
          <w:p>
            <w:pPr>
              <w:adjustRightInd w:val="0"/>
              <w:snapToGrid w:val="0"/>
              <w:jc w:val="center"/>
              <w:rPr>
                <w:color w:val="auto"/>
                <w:kern w:val="0"/>
                <w:szCs w:val="21"/>
              </w:rPr>
            </w:pPr>
            <w:r>
              <w:rPr>
                <w:color w:val="auto"/>
                <w:kern w:val="0"/>
                <w:szCs w:val="21"/>
              </w:rPr>
              <w:t>准</w:t>
            </w:r>
          </w:p>
        </w:tc>
        <w:tc>
          <w:tcPr>
            <w:tcW w:w="8190" w:type="dxa"/>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kern w:val="0"/>
                <w:sz w:val="21"/>
                <w:szCs w:val="21"/>
                <w:u w:val="none"/>
              </w:rPr>
            </w:pPr>
            <w:r>
              <w:rPr>
                <w:rFonts w:hint="eastAsia" w:ascii="宋体" w:hAnsi="宋体" w:eastAsia="宋体" w:cs="宋体"/>
                <w:color w:val="auto"/>
                <w:kern w:val="0"/>
                <w:sz w:val="21"/>
                <w:szCs w:val="21"/>
                <w:u w:val="none"/>
              </w:rPr>
              <w:t>（1）污水排放标准：本项目无生产废水产生，生活污水经化粪池处理后用作农肥。</w:t>
            </w:r>
          </w:p>
          <w:p>
            <w:pPr>
              <w:pStyle w:val="8"/>
              <w:keepNext w:val="0"/>
              <w:keepLines w:val="0"/>
              <w:pageBreakBefore w:val="0"/>
              <w:widowControl/>
              <w:kinsoku/>
              <w:wordWrap/>
              <w:overflowPunct/>
              <w:topLinePunct w:val="0"/>
              <w:autoSpaceDE/>
              <w:autoSpaceDN/>
              <w:bidi w:val="0"/>
              <w:adjustRightInd w:val="0"/>
              <w:snapToGrid w:val="0"/>
              <w:spacing w:line="360" w:lineRule="auto"/>
              <w:ind w:firstLine="420" w:firstLineChars="200"/>
              <w:jc w:val="left"/>
              <w:textAlignment w:val="auto"/>
              <w:rPr>
                <w:rFonts w:hint="eastAsia"/>
                <w:color w:val="auto"/>
                <w:kern w:val="0"/>
                <w:szCs w:val="21"/>
                <w:u w:val="none"/>
              </w:rPr>
            </w:pPr>
            <w:r>
              <w:rPr>
                <w:rFonts w:hint="eastAsia" w:ascii="宋体" w:hAnsi="宋体" w:eastAsia="宋体" w:cs="宋体"/>
                <w:color w:val="auto"/>
                <w:kern w:val="0"/>
                <w:sz w:val="21"/>
                <w:szCs w:val="21"/>
                <w:u w:val="none"/>
              </w:rPr>
              <w:t>（</w:t>
            </w:r>
            <w:r>
              <w:rPr>
                <w:rFonts w:hint="eastAsia" w:ascii="宋体" w:hAnsi="宋体" w:eastAsia="宋体" w:cs="宋体"/>
                <w:color w:val="auto"/>
                <w:kern w:val="0"/>
                <w:sz w:val="21"/>
                <w:szCs w:val="21"/>
                <w:u w:val="none"/>
                <w:lang w:val="en-US" w:eastAsia="zh-CN" w:bidi="ar-SA"/>
              </w:rPr>
              <w:t>2）</w:t>
            </w:r>
            <w:r>
              <w:rPr>
                <w:rFonts w:hint="eastAsia" w:ascii="Times New Roman" w:hAnsi="Times New Roman" w:eastAsia="宋体" w:cs="Times New Roman"/>
                <w:color w:val="auto"/>
                <w:kern w:val="0"/>
                <w:sz w:val="21"/>
                <w:szCs w:val="21"/>
                <w:u w:val="none"/>
                <w:lang w:val="en-US" w:eastAsia="zh-CN" w:bidi="ar-SA"/>
              </w:rPr>
              <w:t>大气污染物排放标准：运营期执行《大气污染物综合排放标准》（GB16297-1996）表2的二级标准及无组织排放监控浓度限值。</w:t>
            </w:r>
          </w:p>
          <w:p>
            <w:pPr>
              <w:pStyle w:val="8"/>
              <w:ind w:firstLine="210"/>
              <w:rPr>
                <w:color w:val="auto"/>
                <w:sz w:val="21"/>
                <w:u w:val="none"/>
                <w:lang w:eastAsia="zh-CN"/>
              </w:rPr>
            </w:pPr>
            <w:r>
              <w:rPr>
                <w:color w:val="auto"/>
                <w:sz w:val="21"/>
                <w:u w:val="none"/>
              </w:rPr>
              <w:t>表3-</w:t>
            </w:r>
            <w:r>
              <w:rPr>
                <w:rFonts w:hint="eastAsia"/>
                <w:color w:val="auto"/>
                <w:sz w:val="21"/>
                <w:u w:val="none"/>
                <w:lang w:val="en-US" w:eastAsia="zh-CN"/>
              </w:rPr>
              <w:t>3</w:t>
            </w:r>
            <w:r>
              <w:rPr>
                <w:color w:val="auto"/>
                <w:sz w:val="21"/>
                <w:u w:val="none"/>
              </w:rPr>
              <w:t xml:space="preserve"> </w:t>
            </w:r>
            <w:r>
              <w:rPr>
                <w:color w:val="auto"/>
                <w:sz w:val="21"/>
                <w:u w:val="none"/>
                <w:lang w:eastAsia="zh-CN"/>
              </w:rPr>
              <w:t>大气污染物排放标准</w:t>
            </w:r>
          </w:p>
          <w:tbl>
            <w:tblPr>
              <w:tblStyle w:val="21"/>
              <w:tblpPr w:leftFromText="180" w:rightFromText="180" w:vertAnchor="text" w:horzAnchor="page" w:tblpX="1663" w:tblpY="10"/>
              <w:tblOverlap w:val="never"/>
              <w:tblW w:w="79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5"/>
              <w:gridCol w:w="2183"/>
              <w:gridCol w:w="880"/>
              <w:gridCol w:w="1295"/>
              <w:gridCol w:w="1377"/>
              <w:gridCol w:w="1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5" w:type="dxa"/>
                  <w:tcBorders>
                    <w:tl2br w:val="nil"/>
                    <w:tr2bl w:val="nil"/>
                  </w:tcBorders>
                  <w:vAlign w:val="center"/>
                </w:tcPr>
                <w:p>
                  <w:pPr>
                    <w:jc w:val="center"/>
                    <w:rPr>
                      <w:color w:val="auto"/>
                      <w:sz w:val="18"/>
                      <w:szCs w:val="18"/>
                      <w:u w:val="none"/>
                    </w:rPr>
                  </w:pPr>
                  <w:r>
                    <w:rPr>
                      <w:color w:val="auto"/>
                      <w:sz w:val="18"/>
                      <w:szCs w:val="18"/>
                      <w:u w:val="none"/>
                    </w:rPr>
                    <w:t>工序</w:t>
                  </w:r>
                </w:p>
              </w:tc>
              <w:tc>
                <w:tcPr>
                  <w:tcW w:w="2183" w:type="dxa"/>
                  <w:tcBorders>
                    <w:tl2br w:val="nil"/>
                    <w:tr2bl w:val="nil"/>
                  </w:tcBorders>
                  <w:vAlign w:val="center"/>
                </w:tcPr>
                <w:p>
                  <w:pPr>
                    <w:jc w:val="center"/>
                    <w:rPr>
                      <w:color w:val="auto"/>
                      <w:sz w:val="18"/>
                      <w:szCs w:val="18"/>
                      <w:u w:val="none"/>
                    </w:rPr>
                  </w:pPr>
                  <w:r>
                    <w:rPr>
                      <w:color w:val="auto"/>
                      <w:sz w:val="18"/>
                      <w:szCs w:val="18"/>
                      <w:u w:val="none"/>
                    </w:rPr>
                    <w:t>执行标准</w:t>
                  </w:r>
                </w:p>
              </w:tc>
              <w:tc>
                <w:tcPr>
                  <w:tcW w:w="880" w:type="dxa"/>
                  <w:tcBorders>
                    <w:tl2br w:val="nil"/>
                    <w:tr2bl w:val="nil"/>
                  </w:tcBorders>
                  <w:vAlign w:val="center"/>
                </w:tcPr>
                <w:p>
                  <w:pPr>
                    <w:jc w:val="center"/>
                    <w:rPr>
                      <w:color w:val="auto"/>
                      <w:sz w:val="18"/>
                      <w:szCs w:val="18"/>
                      <w:u w:val="none"/>
                    </w:rPr>
                  </w:pPr>
                  <w:r>
                    <w:rPr>
                      <w:color w:val="auto"/>
                      <w:sz w:val="18"/>
                      <w:szCs w:val="18"/>
                      <w:u w:val="none"/>
                    </w:rPr>
                    <w:t>污染物名称</w:t>
                  </w:r>
                </w:p>
              </w:tc>
              <w:tc>
                <w:tcPr>
                  <w:tcW w:w="1295" w:type="dxa"/>
                  <w:tcBorders>
                    <w:tl2br w:val="nil"/>
                    <w:tr2bl w:val="nil"/>
                  </w:tcBorders>
                  <w:vAlign w:val="center"/>
                </w:tcPr>
                <w:p>
                  <w:pPr>
                    <w:jc w:val="center"/>
                    <w:rPr>
                      <w:color w:val="auto"/>
                      <w:sz w:val="18"/>
                      <w:szCs w:val="18"/>
                      <w:u w:val="none"/>
                    </w:rPr>
                  </w:pPr>
                  <w:r>
                    <w:rPr>
                      <w:color w:val="auto"/>
                      <w:sz w:val="18"/>
                      <w:szCs w:val="18"/>
                      <w:u w:val="none"/>
                    </w:rPr>
                    <w:t>最高允许排放浓度（mg/m</w:t>
                  </w:r>
                  <w:r>
                    <w:rPr>
                      <w:color w:val="auto"/>
                      <w:sz w:val="18"/>
                      <w:szCs w:val="18"/>
                      <w:u w:val="none"/>
                      <w:vertAlign w:val="superscript"/>
                    </w:rPr>
                    <w:t>3</w:t>
                  </w:r>
                  <w:r>
                    <w:rPr>
                      <w:color w:val="auto"/>
                      <w:sz w:val="18"/>
                      <w:szCs w:val="18"/>
                      <w:u w:val="none"/>
                    </w:rPr>
                    <w:t>）</w:t>
                  </w:r>
                </w:p>
              </w:tc>
              <w:tc>
                <w:tcPr>
                  <w:tcW w:w="1377" w:type="dxa"/>
                  <w:tcBorders>
                    <w:tl2br w:val="nil"/>
                    <w:tr2bl w:val="nil"/>
                  </w:tcBorders>
                  <w:vAlign w:val="center"/>
                </w:tcPr>
                <w:p>
                  <w:pPr>
                    <w:jc w:val="center"/>
                    <w:rPr>
                      <w:color w:val="auto"/>
                      <w:sz w:val="18"/>
                      <w:szCs w:val="18"/>
                      <w:u w:val="none"/>
                    </w:rPr>
                  </w:pPr>
                  <w:r>
                    <w:rPr>
                      <w:color w:val="auto"/>
                      <w:sz w:val="18"/>
                      <w:szCs w:val="18"/>
                      <w:u w:val="none"/>
                    </w:rPr>
                    <w:t>最高允许排放速率（kg/h）</w:t>
                  </w:r>
                </w:p>
              </w:tc>
              <w:tc>
                <w:tcPr>
                  <w:tcW w:w="1244" w:type="dxa"/>
                  <w:tcBorders>
                    <w:tl2br w:val="nil"/>
                    <w:tr2bl w:val="nil"/>
                  </w:tcBorders>
                  <w:vAlign w:val="center"/>
                </w:tcPr>
                <w:p>
                  <w:pPr>
                    <w:jc w:val="center"/>
                    <w:rPr>
                      <w:color w:val="auto"/>
                      <w:sz w:val="18"/>
                      <w:szCs w:val="18"/>
                      <w:u w:val="none"/>
                    </w:rPr>
                  </w:pPr>
                  <w:r>
                    <w:rPr>
                      <w:color w:val="auto"/>
                      <w:sz w:val="18"/>
                      <w:szCs w:val="18"/>
                      <w:u w:val="none"/>
                    </w:rPr>
                    <w:t>无组织监控浓度限值（mg/m</w:t>
                  </w:r>
                  <w:r>
                    <w:rPr>
                      <w:color w:val="auto"/>
                      <w:sz w:val="18"/>
                      <w:szCs w:val="18"/>
                      <w:u w:val="none"/>
                      <w:vertAlign w:val="superscript"/>
                    </w:rPr>
                    <w:t>3</w:t>
                  </w:r>
                  <w:r>
                    <w:rPr>
                      <w:color w:val="auto"/>
                      <w:sz w:val="18"/>
                      <w:szCs w:val="18"/>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995" w:type="dxa"/>
                  <w:tcBorders>
                    <w:tl2br w:val="nil"/>
                    <w:tr2bl w:val="nil"/>
                  </w:tcBorders>
                  <w:vAlign w:val="center"/>
                </w:tcPr>
                <w:p>
                  <w:pPr>
                    <w:jc w:val="center"/>
                    <w:rPr>
                      <w:color w:val="auto"/>
                      <w:sz w:val="18"/>
                      <w:szCs w:val="18"/>
                      <w:u w:val="none"/>
                    </w:rPr>
                  </w:pPr>
                  <w:r>
                    <w:rPr>
                      <w:color w:val="auto"/>
                      <w:kern w:val="0"/>
                      <w:sz w:val="18"/>
                      <w:szCs w:val="18"/>
                      <w:u w:val="none"/>
                    </w:rPr>
                    <w:t>破碎、装卸、输送</w:t>
                  </w:r>
                </w:p>
              </w:tc>
              <w:tc>
                <w:tcPr>
                  <w:tcW w:w="2183" w:type="dxa"/>
                  <w:tcBorders>
                    <w:tl2br w:val="nil"/>
                    <w:tr2bl w:val="nil"/>
                  </w:tcBorders>
                  <w:vAlign w:val="center"/>
                </w:tcPr>
                <w:p>
                  <w:pPr>
                    <w:jc w:val="center"/>
                    <w:rPr>
                      <w:color w:val="auto"/>
                      <w:sz w:val="18"/>
                      <w:szCs w:val="18"/>
                      <w:u w:val="none"/>
                    </w:rPr>
                  </w:pPr>
                  <w:r>
                    <w:rPr>
                      <w:color w:val="auto"/>
                      <w:sz w:val="18"/>
                      <w:szCs w:val="18"/>
                      <w:u w:val="none"/>
                    </w:rPr>
                    <w:t>《大气污染物综合排放标准》(GB16297-1996)</w:t>
                  </w:r>
                </w:p>
              </w:tc>
              <w:tc>
                <w:tcPr>
                  <w:tcW w:w="880" w:type="dxa"/>
                  <w:tcBorders>
                    <w:tl2br w:val="nil"/>
                    <w:tr2bl w:val="nil"/>
                  </w:tcBorders>
                  <w:vAlign w:val="center"/>
                </w:tcPr>
                <w:p>
                  <w:pPr>
                    <w:jc w:val="center"/>
                    <w:rPr>
                      <w:color w:val="auto"/>
                      <w:sz w:val="18"/>
                      <w:szCs w:val="18"/>
                      <w:u w:val="none"/>
                    </w:rPr>
                  </w:pPr>
                  <w:r>
                    <w:rPr>
                      <w:color w:val="auto"/>
                      <w:sz w:val="18"/>
                      <w:szCs w:val="18"/>
                      <w:u w:val="none"/>
                    </w:rPr>
                    <w:t>颗粒物</w:t>
                  </w:r>
                </w:p>
              </w:tc>
              <w:tc>
                <w:tcPr>
                  <w:tcW w:w="1295" w:type="dxa"/>
                  <w:tcBorders>
                    <w:tl2br w:val="nil"/>
                    <w:tr2bl w:val="nil"/>
                  </w:tcBorders>
                  <w:vAlign w:val="center"/>
                </w:tcPr>
                <w:p>
                  <w:pPr>
                    <w:jc w:val="center"/>
                    <w:rPr>
                      <w:color w:val="auto"/>
                      <w:sz w:val="18"/>
                      <w:szCs w:val="18"/>
                      <w:u w:val="none"/>
                    </w:rPr>
                  </w:pPr>
                  <w:r>
                    <w:rPr>
                      <w:color w:val="auto"/>
                      <w:sz w:val="18"/>
                      <w:szCs w:val="18"/>
                      <w:u w:val="none"/>
                    </w:rPr>
                    <w:t>120</w:t>
                  </w:r>
                </w:p>
              </w:tc>
              <w:tc>
                <w:tcPr>
                  <w:tcW w:w="1377" w:type="dxa"/>
                  <w:tcBorders>
                    <w:tl2br w:val="nil"/>
                    <w:tr2bl w:val="nil"/>
                  </w:tcBorders>
                  <w:vAlign w:val="center"/>
                </w:tcPr>
                <w:p>
                  <w:pPr>
                    <w:jc w:val="center"/>
                    <w:rPr>
                      <w:rFonts w:hint="eastAsia" w:eastAsia="宋体"/>
                      <w:color w:val="auto"/>
                      <w:sz w:val="18"/>
                      <w:szCs w:val="18"/>
                      <w:u w:val="none"/>
                      <w:lang w:eastAsia="zh-CN"/>
                    </w:rPr>
                  </w:pPr>
                  <w:r>
                    <w:rPr>
                      <w:rFonts w:hint="eastAsia"/>
                      <w:color w:val="auto"/>
                      <w:sz w:val="18"/>
                      <w:szCs w:val="18"/>
                      <w:u w:val="none"/>
                      <w:lang w:val="en-US" w:eastAsia="zh-CN"/>
                    </w:rPr>
                    <w:t>/</w:t>
                  </w:r>
                </w:p>
              </w:tc>
              <w:tc>
                <w:tcPr>
                  <w:tcW w:w="1244" w:type="dxa"/>
                  <w:tcBorders>
                    <w:tl2br w:val="nil"/>
                    <w:tr2bl w:val="nil"/>
                  </w:tcBorders>
                  <w:vAlign w:val="center"/>
                </w:tcPr>
                <w:p>
                  <w:pPr>
                    <w:jc w:val="center"/>
                    <w:rPr>
                      <w:color w:val="auto"/>
                      <w:sz w:val="18"/>
                      <w:szCs w:val="18"/>
                      <w:u w:val="none"/>
                    </w:rPr>
                  </w:pPr>
                  <w:r>
                    <w:rPr>
                      <w:color w:val="auto"/>
                      <w:sz w:val="18"/>
                      <w:szCs w:val="18"/>
                      <w:u w:val="none"/>
                    </w:rPr>
                    <w:t>1.0</w:t>
                  </w:r>
                </w:p>
              </w:tc>
            </w:tr>
          </w:tbl>
          <w:p>
            <w:pPr>
              <w:pStyle w:val="5"/>
              <w:numPr>
                <w:ilvl w:val="0"/>
                <w:numId w:val="2"/>
              </w:numPr>
              <w:ind w:firstLine="420" w:firstLineChars="200"/>
              <w:rPr>
                <w:rFonts w:hint="eastAsia"/>
                <w:color w:val="auto"/>
              </w:rPr>
            </w:pPr>
            <w:r>
              <w:rPr>
                <w:color w:val="auto"/>
                <w:szCs w:val="24"/>
              </w:rPr>
              <w:t>噪声控制标准：</w:t>
            </w:r>
            <w:r>
              <w:rPr>
                <w:rFonts w:hint="eastAsia"/>
                <w:color w:val="auto"/>
              </w:rPr>
              <w:t>营运期执行《工业企业厂界环境噪声排放标准》（GB12348-2008）2类标准。</w:t>
            </w:r>
          </w:p>
          <w:p>
            <w:pPr>
              <w:pStyle w:val="8"/>
              <w:ind w:firstLine="210"/>
              <w:rPr>
                <w:color w:val="auto"/>
                <w:sz w:val="21"/>
              </w:rPr>
            </w:pPr>
            <w:r>
              <w:rPr>
                <w:color w:val="auto"/>
                <w:sz w:val="21"/>
              </w:rPr>
              <w:t>表</w:t>
            </w:r>
            <w:r>
              <w:rPr>
                <w:color w:val="auto"/>
                <w:sz w:val="21"/>
                <w:lang w:eastAsia="zh-CN"/>
              </w:rPr>
              <w:t>3-</w:t>
            </w:r>
            <w:r>
              <w:rPr>
                <w:rFonts w:hint="eastAsia"/>
                <w:color w:val="auto"/>
                <w:sz w:val="21"/>
                <w:lang w:val="en-US" w:eastAsia="zh-CN"/>
              </w:rPr>
              <w:t>4</w:t>
            </w:r>
            <w:r>
              <w:rPr>
                <w:color w:val="auto"/>
                <w:sz w:val="21"/>
                <w:lang w:eastAsia="zh-CN"/>
              </w:rPr>
              <w:t xml:space="preserve">  </w:t>
            </w:r>
            <w:r>
              <w:rPr>
                <w:color w:val="auto"/>
                <w:sz w:val="21"/>
              </w:rPr>
              <w:t xml:space="preserve"> 环境噪声排放标准（单位：dB（A））</w:t>
            </w:r>
          </w:p>
          <w:tbl>
            <w:tblPr>
              <w:tblStyle w:val="20"/>
              <w:tblW w:w="74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8"/>
              <w:gridCol w:w="2691"/>
              <w:gridCol w:w="2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8" w:type="dxa"/>
                  <w:tcBorders>
                    <w:tl2br w:val="nil"/>
                    <w:tr2bl w:val="nil"/>
                  </w:tcBorders>
                  <w:shd w:val="clear" w:color="auto" w:fill="auto"/>
                  <w:vAlign w:val="center"/>
                </w:tcPr>
                <w:p>
                  <w:pPr>
                    <w:jc w:val="center"/>
                    <w:rPr>
                      <w:color w:val="auto"/>
                      <w:kern w:val="0"/>
                      <w:sz w:val="18"/>
                    </w:rPr>
                  </w:pPr>
                  <w:r>
                    <w:rPr>
                      <w:color w:val="auto"/>
                      <w:kern w:val="0"/>
                      <w:sz w:val="18"/>
                    </w:rPr>
                    <w:t>类别</w:t>
                  </w:r>
                </w:p>
              </w:tc>
              <w:tc>
                <w:tcPr>
                  <w:tcW w:w="2691" w:type="dxa"/>
                  <w:tcBorders>
                    <w:tl2br w:val="nil"/>
                    <w:tr2bl w:val="nil"/>
                  </w:tcBorders>
                  <w:shd w:val="clear" w:color="auto" w:fill="auto"/>
                  <w:vAlign w:val="center"/>
                </w:tcPr>
                <w:p>
                  <w:pPr>
                    <w:jc w:val="center"/>
                    <w:rPr>
                      <w:color w:val="auto"/>
                      <w:kern w:val="0"/>
                      <w:sz w:val="18"/>
                    </w:rPr>
                  </w:pPr>
                  <w:r>
                    <w:rPr>
                      <w:color w:val="auto"/>
                      <w:kern w:val="0"/>
                      <w:sz w:val="18"/>
                    </w:rPr>
                    <w:t>昼间</w:t>
                  </w:r>
                </w:p>
              </w:tc>
              <w:tc>
                <w:tcPr>
                  <w:tcW w:w="2309" w:type="dxa"/>
                  <w:tcBorders>
                    <w:tl2br w:val="nil"/>
                    <w:tr2bl w:val="nil"/>
                  </w:tcBorders>
                  <w:shd w:val="clear" w:color="auto" w:fill="auto"/>
                  <w:vAlign w:val="center"/>
                </w:tcPr>
                <w:p>
                  <w:pPr>
                    <w:jc w:val="center"/>
                    <w:rPr>
                      <w:color w:val="auto"/>
                      <w:kern w:val="0"/>
                      <w:sz w:val="18"/>
                    </w:rPr>
                  </w:pPr>
                  <w:r>
                    <w:rPr>
                      <w:color w:val="auto"/>
                      <w:kern w:val="0"/>
                      <w:sz w:val="18"/>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8" w:type="dxa"/>
                  <w:tcBorders>
                    <w:tl2br w:val="nil"/>
                    <w:tr2bl w:val="nil"/>
                  </w:tcBorders>
                  <w:shd w:val="clear" w:color="auto" w:fill="auto"/>
                  <w:vAlign w:val="center"/>
                </w:tcPr>
                <w:p>
                  <w:pPr>
                    <w:jc w:val="center"/>
                    <w:rPr>
                      <w:color w:val="auto"/>
                      <w:kern w:val="0"/>
                      <w:sz w:val="18"/>
                    </w:rPr>
                  </w:pPr>
                  <w:r>
                    <w:rPr>
                      <w:color w:val="auto"/>
                      <w:sz w:val="18"/>
                    </w:rPr>
                    <w:t>2类</w:t>
                  </w:r>
                </w:p>
              </w:tc>
              <w:tc>
                <w:tcPr>
                  <w:tcW w:w="2691" w:type="dxa"/>
                  <w:tcBorders>
                    <w:tl2br w:val="nil"/>
                    <w:tr2bl w:val="nil"/>
                  </w:tcBorders>
                  <w:shd w:val="clear" w:color="auto" w:fill="auto"/>
                  <w:vAlign w:val="center"/>
                </w:tcPr>
                <w:p>
                  <w:pPr>
                    <w:jc w:val="center"/>
                    <w:rPr>
                      <w:color w:val="auto"/>
                      <w:kern w:val="0"/>
                      <w:sz w:val="18"/>
                    </w:rPr>
                  </w:pPr>
                  <w:r>
                    <w:rPr>
                      <w:color w:val="auto"/>
                      <w:kern w:val="0"/>
                      <w:sz w:val="18"/>
                    </w:rPr>
                    <w:t>60</w:t>
                  </w:r>
                </w:p>
              </w:tc>
              <w:tc>
                <w:tcPr>
                  <w:tcW w:w="2309" w:type="dxa"/>
                  <w:tcBorders>
                    <w:tl2br w:val="nil"/>
                    <w:tr2bl w:val="nil"/>
                  </w:tcBorders>
                  <w:shd w:val="clear" w:color="auto" w:fill="auto"/>
                  <w:vAlign w:val="center"/>
                </w:tcPr>
                <w:p>
                  <w:pPr>
                    <w:jc w:val="center"/>
                    <w:rPr>
                      <w:color w:val="auto"/>
                      <w:kern w:val="0"/>
                      <w:sz w:val="18"/>
                    </w:rPr>
                  </w:pPr>
                  <w:r>
                    <w:rPr>
                      <w:color w:val="auto"/>
                      <w:kern w:val="0"/>
                      <w:sz w:val="18"/>
                    </w:rPr>
                    <w:t>50</w:t>
                  </w:r>
                </w:p>
              </w:tc>
            </w:tr>
          </w:tbl>
          <w:p>
            <w:pPr>
              <w:pStyle w:val="5"/>
              <w:numPr>
                <w:ilvl w:val="0"/>
                <w:numId w:val="0"/>
              </w:numPr>
              <w:ind w:right="0" w:rightChars="0"/>
              <w:rPr>
                <w:rFonts w:hint="eastAsia"/>
                <w:color w:val="auto"/>
              </w:rPr>
            </w:pPr>
          </w:p>
          <w:p>
            <w:pPr>
              <w:pStyle w:val="5"/>
              <w:spacing w:after="0" w:line="360" w:lineRule="auto"/>
              <w:ind w:firstLineChars="200"/>
              <w:rPr>
                <w:color w:val="auto"/>
                <w:kern w:val="0"/>
                <w:szCs w:val="21"/>
              </w:rPr>
            </w:pPr>
            <w:r>
              <w:rPr>
                <w:color w:val="auto"/>
                <w:szCs w:val="24"/>
              </w:rPr>
              <w:t>（4）</w:t>
            </w:r>
            <w:r>
              <w:rPr>
                <w:rFonts w:hint="eastAsia"/>
                <w:color w:val="auto"/>
                <w:szCs w:val="24"/>
              </w:rPr>
              <w:t>固体废物标准：生活垃圾执行《生活垃圾填埋污染控制标准》（GB16889-2008）；一般工业固废处置执行《一般工业固体废弃物贮存、处置场污染控制标准》（GB18599-</w:t>
            </w:r>
            <w:r>
              <w:rPr>
                <w:rFonts w:hint="eastAsia"/>
                <w:color w:val="auto"/>
                <w:szCs w:val="24"/>
                <w:lang w:val="en-US" w:eastAsia="zh-CN"/>
              </w:rPr>
              <w:t>2020</w:t>
            </w:r>
            <w:r>
              <w:rPr>
                <w:rFonts w:hint="eastAsia"/>
                <w:color w:val="auto"/>
                <w:szCs w:val="24"/>
              </w:rPr>
              <w:t>）</w:t>
            </w:r>
            <w:r>
              <w:rPr>
                <w:color w:val="auto"/>
                <w:kern w:val="0"/>
                <w:szCs w:val="21"/>
              </w:rPr>
              <w:t>；危险废物执行《危险废物贮存污染控制标准》（GB18597-2001）及2013年修改单中的相关规定。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3" w:hRule="atLeast"/>
          <w:jc w:val="center"/>
        </w:trPr>
        <w:tc>
          <w:tcPr>
            <w:tcW w:w="800" w:type="dxa"/>
            <w:vAlign w:val="center"/>
          </w:tcPr>
          <w:p>
            <w:pPr>
              <w:adjustRightInd w:val="0"/>
              <w:snapToGrid w:val="0"/>
              <w:jc w:val="center"/>
              <w:rPr>
                <w:color w:val="auto"/>
                <w:kern w:val="0"/>
                <w:szCs w:val="21"/>
              </w:rPr>
            </w:pPr>
            <w:r>
              <w:rPr>
                <w:color w:val="auto"/>
                <w:kern w:val="0"/>
                <w:szCs w:val="21"/>
              </w:rPr>
              <w:t>总量</w:t>
            </w:r>
          </w:p>
          <w:p>
            <w:pPr>
              <w:adjustRightInd w:val="0"/>
              <w:snapToGrid w:val="0"/>
              <w:jc w:val="center"/>
              <w:rPr>
                <w:color w:val="auto"/>
                <w:kern w:val="0"/>
                <w:szCs w:val="21"/>
              </w:rPr>
            </w:pPr>
            <w:r>
              <w:rPr>
                <w:color w:val="auto"/>
                <w:kern w:val="0"/>
                <w:szCs w:val="21"/>
              </w:rPr>
              <w:t>控制</w:t>
            </w:r>
          </w:p>
          <w:p>
            <w:pPr>
              <w:adjustRightInd w:val="0"/>
              <w:snapToGrid w:val="0"/>
              <w:jc w:val="center"/>
              <w:rPr>
                <w:color w:val="auto"/>
                <w:kern w:val="0"/>
                <w:szCs w:val="21"/>
              </w:rPr>
            </w:pPr>
            <w:r>
              <w:rPr>
                <w:color w:val="auto"/>
                <w:kern w:val="0"/>
                <w:szCs w:val="21"/>
              </w:rPr>
              <w:t>指标</w:t>
            </w:r>
          </w:p>
        </w:tc>
        <w:tc>
          <w:tcPr>
            <w:tcW w:w="8190" w:type="dxa"/>
            <w:vAlign w:val="center"/>
          </w:tcPr>
          <w:p>
            <w:pPr>
              <w:pStyle w:val="5"/>
              <w:spacing w:line="520" w:lineRule="exact"/>
              <w:ind w:firstLine="480"/>
              <w:jc w:val="left"/>
              <w:rPr>
                <w:rFonts w:hint="eastAsia"/>
                <w:color w:val="auto"/>
                <w:kern w:val="2"/>
                <w:szCs w:val="21"/>
              </w:rPr>
            </w:pPr>
            <w:r>
              <w:rPr>
                <w:rFonts w:hint="eastAsia"/>
                <w:color w:val="auto"/>
                <w:kern w:val="2"/>
                <w:szCs w:val="21"/>
              </w:rPr>
              <w:t>本项目生活废水经化粪池处理后用做农肥，无生产废水排放，不涉及总量控制指标。</w:t>
            </w:r>
          </w:p>
          <w:p>
            <w:pPr>
              <w:pStyle w:val="5"/>
              <w:spacing w:after="0" w:line="360" w:lineRule="auto"/>
              <w:ind w:firstLineChars="200"/>
              <w:rPr>
                <w:color w:val="auto"/>
                <w:kern w:val="0"/>
                <w:szCs w:val="21"/>
              </w:rPr>
            </w:pPr>
          </w:p>
          <w:p>
            <w:pPr>
              <w:adjustRightInd w:val="0"/>
              <w:snapToGrid w:val="0"/>
              <w:jc w:val="center"/>
              <w:rPr>
                <w:color w:val="auto"/>
                <w:kern w:val="0"/>
                <w:szCs w:val="21"/>
              </w:rPr>
            </w:pPr>
          </w:p>
        </w:tc>
      </w:tr>
    </w:tbl>
    <w:p>
      <w:pPr>
        <w:pStyle w:val="18"/>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6"/>
          <w:szCs w:val="36"/>
        </w:rPr>
        <w:br w:type="page"/>
      </w:r>
      <w:bookmarkStart w:id="12" w:name="_Toc71360646"/>
      <w:r>
        <w:rPr>
          <w:rFonts w:ascii="Times New Roman" w:hAnsi="Times New Roman" w:eastAsia="黑体"/>
          <w:snapToGrid w:val="0"/>
          <w:color w:val="auto"/>
          <w:sz w:val="30"/>
          <w:szCs w:val="30"/>
        </w:rPr>
        <w:t>四、主要环境影响和保护措施</w:t>
      </w:r>
      <w:bookmarkEnd w:id="12"/>
    </w:p>
    <w:tbl>
      <w:tblPr>
        <w:tblStyle w:val="20"/>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3"/>
        <w:gridCol w:w="815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53" w:hRule="atLeast"/>
          <w:jc w:val="center"/>
        </w:trPr>
        <w:tc>
          <w:tcPr>
            <w:tcW w:w="753" w:type="dxa"/>
            <w:tcMar>
              <w:left w:w="28" w:type="dxa"/>
              <w:right w:w="28" w:type="dxa"/>
            </w:tcMar>
            <w:vAlign w:val="center"/>
          </w:tcPr>
          <w:p>
            <w:pPr>
              <w:pStyle w:val="18"/>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施工</w:t>
            </w:r>
          </w:p>
          <w:p>
            <w:pPr>
              <w:pStyle w:val="18"/>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期环</w:t>
            </w:r>
          </w:p>
          <w:p>
            <w:pPr>
              <w:pStyle w:val="18"/>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境保</w:t>
            </w:r>
          </w:p>
          <w:p>
            <w:pPr>
              <w:pStyle w:val="18"/>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护措</w:t>
            </w:r>
          </w:p>
          <w:p>
            <w:pPr>
              <w:pStyle w:val="18"/>
              <w:adjustRightInd w:val="0"/>
              <w:snapToGrid w:val="0"/>
              <w:spacing w:before="0" w:beforeAutospacing="0" w:after="0" w:afterAutospacing="0"/>
              <w:jc w:val="center"/>
              <w:rPr>
                <w:rFonts w:ascii="Times New Roman" w:hAnsi="Times New Roman"/>
                <w:bCs/>
                <w:color w:val="auto"/>
                <w:kern w:val="2"/>
                <w:sz w:val="21"/>
                <w:szCs w:val="21"/>
              </w:rPr>
            </w:pPr>
            <w:r>
              <w:rPr>
                <w:rFonts w:ascii="Times New Roman" w:hAnsi="Times New Roman"/>
                <w:color w:val="auto"/>
                <w:kern w:val="2"/>
                <w:sz w:val="21"/>
                <w:szCs w:val="21"/>
              </w:rPr>
              <w:t>施</w:t>
            </w:r>
          </w:p>
        </w:tc>
        <w:tc>
          <w:tcPr>
            <w:tcW w:w="8155" w:type="dxa"/>
            <w:vAlign w:val="center"/>
          </w:tcPr>
          <w:p>
            <w:pPr>
              <w:pStyle w:val="7"/>
              <w:pageBreakBefore w:val="0"/>
              <w:widowControl w:val="0"/>
              <w:numPr>
                <w:ilvl w:val="3"/>
                <w:numId w:val="0"/>
              </w:numPr>
              <w:kinsoku/>
              <w:wordWrap/>
              <w:overflowPunct/>
              <w:topLinePunct w:val="0"/>
              <w:autoSpaceDE/>
              <w:autoSpaceDN/>
              <w:bidi w:val="0"/>
              <w:adjustRightInd/>
              <w:snapToGrid w:val="0"/>
              <w:spacing w:line="360" w:lineRule="auto"/>
              <w:ind w:leftChars="0"/>
              <w:textAlignment w:val="auto"/>
              <w:rPr>
                <w:rFonts w:hint="eastAsia" w:ascii="宋体" w:hAnsi="宋体" w:eastAsia="宋体" w:cs="宋体"/>
                <w:b/>
                <w:bCs w:val="0"/>
                <w:color w:val="auto"/>
                <w:kern w:val="0"/>
                <w:sz w:val="21"/>
                <w:szCs w:val="21"/>
              </w:rPr>
            </w:pPr>
            <w:r>
              <w:rPr>
                <w:rFonts w:hint="eastAsia" w:ascii="宋体" w:hAnsi="宋体" w:eastAsia="宋体" w:cs="宋体"/>
                <w:b/>
                <w:bCs w:val="0"/>
                <w:color w:val="auto"/>
                <w:kern w:val="0"/>
                <w:sz w:val="21"/>
                <w:szCs w:val="21"/>
                <w:lang w:val="en-US" w:eastAsia="zh-CN"/>
              </w:rPr>
              <w:t>1.</w:t>
            </w:r>
            <w:r>
              <w:rPr>
                <w:rFonts w:hint="eastAsia" w:ascii="宋体" w:hAnsi="宋体" w:eastAsia="宋体" w:cs="宋体"/>
                <w:b/>
                <w:bCs w:val="0"/>
                <w:color w:val="auto"/>
                <w:kern w:val="0"/>
                <w:sz w:val="21"/>
                <w:szCs w:val="21"/>
              </w:rPr>
              <w:t>废气污染控制措施</w:t>
            </w:r>
          </w:p>
          <w:p>
            <w:pPr>
              <w:pStyle w:val="5"/>
              <w:pageBreakBefore w:val="0"/>
              <w:widowControl w:val="0"/>
              <w:kinsoku/>
              <w:wordWrap/>
              <w:overflowPunct/>
              <w:topLinePunct w:val="0"/>
              <w:autoSpaceDE/>
              <w:autoSpaceDN/>
              <w:bidi w:val="0"/>
              <w:adjustRightInd/>
              <w:snapToGrid w:val="0"/>
              <w:spacing w:after="0" w:line="360" w:lineRule="auto"/>
              <w:ind w:firstLine="48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（1）扬尘控制措施</w:t>
            </w:r>
          </w:p>
          <w:p>
            <w:pPr>
              <w:pStyle w:val="5"/>
              <w:pageBreakBefore w:val="0"/>
              <w:widowControl w:val="0"/>
              <w:kinsoku/>
              <w:wordWrap/>
              <w:overflowPunct/>
              <w:topLinePunct w:val="0"/>
              <w:autoSpaceDE/>
              <w:autoSpaceDN/>
              <w:bidi w:val="0"/>
              <w:adjustRightInd/>
              <w:snapToGrid w:val="0"/>
              <w:spacing w:after="0" w:line="360" w:lineRule="auto"/>
              <w:ind w:firstLine="48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①平整场地、开挖基础作业时，土方应随挖、随装车运走，不要堆存在施工场地，以免风吹扬尘。施工场地应经常洒水，使作业面土壤保持较高的湿度；对施工场地内裸露的地面，也应经常洒水防止扬尘。</w:t>
            </w:r>
          </w:p>
          <w:p>
            <w:pPr>
              <w:pStyle w:val="5"/>
              <w:pageBreakBefore w:val="0"/>
              <w:widowControl w:val="0"/>
              <w:kinsoku/>
              <w:wordWrap/>
              <w:overflowPunct/>
              <w:topLinePunct w:val="0"/>
              <w:autoSpaceDE/>
              <w:autoSpaceDN/>
              <w:bidi w:val="0"/>
              <w:adjustRightInd/>
              <w:snapToGrid w:val="0"/>
              <w:spacing w:after="0" w:line="360" w:lineRule="auto"/>
              <w:ind w:firstLine="48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②及时硬化地面或道路，干燥天气定期在泥土地面和路面洒水，防止施工车辆行驶产生的扬尘和渣土装卸产生的扬尘。</w:t>
            </w:r>
          </w:p>
          <w:p>
            <w:pPr>
              <w:pStyle w:val="5"/>
              <w:pageBreakBefore w:val="0"/>
              <w:widowControl w:val="0"/>
              <w:kinsoku/>
              <w:wordWrap/>
              <w:overflowPunct/>
              <w:topLinePunct w:val="0"/>
              <w:autoSpaceDE/>
              <w:autoSpaceDN/>
              <w:bidi w:val="0"/>
              <w:adjustRightInd/>
              <w:snapToGrid w:val="0"/>
              <w:spacing w:after="0" w:line="360" w:lineRule="auto"/>
              <w:ind w:firstLine="48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③运土及运粉状建筑材料的运输车辆应采用加盖专用车辆或者配置防洒落装置，车辆装载不宜过满，保证运输过程中不散落。对运输过程中散落在路面上的泥土要及时清扫，以减少运行过程中的扬尘。</w:t>
            </w:r>
          </w:p>
          <w:p>
            <w:pPr>
              <w:pStyle w:val="5"/>
              <w:pageBreakBefore w:val="0"/>
              <w:widowControl w:val="0"/>
              <w:kinsoku/>
              <w:wordWrap/>
              <w:overflowPunct/>
              <w:topLinePunct w:val="0"/>
              <w:autoSpaceDE/>
              <w:autoSpaceDN/>
              <w:bidi w:val="0"/>
              <w:adjustRightInd/>
              <w:snapToGrid w:val="0"/>
              <w:spacing w:after="0" w:line="360" w:lineRule="auto"/>
              <w:ind w:firstLine="48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④在施工场地边界建设临时围墙，整个施工场地只设一个供人员和车辆出入的大门。</w:t>
            </w:r>
          </w:p>
          <w:p>
            <w:pPr>
              <w:pStyle w:val="5"/>
              <w:pageBreakBefore w:val="0"/>
              <w:widowControl w:val="0"/>
              <w:kinsoku/>
              <w:wordWrap/>
              <w:overflowPunct/>
              <w:topLinePunct w:val="0"/>
              <w:autoSpaceDE/>
              <w:autoSpaceDN/>
              <w:bidi w:val="0"/>
              <w:adjustRightInd/>
              <w:snapToGrid w:val="0"/>
              <w:spacing w:after="0" w:line="360" w:lineRule="auto"/>
              <w:ind w:firstLine="48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⑤施工过程中，应严禁将废弃的建筑材料焚烧。粉状建材应设临时工棚或仓库储存，不得露天堆放。</w:t>
            </w:r>
          </w:p>
          <w:p>
            <w:pPr>
              <w:pStyle w:val="5"/>
              <w:pageBreakBefore w:val="0"/>
              <w:widowControl w:val="0"/>
              <w:kinsoku/>
              <w:wordWrap/>
              <w:overflowPunct/>
              <w:topLinePunct w:val="0"/>
              <w:autoSpaceDE/>
              <w:autoSpaceDN/>
              <w:bidi w:val="0"/>
              <w:adjustRightInd/>
              <w:snapToGrid w:val="0"/>
              <w:spacing w:after="0" w:line="360" w:lineRule="auto"/>
              <w:ind w:firstLine="48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⑥建议采用商品混凝土拌，不采用袋装水泥，防止水泥粉尘产生。</w:t>
            </w:r>
          </w:p>
          <w:p>
            <w:pPr>
              <w:pStyle w:val="5"/>
              <w:pageBreakBefore w:val="0"/>
              <w:widowControl w:val="0"/>
              <w:kinsoku/>
              <w:wordWrap/>
              <w:overflowPunct/>
              <w:topLinePunct w:val="0"/>
              <w:autoSpaceDE/>
              <w:autoSpaceDN/>
              <w:bidi w:val="0"/>
              <w:adjustRightInd/>
              <w:snapToGrid w:val="0"/>
              <w:spacing w:after="0" w:line="360" w:lineRule="auto"/>
              <w:ind w:firstLine="48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⑦工程项目竣工后30日内，建设单位应当平整施工工地，清除积土、堆物，并同步做好绿化、场地硬化，避免水土流失。</w:t>
            </w:r>
          </w:p>
          <w:p>
            <w:pPr>
              <w:pStyle w:val="5"/>
              <w:pageBreakBefore w:val="0"/>
              <w:widowControl w:val="0"/>
              <w:kinsoku/>
              <w:wordWrap/>
              <w:overflowPunct/>
              <w:topLinePunct w:val="0"/>
              <w:autoSpaceDE/>
              <w:autoSpaceDN/>
              <w:bidi w:val="0"/>
              <w:adjustRightInd/>
              <w:snapToGrid w:val="0"/>
              <w:spacing w:after="0" w:line="360" w:lineRule="auto"/>
              <w:ind w:firstLine="48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（2）汽车尾气及燃油机械废气控制措施</w:t>
            </w:r>
          </w:p>
          <w:p>
            <w:pPr>
              <w:pStyle w:val="5"/>
              <w:pageBreakBefore w:val="0"/>
              <w:widowControl w:val="0"/>
              <w:kinsoku/>
              <w:wordWrap/>
              <w:overflowPunct/>
              <w:topLinePunct w:val="0"/>
              <w:autoSpaceDE/>
              <w:autoSpaceDN/>
              <w:bidi w:val="0"/>
              <w:adjustRightInd/>
              <w:snapToGrid w:val="0"/>
              <w:spacing w:after="0" w:line="360" w:lineRule="auto"/>
              <w:ind w:firstLine="48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施工单位应采用尾气排放符合国家规定标准的车辆和施工机械，确保其在运行时尾气达标排放，减少对环境空气的污染。禁止尾气排放不达标的车辆和施工机械运行作业。</w:t>
            </w:r>
          </w:p>
          <w:p>
            <w:pPr>
              <w:pStyle w:val="7"/>
              <w:pageBreakBefore w:val="0"/>
              <w:widowControl w:val="0"/>
              <w:numPr>
                <w:ilvl w:val="3"/>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bCs w:val="0"/>
                <w:color w:val="auto"/>
                <w:sz w:val="21"/>
                <w:szCs w:val="21"/>
              </w:rPr>
            </w:pPr>
            <w:r>
              <w:rPr>
                <w:rFonts w:hint="eastAsia" w:ascii="宋体" w:hAnsi="宋体" w:eastAsia="宋体" w:cs="宋体"/>
                <w:b/>
                <w:bCs w:val="0"/>
                <w:color w:val="auto"/>
                <w:sz w:val="21"/>
                <w:szCs w:val="21"/>
                <w:lang w:val="en-US" w:eastAsia="zh-CN"/>
              </w:rPr>
              <w:t>2.</w:t>
            </w:r>
            <w:r>
              <w:rPr>
                <w:rFonts w:hint="eastAsia" w:ascii="宋体" w:hAnsi="宋体" w:eastAsia="宋体" w:cs="宋体"/>
                <w:b/>
                <w:bCs w:val="0"/>
                <w:color w:val="auto"/>
                <w:sz w:val="21"/>
                <w:szCs w:val="21"/>
              </w:rPr>
              <w:t>水污染控制措施</w:t>
            </w:r>
          </w:p>
          <w:p>
            <w:pPr>
              <w:pStyle w:val="5"/>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（1）施工人员生活污水经化粪池预处理后提供给当地居民用于农田施肥。</w:t>
            </w:r>
          </w:p>
          <w:p>
            <w:pPr>
              <w:pStyle w:val="5"/>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做好建筑材料和施工废渣的管理和回收，特别是含有油污的物体，不能露天存放，以免因雨废油水冲刷而污染水体，已用废油桶收集起来，集中保管，定期送有关单位进行处理回收，严禁将废油随意倾倒，造成污染。</w:t>
            </w:r>
          </w:p>
          <w:p>
            <w:pPr>
              <w:pStyle w:val="5"/>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施工期废水不外排，对附近水环境影响较小。</w:t>
            </w:r>
          </w:p>
          <w:p>
            <w:pPr>
              <w:pStyle w:val="7"/>
              <w:pageBreakBefore w:val="0"/>
              <w:widowControl w:val="0"/>
              <w:numPr>
                <w:ilvl w:val="3"/>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bCs w:val="0"/>
                <w:color w:val="auto"/>
                <w:sz w:val="21"/>
                <w:szCs w:val="21"/>
              </w:rPr>
            </w:pPr>
            <w:r>
              <w:rPr>
                <w:rFonts w:hint="eastAsia" w:ascii="宋体" w:hAnsi="宋体" w:eastAsia="宋体" w:cs="宋体"/>
                <w:b/>
                <w:bCs w:val="0"/>
                <w:color w:val="auto"/>
                <w:sz w:val="21"/>
                <w:szCs w:val="21"/>
                <w:lang w:val="en-US" w:eastAsia="zh-CN"/>
              </w:rPr>
              <w:t>3.</w:t>
            </w:r>
            <w:r>
              <w:rPr>
                <w:rFonts w:hint="eastAsia" w:ascii="宋体" w:hAnsi="宋体" w:eastAsia="宋体" w:cs="宋体"/>
                <w:b/>
                <w:bCs w:val="0"/>
                <w:color w:val="auto"/>
                <w:sz w:val="21"/>
                <w:szCs w:val="21"/>
              </w:rPr>
              <w:t>噪声污染控制措施</w:t>
            </w:r>
          </w:p>
          <w:p>
            <w:pPr>
              <w:pStyle w:val="5"/>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选用低噪声施工设备，如以液压机械代替燃油机械，低频振捣器代替高频振捣器等。固定机械设备与挖土、运土机械，如挖土机、推土机等，可以通过排气管消音器和隔离发机振动部件的方法降低噪声。对动力机械设备应进行定期的维修、养护。</w:t>
            </w:r>
          </w:p>
          <w:p>
            <w:pPr>
              <w:pStyle w:val="5"/>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（2）合理安排施工作业，尽量避免多台强噪声施工机械在同一地点同时施工。</w:t>
            </w:r>
          </w:p>
          <w:p>
            <w:pPr>
              <w:pStyle w:val="5"/>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（3）高噪声设备的施工时间尽量安排在昼间，减少夜间施工。</w:t>
            </w:r>
          </w:p>
          <w:p>
            <w:pPr>
              <w:pStyle w:val="5"/>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（4）尽量采用各种隔声降噪措施，在用地范围四周设置施工围墙以减轻施工噪声对附近居民区的影响等。</w:t>
            </w:r>
          </w:p>
          <w:p>
            <w:pPr>
              <w:pStyle w:val="5"/>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（5）减少交通噪声，大型载重车辆在进出施工场地时应限速20km/h，并禁止鸣笛。</w:t>
            </w:r>
          </w:p>
          <w:p>
            <w:pPr>
              <w:pStyle w:val="7"/>
              <w:pageBreakBefore w:val="0"/>
              <w:widowControl w:val="0"/>
              <w:numPr>
                <w:ilvl w:val="3"/>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bCs w:val="0"/>
                <w:color w:val="auto"/>
                <w:sz w:val="21"/>
                <w:szCs w:val="21"/>
              </w:rPr>
            </w:pPr>
            <w:r>
              <w:rPr>
                <w:rFonts w:hint="eastAsia" w:ascii="宋体" w:hAnsi="宋体" w:eastAsia="宋体" w:cs="宋体"/>
                <w:b/>
                <w:bCs w:val="0"/>
                <w:color w:val="auto"/>
                <w:sz w:val="21"/>
                <w:szCs w:val="21"/>
                <w:lang w:val="en-US" w:eastAsia="zh-CN"/>
              </w:rPr>
              <w:t>4.</w:t>
            </w:r>
            <w:r>
              <w:rPr>
                <w:rFonts w:hint="eastAsia" w:ascii="宋体" w:hAnsi="宋体" w:eastAsia="宋体" w:cs="宋体"/>
                <w:b/>
                <w:bCs w:val="0"/>
                <w:color w:val="auto"/>
                <w:sz w:val="21"/>
                <w:szCs w:val="21"/>
              </w:rPr>
              <w:t>固体废物污染防治措施</w:t>
            </w:r>
          </w:p>
          <w:p>
            <w:pPr>
              <w:pStyle w:val="5"/>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（1）在施工过程中施工弃渣均要求集中堆置于临时弃渣场或用于地基填筑，临时弃渣场采取彩条布覆盖等临时防护措施。</w:t>
            </w:r>
          </w:p>
          <w:p>
            <w:pPr>
              <w:pStyle w:val="5"/>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（2）建议对施工期表土开挖产生的土方设置临时表土堆放场，并采取相应的水土保持措施，在本项目施工后期用于项目区绿化用土。</w:t>
            </w:r>
          </w:p>
          <w:p>
            <w:pPr>
              <w:pStyle w:val="5"/>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（3）施工期生活垃圾主要为有机废物，包括剩饭菜、粪便等。根据本建设项目实际情况，施工人员生活垃圾依托站区已有的垃圾收集桶收集后再由当地乡镇环卫部门定期清运。</w:t>
            </w:r>
          </w:p>
          <w:p>
            <w:pPr>
              <w:pStyle w:val="5"/>
              <w:pageBreakBefore w:val="0"/>
              <w:widowControl w:val="0"/>
              <w:kinsoku/>
              <w:wordWrap/>
              <w:overflowPunct/>
              <w:topLinePunct w:val="0"/>
              <w:autoSpaceDE/>
              <w:autoSpaceDN/>
              <w:bidi w:val="0"/>
              <w:adjustRightInd/>
              <w:snapToGrid/>
              <w:spacing w:after="0" w:line="360" w:lineRule="auto"/>
              <w:ind w:firstLine="480"/>
              <w:textAlignment w:val="auto"/>
              <w:rPr>
                <w:bCs/>
                <w:color w:val="auto"/>
                <w:spacing w:val="-10"/>
                <w:szCs w:val="21"/>
              </w:rPr>
            </w:pPr>
            <w:r>
              <w:rPr>
                <w:rFonts w:hint="eastAsia" w:ascii="宋体" w:hAnsi="宋体" w:eastAsia="宋体" w:cs="宋体"/>
                <w:color w:val="auto"/>
                <w:sz w:val="21"/>
                <w:szCs w:val="21"/>
              </w:rPr>
              <w:t>（4）建筑垃圾处置严格执行《城市建筑垃圾管理规定》，按照衡阳县渣土管理部门要求，及时清运至衡阳县建筑垃圾消纳场所。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95" w:hRule="atLeast"/>
          <w:jc w:val="center"/>
        </w:trPr>
        <w:tc>
          <w:tcPr>
            <w:tcW w:w="753" w:type="dxa"/>
            <w:tcMar>
              <w:left w:w="28" w:type="dxa"/>
              <w:right w:w="28" w:type="dxa"/>
            </w:tcMar>
            <w:vAlign w:val="center"/>
          </w:tcPr>
          <w:p>
            <w:pPr>
              <w:adjustRightInd w:val="0"/>
              <w:snapToGrid w:val="0"/>
              <w:jc w:val="center"/>
              <w:rPr>
                <w:bCs/>
                <w:color w:val="auto"/>
                <w:szCs w:val="21"/>
              </w:rPr>
            </w:pPr>
            <w:r>
              <w:rPr>
                <w:bCs/>
                <w:color w:val="auto"/>
                <w:szCs w:val="21"/>
              </w:rPr>
              <w:t>运营</w:t>
            </w:r>
          </w:p>
          <w:p>
            <w:pPr>
              <w:adjustRightInd w:val="0"/>
              <w:snapToGrid w:val="0"/>
              <w:jc w:val="center"/>
              <w:rPr>
                <w:bCs/>
                <w:color w:val="auto"/>
                <w:szCs w:val="21"/>
              </w:rPr>
            </w:pPr>
            <w:r>
              <w:rPr>
                <w:bCs/>
                <w:color w:val="auto"/>
                <w:szCs w:val="21"/>
              </w:rPr>
              <w:t>期环</w:t>
            </w:r>
          </w:p>
          <w:p>
            <w:pPr>
              <w:adjustRightInd w:val="0"/>
              <w:snapToGrid w:val="0"/>
              <w:jc w:val="center"/>
              <w:rPr>
                <w:bCs/>
                <w:color w:val="auto"/>
                <w:szCs w:val="21"/>
              </w:rPr>
            </w:pPr>
            <w:r>
              <w:rPr>
                <w:bCs/>
                <w:color w:val="auto"/>
                <w:szCs w:val="21"/>
              </w:rPr>
              <w:t>境影</w:t>
            </w:r>
          </w:p>
          <w:p>
            <w:pPr>
              <w:adjustRightInd w:val="0"/>
              <w:snapToGrid w:val="0"/>
              <w:jc w:val="center"/>
              <w:rPr>
                <w:bCs/>
                <w:color w:val="auto"/>
                <w:szCs w:val="21"/>
              </w:rPr>
            </w:pPr>
            <w:r>
              <w:rPr>
                <w:bCs/>
                <w:color w:val="auto"/>
                <w:szCs w:val="21"/>
              </w:rPr>
              <w:t>响和</w:t>
            </w:r>
          </w:p>
          <w:p>
            <w:pPr>
              <w:adjustRightInd w:val="0"/>
              <w:snapToGrid w:val="0"/>
              <w:jc w:val="center"/>
              <w:rPr>
                <w:bCs/>
                <w:color w:val="auto"/>
                <w:szCs w:val="21"/>
              </w:rPr>
            </w:pPr>
            <w:r>
              <w:rPr>
                <w:bCs/>
                <w:color w:val="auto"/>
                <w:szCs w:val="21"/>
              </w:rPr>
              <w:t>保护</w:t>
            </w:r>
          </w:p>
          <w:p>
            <w:pPr>
              <w:pStyle w:val="18"/>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eastAsia="宋体" w:cs="Times New Roman"/>
                <w:bCs/>
                <w:color w:val="auto"/>
                <w:kern w:val="2"/>
                <w:sz w:val="21"/>
                <w:szCs w:val="21"/>
                <w:lang w:val="en-US" w:eastAsia="zh-CN" w:bidi="ar-SA"/>
              </w:rPr>
              <w:t>措施</w:t>
            </w:r>
          </w:p>
        </w:tc>
        <w:tc>
          <w:tcPr>
            <w:tcW w:w="8155"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b/>
                <w:bCs/>
                <w:color w:val="auto"/>
                <w:spacing w:val="0"/>
                <w:sz w:val="21"/>
                <w:szCs w:val="21"/>
              </w:rPr>
            </w:pPr>
            <w:r>
              <w:rPr>
                <w:b/>
                <w:bCs/>
                <w:color w:val="auto"/>
                <w:spacing w:val="0"/>
                <w:sz w:val="21"/>
                <w:szCs w:val="21"/>
              </w:rPr>
              <w:t>1、废气</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b/>
                <w:bCs w:val="0"/>
                <w:color w:val="auto"/>
                <w:spacing w:val="0"/>
                <w:sz w:val="21"/>
                <w:szCs w:val="21"/>
              </w:rPr>
            </w:pPr>
            <w:r>
              <w:rPr>
                <w:b/>
                <w:bCs w:val="0"/>
                <w:color w:val="auto"/>
                <w:spacing w:val="0"/>
                <w:sz w:val="21"/>
                <w:szCs w:val="21"/>
              </w:rPr>
              <w:t>（1）废气污染物排放源</w:t>
            </w:r>
          </w:p>
          <w:p>
            <w:pPr>
              <w:adjustRightInd w:val="0"/>
              <w:snapToGrid w:val="0"/>
              <w:spacing w:line="360" w:lineRule="auto"/>
              <w:ind w:firstLine="420" w:firstLineChars="200"/>
              <w:rPr>
                <w:snapToGrid w:val="0"/>
                <w:color w:val="auto"/>
                <w:spacing w:val="0"/>
                <w:kern w:val="0"/>
                <w:sz w:val="21"/>
              </w:rPr>
            </w:pPr>
            <w:r>
              <w:rPr>
                <w:bCs/>
                <w:snapToGrid w:val="0"/>
                <w:color w:val="auto"/>
                <w:spacing w:val="0"/>
                <w:kern w:val="0"/>
                <w:sz w:val="21"/>
                <w:szCs w:val="21"/>
              </w:rPr>
              <w:t>本</w:t>
            </w:r>
            <w:r>
              <w:rPr>
                <w:snapToGrid w:val="0"/>
                <w:color w:val="auto"/>
                <w:spacing w:val="0"/>
                <w:kern w:val="0"/>
                <w:sz w:val="21"/>
              </w:rPr>
              <w:t>项目运营期废气主要为</w:t>
            </w:r>
            <w:r>
              <w:rPr>
                <w:rFonts w:hint="eastAsia"/>
                <w:snapToGrid w:val="0"/>
                <w:color w:val="auto"/>
                <w:spacing w:val="0"/>
                <w:kern w:val="0"/>
                <w:sz w:val="21"/>
                <w:lang w:eastAsia="zh-CN"/>
              </w:rPr>
              <w:t>加工区破碎和筛分工序产生粉尘、成品堆场产生粉尘以及产品及运输产生的粉尘。</w:t>
            </w:r>
            <w:r>
              <w:rPr>
                <w:bCs/>
                <w:snapToGrid w:val="0"/>
                <w:color w:val="auto"/>
                <w:spacing w:val="0"/>
                <w:kern w:val="0"/>
                <w:sz w:val="21"/>
                <w:szCs w:val="21"/>
              </w:rPr>
              <w:t>具体废气产排污源强详见下表。</w:t>
            </w:r>
          </w:p>
          <w:p>
            <w:pPr>
              <w:pStyle w:val="8"/>
              <w:ind w:firstLine="210"/>
              <w:rPr>
                <w:bCs/>
                <w:color w:val="auto"/>
                <w:spacing w:val="-10"/>
                <w:szCs w:val="21"/>
                <w:lang w:eastAsia="zh-CN"/>
              </w:rPr>
            </w:pPr>
            <w:r>
              <w:rPr>
                <w:color w:val="auto"/>
                <w:sz w:val="21"/>
              </w:rPr>
              <w:t>表4-1  项目运营期废气产</w:t>
            </w:r>
            <w:r>
              <w:rPr>
                <w:color w:val="auto"/>
                <w:sz w:val="21"/>
                <w:lang w:eastAsia="zh-CN"/>
              </w:rPr>
              <w:t>排污节点及污染治理设施</w:t>
            </w:r>
            <w:r>
              <w:rPr>
                <w:color w:val="auto"/>
                <w:sz w:val="21"/>
              </w:rPr>
              <w:t>汇总</w:t>
            </w:r>
            <w:r>
              <w:rPr>
                <w:color w:val="auto"/>
                <w:sz w:val="21"/>
                <w:lang w:eastAsia="zh-CN"/>
              </w:rPr>
              <w:t>一览表</w:t>
            </w:r>
          </w:p>
          <w:tbl>
            <w:tblPr>
              <w:tblStyle w:val="20"/>
              <w:tblW w:w="7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
              <w:gridCol w:w="564"/>
              <w:gridCol w:w="515"/>
              <w:gridCol w:w="382"/>
              <w:gridCol w:w="687"/>
              <w:gridCol w:w="713"/>
              <w:gridCol w:w="637"/>
              <w:gridCol w:w="607"/>
              <w:gridCol w:w="718"/>
              <w:gridCol w:w="700"/>
              <w:gridCol w:w="685"/>
              <w:gridCol w:w="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23" w:type="dxa"/>
                  <w:vMerge w:val="restart"/>
                  <w:shd w:val="clear" w:color="auto" w:fill="auto"/>
                  <w:vAlign w:val="center"/>
                </w:tcPr>
                <w:p>
                  <w:pPr>
                    <w:adjustRightInd w:val="0"/>
                    <w:snapToGrid w:val="0"/>
                    <w:jc w:val="center"/>
                    <w:rPr>
                      <w:bCs/>
                      <w:color w:val="auto"/>
                      <w:spacing w:val="0"/>
                      <w:sz w:val="18"/>
                      <w:szCs w:val="18"/>
                      <w:u w:val="none"/>
                    </w:rPr>
                  </w:pPr>
                  <w:r>
                    <w:rPr>
                      <w:bCs/>
                      <w:color w:val="auto"/>
                      <w:spacing w:val="0"/>
                      <w:sz w:val="18"/>
                      <w:szCs w:val="18"/>
                      <w:u w:val="none"/>
                    </w:rPr>
                    <w:t>产排污环节</w:t>
                  </w:r>
                </w:p>
              </w:tc>
              <w:tc>
                <w:tcPr>
                  <w:tcW w:w="564" w:type="dxa"/>
                  <w:vMerge w:val="restart"/>
                  <w:shd w:val="clear" w:color="auto" w:fill="auto"/>
                  <w:vAlign w:val="center"/>
                </w:tcPr>
                <w:p>
                  <w:pPr>
                    <w:adjustRightInd w:val="0"/>
                    <w:snapToGrid w:val="0"/>
                    <w:jc w:val="center"/>
                    <w:rPr>
                      <w:bCs/>
                      <w:color w:val="auto"/>
                      <w:spacing w:val="0"/>
                      <w:sz w:val="18"/>
                      <w:szCs w:val="18"/>
                      <w:u w:val="none"/>
                    </w:rPr>
                  </w:pPr>
                  <w:r>
                    <w:rPr>
                      <w:bCs/>
                      <w:color w:val="auto"/>
                      <w:spacing w:val="0"/>
                      <w:sz w:val="18"/>
                      <w:szCs w:val="18"/>
                      <w:u w:val="none"/>
                    </w:rPr>
                    <w:t>污染物种类</w:t>
                  </w:r>
                </w:p>
              </w:tc>
              <w:tc>
                <w:tcPr>
                  <w:tcW w:w="515" w:type="dxa"/>
                  <w:vMerge w:val="restart"/>
                  <w:shd w:val="clear" w:color="auto" w:fill="auto"/>
                  <w:vAlign w:val="center"/>
                </w:tcPr>
                <w:p>
                  <w:pPr>
                    <w:adjustRightInd w:val="0"/>
                    <w:snapToGrid w:val="0"/>
                    <w:jc w:val="center"/>
                    <w:rPr>
                      <w:bCs/>
                      <w:color w:val="auto"/>
                      <w:spacing w:val="0"/>
                      <w:sz w:val="18"/>
                      <w:szCs w:val="18"/>
                      <w:u w:val="none"/>
                    </w:rPr>
                  </w:pPr>
                  <w:r>
                    <w:rPr>
                      <w:bCs/>
                      <w:color w:val="auto"/>
                      <w:spacing w:val="0"/>
                      <w:sz w:val="18"/>
                      <w:szCs w:val="18"/>
                      <w:u w:val="none"/>
                    </w:rPr>
                    <w:t>排放形式</w:t>
                  </w:r>
                </w:p>
              </w:tc>
              <w:tc>
                <w:tcPr>
                  <w:tcW w:w="382" w:type="dxa"/>
                  <w:vMerge w:val="restart"/>
                  <w:shd w:val="clear" w:color="auto" w:fill="auto"/>
                  <w:vAlign w:val="center"/>
                </w:tcPr>
                <w:p>
                  <w:pPr>
                    <w:adjustRightInd w:val="0"/>
                    <w:snapToGrid w:val="0"/>
                    <w:jc w:val="center"/>
                    <w:rPr>
                      <w:bCs/>
                      <w:color w:val="auto"/>
                      <w:spacing w:val="0"/>
                      <w:sz w:val="18"/>
                      <w:szCs w:val="18"/>
                      <w:u w:val="none"/>
                    </w:rPr>
                  </w:pPr>
                  <w:r>
                    <w:rPr>
                      <w:bCs/>
                      <w:color w:val="auto"/>
                      <w:spacing w:val="0"/>
                      <w:sz w:val="18"/>
                      <w:szCs w:val="18"/>
                      <w:u w:val="none"/>
                    </w:rPr>
                    <w:t>排放口编号</w:t>
                  </w:r>
                </w:p>
              </w:tc>
              <w:tc>
                <w:tcPr>
                  <w:tcW w:w="1400" w:type="dxa"/>
                  <w:gridSpan w:val="2"/>
                  <w:shd w:val="clear" w:color="auto" w:fill="auto"/>
                  <w:vAlign w:val="center"/>
                </w:tcPr>
                <w:p>
                  <w:pPr>
                    <w:adjustRightInd w:val="0"/>
                    <w:snapToGrid w:val="0"/>
                    <w:jc w:val="center"/>
                    <w:rPr>
                      <w:bCs/>
                      <w:color w:val="auto"/>
                      <w:spacing w:val="0"/>
                      <w:sz w:val="18"/>
                      <w:szCs w:val="18"/>
                      <w:u w:val="none"/>
                    </w:rPr>
                  </w:pPr>
                  <w:r>
                    <w:rPr>
                      <w:bCs/>
                      <w:color w:val="auto"/>
                      <w:spacing w:val="0"/>
                      <w:sz w:val="18"/>
                      <w:szCs w:val="18"/>
                      <w:u w:val="none"/>
                    </w:rPr>
                    <w:t>污染物产生情况</w:t>
                  </w:r>
                </w:p>
              </w:tc>
              <w:tc>
                <w:tcPr>
                  <w:tcW w:w="2662" w:type="dxa"/>
                  <w:gridSpan w:val="4"/>
                  <w:shd w:val="clear" w:color="auto" w:fill="auto"/>
                  <w:vAlign w:val="center"/>
                </w:tcPr>
                <w:p>
                  <w:pPr>
                    <w:adjustRightInd w:val="0"/>
                    <w:snapToGrid w:val="0"/>
                    <w:jc w:val="center"/>
                    <w:rPr>
                      <w:bCs/>
                      <w:color w:val="auto"/>
                      <w:spacing w:val="0"/>
                      <w:sz w:val="18"/>
                      <w:szCs w:val="18"/>
                      <w:u w:val="none"/>
                    </w:rPr>
                  </w:pPr>
                  <w:r>
                    <w:rPr>
                      <w:bCs/>
                      <w:color w:val="auto"/>
                      <w:spacing w:val="0"/>
                      <w:sz w:val="18"/>
                      <w:szCs w:val="18"/>
                      <w:u w:val="none"/>
                    </w:rPr>
                    <w:t>治理设施</w:t>
                  </w:r>
                </w:p>
              </w:tc>
              <w:tc>
                <w:tcPr>
                  <w:tcW w:w="1382"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21" w:leftChars="10"/>
                    <w:jc w:val="center"/>
                    <w:textAlignment w:val="auto"/>
                    <w:rPr>
                      <w:bCs/>
                      <w:color w:val="auto"/>
                      <w:spacing w:val="0"/>
                      <w:sz w:val="18"/>
                      <w:szCs w:val="18"/>
                      <w:u w:val="none"/>
                    </w:rPr>
                  </w:pPr>
                  <w:r>
                    <w:rPr>
                      <w:bCs/>
                      <w:color w:val="auto"/>
                      <w:spacing w:val="0"/>
                      <w:sz w:val="18"/>
                      <w:szCs w:val="18"/>
                      <w:u w:val="none"/>
                    </w:rPr>
                    <w:t>污染物排放</w:t>
                  </w:r>
                  <w:r>
                    <w:rPr>
                      <w:rFonts w:hint="eastAsia"/>
                      <w:bCs/>
                      <w:color w:val="auto"/>
                      <w:spacing w:val="0"/>
                      <w:sz w:val="18"/>
                      <w:szCs w:val="18"/>
                      <w:u w:val="none"/>
                      <w:lang w:eastAsia="zh-CN"/>
                    </w:rPr>
                    <w:t>情</w:t>
                  </w:r>
                  <w:r>
                    <w:rPr>
                      <w:bCs/>
                      <w:color w:val="auto"/>
                      <w:spacing w:val="0"/>
                      <w:sz w:val="18"/>
                      <w:szCs w:val="18"/>
                      <w:u w:val="none"/>
                    </w:rPr>
                    <w:t>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blHeader/>
                <w:jc w:val="center"/>
              </w:trPr>
              <w:tc>
                <w:tcPr>
                  <w:tcW w:w="623" w:type="dxa"/>
                  <w:vMerge w:val="continue"/>
                  <w:shd w:val="clear" w:color="auto" w:fill="auto"/>
                  <w:vAlign w:val="center"/>
                </w:tcPr>
                <w:p>
                  <w:pPr>
                    <w:adjustRightInd w:val="0"/>
                    <w:snapToGrid w:val="0"/>
                    <w:jc w:val="center"/>
                    <w:rPr>
                      <w:bCs/>
                      <w:color w:val="auto"/>
                      <w:spacing w:val="0"/>
                      <w:sz w:val="18"/>
                      <w:szCs w:val="18"/>
                      <w:u w:val="none"/>
                    </w:rPr>
                  </w:pPr>
                </w:p>
              </w:tc>
              <w:tc>
                <w:tcPr>
                  <w:tcW w:w="564" w:type="dxa"/>
                  <w:vMerge w:val="continue"/>
                  <w:shd w:val="clear" w:color="auto" w:fill="auto"/>
                  <w:vAlign w:val="center"/>
                </w:tcPr>
                <w:p>
                  <w:pPr>
                    <w:adjustRightInd w:val="0"/>
                    <w:snapToGrid w:val="0"/>
                    <w:jc w:val="center"/>
                    <w:rPr>
                      <w:bCs/>
                      <w:color w:val="auto"/>
                      <w:spacing w:val="0"/>
                      <w:sz w:val="18"/>
                      <w:szCs w:val="18"/>
                      <w:u w:val="none"/>
                    </w:rPr>
                  </w:pPr>
                </w:p>
              </w:tc>
              <w:tc>
                <w:tcPr>
                  <w:tcW w:w="515" w:type="dxa"/>
                  <w:vMerge w:val="continue"/>
                  <w:shd w:val="clear" w:color="auto" w:fill="auto"/>
                  <w:vAlign w:val="center"/>
                </w:tcPr>
                <w:p>
                  <w:pPr>
                    <w:adjustRightInd w:val="0"/>
                    <w:snapToGrid w:val="0"/>
                    <w:jc w:val="center"/>
                    <w:rPr>
                      <w:bCs/>
                      <w:color w:val="auto"/>
                      <w:spacing w:val="0"/>
                      <w:sz w:val="18"/>
                      <w:szCs w:val="18"/>
                      <w:u w:val="none"/>
                    </w:rPr>
                  </w:pPr>
                </w:p>
              </w:tc>
              <w:tc>
                <w:tcPr>
                  <w:tcW w:w="382" w:type="dxa"/>
                  <w:vMerge w:val="continue"/>
                  <w:shd w:val="clear" w:color="auto" w:fill="auto"/>
                  <w:vAlign w:val="center"/>
                </w:tcPr>
                <w:p>
                  <w:pPr>
                    <w:adjustRightInd w:val="0"/>
                    <w:snapToGrid w:val="0"/>
                    <w:jc w:val="center"/>
                    <w:rPr>
                      <w:bCs/>
                      <w:color w:val="auto"/>
                      <w:spacing w:val="0"/>
                      <w:sz w:val="18"/>
                      <w:szCs w:val="18"/>
                      <w:u w:val="none"/>
                    </w:rPr>
                  </w:pPr>
                </w:p>
              </w:tc>
              <w:tc>
                <w:tcPr>
                  <w:tcW w:w="687" w:type="dxa"/>
                  <w:shd w:val="clear" w:color="auto" w:fill="auto"/>
                  <w:vAlign w:val="center"/>
                </w:tcPr>
                <w:p>
                  <w:pPr>
                    <w:adjustRightInd w:val="0"/>
                    <w:snapToGrid w:val="0"/>
                    <w:jc w:val="center"/>
                    <w:rPr>
                      <w:bCs/>
                      <w:color w:val="auto"/>
                      <w:spacing w:val="0"/>
                      <w:sz w:val="18"/>
                      <w:szCs w:val="18"/>
                      <w:u w:val="none"/>
                    </w:rPr>
                  </w:pPr>
                  <w:r>
                    <w:rPr>
                      <w:bCs/>
                      <w:color w:val="auto"/>
                      <w:spacing w:val="0"/>
                      <w:sz w:val="18"/>
                      <w:szCs w:val="18"/>
                      <w:u w:val="none"/>
                    </w:rPr>
                    <w:t>产生量</w:t>
                  </w:r>
                  <w:r>
                    <w:rPr>
                      <w:color w:val="auto"/>
                      <w:spacing w:val="0"/>
                      <w:kern w:val="0"/>
                      <w:sz w:val="18"/>
                      <w:szCs w:val="18"/>
                      <w:u w:val="none"/>
                    </w:rPr>
                    <w:t>t/a</w:t>
                  </w:r>
                </w:p>
              </w:tc>
              <w:tc>
                <w:tcPr>
                  <w:tcW w:w="713" w:type="dxa"/>
                  <w:shd w:val="clear" w:color="auto" w:fill="auto"/>
                  <w:vAlign w:val="center"/>
                </w:tcPr>
                <w:p>
                  <w:pPr>
                    <w:adjustRightInd w:val="0"/>
                    <w:snapToGrid w:val="0"/>
                    <w:jc w:val="center"/>
                    <w:rPr>
                      <w:bCs/>
                      <w:color w:val="auto"/>
                      <w:spacing w:val="0"/>
                      <w:sz w:val="18"/>
                      <w:szCs w:val="18"/>
                      <w:u w:val="none"/>
                    </w:rPr>
                  </w:pPr>
                  <w:r>
                    <w:rPr>
                      <w:bCs/>
                      <w:color w:val="auto"/>
                      <w:spacing w:val="0"/>
                      <w:sz w:val="18"/>
                      <w:szCs w:val="18"/>
                      <w:u w:val="none"/>
                    </w:rPr>
                    <w:t>产生浓度</w:t>
                  </w:r>
                  <w:r>
                    <w:rPr>
                      <w:color w:val="auto"/>
                      <w:spacing w:val="0"/>
                      <w:kern w:val="0"/>
                      <w:sz w:val="18"/>
                      <w:szCs w:val="18"/>
                      <w:u w:val="none"/>
                    </w:rPr>
                    <w:t>mg/m</w:t>
                  </w:r>
                  <w:r>
                    <w:rPr>
                      <w:color w:val="auto"/>
                      <w:spacing w:val="0"/>
                      <w:kern w:val="0"/>
                      <w:sz w:val="18"/>
                      <w:szCs w:val="18"/>
                      <w:u w:val="none"/>
                      <w:vertAlign w:val="superscript"/>
                    </w:rPr>
                    <w:t>3</w:t>
                  </w:r>
                </w:p>
              </w:tc>
              <w:tc>
                <w:tcPr>
                  <w:tcW w:w="637" w:type="dxa"/>
                  <w:shd w:val="clear" w:color="auto" w:fill="auto"/>
                  <w:vAlign w:val="center"/>
                </w:tcPr>
                <w:p>
                  <w:pPr>
                    <w:adjustRightInd w:val="0"/>
                    <w:snapToGrid w:val="0"/>
                    <w:jc w:val="center"/>
                    <w:rPr>
                      <w:bCs/>
                      <w:color w:val="auto"/>
                      <w:spacing w:val="0"/>
                      <w:sz w:val="18"/>
                      <w:szCs w:val="18"/>
                      <w:u w:val="none"/>
                    </w:rPr>
                  </w:pPr>
                  <w:r>
                    <w:rPr>
                      <w:bCs/>
                      <w:color w:val="auto"/>
                      <w:spacing w:val="0"/>
                      <w:sz w:val="18"/>
                      <w:szCs w:val="18"/>
                      <w:u w:val="none"/>
                    </w:rPr>
                    <w:t>处理能力</w:t>
                  </w:r>
                  <w:r>
                    <w:rPr>
                      <w:color w:val="auto"/>
                      <w:spacing w:val="0"/>
                      <w:kern w:val="0"/>
                      <w:sz w:val="18"/>
                      <w:szCs w:val="18"/>
                      <w:u w:val="none"/>
                    </w:rPr>
                    <w:t>m</w:t>
                  </w:r>
                  <w:r>
                    <w:rPr>
                      <w:color w:val="auto"/>
                      <w:spacing w:val="0"/>
                      <w:kern w:val="0"/>
                      <w:sz w:val="18"/>
                      <w:szCs w:val="18"/>
                      <w:u w:val="none"/>
                      <w:vertAlign w:val="superscript"/>
                    </w:rPr>
                    <w:t>3</w:t>
                  </w:r>
                  <w:r>
                    <w:rPr>
                      <w:color w:val="auto"/>
                      <w:spacing w:val="0"/>
                      <w:kern w:val="0"/>
                      <w:sz w:val="18"/>
                      <w:szCs w:val="18"/>
                      <w:u w:val="none"/>
                    </w:rPr>
                    <w:t>/h</w:t>
                  </w:r>
                </w:p>
              </w:tc>
              <w:tc>
                <w:tcPr>
                  <w:tcW w:w="607" w:type="dxa"/>
                  <w:shd w:val="clear" w:color="auto" w:fill="auto"/>
                  <w:vAlign w:val="center"/>
                </w:tcPr>
                <w:p>
                  <w:pPr>
                    <w:adjustRightInd w:val="0"/>
                    <w:snapToGrid w:val="0"/>
                    <w:jc w:val="center"/>
                    <w:rPr>
                      <w:bCs/>
                      <w:color w:val="auto"/>
                      <w:spacing w:val="0"/>
                      <w:sz w:val="18"/>
                      <w:szCs w:val="18"/>
                      <w:u w:val="none"/>
                    </w:rPr>
                  </w:pPr>
                  <w:r>
                    <w:rPr>
                      <w:bCs/>
                      <w:color w:val="auto"/>
                      <w:spacing w:val="0"/>
                      <w:sz w:val="18"/>
                      <w:szCs w:val="18"/>
                      <w:u w:val="none"/>
                    </w:rPr>
                    <w:t>收集效率</w:t>
                  </w:r>
                </w:p>
              </w:tc>
              <w:tc>
                <w:tcPr>
                  <w:tcW w:w="718" w:type="dxa"/>
                  <w:shd w:val="clear" w:color="auto" w:fill="auto"/>
                  <w:vAlign w:val="center"/>
                </w:tcPr>
                <w:p>
                  <w:pPr>
                    <w:adjustRightInd w:val="0"/>
                    <w:snapToGrid w:val="0"/>
                    <w:jc w:val="center"/>
                    <w:rPr>
                      <w:bCs/>
                      <w:color w:val="auto"/>
                      <w:spacing w:val="0"/>
                      <w:sz w:val="18"/>
                      <w:szCs w:val="18"/>
                      <w:u w:val="none"/>
                    </w:rPr>
                  </w:pPr>
                  <w:r>
                    <w:rPr>
                      <w:bCs/>
                      <w:color w:val="auto"/>
                      <w:spacing w:val="0"/>
                      <w:sz w:val="18"/>
                      <w:szCs w:val="18"/>
                      <w:u w:val="none"/>
                    </w:rPr>
                    <w:t>治理效率</w:t>
                  </w:r>
                </w:p>
              </w:tc>
              <w:tc>
                <w:tcPr>
                  <w:tcW w:w="700" w:type="dxa"/>
                  <w:shd w:val="clear" w:color="auto" w:fill="auto"/>
                  <w:vAlign w:val="center"/>
                </w:tcPr>
                <w:p>
                  <w:pPr>
                    <w:adjustRightInd w:val="0"/>
                    <w:snapToGrid w:val="0"/>
                    <w:jc w:val="center"/>
                    <w:rPr>
                      <w:bCs/>
                      <w:color w:val="auto"/>
                      <w:spacing w:val="0"/>
                      <w:sz w:val="18"/>
                      <w:szCs w:val="18"/>
                      <w:u w:val="none"/>
                    </w:rPr>
                  </w:pPr>
                  <w:r>
                    <w:rPr>
                      <w:bCs/>
                      <w:color w:val="auto"/>
                      <w:spacing w:val="0"/>
                      <w:sz w:val="18"/>
                      <w:szCs w:val="18"/>
                      <w:u w:val="none"/>
                    </w:rPr>
                    <w:t>是否为可行技术</w:t>
                  </w:r>
                </w:p>
              </w:tc>
              <w:tc>
                <w:tcPr>
                  <w:tcW w:w="685" w:type="dxa"/>
                  <w:shd w:val="clear" w:color="auto" w:fill="auto"/>
                  <w:vAlign w:val="center"/>
                </w:tcPr>
                <w:p>
                  <w:pPr>
                    <w:adjustRightInd w:val="0"/>
                    <w:snapToGrid w:val="0"/>
                    <w:jc w:val="center"/>
                    <w:rPr>
                      <w:bCs/>
                      <w:color w:val="auto"/>
                      <w:spacing w:val="0"/>
                      <w:sz w:val="18"/>
                      <w:szCs w:val="18"/>
                      <w:u w:val="none"/>
                    </w:rPr>
                  </w:pPr>
                  <w:r>
                    <w:rPr>
                      <w:bCs/>
                      <w:color w:val="auto"/>
                      <w:spacing w:val="0"/>
                      <w:sz w:val="18"/>
                      <w:szCs w:val="18"/>
                      <w:u w:val="none"/>
                    </w:rPr>
                    <w:t>排放量</w:t>
                  </w:r>
                  <w:r>
                    <w:rPr>
                      <w:color w:val="auto"/>
                      <w:spacing w:val="0"/>
                      <w:kern w:val="0"/>
                      <w:sz w:val="18"/>
                      <w:szCs w:val="18"/>
                      <w:u w:val="none"/>
                    </w:rPr>
                    <w:t>t/a</w:t>
                  </w:r>
                </w:p>
              </w:tc>
              <w:tc>
                <w:tcPr>
                  <w:tcW w:w="697" w:type="dxa"/>
                  <w:shd w:val="clear" w:color="auto" w:fill="auto"/>
                  <w:vAlign w:val="center"/>
                </w:tcPr>
                <w:p>
                  <w:pPr>
                    <w:adjustRightInd w:val="0"/>
                    <w:snapToGrid w:val="0"/>
                    <w:jc w:val="center"/>
                    <w:rPr>
                      <w:bCs/>
                      <w:color w:val="auto"/>
                      <w:spacing w:val="0"/>
                      <w:sz w:val="18"/>
                      <w:szCs w:val="18"/>
                      <w:u w:val="none"/>
                    </w:rPr>
                  </w:pPr>
                  <w:r>
                    <w:rPr>
                      <w:bCs/>
                      <w:color w:val="auto"/>
                      <w:spacing w:val="0"/>
                      <w:sz w:val="18"/>
                      <w:szCs w:val="18"/>
                      <w:u w:val="none"/>
                    </w:rPr>
                    <w:t>排放浓度</w:t>
                  </w:r>
                  <w:r>
                    <w:rPr>
                      <w:color w:val="auto"/>
                      <w:spacing w:val="0"/>
                      <w:kern w:val="0"/>
                      <w:sz w:val="18"/>
                      <w:szCs w:val="18"/>
                      <w:u w:val="none"/>
                    </w:rPr>
                    <w:t>mg/m</w:t>
                  </w:r>
                  <w:r>
                    <w:rPr>
                      <w:color w:val="auto"/>
                      <w:spacing w:val="0"/>
                      <w:kern w:val="0"/>
                      <w:sz w:val="18"/>
                      <w:szCs w:val="18"/>
                      <w:u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23" w:type="dxa"/>
                  <w:shd w:val="clear" w:color="auto" w:fill="auto"/>
                  <w:vAlign w:val="center"/>
                </w:tcPr>
                <w:p>
                  <w:pPr>
                    <w:adjustRightInd w:val="0"/>
                    <w:snapToGrid w:val="0"/>
                    <w:jc w:val="center"/>
                    <w:rPr>
                      <w:rFonts w:hint="eastAsia" w:eastAsia="宋体"/>
                      <w:bCs/>
                      <w:color w:val="auto"/>
                      <w:spacing w:val="0"/>
                      <w:sz w:val="18"/>
                      <w:szCs w:val="18"/>
                      <w:u w:val="none"/>
                      <w:lang w:eastAsia="zh-CN"/>
                    </w:rPr>
                  </w:pPr>
                  <w:r>
                    <w:rPr>
                      <w:bCs/>
                      <w:color w:val="auto"/>
                      <w:spacing w:val="0"/>
                      <w:sz w:val="18"/>
                      <w:szCs w:val="18"/>
                      <w:u w:val="none"/>
                    </w:rPr>
                    <w:t>原料破碎</w:t>
                  </w:r>
                  <w:r>
                    <w:rPr>
                      <w:rFonts w:hint="eastAsia"/>
                      <w:bCs/>
                      <w:color w:val="auto"/>
                      <w:spacing w:val="0"/>
                      <w:sz w:val="18"/>
                      <w:szCs w:val="18"/>
                      <w:u w:val="none"/>
                      <w:lang w:eastAsia="zh-CN"/>
                    </w:rPr>
                    <w:t>筛分</w:t>
                  </w:r>
                </w:p>
              </w:tc>
              <w:tc>
                <w:tcPr>
                  <w:tcW w:w="564" w:type="dxa"/>
                  <w:shd w:val="clear" w:color="auto" w:fill="auto"/>
                  <w:vAlign w:val="center"/>
                </w:tcPr>
                <w:p>
                  <w:pPr>
                    <w:adjustRightInd w:val="0"/>
                    <w:snapToGrid w:val="0"/>
                    <w:jc w:val="center"/>
                    <w:rPr>
                      <w:bCs/>
                      <w:color w:val="auto"/>
                      <w:spacing w:val="0"/>
                      <w:sz w:val="18"/>
                      <w:szCs w:val="18"/>
                      <w:u w:val="none"/>
                    </w:rPr>
                  </w:pPr>
                  <w:r>
                    <w:rPr>
                      <w:bCs/>
                      <w:color w:val="auto"/>
                      <w:spacing w:val="0"/>
                      <w:sz w:val="18"/>
                      <w:szCs w:val="18"/>
                      <w:u w:val="none"/>
                    </w:rPr>
                    <w:t>颗粒物</w:t>
                  </w:r>
                </w:p>
              </w:tc>
              <w:tc>
                <w:tcPr>
                  <w:tcW w:w="515" w:type="dxa"/>
                  <w:shd w:val="clear" w:color="auto" w:fill="auto"/>
                  <w:vAlign w:val="center"/>
                </w:tcPr>
                <w:p>
                  <w:pPr>
                    <w:adjustRightInd w:val="0"/>
                    <w:snapToGrid w:val="0"/>
                    <w:jc w:val="center"/>
                    <w:rPr>
                      <w:bCs/>
                      <w:color w:val="auto"/>
                      <w:spacing w:val="0"/>
                      <w:sz w:val="18"/>
                      <w:szCs w:val="18"/>
                      <w:u w:val="none"/>
                    </w:rPr>
                  </w:pPr>
                  <w:r>
                    <w:rPr>
                      <w:bCs/>
                      <w:color w:val="auto"/>
                      <w:spacing w:val="0"/>
                      <w:sz w:val="18"/>
                      <w:szCs w:val="18"/>
                      <w:u w:val="none"/>
                    </w:rPr>
                    <w:t>无组织</w:t>
                  </w:r>
                </w:p>
              </w:tc>
              <w:tc>
                <w:tcPr>
                  <w:tcW w:w="382" w:type="dxa"/>
                  <w:shd w:val="clear" w:color="auto" w:fill="auto"/>
                  <w:vAlign w:val="center"/>
                </w:tcPr>
                <w:p>
                  <w:pPr>
                    <w:adjustRightInd w:val="0"/>
                    <w:snapToGrid w:val="0"/>
                    <w:jc w:val="center"/>
                    <w:rPr>
                      <w:bCs/>
                      <w:color w:val="auto"/>
                      <w:spacing w:val="0"/>
                      <w:sz w:val="18"/>
                      <w:szCs w:val="18"/>
                      <w:u w:val="none"/>
                    </w:rPr>
                  </w:pPr>
                  <w:r>
                    <w:rPr>
                      <w:bCs/>
                      <w:color w:val="auto"/>
                      <w:spacing w:val="0"/>
                      <w:sz w:val="18"/>
                      <w:szCs w:val="18"/>
                      <w:u w:val="none"/>
                    </w:rPr>
                    <w:t>/</w:t>
                  </w:r>
                </w:p>
              </w:tc>
              <w:tc>
                <w:tcPr>
                  <w:tcW w:w="687" w:type="dxa"/>
                  <w:shd w:val="clear" w:color="auto" w:fill="auto"/>
                  <w:vAlign w:val="center"/>
                </w:tcPr>
                <w:p>
                  <w:pPr>
                    <w:pStyle w:val="45"/>
                    <w:rPr>
                      <w:rFonts w:hint="default"/>
                      <w:bCs/>
                      <w:color w:val="auto"/>
                      <w:spacing w:val="0"/>
                      <w:sz w:val="18"/>
                      <w:szCs w:val="18"/>
                      <w:u w:val="none"/>
                      <w:lang w:val="en-US"/>
                    </w:rPr>
                  </w:pPr>
                  <w:r>
                    <w:rPr>
                      <w:rFonts w:hint="eastAsia"/>
                      <w:color w:val="auto"/>
                      <w:spacing w:val="0"/>
                      <w:lang w:val="en-US" w:eastAsia="zh-CN"/>
                    </w:rPr>
                    <w:t>10</w:t>
                  </w:r>
                </w:p>
              </w:tc>
              <w:tc>
                <w:tcPr>
                  <w:tcW w:w="713" w:type="dxa"/>
                  <w:shd w:val="clear" w:color="auto" w:fill="auto"/>
                  <w:vAlign w:val="center"/>
                </w:tcPr>
                <w:p>
                  <w:pPr>
                    <w:adjustRightInd w:val="0"/>
                    <w:snapToGrid w:val="0"/>
                    <w:jc w:val="center"/>
                    <w:rPr>
                      <w:bCs/>
                      <w:color w:val="auto"/>
                      <w:spacing w:val="0"/>
                      <w:sz w:val="18"/>
                      <w:szCs w:val="18"/>
                      <w:u w:val="none"/>
                    </w:rPr>
                  </w:pPr>
                  <w:r>
                    <w:rPr>
                      <w:bCs/>
                      <w:color w:val="auto"/>
                      <w:spacing w:val="0"/>
                      <w:sz w:val="18"/>
                      <w:szCs w:val="18"/>
                      <w:u w:val="none"/>
                    </w:rPr>
                    <w:t>/</w:t>
                  </w:r>
                </w:p>
              </w:tc>
              <w:tc>
                <w:tcPr>
                  <w:tcW w:w="637" w:type="dxa"/>
                  <w:shd w:val="clear" w:color="auto" w:fill="auto"/>
                  <w:vAlign w:val="center"/>
                </w:tcPr>
                <w:p>
                  <w:pPr>
                    <w:adjustRightInd w:val="0"/>
                    <w:snapToGrid w:val="0"/>
                    <w:jc w:val="center"/>
                    <w:rPr>
                      <w:bCs/>
                      <w:color w:val="auto"/>
                      <w:spacing w:val="0"/>
                      <w:sz w:val="18"/>
                      <w:szCs w:val="18"/>
                      <w:u w:val="none"/>
                    </w:rPr>
                  </w:pPr>
                  <w:r>
                    <w:rPr>
                      <w:bCs/>
                      <w:color w:val="auto"/>
                      <w:spacing w:val="0"/>
                      <w:sz w:val="18"/>
                      <w:szCs w:val="18"/>
                      <w:u w:val="none"/>
                    </w:rPr>
                    <w:t>/</w:t>
                  </w:r>
                </w:p>
              </w:tc>
              <w:tc>
                <w:tcPr>
                  <w:tcW w:w="607" w:type="dxa"/>
                  <w:shd w:val="clear" w:color="auto" w:fill="auto"/>
                  <w:vAlign w:val="center"/>
                </w:tcPr>
                <w:p>
                  <w:pPr>
                    <w:adjustRightInd w:val="0"/>
                    <w:snapToGrid w:val="0"/>
                    <w:jc w:val="center"/>
                    <w:rPr>
                      <w:bCs/>
                      <w:color w:val="auto"/>
                      <w:spacing w:val="0"/>
                      <w:sz w:val="18"/>
                      <w:szCs w:val="18"/>
                      <w:u w:val="none"/>
                    </w:rPr>
                  </w:pPr>
                  <w:r>
                    <w:rPr>
                      <w:rFonts w:hint="eastAsia"/>
                      <w:bCs/>
                      <w:color w:val="auto"/>
                      <w:spacing w:val="0"/>
                      <w:sz w:val="18"/>
                      <w:szCs w:val="18"/>
                      <w:u w:val="none"/>
                      <w:lang w:val="en-US" w:eastAsia="zh-CN"/>
                    </w:rPr>
                    <w:t>/</w:t>
                  </w:r>
                </w:p>
              </w:tc>
              <w:tc>
                <w:tcPr>
                  <w:tcW w:w="718" w:type="dxa"/>
                  <w:shd w:val="clear" w:color="auto" w:fill="auto"/>
                  <w:vAlign w:val="center"/>
                </w:tcPr>
                <w:p>
                  <w:pPr>
                    <w:adjustRightInd w:val="0"/>
                    <w:snapToGrid w:val="0"/>
                    <w:jc w:val="center"/>
                    <w:rPr>
                      <w:bCs/>
                      <w:color w:val="auto"/>
                      <w:spacing w:val="0"/>
                      <w:sz w:val="18"/>
                      <w:szCs w:val="18"/>
                      <w:u w:val="none"/>
                    </w:rPr>
                  </w:pPr>
                  <w:r>
                    <w:rPr>
                      <w:rFonts w:hint="eastAsia"/>
                      <w:bCs/>
                      <w:color w:val="auto"/>
                      <w:spacing w:val="0"/>
                      <w:sz w:val="18"/>
                      <w:szCs w:val="18"/>
                      <w:u w:val="none"/>
                      <w:lang w:val="en-US" w:eastAsia="zh-CN"/>
                    </w:rPr>
                    <w:t>95.5</w:t>
                  </w:r>
                  <w:r>
                    <w:rPr>
                      <w:bCs/>
                      <w:color w:val="auto"/>
                      <w:spacing w:val="0"/>
                      <w:sz w:val="18"/>
                      <w:szCs w:val="18"/>
                      <w:u w:val="none"/>
                    </w:rPr>
                    <w:t>%</w:t>
                  </w:r>
                </w:p>
              </w:tc>
              <w:tc>
                <w:tcPr>
                  <w:tcW w:w="700" w:type="dxa"/>
                  <w:shd w:val="clear" w:color="auto" w:fill="auto"/>
                  <w:vAlign w:val="center"/>
                </w:tcPr>
                <w:p>
                  <w:pPr>
                    <w:adjustRightInd w:val="0"/>
                    <w:snapToGrid w:val="0"/>
                    <w:jc w:val="center"/>
                    <w:rPr>
                      <w:bCs/>
                      <w:color w:val="auto"/>
                      <w:spacing w:val="0"/>
                      <w:sz w:val="18"/>
                      <w:szCs w:val="18"/>
                      <w:u w:val="none"/>
                    </w:rPr>
                  </w:pPr>
                  <w:r>
                    <w:rPr>
                      <w:bCs/>
                      <w:color w:val="auto"/>
                      <w:spacing w:val="0"/>
                      <w:sz w:val="18"/>
                      <w:szCs w:val="18"/>
                      <w:u w:val="none"/>
                    </w:rPr>
                    <w:t>是</w:t>
                  </w:r>
                </w:p>
              </w:tc>
              <w:tc>
                <w:tcPr>
                  <w:tcW w:w="685" w:type="dxa"/>
                  <w:shd w:val="clear" w:color="auto" w:fill="auto"/>
                  <w:vAlign w:val="center"/>
                </w:tcPr>
                <w:p>
                  <w:pPr>
                    <w:adjustRightInd w:val="0"/>
                    <w:snapToGrid w:val="0"/>
                    <w:jc w:val="center"/>
                    <w:rPr>
                      <w:rFonts w:hint="default" w:eastAsia="宋体"/>
                      <w:bCs/>
                      <w:color w:val="auto"/>
                      <w:spacing w:val="0"/>
                      <w:sz w:val="18"/>
                      <w:szCs w:val="18"/>
                      <w:u w:val="none"/>
                      <w:lang w:val="en-US" w:eastAsia="zh-CN"/>
                    </w:rPr>
                  </w:pPr>
                  <w:r>
                    <w:rPr>
                      <w:rFonts w:hint="eastAsia"/>
                      <w:bCs/>
                      <w:color w:val="auto"/>
                      <w:spacing w:val="0"/>
                      <w:sz w:val="18"/>
                      <w:szCs w:val="18"/>
                      <w:u w:val="none"/>
                      <w:lang w:val="en-US" w:eastAsia="zh-CN"/>
                    </w:rPr>
                    <w:t>0.45</w:t>
                  </w:r>
                </w:p>
              </w:tc>
              <w:tc>
                <w:tcPr>
                  <w:tcW w:w="697" w:type="dxa"/>
                  <w:shd w:val="clear" w:color="auto" w:fill="auto"/>
                  <w:vAlign w:val="center"/>
                </w:tcPr>
                <w:p>
                  <w:pPr>
                    <w:adjustRightInd w:val="0"/>
                    <w:snapToGrid w:val="0"/>
                    <w:jc w:val="center"/>
                    <w:rPr>
                      <w:bCs/>
                      <w:color w:val="auto"/>
                      <w:spacing w:val="0"/>
                      <w:sz w:val="18"/>
                      <w:szCs w:val="18"/>
                      <w:u w:val="none"/>
                    </w:rPr>
                  </w:pPr>
                  <w:r>
                    <w:rPr>
                      <w:bCs/>
                      <w:color w:val="auto"/>
                      <w:spacing w:val="0"/>
                      <w:sz w:val="18"/>
                      <w:szCs w:val="18"/>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23" w:type="dxa"/>
                  <w:shd w:val="clear" w:color="auto" w:fill="auto"/>
                  <w:vAlign w:val="center"/>
                </w:tcPr>
                <w:p>
                  <w:pPr>
                    <w:adjustRightInd w:val="0"/>
                    <w:snapToGrid w:val="0"/>
                    <w:jc w:val="center"/>
                    <w:rPr>
                      <w:rFonts w:hint="eastAsia" w:eastAsia="宋体"/>
                      <w:bCs/>
                      <w:color w:val="auto"/>
                      <w:spacing w:val="0"/>
                      <w:sz w:val="18"/>
                      <w:szCs w:val="18"/>
                      <w:u w:val="none"/>
                      <w:lang w:eastAsia="zh-CN"/>
                    </w:rPr>
                  </w:pPr>
                  <w:r>
                    <w:rPr>
                      <w:rFonts w:hint="eastAsia"/>
                      <w:bCs/>
                      <w:color w:val="auto"/>
                      <w:spacing w:val="0"/>
                      <w:sz w:val="18"/>
                      <w:szCs w:val="18"/>
                      <w:u w:val="none"/>
                      <w:lang w:eastAsia="zh-CN"/>
                    </w:rPr>
                    <w:t>成品堆场</w:t>
                  </w:r>
                </w:p>
              </w:tc>
              <w:tc>
                <w:tcPr>
                  <w:tcW w:w="564" w:type="dxa"/>
                  <w:shd w:val="clear" w:color="auto" w:fill="auto"/>
                  <w:vAlign w:val="center"/>
                </w:tcPr>
                <w:p>
                  <w:pPr>
                    <w:adjustRightInd w:val="0"/>
                    <w:snapToGrid w:val="0"/>
                    <w:jc w:val="center"/>
                    <w:rPr>
                      <w:bCs/>
                      <w:color w:val="auto"/>
                      <w:spacing w:val="0"/>
                      <w:sz w:val="18"/>
                      <w:szCs w:val="18"/>
                      <w:u w:val="none"/>
                    </w:rPr>
                  </w:pPr>
                  <w:r>
                    <w:rPr>
                      <w:bCs/>
                      <w:color w:val="auto"/>
                      <w:spacing w:val="0"/>
                      <w:sz w:val="18"/>
                      <w:szCs w:val="18"/>
                      <w:u w:val="none"/>
                    </w:rPr>
                    <w:t>颗粒物</w:t>
                  </w:r>
                </w:p>
              </w:tc>
              <w:tc>
                <w:tcPr>
                  <w:tcW w:w="515" w:type="dxa"/>
                  <w:shd w:val="clear" w:color="auto" w:fill="auto"/>
                  <w:vAlign w:val="center"/>
                </w:tcPr>
                <w:p>
                  <w:pPr>
                    <w:adjustRightInd w:val="0"/>
                    <w:snapToGrid w:val="0"/>
                    <w:jc w:val="center"/>
                    <w:rPr>
                      <w:bCs/>
                      <w:color w:val="auto"/>
                      <w:spacing w:val="0"/>
                      <w:sz w:val="18"/>
                      <w:szCs w:val="18"/>
                      <w:u w:val="none"/>
                    </w:rPr>
                  </w:pPr>
                  <w:r>
                    <w:rPr>
                      <w:bCs/>
                      <w:color w:val="auto"/>
                      <w:spacing w:val="0"/>
                      <w:sz w:val="18"/>
                      <w:szCs w:val="18"/>
                      <w:u w:val="none"/>
                    </w:rPr>
                    <w:t>无组织</w:t>
                  </w:r>
                </w:p>
              </w:tc>
              <w:tc>
                <w:tcPr>
                  <w:tcW w:w="382" w:type="dxa"/>
                  <w:shd w:val="clear" w:color="auto" w:fill="auto"/>
                  <w:vAlign w:val="center"/>
                </w:tcPr>
                <w:p>
                  <w:pPr>
                    <w:adjustRightInd w:val="0"/>
                    <w:snapToGrid w:val="0"/>
                    <w:jc w:val="center"/>
                    <w:rPr>
                      <w:bCs/>
                      <w:color w:val="auto"/>
                      <w:spacing w:val="0"/>
                      <w:sz w:val="18"/>
                      <w:szCs w:val="18"/>
                      <w:u w:val="none"/>
                    </w:rPr>
                  </w:pPr>
                  <w:r>
                    <w:rPr>
                      <w:bCs/>
                      <w:color w:val="auto"/>
                      <w:spacing w:val="0"/>
                      <w:sz w:val="18"/>
                      <w:szCs w:val="18"/>
                      <w:u w:val="none"/>
                    </w:rPr>
                    <w:t>/</w:t>
                  </w:r>
                </w:p>
              </w:tc>
              <w:tc>
                <w:tcPr>
                  <w:tcW w:w="687" w:type="dxa"/>
                  <w:shd w:val="clear" w:color="auto" w:fill="auto"/>
                  <w:vAlign w:val="center"/>
                </w:tcPr>
                <w:p>
                  <w:pPr>
                    <w:pStyle w:val="45"/>
                    <w:rPr>
                      <w:rFonts w:hint="default"/>
                      <w:bCs/>
                      <w:color w:val="auto"/>
                      <w:spacing w:val="0"/>
                      <w:sz w:val="18"/>
                      <w:szCs w:val="18"/>
                      <w:u w:val="none"/>
                      <w:lang w:val="en-US"/>
                    </w:rPr>
                  </w:pPr>
                  <w:r>
                    <w:rPr>
                      <w:rFonts w:hint="eastAsia"/>
                      <w:color w:val="auto"/>
                      <w:spacing w:val="0"/>
                      <w:lang w:val="en-US" w:eastAsia="zh-CN"/>
                    </w:rPr>
                    <w:t>5.41</w:t>
                  </w:r>
                </w:p>
              </w:tc>
              <w:tc>
                <w:tcPr>
                  <w:tcW w:w="713" w:type="dxa"/>
                  <w:shd w:val="clear" w:color="auto" w:fill="auto"/>
                  <w:vAlign w:val="center"/>
                </w:tcPr>
                <w:p>
                  <w:pPr>
                    <w:adjustRightInd w:val="0"/>
                    <w:snapToGrid w:val="0"/>
                    <w:jc w:val="center"/>
                    <w:rPr>
                      <w:bCs/>
                      <w:color w:val="auto"/>
                      <w:spacing w:val="0"/>
                      <w:sz w:val="18"/>
                      <w:szCs w:val="18"/>
                      <w:u w:val="none"/>
                    </w:rPr>
                  </w:pPr>
                  <w:r>
                    <w:rPr>
                      <w:bCs/>
                      <w:color w:val="auto"/>
                      <w:spacing w:val="0"/>
                      <w:sz w:val="18"/>
                      <w:szCs w:val="18"/>
                      <w:u w:val="none"/>
                    </w:rPr>
                    <w:t>/</w:t>
                  </w:r>
                </w:p>
              </w:tc>
              <w:tc>
                <w:tcPr>
                  <w:tcW w:w="637" w:type="dxa"/>
                  <w:shd w:val="clear" w:color="auto" w:fill="auto"/>
                  <w:vAlign w:val="center"/>
                </w:tcPr>
                <w:p>
                  <w:pPr>
                    <w:adjustRightInd w:val="0"/>
                    <w:snapToGrid w:val="0"/>
                    <w:jc w:val="center"/>
                    <w:rPr>
                      <w:bCs/>
                      <w:color w:val="auto"/>
                      <w:spacing w:val="0"/>
                      <w:sz w:val="18"/>
                      <w:szCs w:val="18"/>
                      <w:u w:val="none"/>
                    </w:rPr>
                  </w:pPr>
                  <w:r>
                    <w:rPr>
                      <w:bCs/>
                      <w:color w:val="auto"/>
                      <w:spacing w:val="0"/>
                      <w:sz w:val="18"/>
                      <w:szCs w:val="18"/>
                      <w:u w:val="none"/>
                    </w:rPr>
                    <w:t>/</w:t>
                  </w:r>
                </w:p>
              </w:tc>
              <w:tc>
                <w:tcPr>
                  <w:tcW w:w="607" w:type="dxa"/>
                  <w:shd w:val="clear" w:color="auto" w:fill="auto"/>
                  <w:vAlign w:val="center"/>
                </w:tcPr>
                <w:p>
                  <w:pPr>
                    <w:adjustRightInd w:val="0"/>
                    <w:snapToGrid w:val="0"/>
                    <w:jc w:val="center"/>
                    <w:rPr>
                      <w:rFonts w:hint="default" w:eastAsia="宋体"/>
                      <w:bCs/>
                      <w:color w:val="auto"/>
                      <w:spacing w:val="0"/>
                      <w:sz w:val="18"/>
                      <w:szCs w:val="18"/>
                      <w:u w:val="none"/>
                      <w:lang w:val="en-US" w:eastAsia="zh-CN"/>
                    </w:rPr>
                  </w:pPr>
                  <w:r>
                    <w:rPr>
                      <w:rFonts w:hint="eastAsia"/>
                      <w:bCs/>
                      <w:color w:val="auto"/>
                      <w:spacing w:val="0"/>
                      <w:sz w:val="18"/>
                      <w:szCs w:val="18"/>
                      <w:u w:val="none"/>
                      <w:lang w:val="en-US" w:eastAsia="zh-CN"/>
                    </w:rPr>
                    <w:t>/</w:t>
                  </w:r>
                </w:p>
              </w:tc>
              <w:tc>
                <w:tcPr>
                  <w:tcW w:w="718" w:type="dxa"/>
                  <w:shd w:val="clear" w:color="auto" w:fill="auto"/>
                  <w:vAlign w:val="center"/>
                </w:tcPr>
                <w:p>
                  <w:pPr>
                    <w:adjustRightInd w:val="0"/>
                    <w:snapToGrid w:val="0"/>
                    <w:jc w:val="center"/>
                    <w:rPr>
                      <w:rFonts w:hint="default" w:eastAsia="宋体"/>
                      <w:bCs/>
                      <w:color w:val="auto"/>
                      <w:spacing w:val="0"/>
                      <w:sz w:val="18"/>
                      <w:szCs w:val="18"/>
                      <w:u w:val="none"/>
                      <w:lang w:val="en-US" w:eastAsia="zh-CN"/>
                    </w:rPr>
                  </w:pPr>
                  <w:r>
                    <w:rPr>
                      <w:rFonts w:hint="eastAsia"/>
                      <w:bCs/>
                      <w:color w:val="auto"/>
                      <w:spacing w:val="0"/>
                      <w:sz w:val="18"/>
                      <w:szCs w:val="18"/>
                      <w:u w:val="none"/>
                      <w:lang w:val="en-US" w:eastAsia="zh-CN"/>
                    </w:rPr>
                    <w:t>88%</w:t>
                  </w:r>
                </w:p>
              </w:tc>
              <w:tc>
                <w:tcPr>
                  <w:tcW w:w="700" w:type="dxa"/>
                  <w:shd w:val="clear" w:color="auto" w:fill="auto"/>
                  <w:vAlign w:val="center"/>
                </w:tcPr>
                <w:p>
                  <w:pPr>
                    <w:adjustRightInd w:val="0"/>
                    <w:snapToGrid w:val="0"/>
                    <w:jc w:val="center"/>
                    <w:rPr>
                      <w:rFonts w:hint="eastAsia" w:eastAsia="宋体"/>
                      <w:bCs/>
                      <w:color w:val="auto"/>
                      <w:spacing w:val="0"/>
                      <w:sz w:val="18"/>
                      <w:szCs w:val="18"/>
                      <w:u w:val="none"/>
                      <w:lang w:eastAsia="zh-CN"/>
                    </w:rPr>
                  </w:pPr>
                  <w:r>
                    <w:rPr>
                      <w:rFonts w:hint="eastAsia"/>
                      <w:bCs/>
                      <w:color w:val="auto"/>
                      <w:spacing w:val="0"/>
                      <w:sz w:val="18"/>
                      <w:szCs w:val="18"/>
                      <w:u w:val="none"/>
                      <w:lang w:eastAsia="zh-CN"/>
                    </w:rPr>
                    <w:t>是</w:t>
                  </w:r>
                </w:p>
              </w:tc>
              <w:tc>
                <w:tcPr>
                  <w:tcW w:w="685" w:type="dxa"/>
                  <w:shd w:val="clear" w:color="auto" w:fill="auto"/>
                  <w:vAlign w:val="center"/>
                </w:tcPr>
                <w:p>
                  <w:pPr>
                    <w:adjustRightInd w:val="0"/>
                    <w:snapToGrid w:val="0"/>
                    <w:jc w:val="center"/>
                    <w:rPr>
                      <w:rFonts w:hint="default" w:eastAsia="宋体"/>
                      <w:bCs/>
                      <w:color w:val="auto"/>
                      <w:spacing w:val="0"/>
                      <w:sz w:val="18"/>
                      <w:szCs w:val="18"/>
                      <w:u w:val="none"/>
                      <w:lang w:val="en-US" w:eastAsia="zh-CN"/>
                    </w:rPr>
                  </w:pPr>
                  <w:r>
                    <w:rPr>
                      <w:rFonts w:hint="eastAsia"/>
                      <w:bCs/>
                      <w:color w:val="auto"/>
                      <w:spacing w:val="0"/>
                      <w:sz w:val="18"/>
                      <w:szCs w:val="18"/>
                      <w:u w:val="none"/>
                      <w:lang w:val="en-US" w:eastAsia="zh-CN"/>
                    </w:rPr>
                    <w:t>0.639</w:t>
                  </w:r>
                </w:p>
              </w:tc>
              <w:tc>
                <w:tcPr>
                  <w:tcW w:w="697" w:type="dxa"/>
                  <w:shd w:val="clear" w:color="auto" w:fill="auto"/>
                  <w:vAlign w:val="center"/>
                </w:tcPr>
                <w:p>
                  <w:pPr>
                    <w:adjustRightInd w:val="0"/>
                    <w:snapToGrid w:val="0"/>
                    <w:jc w:val="center"/>
                    <w:rPr>
                      <w:bCs/>
                      <w:color w:val="auto"/>
                      <w:spacing w:val="0"/>
                      <w:sz w:val="18"/>
                      <w:szCs w:val="18"/>
                      <w:u w:val="none"/>
                    </w:rPr>
                  </w:pPr>
                  <w:r>
                    <w:rPr>
                      <w:bCs/>
                      <w:color w:val="auto"/>
                      <w:spacing w:val="0"/>
                      <w:sz w:val="18"/>
                      <w:szCs w:val="18"/>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23" w:type="dxa"/>
                  <w:shd w:val="clear" w:color="auto" w:fill="auto"/>
                  <w:vAlign w:val="center"/>
                </w:tcPr>
                <w:p>
                  <w:pPr>
                    <w:adjustRightInd w:val="0"/>
                    <w:snapToGrid w:val="0"/>
                    <w:jc w:val="center"/>
                    <w:rPr>
                      <w:rFonts w:hint="eastAsia" w:eastAsia="宋体"/>
                      <w:bCs/>
                      <w:color w:val="auto"/>
                      <w:spacing w:val="0"/>
                      <w:sz w:val="18"/>
                      <w:szCs w:val="18"/>
                      <w:u w:val="none"/>
                      <w:lang w:eastAsia="zh-CN"/>
                    </w:rPr>
                  </w:pPr>
                  <w:r>
                    <w:rPr>
                      <w:rFonts w:hint="eastAsia"/>
                      <w:bCs/>
                      <w:color w:val="auto"/>
                      <w:spacing w:val="0"/>
                      <w:sz w:val="18"/>
                      <w:szCs w:val="18"/>
                      <w:u w:val="none"/>
                      <w:lang w:eastAsia="zh-CN"/>
                    </w:rPr>
                    <w:t>道路运输</w:t>
                  </w:r>
                </w:p>
              </w:tc>
              <w:tc>
                <w:tcPr>
                  <w:tcW w:w="564" w:type="dxa"/>
                  <w:shd w:val="clear" w:color="auto" w:fill="auto"/>
                  <w:vAlign w:val="center"/>
                </w:tcPr>
                <w:p>
                  <w:pPr>
                    <w:adjustRightInd w:val="0"/>
                    <w:snapToGrid w:val="0"/>
                    <w:jc w:val="center"/>
                    <w:rPr>
                      <w:bCs/>
                      <w:color w:val="auto"/>
                      <w:spacing w:val="0"/>
                      <w:sz w:val="18"/>
                      <w:szCs w:val="18"/>
                      <w:u w:val="none"/>
                    </w:rPr>
                  </w:pPr>
                  <w:r>
                    <w:rPr>
                      <w:bCs/>
                      <w:color w:val="auto"/>
                      <w:spacing w:val="0"/>
                      <w:sz w:val="18"/>
                      <w:szCs w:val="18"/>
                      <w:u w:val="none"/>
                    </w:rPr>
                    <w:t>颗粒物</w:t>
                  </w:r>
                </w:p>
              </w:tc>
              <w:tc>
                <w:tcPr>
                  <w:tcW w:w="515" w:type="dxa"/>
                  <w:shd w:val="clear" w:color="auto" w:fill="auto"/>
                  <w:vAlign w:val="center"/>
                </w:tcPr>
                <w:p>
                  <w:pPr>
                    <w:adjustRightInd w:val="0"/>
                    <w:snapToGrid w:val="0"/>
                    <w:jc w:val="center"/>
                    <w:rPr>
                      <w:bCs/>
                      <w:color w:val="auto"/>
                      <w:spacing w:val="0"/>
                      <w:sz w:val="18"/>
                      <w:szCs w:val="18"/>
                      <w:u w:val="none"/>
                    </w:rPr>
                  </w:pPr>
                  <w:r>
                    <w:rPr>
                      <w:bCs/>
                      <w:color w:val="auto"/>
                      <w:spacing w:val="0"/>
                      <w:sz w:val="18"/>
                      <w:szCs w:val="18"/>
                      <w:u w:val="none"/>
                    </w:rPr>
                    <w:t>无组织</w:t>
                  </w:r>
                </w:p>
              </w:tc>
              <w:tc>
                <w:tcPr>
                  <w:tcW w:w="382" w:type="dxa"/>
                  <w:shd w:val="clear" w:color="auto" w:fill="auto"/>
                  <w:vAlign w:val="center"/>
                </w:tcPr>
                <w:p>
                  <w:pPr>
                    <w:adjustRightInd w:val="0"/>
                    <w:snapToGrid w:val="0"/>
                    <w:jc w:val="center"/>
                    <w:rPr>
                      <w:bCs/>
                      <w:color w:val="auto"/>
                      <w:spacing w:val="0"/>
                      <w:sz w:val="18"/>
                      <w:szCs w:val="18"/>
                      <w:u w:val="none"/>
                    </w:rPr>
                  </w:pPr>
                  <w:r>
                    <w:rPr>
                      <w:bCs/>
                      <w:color w:val="auto"/>
                      <w:spacing w:val="0"/>
                      <w:sz w:val="18"/>
                      <w:szCs w:val="18"/>
                      <w:u w:val="none"/>
                    </w:rPr>
                    <w:t>/</w:t>
                  </w:r>
                </w:p>
              </w:tc>
              <w:tc>
                <w:tcPr>
                  <w:tcW w:w="687" w:type="dxa"/>
                  <w:shd w:val="clear" w:color="auto" w:fill="auto"/>
                  <w:vAlign w:val="center"/>
                </w:tcPr>
                <w:p>
                  <w:pPr>
                    <w:pStyle w:val="45"/>
                    <w:rPr>
                      <w:rFonts w:hint="default"/>
                      <w:bCs/>
                      <w:color w:val="auto"/>
                      <w:spacing w:val="0"/>
                      <w:sz w:val="18"/>
                      <w:szCs w:val="18"/>
                      <w:u w:val="none"/>
                      <w:lang w:val="en-US"/>
                    </w:rPr>
                  </w:pPr>
                  <w:r>
                    <w:rPr>
                      <w:rFonts w:hint="eastAsia"/>
                      <w:snapToGrid w:val="0"/>
                      <w:color w:val="auto"/>
                      <w:spacing w:val="0"/>
                      <w:lang w:val="en-US" w:eastAsia="zh-CN"/>
                    </w:rPr>
                    <w:t>少量</w:t>
                  </w:r>
                </w:p>
              </w:tc>
              <w:tc>
                <w:tcPr>
                  <w:tcW w:w="713" w:type="dxa"/>
                  <w:shd w:val="clear" w:color="auto" w:fill="auto"/>
                  <w:vAlign w:val="center"/>
                </w:tcPr>
                <w:p>
                  <w:pPr>
                    <w:adjustRightInd w:val="0"/>
                    <w:snapToGrid w:val="0"/>
                    <w:jc w:val="center"/>
                    <w:rPr>
                      <w:bCs/>
                      <w:color w:val="auto"/>
                      <w:spacing w:val="0"/>
                      <w:sz w:val="18"/>
                      <w:szCs w:val="18"/>
                      <w:u w:val="none"/>
                    </w:rPr>
                  </w:pPr>
                  <w:r>
                    <w:rPr>
                      <w:bCs/>
                      <w:color w:val="auto"/>
                      <w:spacing w:val="0"/>
                      <w:sz w:val="18"/>
                      <w:szCs w:val="18"/>
                      <w:u w:val="none"/>
                    </w:rPr>
                    <w:t>/</w:t>
                  </w:r>
                </w:p>
              </w:tc>
              <w:tc>
                <w:tcPr>
                  <w:tcW w:w="637" w:type="dxa"/>
                  <w:shd w:val="clear" w:color="auto" w:fill="auto"/>
                  <w:vAlign w:val="center"/>
                </w:tcPr>
                <w:p>
                  <w:pPr>
                    <w:adjustRightInd w:val="0"/>
                    <w:snapToGrid w:val="0"/>
                    <w:jc w:val="center"/>
                    <w:rPr>
                      <w:bCs/>
                      <w:color w:val="auto"/>
                      <w:spacing w:val="0"/>
                      <w:sz w:val="18"/>
                      <w:szCs w:val="18"/>
                      <w:u w:val="none"/>
                    </w:rPr>
                  </w:pPr>
                  <w:r>
                    <w:rPr>
                      <w:bCs/>
                      <w:color w:val="auto"/>
                      <w:spacing w:val="0"/>
                      <w:sz w:val="18"/>
                      <w:szCs w:val="18"/>
                      <w:u w:val="none"/>
                    </w:rPr>
                    <w:t>/</w:t>
                  </w:r>
                </w:p>
              </w:tc>
              <w:tc>
                <w:tcPr>
                  <w:tcW w:w="607" w:type="dxa"/>
                  <w:shd w:val="clear" w:color="auto" w:fill="auto"/>
                  <w:vAlign w:val="center"/>
                </w:tcPr>
                <w:p>
                  <w:pPr>
                    <w:adjustRightInd w:val="0"/>
                    <w:snapToGrid w:val="0"/>
                    <w:jc w:val="center"/>
                    <w:rPr>
                      <w:bCs/>
                      <w:color w:val="auto"/>
                      <w:spacing w:val="0"/>
                      <w:sz w:val="18"/>
                      <w:szCs w:val="18"/>
                      <w:u w:val="none"/>
                    </w:rPr>
                  </w:pPr>
                  <w:r>
                    <w:rPr>
                      <w:bCs/>
                      <w:color w:val="auto"/>
                      <w:spacing w:val="0"/>
                      <w:sz w:val="18"/>
                      <w:szCs w:val="18"/>
                      <w:u w:val="none"/>
                    </w:rPr>
                    <w:t>/</w:t>
                  </w:r>
                </w:p>
              </w:tc>
              <w:tc>
                <w:tcPr>
                  <w:tcW w:w="718" w:type="dxa"/>
                  <w:shd w:val="clear" w:color="auto" w:fill="auto"/>
                  <w:vAlign w:val="center"/>
                </w:tcPr>
                <w:p>
                  <w:pPr>
                    <w:adjustRightInd w:val="0"/>
                    <w:snapToGrid w:val="0"/>
                    <w:jc w:val="center"/>
                    <w:rPr>
                      <w:bCs/>
                      <w:color w:val="auto"/>
                      <w:spacing w:val="0"/>
                      <w:sz w:val="18"/>
                      <w:szCs w:val="18"/>
                      <w:u w:val="none"/>
                    </w:rPr>
                  </w:pPr>
                  <w:r>
                    <w:rPr>
                      <w:bCs/>
                      <w:color w:val="auto"/>
                      <w:spacing w:val="0"/>
                      <w:sz w:val="18"/>
                      <w:szCs w:val="18"/>
                      <w:u w:val="none"/>
                    </w:rPr>
                    <w:t>/</w:t>
                  </w:r>
                </w:p>
              </w:tc>
              <w:tc>
                <w:tcPr>
                  <w:tcW w:w="700" w:type="dxa"/>
                  <w:shd w:val="clear" w:color="auto" w:fill="auto"/>
                  <w:vAlign w:val="center"/>
                </w:tcPr>
                <w:p>
                  <w:pPr>
                    <w:adjustRightInd w:val="0"/>
                    <w:snapToGrid w:val="0"/>
                    <w:jc w:val="center"/>
                    <w:rPr>
                      <w:bCs/>
                      <w:color w:val="auto"/>
                      <w:spacing w:val="0"/>
                      <w:sz w:val="18"/>
                      <w:szCs w:val="18"/>
                      <w:u w:val="none"/>
                    </w:rPr>
                  </w:pPr>
                  <w:r>
                    <w:rPr>
                      <w:bCs/>
                      <w:color w:val="auto"/>
                      <w:spacing w:val="0"/>
                      <w:sz w:val="18"/>
                      <w:szCs w:val="18"/>
                      <w:u w:val="none"/>
                    </w:rPr>
                    <w:t>/</w:t>
                  </w:r>
                </w:p>
              </w:tc>
              <w:tc>
                <w:tcPr>
                  <w:tcW w:w="685" w:type="dxa"/>
                  <w:shd w:val="clear" w:color="auto" w:fill="auto"/>
                  <w:vAlign w:val="center"/>
                </w:tcPr>
                <w:p>
                  <w:pPr>
                    <w:adjustRightInd w:val="0"/>
                    <w:snapToGrid w:val="0"/>
                    <w:jc w:val="center"/>
                    <w:rPr>
                      <w:rFonts w:hint="eastAsia" w:eastAsia="宋体"/>
                      <w:bCs/>
                      <w:color w:val="auto"/>
                      <w:spacing w:val="0"/>
                      <w:sz w:val="18"/>
                      <w:szCs w:val="18"/>
                      <w:u w:val="none"/>
                      <w:lang w:val="en-US" w:eastAsia="zh-CN"/>
                    </w:rPr>
                  </w:pPr>
                  <w:r>
                    <w:rPr>
                      <w:rFonts w:hint="eastAsia"/>
                      <w:bCs/>
                      <w:color w:val="auto"/>
                      <w:spacing w:val="0"/>
                      <w:sz w:val="18"/>
                      <w:szCs w:val="18"/>
                      <w:u w:val="none"/>
                      <w:lang w:eastAsia="zh-CN"/>
                    </w:rPr>
                    <w:t>少量</w:t>
                  </w:r>
                </w:p>
              </w:tc>
              <w:tc>
                <w:tcPr>
                  <w:tcW w:w="697" w:type="dxa"/>
                  <w:shd w:val="clear" w:color="auto" w:fill="auto"/>
                  <w:vAlign w:val="center"/>
                </w:tcPr>
                <w:p>
                  <w:pPr>
                    <w:adjustRightInd w:val="0"/>
                    <w:snapToGrid w:val="0"/>
                    <w:jc w:val="center"/>
                    <w:rPr>
                      <w:bCs/>
                      <w:color w:val="auto"/>
                      <w:spacing w:val="0"/>
                      <w:sz w:val="18"/>
                      <w:szCs w:val="18"/>
                      <w:u w:val="none"/>
                    </w:rPr>
                  </w:pPr>
                  <w:r>
                    <w:rPr>
                      <w:bCs/>
                      <w:color w:val="auto"/>
                      <w:spacing w:val="0"/>
                      <w:sz w:val="18"/>
                      <w:szCs w:val="18"/>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blHeader/>
                <w:jc w:val="center"/>
              </w:trPr>
              <w:tc>
                <w:tcPr>
                  <w:tcW w:w="623" w:type="dxa"/>
                  <w:shd w:val="clear" w:color="auto" w:fill="auto"/>
                  <w:vAlign w:val="center"/>
                </w:tcPr>
                <w:p>
                  <w:pPr>
                    <w:adjustRightInd w:val="0"/>
                    <w:snapToGrid w:val="0"/>
                    <w:jc w:val="center"/>
                    <w:rPr>
                      <w:rFonts w:hint="eastAsia" w:eastAsia="宋体"/>
                      <w:bCs/>
                      <w:color w:val="auto"/>
                      <w:spacing w:val="0"/>
                      <w:sz w:val="18"/>
                      <w:szCs w:val="18"/>
                      <w:u w:val="none"/>
                      <w:lang w:eastAsia="zh-CN"/>
                    </w:rPr>
                  </w:pPr>
                  <w:r>
                    <w:rPr>
                      <w:rFonts w:hint="eastAsia"/>
                      <w:bCs/>
                      <w:color w:val="auto"/>
                      <w:spacing w:val="0"/>
                      <w:sz w:val="18"/>
                      <w:szCs w:val="18"/>
                      <w:u w:val="none"/>
                      <w:lang w:eastAsia="zh-CN"/>
                    </w:rPr>
                    <w:t>汽车尾气</w:t>
                  </w:r>
                </w:p>
              </w:tc>
              <w:tc>
                <w:tcPr>
                  <w:tcW w:w="564" w:type="dxa"/>
                  <w:shd w:val="clear" w:color="auto" w:fill="auto"/>
                  <w:vAlign w:val="center"/>
                </w:tcPr>
                <w:p>
                  <w:pPr>
                    <w:adjustRightInd w:val="0"/>
                    <w:snapToGrid w:val="0"/>
                    <w:jc w:val="center"/>
                    <w:rPr>
                      <w:bCs/>
                      <w:color w:val="auto"/>
                      <w:spacing w:val="0"/>
                      <w:sz w:val="18"/>
                      <w:szCs w:val="18"/>
                      <w:u w:val="none"/>
                    </w:rPr>
                  </w:pPr>
                  <w:r>
                    <w:rPr>
                      <w:rFonts w:hint="eastAsia"/>
                      <w:bCs/>
                      <w:color w:val="auto"/>
                      <w:spacing w:val="0"/>
                      <w:sz w:val="18"/>
                      <w:szCs w:val="18"/>
                      <w:u w:val="none"/>
                    </w:rPr>
                    <w:t>NO</w:t>
                  </w:r>
                  <w:r>
                    <w:rPr>
                      <w:rFonts w:hint="eastAsia"/>
                      <w:bCs/>
                      <w:color w:val="auto"/>
                      <w:spacing w:val="0"/>
                      <w:sz w:val="18"/>
                      <w:szCs w:val="18"/>
                      <w:u w:val="none"/>
                      <w:vertAlign w:val="subscript"/>
                    </w:rPr>
                    <w:t>X</w:t>
                  </w:r>
                  <w:r>
                    <w:rPr>
                      <w:rFonts w:hint="eastAsia"/>
                      <w:bCs/>
                      <w:color w:val="auto"/>
                      <w:spacing w:val="0"/>
                      <w:sz w:val="18"/>
                      <w:szCs w:val="18"/>
                      <w:u w:val="none"/>
                    </w:rPr>
                    <w:t>、CO</w:t>
                  </w:r>
                </w:p>
              </w:tc>
              <w:tc>
                <w:tcPr>
                  <w:tcW w:w="515" w:type="dxa"/>
                  <w:shd w:val="clear" w:color="auto" w:fill="auto"/>
                  <w:vAlign w:val="center"/>
                </w:tcPr>
                <w:p>
                  <w:pPr>
                    <w:adjustRightInd w:val="0"/>
                    <w:snapToGrid w:val="0"/>
                    <w:jc w:val="center"/>
                    <w:rPr>
                      <w:bCs/>
                      <w:color w:val="auto"/>
                      <w:spacing w:val="0"/>
                      <w:sz w:val="18"/>
                      <w:szCs w:val="18"/>
                      <w:u w:val="none"/>
                    </w:rPr>
                  </w:pPr>
                  <w:r>
                    <w:rPr>
                      <w:bCs/>
                      <w:color w:val="auto"/>
                      <w:spacing w:val="0"/>
                      <w:sz w:val="18"/>
                      <w:szCs w:val="18"/>
                      <w:u w:val="none"/>
                    </w:rPr>
                    <w:t>无组织</w:t>
                  </w:r>
                </w:p>
              </w:tc>
              <w:tc>
                <w:tcPr>
                  <w:tcW w:w="382" w:type="dxa"/>
                  <w:shd w:val="clear" w:color="auto" w:fill="auto"/>
                  <w:vAlign w:val="center"/>
                </w:tcPr>
                <w:p>
                  <w:pPr>
                    <w:adjustRightInd w:val="0"/>
                    <w:snapToGrid w:val="0"/>
                    <w:jc w:val="center"/>
                    <w:rPr>
                      <w:rFonts w:ascii="Times New Roman" w:hAnsi="Times New Roman" w:eastAsia="宋体" w:cs="Times New Roman"/>
                      <w:bCs/>
                      <w:color w:val="auto"/>
                      <w:spacing w:val="0"/>
                      <w:kern w:val="2"/>
                      <w:sz w:val="18"/>
                      <w:szCs w:val="18"/>
                      <w:u w:val="none"/>
                      <w:lang w:val="en-US" w:eastAsia="zh-CN" w:bidi="ar-SA"/>
                    </w:rPr>
                  </w:pPr>
                  <w:r>
                    <w:rPr>
                      <w:bCs/>
                      <w:color w:val="auto"/>
                      <w:spacing w:val="0"/>
                      <w:sz w:val="18"/>
                      <w:szCs w:val="18"/>
                      <w:u w:val="none"/>
                    </w:rPr>
                    <w:t>/</w:t>
                  </w:r>
                </w:p>
              </w:tc>
              <w:tc>
                <w:tcPr>
                  <w:tcW w:w="687" w:type="dxa"/>
                  <w:shd w:val="clear" w:color="auto" w:fill="auto"/>
                  <w:vAlign w:val="center"/>
                </w:tcPr>
                <w:p>
                  <w:pPr>
                    <w:adjustRightInd w:val="0"/>
                    <w:snapToGrid w:val="0"/>
                    <w:jc w:val="center"/>
                    <w:rPr>
                      <w:rFonts w:hint="eastAsia" w:ascii="Times New Roman" w:hAnsi="Times New Roman" w:eastAsia="宋体" w:cs="Times New Roman"/>
                      <w:bCs/>
                      <w:color w:val="auto"/>
                      <w:spacing w:val="0"/>
                      <w:kern w:val="2"/>
                      <w:sz w:val="18"/>
                      <w:szCs w:val="18"/>
                      <w:u w:val="none"/>
                      <w:lang w:val="en-US" w:eastAsia="zh-CN" w:bidi="ar-SA"/>
                    </w:rPr>
                  </w:pPr>
                  <w:r>
                    <w:rPr>
                      <w:bCs/>
                      <w:color w:val="auto"/>
                      <w:spacing w:val="0"/>
                      <w:sz w:val="18"/>
                      <w:szCs w:val="18"/>
                      <w:u w:val="none"/>
                    </w:rPr>
                    <w:t>/</w:t>
                  </w:r>
                </w:p>
              </w:tc>
              <w:tc>
                <w:tcPr>
                  <w:tcW w:w="713" w:type="dxa"/>
                  <w:shd w:val="clear" w:color="auto" w:fill="auto"/>
                  <w:vAlign w:val="center"/>
                </w:tcPr>
                <w:p>
                  <w:pPr>
                    <w:adjustRightInd w:val="0"/>
                    <w:snapToGrid w:val="0"/>
                    <w:jc w:val="center"/>
                    <w:rPr>
                      <w:bCs/>
                      <w:color w:val="auto"/>
                      <w:spacing w:val="0"/>
                      <w:sz w:val="18"/>
                      <w:szCs w:val="18"/>
                      <w:u w:val="none"/>
                    </w:rPr>
                  </w:pPr>
                  <w:r>
                    <w:rPr>
                      <w:bCs/>
                      <w:color w:val="auto"/>
                      <w:spacing w:val="0"/>
                      <w:sz w:val="18"/>
                      <w:szCs w:val="18"/>
                      <w:u w:val="none"/>
                    </w:rPr>
                    <w:t>/</w:t>
                  </w:r>
                </w:p>
              </w:tc>
              <w:tc>
                <w:tcPr>
                  <w:tcW w:w="637" w:type="dxa"/>
                  <w:shd w:val="clear" w:color="auto" w:fill="auto"/>
                  <w:vAlign w:val="center"/>
                </w:tcPr>
                <w:p>
                  <w:pPr>
                    <w:adjustRightInd w:val="0"/>
                    <w:snapToGrid w:val="0"/>
                    <w:jc w:val="center"/>
                    <w:rPr>
                      <w:bCs/>
                      <w:color w:val="auto"/>
                      <w:spacing w:val="0"/>
                      <w:sz w:val="18"/>
                      <w:szCs w:val="18"/>
                      <w:u w:val="none"/>
                    </w:rPr>
                  </w:pPr>
                  <w:r>
                    <w:rPr>
                      <w:bCs/>
                      <w:color w:val="auto"/>
                      <w:spacing w:val="0"/>
                      <w:sz w:val="18"/>
                      <w:szCs w:val="18"/>
                      <w:u w:val="none"/>
                    </w:rPr>
                    <w:t>/</w:t>
                  </w:r>
                </w:p>
              </w:tc>
              <w:tc>
                <w:tcPr>
                  <w:tcW w:w="607" w:type="dxa"/>
                  <w:shd w:val="clear" w:color="auto" w:fill="auto"/>
                  <w:vAlign w:val="center"/>
                </w:tcPr>
                <w:p>
                  <w:pPr>
                    <w:adjustRightInd w:val="0"/>
                    <w:snapToGrid w:val="0"/>
                    <w:jc w:val="center"/>
                    <w:rPr>
                      <w:rFonts w:hint="eastAsia"/>
                      <w:bCs/>
                      <w:color w:val="auto"/>
                      <w:spacing w:val="0"/>
                      <w:sz w:val="18"/>
                      <w:szCs w:val="18"/>
                      <w:u w:val="none"/>
                      <w:lang w:val="en-US" w:eastAsia="zh-CN"/>
                    </w:rPr>
                  </w:pPr>
                  <w:r>
                    <w:rPr>
                      <w:bCs/>
                      <w:color w:val="auto"/>
                      <w:spacing w:val="0"/>
                      <w:sz w:val="18"/>
                      <w:szCs w:val="18"/>
                      <w:u w:val="none"/>
                    </w:rPr>
                    <w:t>/</w:t>
                  </w:r>
                </w:p>
              </w:tc>
              <w:tc>
                <w:tcPr>
                  <w:tcW w:w="718" w:type="dxa"/>
                  <w:shd w:val="clear" w:color="auto" w:fill="auto"/>
                  <w:vAlign w:val="center"/>
                </w:tcPr>
                <w:p>
                  <w:pPr>
                    <w:adjustRightInd w:val="0"/>
                    <w:snapToGrid w:val="0"/>
                    <w:jc w:val="center"/>
                    <w:rPr>
                      <w:bCs/>
                      <w:color w:val="auto"/>
                      <w:spacing w:val="0"/>
                      <w:sz w:val="18"/>
                      <w:szCs w:val="18"/>
                      <w:u w:val="none"/>
                    </w:rPr>
                  </w:pPr>
                  <w:r>
                    <w:rPr>
                      <w:bCs/>
                      <w:color w:val="auto"/>
                      <w:spacing w:val="0"/>
                      <w:sz w:val="18"/>
                      <w:szCs w:val="18"/>
                      <w:u w:val="none"/>
                    </w:rPr>
                    <w:t>/</w:t>
                  </w:r>
                </w:p>
              </w:tc>
              <w:tc>
                <w:tcPr>
                  <w:tcW w:w="700" w:type="dxa"/>
                  <w:shd w:val="clear" w:color="auto" w:fill="auto"/>
                  <w:vAlign w:val="center"/>
                </w:tcPr>
                <w:p>
                  <w:pPr>
                    <w:adjustRightInd w:val="0"/>
                    <w:snapToGrid w:val="0"/>
                    <w:jc w:val="center"/>
                    <w:rPr>
                      <w:bCs/>
                      <w:color w:val="auto"/>
                      <w:spacing w:val="0"/>
                      <w:sz w:val="18"/>
                      <w:szCs w:val="18"/>
                      <w:u w:val="none"/>
                    </w:rPr>
                  </w:pPr>
                  <w:r>
                    <w:rPr>
                      <w:bCs/>
                      <w:color w:val="auto"/>
                      <w:spacing w:val="0"/>
                      <w:sz w:val="18"/>
                      <w:szCs w:val="18"/>
                      <w:u w:val="none"/>
                    </w:rPr>
                    <w:t>/</w:t>
                  </w:r>
                </w:p>
              </w:tc>
              <w:tc>
                <w:tcPr>
                  <w:tcW w:w="685" w:type="dxa"/>
                  <w:shd w:val="clear" w:color="auto" w:fill="auto"/>
                  <w:vAlign w:val="center"/>
                </w:tcPr>
                <w:p>
                  <w:pPr>
                    <w:adjustRightInd w:val="0"/>
                    <w:snapToGrid w:val="0"/>
                    <w:jc w:val="center"/>
                    <w:rPr>
                      <w:rFonts w:hint="eastAsia"/>
                      <w:bCs/>
                      <w:color w:val="auto"/>
                      <w:spacing w:val="0"/>
                      <w:sz w:val="18"/>
                      <w:szCs w:val="18"/>
                      <w:u w:val="none"/>
                      <w:lang w:val="en-US" w:eastAsia="zh-CN"/>
                    </w:rPr>
                  </w:pPr>
                  <w:r>
                    <w:rPr>
                      <w:rFonts w:hint="eastAsia"/>
                      <w:bCs/>
                      <w:color w:val="auto"/>
                      <w:spacing w:val="0"/>
                      <w:sz w:val="18"/>
                      <w:szCs w:val="18"/>
                      <w:u w:val="none"/>
                      <w:lang w:val="en-US" w:eastAsia="zh-CN"/>
                    </w:rPr>
                    <w:t>少量</w:t>
                  </w:r>
                </w:p>
              </w:tc>
              <w:tc>
                <w:tcPr>
                  <w:tcW w:w="697" w:type="dxa"/>
                  <w:shd w:val="clear" w:color="auto" w:fill="auto"/>
                  <w:vAlign w:val="center"/>
                </w:tcPr>
                <w:p>
                  <w:pPr>
                    <w:adjustRightInd w:val="0"/>
                    <w:snapToGrid w:val="0"/>
                    <w:jc w:val="center"/>
                    <w:rPr>
                      <w:bCs/>
                      <w:color w:val="auto"/>
                      <w:spacing w:val="0"/>
                      <w:sz w:val="18"/>
                      <w:szCs w:val="18"/>
                      <w:u w:val="none"/>
                    </w:rPr>
                  </w:pPr>
                  <w:r>
                    <w:rPr>
                      <w:bCs/>
                      <w:color w:val="auto"/>
                      <w:spacing w:val="0"/>
                      <w:sz w:val="18"/>
                      <w:szCs w:val="18"/>
                      <w:u w:val="none"/>
                    </w:rPr>
                    <w:t>/</w:t>
                  </w:r>
                </w:p>
              </w:tc>
            </w:tr>
          </w:tbl>
          <w:p>
            <w:pPr>
              <w:pStyle w:val="5"/>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eastAsia" w:ascii="宋体" w:hAnsi="宋体" w:eastAsia="宋体" w:cs="宋体"/>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41" w:hRule="atLeast"/>
          <w:jc w:val="center"/>
        </w:trPr>
        <w:tc>
          <w:tcPr>
            <w:tcW w:w="753" w:type="dxa"/>
            <w:tcMar>
              <w:left w:w="28" w:type="dxa"/>
              <w:right w:w="28" w:type="dxa"/>
            </w:tcMar>
            <w:vAlign w:val="center"/>
          </w:tcPr>
          <w:p>
            <w:pPr>
              <w:adjustRightInd w:val="0"/>
              <w:snapToGrid w:val="0"/>
              <w:jc w:val="center"/>
              <w:rPr>
                <w:bCs/>
                <w:color w:val="auto"/>
                <w:szCs w:val="21"/>
              </w:rPr>
            </w:pPr>
            <w:r>
              <w:rPr>
                <w:bCs/>
                <w:color w:val="auto"/>
                <w:szCs w:val="21"/>
              </w:rPr>
              <w:t>运营</w:t>
            </w:r>
          </w:p>
          <w:p>
            <w:pPr>
              <w:adjustRightInd w:val="0"/>
              <w:snapToGrid w:val="0"/>
              <w:jc w:val="center"/>
              <w:rPr>
                <w:bCs/>
                <w:color w:val="auto"/>
                <w:szCs w:val="21"/>
              </w:rPr>
            </w:pPr>
            <w:r>
              <w:rPr>
                <w:bCs/>
                <w:color w:val="auto"/>
                <w:szCs w:val="21"/>
              </w:rPr>
              <w:t>期环</w:t>
            </w:r>
          </w:p>
          <w:p>
            <w:pPr>
              <w:adjustRightInd w:val="0"/>
              <w:snapToGrid w:val="0"/>
              <w:jc w:val="center"/>
              <w:rPr>
                <w:bCs/>
                <w:color w:val="auto"/>
                <w:szCs w:val="21"/>
              </w:rPr>
            </w:pPr>
            <w:r>
              <w:rPr>
                <w:bCs/>
                <w:color w:val="auto"/>
                <w:szCs w:val="21"/>
              </w:rPr>
              <w:t>境影</w:t>
            </w:r>
          </w:p>
          <w:p>
            <w:pPr>
              <w:adjustRightInd w:val="0"/>
              <w:snapToGrid w:val="0"/>
              <w:jc w:val="center"/>
              <w:rPr>
                <w:bCs/>
                <w:color w:val="auto"/>
                <w:szCs w:val="21"/>
              </w:rPr>
            </w:pPr>
            <w:r>
              <w:rPr>
                <w:bCs/>
                <w:color w:val="auto"/>
                <w:szCs w:val="21"/>
              </w:rPr>
              <w:t>响和</w:t>
            </w:r>
          </w:p>
          <w:p>
            <w:pPr>
              <w:adjustRightInd w:val="0"/>
              <w:snapToGrid w:val="0"/>
              <w:jc w:val="center"/>
              <w:rPr>
                <w:bCs/>
                <w:color w:val="auto"/>
                <w:szCs w:val="21"/>
              </w:rPr>
            </w:pPr>
            <w:r>
              <w:rPr>
                <w:bCs/>
                <w:color w:val="auto"/>
                <w:szCs w:val="21"/>
              </w:rPr>
              <w:t>保护</w:t>
            </w:r>
          </w:p>
          <w:p>
            <w:pPr>
              <w:adjustRightInd w:val="0"/>
              <w:snapToGrid w:val="0"/>
              <w:jc w:val="center"/>
              <w:rPr>
                <w:bCs/>
                <w:color w:val="auto"/>
                <w:szCs w:val="21"/>
              </w:rPr>
            </w:pPr>
            <w:r>
              <w:rPr>
                <w:bCs/>
                <w:color w:val="auto"/>
                <w:szCs w:val="21"/>
              </w:rPr>
              <w:t>措施</w:t>
            </w:r>
          </w:p>
        </w:tc>
        <w:tc>
          <w:tcPr>
            <w:tcW w:w="8155" w:type="dxa"/>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textAlignment w:val="auto"/>
              <w:rPr>
                <w:b/>
                <w:bCs w:val="0"/>
                <w:color w:val="auto"/>
                <w:spacing w:val="-10"/>
                <w:szCs w:val="21"/>
              </w:rPr>
            </w:pPr>
            <w:r>
              <w:rPr>
                <w:b/>
                <w:bCs w:val="0"/>
                <w:color w:val="auto"/>
                <w:spacing w:val="-10"/>
                <w:szCs w:val="21"/>
              </w:rPr>
              <w:t>（2）</w:t>
            </w:r>
            <w:r>
              <w:rPr>
                <w:b/>
                <w:bCs w:val="0"/>
                <w:color w:val="auto"/>
                <w:spacing w:val="0"/>
                <w:sz w:val="21"/>
                <w:szCs w:val="21"/>
              </w:rPr>
              <w:t>源强核算过程</w:t>
            </w:r>
          </w:p>
          <w:p>
            <w:pPr>
              <w:keepNext w:val="0"/>
              <w:keepLines w:val="0"/>
              <w:pageBreakBefore w:val="0"/>
              <w:widowControl/>
              <w:numPr>
                <w:ilvl w:val="0"/>
                <w:numId w:val="3"/>
              </w:numPr>
              <w:kinsoku/>
              <w:wordWrap/>
              <w:overflowPunct/>
              <w:topLinePunct w:val="0"/>
              <w:autoSpaceDE/>
              <w:autoSpaceDN/>
              <w:bidi w:val="0"/>
              <w:adjustRightInd w:val="0"/>
              <w:snapToGrid w:val="0"/>
              <w:spacing w:line="360" w:lineRule="auto"/>
              <w:ind w:left="425" w:leftChars="0" w:hanging="5" w:firstLineChars="0"/>
              <w:jc w:val="left"/>
              <w:textAlignment w:val="auto"/>
              <w:rPr>
                <w:rFonts w:hint="eastAsia" w:ascii="宋体" w:hAnsi="宋体" w:eastAsia="宋体" w:cs="宋体"/>
                <w:b w:val="0"/>
                <w:bCs w:val="0"/>
                <w:color w:val="auto"/>
                <w:kern w:val="0"/>
                <w:sz w:val="21"/>
                <w:szCs w:val="21"/>
                <w:lang w:val="en-US" w:eastAsia="zh-CN" w:bidi="ar-SA"/>
              </w:rPr>
            </w:pPr>
            <w:r>
              <w:rPr>
                <w:rFonts w:hint="eastAsia" w:ascii="宋体" w:hAnsi="宋体" w:eastAsia="宋体" w:cs="宋体"/>
                <w:b/>
                <w:bCs/>
                <w:color w:val="auto"/>
                <w:kern w:val="0"/>
                <w:sz w:val="21"/>
                <w:szCs w:val="21"/>
                <w:lang w:val="en-US" w:eastAsia="zh-CN" w:bidi="ar-SA"/>
              </w:rPr>
              <w:t>加工区破碎、筛分粉尘</w:t>
            </w:r>
          </w:p>
          <w:p>
            <w:pPr>
              <w:keepNext w:val="0"/>
              <w:keepLines w:val="0"/>
              <w:pageBreakBefore w:val="0"/>
              <w:widowControl/>
              <w:kinsoku/>
              <w:wordWrap/>
              <w:overflowPunct/>
              <w:topLinePunct w:val="0"/>
              <w:autoSpaceDE/>
              <w:autoSpaceDN/>
              <w:bidi w:val="0"/>
              <w:adjustRightInd w:val="0"/>
              <w:snapToGrid w:val="0"/>
              <w:spacing w:line="360" w:lineRule="auto"/>
              <w:ind w:left="0" w:leftChars="0" w:firstLine="191" w:firstLineChars="91"/>
              <w:textAlignment w:val="auto"/>
              <w:rPr>
                <w:rFonts w:hint="eastAsia" w:ascii="宋体" w:hAnsi="宋体" w:eastAsia="宋体" w:cs="宋体"/>
                <w:b w:val="0"/>
                <w:bCs w:val="0"/>
                <w:color w:val="auto"/>
                <w:kern w:val="0"/>
                <w:sz w:val="21"/>
                <w:szCs w:val="21"/>
                <w:lang w:val="en-US" w:eastAsia="zh-CN" w:bidi="ar-SA"/>
              </w:rPr>
            </w:pPr>
            <w:r>
              <w:rPr>
                <w:rFonts w:hint="eastAsia" w:ascii="宋体" w:hAnsi="宋体" w:eastAsia="宋体" w:cs="宋体"/>
                <w:b w:val="0"/>
                <w:bCs w:val="0"/>
                <w:color w:val="auto"/>
                <w:kern w:val="0"/>
                <w:sz w:val="21"/>
                <w:szCs w:val="21"/>
                <w:lang w:val="en-US" w:eastAsia="zh-CN" w:bidi="ar-SA"/>
              </w:rPr>
              <w:t>本项目采用颚式破碎机、圆锥破碎机进行破碎，破碎后经振动筛选出所需规格的钠长石干砂成品。参照《逸散性工业粉尘控制技术》（中国环境科学出版社，1989.12，作者J.A.奥里蒙G.A.久兹等编著张良璧等编译）中逸尘排放因子，同时结合本项目实际，本项目取《逸散性工业粉尘控制技术》中表18-1粒料加工厂逸散尘的排放因子中破碎和筛选中砂和砾石，粉尘产生量按0.05kg/t破碎料计，按照本项目原材料全部使用量为</w:t>
            </w:r>
            <w:r>
              <w:rPr>
                <w:rFonts w:hint="default" w:ascii="宋体" w:hAnsi="宋体" w:cs="宋体"/>
                <w:b w:val="0"/>
                <w:bCs w:val="0"/>
                <w:color w:val="auto"/>
                <w:kern w:val="0"/>
                <w:sz w:val="21"/>
                <w:szCs w:val="21"/>
                <w:lang w:val="en-US" w:eastAsia="zh-CN" w:bidi="ar-SA"/>
              </w:rPr>
              <w:t>2</w:t>
            </w:r>
            <w:r>
              <w:rPr>
                <w:rFonts w:hint="eastAsia" w:ascii="宋体" w:hAnsi="宋体" w:eastAsia="宋体" w:cs="宋体"/>
                <w:b w:val="0"/>
                <w:bCs w:val="0"/>
                <w:color w:val="auto"/>
                <w:kern w:val="0"/>
                <w:sz w:val="21"/>
                <w:szCs w:val="21"/>
                <w:lang w:val="en-US" w:eastAsia="zh-CN" w:bidi="ar-SA"/>
              </w:rPr>
              <w:t>0万t，则破碎和筛选生产线产尘量为1</w:t>
            </w:r>
            <w:r>
              <w:rPr>
                <w:rFonts w:hint="default" w:ascii="宋体" w:hAnsi="宋体" w:cs="宋体"/>
                <w:b w:val="0"/>
                <w:bCs w:val="0"/>
                <w:color w:val="auto"/>
                <w:kern w:val="0"/>
                <w:sz w:val="21"/>
                <w:szCs w:val="21"/>
                <w:lang w:val="en-US" w:eastAsia="zh-CN" w:bidi="ar-SA"/>
              </w:rPr>
              <w:t>0</w:t>
            </w:r>
            <w:r>
              <w:rPr>
                <w:rFonts w:hint="eastAsia" w:ascii="宋体" w:hAnsi="宋体" w:eastAsia="宋体" w:cs="宋体"/>
                <w:b w:val="0"/>
                <w:bCs w:val="0"/>
                <w:color w:val="auto"/>
                <w:kern w:val="0"/>
                <w:sz w:val="21"/>
                <w:szCs w:val="21"/>
                <w:lang w:val="en-US" w:eastAsia="zh-CN" w:bidi="ar-SA"/>
              </w:rPr>
              <w:t>t/a。</w:t>
            </w:r>
          </w:p>
          <w:p>
            <w:pPr>
              <w:keepNext w:val="0"/>
              <w:keepLines w:val="0"/>
              <w:pageBreakBefore w:val="0"/>
              <w:widowControl/>
              <w:kinsoku/>
              <w:wordWrap/>
              <w:overflowPunct/>
              <w:topLinePunct w:val="0"/>
              <w:autoSpaceDE/>
              <w:autoSpaceDN/>
              <w:bidi w:val="0"/>
              <w:adjustRightInd w:val="0"/>
              <w:snapToGrid w:val="0"/>
              <w:spacing w:line="360" w:lineRule="auto"/>
              <w:ind w:left="0" w:leftChars="0" w:firstLine="191" w:firstLineChars="91"/>
              <w:textAlignment w:val="auto"/>
              <w:rPr>
                <w:rFonts w:hint="eastAsia" w:ascii="宋体" w:hAnsi="宋体" w:eastAsia="宋体" w:cs="宋体"/>
                <w:b w:val="0"/>
                <w:bCs w:val="0"/>
                <w:color w:val="auto"/>
                <w:kern w:val="0"/>
                <w:sz w:val="21"/>
                <w:szCs w:val="21"/>
                <w:lang w:val="en-US" w:eastAsia="zh-CN" w:bidi="ar-SA"/>
              </w:rPr>
            </w:pPr>
            <w:r>
              <w:rPr>
                <w:rFonts w:hint="eastAsia" w:ascii="宋体" w:hAnsi="宋体" w:eastAsia="宋体" w:cs="宋体"/>
                <w:b w:val="0"/>
                <w:bCs w:val="0"/>
                <w:color w:val="auto"/>
                <w:kern w:val="0"/>
                <w:sz w:val="21"/>
                <w:szCs w:val="21"/>
                <w:lang w:val="en-US" w:eastAsia="zh-CN" w:bidi="ar-SA"/>
              </w:rPr>
              <w:t>根据企业提供情况，项目破碎过程为湿式破碎，且在密闭式生产车间中进行。类比调查，喷淋洒水除尘的效率一般可达85%以上，密闭式生产车间对无组织粉尘的阻隔率在70%左右，因此，车间收集粉尘为</w:t>
            </w:r>
            <w:r>
              <w:rPr>
                <w:rFonts w:hint="default" w:ascii="宋体" w:hAnsi="宋体" w:cs="宋体"/>
                <w:b w:val="0"/>
                <w:bCs w:val="0"/>
                <w:color w:val="auto"/>
                <w:kern w:val="0"/>
                <w:sz w:val="21"/>
                <w:szCs w:val="21"/>
                <w:lang w:val="en-US" w:eastAsia="zh-CN" w:bidi="ar-SA"/>
              </w:rPr>
              <w:t>9.55</w:t>
            </w:r>
            <w:r>
              <w:rPr>
                <w:rFonts w:hint="eastAsia" w:ascii="宋体" w:hAnsi="宋体" w:eastAsia="宋体" w:cs="宋体"/>
                <w:b w:val="0"/>
                <w:bCs w:val="0"/>
                <w:color w:val="auto"/>
                <w:kern w:val="0"/>
                <w:sz w:val="21"/>
                <w:szCs w:val="21"/>
                <w:lang w:val="en-US" w:eastAsia="zh-CN" w:bidi="ar-SA"/>
              </w:rPr>
              <w:t>t/a，无组织排放的粉尘量约为</w:t>
            </w:r>
            <w:r>
              <w:rPr>
                <w:rFonts w:hint="default" w:ascii="宋体" w:hAnsi="宋体" w:cs="宋体"/>
                <w:b w:val="0"/>
                <w:bCs w:val="0"/>
                <w:color w:val="auto"/>
                <w:kern w:val="0"/>
                <w:sz w:val="21"/>
                <w:szCs w:val="21"/>
                <w:lang w:val="en-US" w:eastAsia="zh-CN" w:bidi="ar-SA"/>
              </w:rPr>
              <w:t>0.45</w:t>
            </w:r>
            <w:r>
              <w:rPr>
                <w:rFonts w:hint="eastAsia" w:ascii="宋体" w:hAnsi="宋体" w:eastAsia="宋体" w:cs="宋体"/>
                <w:b w:val="0"/>
                <w:bCs w:val="0"/>
                <w:color w:val="auto"/>
                <w:kern w:val="0"/>
                <w:sz w:val="21"/>
                <w:szCs w:val="21"/>
                <w:lang w:val="en-US" w:eastAsia="zh-CN" w:bidi="ar-SA"/>
              </w:rPr>
              <w:t>t/a。</w:t>
            </w:r>
          </w:p>
          <w:p>
            <w:pPr>
              <w:keepNext w:val="0"/>
              <w:keepLines w:val="0"/>
              <w:pageBreakBefore w:val="0"/>
              <w:numPr>
                <w:ilvl w:val="0"/>
                <w:numId w:val="4"/>
              </w:numPr>
              <w:kinsoku/>
              <w:wordWrap/>
              <w:overflowPunct/>
              <w:topLinePunct w:val="0"/>
              <w:autoSpaceDE/>
              <w:autoSpaceDN/>
              <w:bidi w:val="0"/>
              <w:adjustRightInd w:val="0"/>
              <w:snapToGrid w:val="0"/>
              <w:spacing w:after="0" w:line="360" w:lineRule="auto"/>
              <w:ind w:leftChars="0" w:firstLine="422" w:firstLineChars="200"/>
              <w:jc w:val="both"/>
              <w:textAlignment w:val="auto"/>
              <w:rPr>
                <w:rFonts w:hint="eastAsia" w:ascii="宋体" w:hAnsi="宋体" w:eastAsia="宋体" w:cs="宋体"/>
                <w:b/>
                <w:bCs/>
                <w:color w:val="auto"/>
                <w:kern w:val="0"/>
                <w:sz w:val="21"/>
                <w:szCs w:val="21"/>
                <w:lang w:val="en-US" w:eastAsia="zh-CN" w:bidi="ar-SA"/>
              </w:rPr>
            </w:pPr>
            <w:r>
              <w:rPr>
                <w:rFonts w:hint="eastAsia" w:ascii="宋体" w:hAnsi="宋体" w:eastAsia="宋体" w:cs="宋体"/>
                <w:b/>
                <w:bCs/>
                <w:color w:val="auto"/>
                <w:kern w:val="0"/>
                <w:sz w:val="21"/>
                <w:szCs w:val="21"/>
                <w:lang w:val="en-US" w:eastAsia="zh-CN" w:bidi="ar-SA"/>
              </w:rPr>
              <w:t>堆场粉尘</w:t>
            </w:r>
          </w:p>
          <w:p>
            <w:pPr>
              <w:keepNext w:val="0"/>
              <w:keepLines w:val="0"/>
              <w:pageBreakBefore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b w:val="0"/>
                <w:bCs w:val="0"/>
                <w:color w:val="auto"/>
                <w:kern w:val="0"/>
                <w:sz w:val="21"/>
                <w:szCs w:val="21"/>
                <w:lang w:val="en-US" w:eastAsia="zh-CN" w:bidi="ar-SA"/>
              </w:rPr>
            </w:pPr>
            <w:r>
              <w:rPr>
                <w:rFonts w:hint="eastAsia" w:ascii="宋体" w:hAnsi="宋体" w:eastAsia="宋体" w:cs="宋体"/>
                <w:b w:val="0"/>
                <w:bCs w:val="0"/>
                <w:color w:val="auto"/>
                <w:kern w:val="0"/>
                <w:sz w:val="21"/>
                <w:szCs w:val="21"/>
                <w:lang w:val="en-US" w:eastAsia="zh-CN" w:bidi="ar-SA"/>
              </w:rPr>
              <w:t>本项目原料堆场为大块的钠长石石块，项目原料粒径较大，自重大，扬尘量极少，可忽略不计。</w:t>
            </w:r>
          </w:p>
          <w:p>
            <w:pPr>
              <w:keepNext w:val="0"/>
              <w:keepLines w:val="0"/>
              <w:pageBreakBefore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b w:val="0"/>
                <w:bCs w:val="0"/>
                <w:color w:val="auto"/>
                <w:kern w:val="0"/>
                <w:sz w:val="21"/>
                <w:szCs w:val="21"/>
                <w:lang w:val="en-US" w:eastAsia="zh-CN" w:bidi="ar-SA"/>
              </w:rPr>
            </w:pPr>
            <w:r>
              <w:rPr>
                <w:rFonts w:hint="eastAsia" w:ascii="宋体" w:hAnsi="宋体" w:eastAsia="宋体" w:cs="宋体"/>
                <w:b w:val="0"/>
                <w:bCs w:val="0"/>
                <w:color w:val="auto"/>
                <w:kern w:val="0"/>
                <w:sz w:val="21"/>
                <w:szCs w:val="21"/>
                <w:lang w:val="en-US" w:eastAsia="zh-CN" w:bidi="ar-SA"/>
              </w:rPr>
              <w:t>项目设有成品堆场，成品存储于三面封闭成品堆场，本项目主要扬尘产生于成品堆场。产品堆场起尘量采用西安冶金建筑学院的起尘推荐公式。计算公式如下：</w:t>
            </w:r>
          </w:p>
          <w:p>
            <w:pPr>
              <w:keepNext w:val="0"/>
              <w:keepLines w:val="0"/>
              <w:pageBreakBefore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b w:val="0"/>
                <w:bCs w:val="0"/>
                <w:color w:val="auto"/>
                <w:kern w:val="0"/>
                <w:sz w:val="21"/>
                <w:szCs w:val="21"/>
                <w:lang w:val="en-US" w:eastAsia="zh-CN" w:bidi="ar-SA"/>
              </w:rPr>
            </w:pPr>
            <w:r>
              <w:rPr>
                <w:rFonts w:hint="eastAsia" w:ascii="宋体" w:hAnsi="宋体" w:eastAsia="宋体" w:cs="宋体"/>
                <w:b w:val="0"/>
                <w:bCs w:val="0"/>
                <w:color w:val="auto"/>
                <w:kern w:val="0"/>
                <w:sz w:val="21"/>
                <w:szCs w:val="21"/>
                <w:lang w:val="en-US" w:eastAsia="zh-CN" w:bidi="ar-SA"/>
              </w:rPr>
              <w:sym w:font="Wingdings" w:char="F081"/>
            </w:r>
            <w:r>
              <w:rPr>
                <w:rFonts w:hint="eastAsia" w:ascii="宋体" w:hAnsi="宋体" w:eastAsia="宋体" w:cs="宋体"/>
                <w:b w:val="0"/>
                <w:bCs w:val="0"/>
                <w:color w:val="auto"/>
                <w:kern w:val="0"/>
                <w:sz w:val="21"/>
                <w:szCs w:val="21"/>
                <w:lang w:val="en-US" w:eastAsia="zh-CN" w:bidi="ar-SA"/>
              </w:rPr>
              <w:t>砂石堆存区起尘</w:t>
            </w:r>
          </w:p>
          <w:p>
            <w:pPr>
              <w:keepNext w:val="0"/>
              <w:keepLines w:val="0"/>
              <w:pageBreakBefore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b w:val="0"/>
                <w:bCs w:val="0"/>
                <w:color w:val="auto"/>
                <w:kern w:val="0"/>
                <w:sz w:val="21"/>
                <w:szCs w:val="21"/>
                <w:lang w:val="en-US" w:eastAsia="zh-CN" w:bidi="ar-SA"/>
              </w:rPr>
            </w:pPr>
            <w:r>
              <w:rPr>
                <w:rFonts w:hint="eastAsia" w:ascii="宋体" w:hAnsi="宋体" w:eastAsia="宋体" w:cs="宋体"/>
                <w:b w:val="0"/>
                <w:bCs w:val="0"/>
                <w:color w:val="auto"/>
                <w:kern w:val="0"/>
                <w:sz w:val="21"/>
                <w:szCs w:val="21"/>
                <w:lang w:val="en-US" w:eastAsia="zh-CN" w:bidi="ar-SA"/>
              </w:rPr>
              <w:t>根据Q</w:t>
            </w:r>
            <w:r>
              <w:rPr>
                <w:rFonts w:hint="eastAsia" w:ascii="宋体" w:hAnsi="宋体" w:eastAsia="宋体" w:cs="宋体"/>
                <w:b w:val="0"/>
                <w:bCs w:val="0"/>
                <w:color w:val="auto"/>
                <w:kern w:val="0"/>
                <w:sz w:val="21"/>
                <w:szCs w:val="21"/>
                <w:vertAlign w:val="subscript"/>
                <w:lang w:val="en-US" w:eastAsia="zh-CN" w:bidi="ar-SA"/>
              </w:rPr>
              <w:t>p</w:t>
            </w:r>
            <w:r>
              <w:rPr>
                <w:rFonts w:hint="eastAsia" w:ascii="宋体" w:hAnsi="宋体" w:eastAsia="宋体" w:cs="宋体"/>
                <w:b w:val="0"/>
                <w:bCs w:val="0"/>
                <w:color w:val="auto"/>
                <w:kern w:val="0"/>
                <w:sz w:val="21"/>
                <w:szCs w:val="21"/>
                <w:lang w:val="en-US" w:eastAsia="zh-CN" w:bidi="ar-SA"/>
              </w:rPr>
              <w:t>=4.23×10</w:t>
            </w:r>
            <w:r>
              <w:rPr>
                <w:rFonts w:hint="eastAsia" w:ascii="宋体" w:hAnsi="宋体" w:eastAsia="宋体" w:cs="宋体"/>
                <w:b w:val="0"/>
                <w:bCs w:val="0"/>
                <w:color w:val="auto"/>
                <w:kern w:val="0"/>
                <w:sz w:val="21"/>
                <w:szCs w:val="21"/>
                <w:vertAlign w:val="superscript"/>
                <w:lang w:val="en-US" w:eastAsia="zh-CN" w:bidi="ar-SA"/>
              </w:rPr>
              <w:t>-4</w:t>
            </w:r>
            <w:r>
              <w:rPr>
                <w:rFonts w:hint="eastAsia" w:ascii="宋体" w:hAnsi="宋体" w:eastAsia="宋体" w:cs="宋体"/>
                <w:b w:val="0"/>
                <w:bCs w:val="0"/>
                <w:color w:val="auto"/>
                <w:kern w:val="0"/>
                <w:sz w:val="21"/>
                <w:szCs w:val="21"/>
                <w:lang w:val="en-US" w:eastAsia="zh-CN" w:bidi="ar-SA"/>
              </w:rPr>
              <w:t>×U</w:t>
            </w:r>
            <w:r>
              <w:rPr>
                <w:rFonts w:hint="eastAsia" w:ascii="宋体" w:hAnsi="宋体" w:eastAsia="宋体" w:cs="宋体"/>
                <w:b w:val="0"/>
                <w:bCs w:val="0"/>
                <w:color w:val="auto"/>
                <w:kern w:val="0"/>
                <w:sz w:val="21"/>
                <w:szCs w:val="21"/>
                <w:vertAlign w:val="superscript"/>
                <w:lang w:val="en-US" w:eastAsia="zh-CN" w:bidi="ar-SA"/>
              </w:rPr>
              <w:t>4.9</w:t>
            </w:r>
            <w:r>
              <w:rPr>
                <w:rFonts w:hint="eastAsia" w:ascii="宋体" w:hAnsi="宋体" w:eastAsia="宋体" w:cs="宋体"/>
                <w:b w:val="0"/>
                <w:bCs w:val="0"/>
                <w:color w:val="auto"/>
                <w:kern w:val="0"/>
                <w:sz w:val="21"/>
                <w:szCs w:val="21"/>
                <w:lang w:val="en-US" w:eastAsia="zh-CN" w:bidi="ar-SA"/>
              </w:rPr>
              <w:t>×A</w:t>
            </w:r>
          </w:p>
          <w:p>
            <w:pPr>
              <w:keepNext w:val="0"/>
              <w:keepLines w:val="0"/>
              <w:pageBreakBefore w:val="0"/>
              <w:kinsoku/>
              <w:wordWrap/>
              <w:overflowPunct/>
              <w:topLinePunct w:val="0"/>
              <w:autoSpaceDE/>
              <w:autoSpaceDN/>
              <w:bidi w:val="0"/>
              <w:adjustRightInd w:val="0"/>
              <w:snapToGrid w:val="0"/>
              <w:spacing w:after="0" w:line="360" w:lineRule="auto"/>
              <w:ind w:left="638" w:leftChars="304" w:firstLine="0" w:firstLineChars="0"/>
              <w:jc w:val="left"/>
              <w:textAlignment w:val="auto"/>
              <w:rPr>
                <w:rFonts w:hint="eastAsia" w:ascii="宋体" w:hAnsi="宋体" w:eastAsia="宋体" w:cs="宋体"/>
                <w:b w:val="0"/>
                <w:bCs w:val="0"/>
                <w:color w:val="auto"/>
                <w:kern w:val="0"/>
                <w:sz w:val="21"/>
                <w:szCs w:val="21"/>
                <w:vertAlign w:val="subscript"/>
                <w:lang w:val="en-US" w:eastAsia="zh-CN" w:bidi="ar-SA"/>
              </w:rPr>
            </w:pPr>
            <w:r>
              <w:rPr>
                <w:rFonts w:hint="eastAsia" w:ascii="宋体" w:hAnsi="宋体" w:eastAsia="宋体" w:cs="宋体"/>
                <w:b w:val="0"/>
                <w:bCs w:val="0"/>
                <w:color w:val="auto"/>
                <w:kern w:val="0"/>
                <w:sz w:val="21"/>
                <w:szCs w:val="21"/>
                <w:lang w:val="en-US" w:eastAsia="zh-CN" w:bidi="ar-SA"/>
              </w:rPr>
              <w:t>Q</w:t>
            </w:r>
            <w:r>
              <w:rPr>
                <w:rFonts w:hint="eastAsia" w:ascii="宋体" w:hAnsi="宋体" w:eastAsia="宋体" w:cs="宋体"/>
                <w:b w:val="0"/>
                <w:bCs w:val="0"/>
                <w:color w:val="auto"/>
                <w:kern w:val="0"/>
                <w:sz w:val="21"/>
                <w:szCs w:val="21"/>
                <w:vertAlign w:val="subscript"/>
                <w:lang w:val="en-US" w:eastAsia="zh-CN" w:bidi="ar-SA"/>
              </w:rPr>
              <w:t>p</w:t>
            </w:r>
            <w:r>
              <w:rPr>
                <w:rFonts w:hint="eastAsia" w:ascii="宋体" w:hAnsi="宋体" w:eastAsia="宋体" w:cs="宋体"/>
                <w:b w:val="0"/>
                <w:bCs w:val="0"/>
                <w:color w:val="auto"/>
                <w:kern w:val="0"/>
                <w:sz w:val="21"/>
                <w:szCs w:val="21"/>
                <w:lang w:val="en-US" w:eastAsia="zh-CN" w:bidi="ar-SA"/>
              </w:rPr>
              <w:t>：起尘量(mg/s)</w:t>
            </w:r>
          </w:p>
          <w:p>
            <w:pPr>
              <w:keepNext w:val="0"/>
              <w:keepLines w:val="0"/>
              <w:pageBreakBefore w:val="0"/>
              <w:kinsoku/>
              <w:wordWrap/>
              <w:overflowPunct/>
              <w:topLinePunct w:val="0"/>
              <w:autoSpaceDE/>
              <w:autoSpaceDN/>
              <w:bidi w:val="0"/>
              <w:adjustRightInd w:val="0"/>
              <w:snapToGrid w:val="0"/>
              <w:spacing w:after="0" w:line="360" w:lineRule="auto"/>
              <w:ind w:left="638" w:leftChars="304" w:firstLine="0" w:firstLineChars="0"/>
              <w:jc w:val="left"/>
              <w:textAlignment w:val="auto"/>
              <w:rPr>
                <w:rFonts w:hint="eastAsia" w:ascii="宋体" w:hAnsi="宋体" w:eastAsia="宋体" w:cs="宋体"/>
                <w:b w:val="0"/>
                <w:bCs w:val="0"/>
                <w:color w:val="auto"/>
                <w:kern w:val="0"/>
                <w:sz w:val="21"/>
                <w:szCs w:val="21"/>
                <w:lang w:val="en-US" w:eastAsia="zh-CN" w:bidi="ar-SA"/>
              </w:rPr>
            </w:pPr>
            <w:r>
              <w:rPr>
                <w:rFonts w:hint="eastAsia" w:ascii="宋体" w:hAnsi="宋体" w:eastAsia="宋体" w:cs="宋体"/>
                <w:b w:val="0"/>
                <w:bCs w:val="0"/>
                <w:color w:val="auto"/>
                <w:kern w:val="0"/>
                <w:sz w:val="21"/>
                <w:szCs w:val="21"/>
                <w:lang w:val="en-US" w:eastAsia="zh-CN" w:bidi="ar-SA"/>
              </w:rPr>
              <w:t>U：堆场平均风速（m/s）</w:t>
            </w:r>
          </w:p>
          <w:p>
            <w:pPr>
              <w:keepNext w:val="0"/>
              <w:keepLines w:val="0"/>
              <w:pageBreakBefore w:val="0"/>
              <w:kinsoku/>
              <w:wordWrap/>
              <w:overflowPunct/>
              <w:topLinePunct w:val="0"/>
              <w:autoSpaceDE/>
              <w:autoSpaceDN/>
              <w:bidi w:val="0"/>
              <w:adjustRightInd w:val="0"/>
              <w:snapToGrid w:val="0"/>
              <w:spacing w:after="0" w:line="360" w:lineRule="auto"/>
              <w:ind w:left="638" w:leftChars="304" w:firstLine="0" w:firstLineChars="0"/>
              <w:jc w:val="left"/>
              <w:textAlignment w:val="auto"/>
              <w:rPr>
                <w:rFonts w:hint="eastAsia" w:ascii="宋体" w:hAnsi="宋体" w:eastAsia="宋体" w:cs="宋体"/>
                <w:b w:val="0"/>
                <w:bCs w:val="0"/>
                <w:color w:val="auto"/>
                <w:kern w:val="0"/>
                <w:sz w:val="21"/>
                <w:szCs w:val="21"/>
                <w:lang w:val="en-US" w:eastAsia="zh-CN" w:bidi="ar-SA"/>
              </w:rPr>
            </w:pPr>
            <w:r>
              <w:rPr>
                <w:rFonts w:hint="eastAsia" w:ascii="宋体" w:hAnsi="宋体" w:eastAsia="宋体" w:cs="宋体"/>
                <w:b w:val="0"/>
                <w:bCs w:val="0"/>
                <w:color w:val="auto"/>
                <w:kern w:val="0"/>
                <w:sz w:val="21"/>
                <w:szCs w:val="21"/>
                <w:lang w:val="en-US" w:eastAsia="zh-CN" w:bidi="ar-SA"/>
              </w:rPr>
              <w:t>A：堆场面积（m</w:t>
            </w:r>
            <w:r>
              <w:rPr>
                <w:rFonts w:hint="eastAsia" w:ascii="宋体" w:hAnsi="宋体" w:eastAsia="宋体" w:cs="宋体"/>
                <w:b w:val="0"/>
                <w:bCs w:val="0"/>
                <w:color w:val="auto"/>
                <w:kern w:val="0"/>
                <w:sz w:val="21"/>
                <w:szCs w:val="21"/>
                <w:vertAlign w:val="superscript"/>
                <w:lang w:val="en-US" w:eastAsia="zh-CN" w:bidi="ar-SA"/>
              </w:rPr>
              <w:t>2</w:t>
            </w:r>
            <w:r>
              <w:rPr>
                <w:rFonts w:hint="eastAsia" w:ascii="宋体" w:hAnsi="宋体" w:eastAsia="宋体" w:cs="宋体"/>
                <w:b w:val="0"/>
                <w:bCs w:val="0"/>
                <w:color w:val="auto"/>
                <w:kern w:val="0"/>
                <w:sz w:val="21"/>
                <w:szCs w:val="21"/>
                <w:lang w:val="en-US" w:eastAsia="zh-CN" w:bidi="ar-SA"/>
              </w:rPr>
              <w:t>）</w:t>
            </w:r>
          </w:p>
          <w:p>
            <w:pPr>
              <w:keepNext w:val="0"/>
              <w:keepLines w:val="0"/>
              <w:pageBreakBefore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b w:val="0"/>
                <w:bCs w:val="0"/>
                <w:color w:val="auto"/>
                <w:kern w:val="0"/>
                <w:sz w:val="21"/>
                <w:szCs w:val="21"/>
                <w:lang w:val="en-US" w:eastAsia="zh-CN" w:bidi="ar-SA"/>
              </w:rPr>
            </w:pPr>
            <w:r>
              <w:rPr>
                <w:rFonts w:hint="eastAsia" w:ascii="宋体" w:hAnsi="宋体" w:eastAsia="宋体" w:cs="宋体"/>
                <w:b w:val="0"/>
                <w:bCs w:val="0"/>
                <w:color w:val="auto"/>
                <w:kern w:val="0"/>
                <w:sz w:val="21"/>
                <w:szCs w:val="21"/>
                <w:lang w:val="en-US" w:eastAsia="zh-CN" w:bidi="ar-SA"/>
              </w:rPr>
              <w:t>本项目堆场面积共</w:t>
            </w:r>
            <w:r>
              <w:rPr>
                <w:rFonts w:hint="default" w:ascii="宋体" w:hAnsi="宋体" w:cs="宋体"/>
                <w:b w:val="0"/>
                <w:bCs w:val="0"/>
                <w:color w:val="auto"/>
                <w:kern w:val="0"/>
                <w:sz w:val="21"/>
                <w:szCs w:val="21"/>
                <w:lang w:val="en-US" w:eastAsia="zh-CN" w:bidi="ar-SA"/>
              </w:rPr>
              <w:t>1</w:t>
            </w:r>
            <w:r>
              <w:rPr>
                <w:rFonts w:hint="eastAsia" w:ascii="宋体" w:hAnsi="宋体" w:eastAsia="宋体" w:cs="宋体"/>
                <w:b w:val="0"/>
                <w:bCs w:val="0"/>
                <w:color w:val="auto"/>
                <w:kern w:val="0"/>
                <w:sz w:val="21"/>
                <w:szCs w:val="21"/>
                <w:lang w:val="en-US" w:eastAsia="zh-CN" w:bidi="ar-SA"/>
              </w:rPr>
              <w:t>000m</w:t>
            </w:r>
            <w:r>
              <w:rPr>
                <w:rFonts w:hint="eastAsia" w:ascii="宋体" w:hAnsi="宋体" w:eastAsia="宋体" w:cs="宋体"/>
                <w:b w:val="0"/>
                <w:bCs w:val="0"/>
                <w:color w:val="auto"/>
                <w:kern w:val="0"/>
                <w:sz w:val="21"/>
                <w:szCs w:val="21"/>
                <w:vertAlign w:val="superscript"/>
                <w:lang w:val="en-US" w:eastAsia="zh-CN" w:bidi="ar-SA"/>
              </w:rPr>
              <w:t>2</w:t>
            </w:r>
            <w:r>
              <w:rPr>
                <w:rFonts w:hint="eastAsia" w:ascii="宋体" w:hAnsi="宋体" w:eastAsia="宋体" w:cs="宋体"/>
                <w:b w:val="0"/>
                <w:bCs w:val="0"/>
                <w:color w:val="auto"/>
                <w:kern w:val="0"/>
                <w:sz w:val="21"/>
                <w:szCs w:val="21"/>
                <w:lang w:val="en-US" w:eastAsia="zh-CN" w:bidi="ar-SA"/>
              </w:rPr>
              <w:t>，</w:t>
            </w:r>
            <w:r>
              <w:rPr>
                <w:rFonts w:hint="eastAsia" w:ascii="宋体" w:hAnsi="宋体" w:cs="宋体"/>
                <w:b w:val="0"/>
                <w:bCs w:val="0"/>
                <w:color w:val="auto"/>
                <w:kern w:val="0"/>
                <w:sz w:val="21"/>
                <w:szCs w:val="21"/>
                <w:lang w:val="en-US" w:eastAsia="zh-CN" w:bidi="ar-SA"/>
              </w:rPr>
              <w:t>堆场为半封闭状态，风速根据类比工程可按一级风速（0.3-1.5</w:t>
            </w:r>
            <w:r>
              <w:rPr>
                <w:rFonts w:hint="eastAsia" w:ascii="宋体" w:hAnsi="宋体" w:eastAsia="宋体" w:cs="宋体"/>
                <w:b w:val="0"/>
                <w:bCs w:val="0"/>
                <w:color w:val="auto"/>
                <w:kern w:val="0"/>
                <w:sz w:val="21"/>
                <w:szCs w:val="21"/>
                <w:lang w:val="en-US" w:eastAsia="zh-CN" w:bidi="ar-SA"/>
              </w:rPr>
              <w:t>m/s</w:t>
            </w:r>
            <w:r>
              <w:rPr>
                <w:rFonts w:hint="eastAsia" w:ascii="宋体" w:hAnsi="宋体" w:cs="宋体"/>
                <w:b w:val="0"/>
                <w:bCs w:val="0"/>
                <w:color w:val="auto"/>
                <w:kern w:val="0"/>
                <w:sz w:val="21"/>
                <w:szCs w:val="21"/>
                <w:lang w:val="en-US" w:eastAsia="zh-CN" w:bidi="ar-SA"/>
              </w:rPr>
              <w:t>）中保守值1.5</w:t>
            </w:r>
            <w:r>
              <w:rPr>
                <w:rFonts w:hint="eastAsia" w:ascii="宋体" w:hAnsi="宋体" w:eastAsia="宋体" w:cs="宋体"/>
                <w:b w:val="0"/>
                <w:bCs w:val="0"/>
                <w:color w:val="auto"/>
                <w:kern w:val="0"/>
                <w:sz w:val="21"/>
                <w:szCs w:val="21"/>
                <w:lang w:val="en-US" w:eastAsia="zh-CN" w:bidi="ar-SA"/>
              </w:rPr>
              <w:t>m/s</w:t>
            </w:r>
            <w:r>
              <w:rPr>
                <w:rFonts w:hint="eastAsia" w:ascii="宋体" w:hAnsi="宋体" w:cs="宋体"/>
                <w:b w:val="0"/>
                <w:bCs w:val="0"/>
                <w:color w:val="auto"/>
                <w:kern w:val="0"/>
                <w:sz w:val="21"/>
                <w:szCs w:val="21"/>
                <w:lang w:val="en-US" w:eastAsia="zh-CN" w:bidi="ar-SA"/>
              </w:rPr>
              <w:t>计算，</w:t>
            </w:r>
            <w:r>
              <w:rPr>
                <w:rFonts w:hint="eastAsia" w:ascii="宋体" w:hAnsi="宋体" w:eastAsia="宋体" w:cs="宋体"/>
                <w:b w:val="0"/>
                <w:bCs w:val="0"/>
                <w:color w:val="auto"/>
                <w:kern w:val="0"/>
                <w:sz w:val="21"/>
                <w:szCs w:val="21"/>
                <w:lang w:val="en-US" w:eastAsia="zh-CN" w:bidi="ar-SA"/>
              </w:rPr>
              <w:t>由此可得，平均风速下的堆场扬尘量Q</w:t>
            </w:r>
            <w:r>
              <w:rPr>
                <w:rFonts w:hint="eastAsia" w:ascii="宋体" w:hAnsi="宋体" w:eastAsia="宋体" w:cs="宋体"/>
                <w:b w:val="0"/>
                <w:bCs w:val="0"/>
                <w:color w:val="auto"/>
                <w:kern w:val="0"/>
                <w:sz w:val="21"/>
                <w:szCs w:val="21"/>
                <w:vertAlign w:val="subscript"/>
                <w:lang w:val="en-US" w:eastAsia="zh-CN" w:bidi="ar-SA"/>
              </w:rPr>
              <w:t>p</w:t>
            </w:r>
            <w:r>
              <w:rPr>
                <w:rFonts w:hint="eastAsia" w:ascii="宋体" w:hAnsi="宋体" w:eastAsia="宋体" w:cs="宋体"/>
                <w:b w:val="0"/>
                <w:bCs w:val="0"/>
                <w:color w:val="auto"/>
                <w:kern w:val="0"/>
                <w:sz w:val="21"/>
                <w:szCs w:val="21"/>
                <w:lang w:val="en-US" w:eastAsia="zh-CN" w:bidi="ar-SA"/>
              </w:rPr>
              <w:t>为</w:t>
            </w:r>
            <w:r>
              <w:rPr>
                <w:rFonts w:hint="eastAsia" w:ascii="宋体" w:hAnsi="宋体" w:cs="宋体"/>
                <w:b w:val="0"/>
                <w:bCs w:val="0"/>
                <w:color w:val="auto"/>
                <w:kern w:val="0"/>
                <w:sz w:val="21"/>
                <w:szCs w:val="21"/>
                <w:lang w:val="en-US" w:eastAsia="zh-CN" w:bidi="ar-SA"/>
              </w:rPr>
              <w:t>3</w:t>
            </w:r>
            <w:r>
              <w:rPr>
                <w:rFonts w:hint="default" w:ascii="宋体" w:hAnsi="宋体" w:cs="宋体"/>
                <w:b w:val="0"/>
                <w:bCs w:val="0"/>
                <w:color w:val="auto"/>
                <w:kern w:val="0"/>
                <w:sz w:val="21"/>
                <w:szCs w:val="21"/>
                <w:lang w:val="en-US" w:eastAsia="zh-CN" w:bidi="ar-SA"/>
              </w:rPr>
              <w:t>.</w:t>
            </w:r>
            <w:r>
              <w:rPr>
                <w:rFonts w:hint="eastAsia" w:ascii="宋体" w:hAnsi="宋体" w:cs="宋体"/>
                <w:b w:val="0"/>
                <w:bCs w:val="0"/>
                <w:color w:val="auto"/>
                <w:kern w:val="0"/>
                <w:sz w:val="21"/>
                <w:szCs w:val="21"/>
                <w:lang w:val="en-US" w:eastAsia="zh-CN" w:bidi="ar-SA"/>
              </w:rPr>
              <w:t>08</w:t>
            </w:r>
            <w:r>
              <w:rPr>
                <w:rFonts w:hint="eastAsia" w:ascii="宋体" w:hAnsi="宋体" w:eastAsia="宋体" w:cs="宋体"/>
                <w:b w:val="0"/>
                <w:bCs w:val="0"/>
                <w:color w:val="auto"/>
                <w:kern w:val="0"/>
                <w:sz w:val="21"/>
                <w:szCs w:val="21"/>
                <w:lang w:val="en-US" w:eastAsia="zh-CN" w:bidi="ar-SA"/>
              </w:rPr>
              <w:t>mg/s，0.</w:t>
            </w:r>
            <w:r>
              <w:rPr>
                <w:rFonts w:hint="eastAsia" w:ascii="宋体" w:hAnsi="宋体" w:cs="宋体"/>
                <w:b w:val="0"/>
                <w:bCs w:val="0"/>
                <w:color w:val="auto"/>
                <w:kern w:val="0"/>
                <w:sz w:val="21"/>
                <w:szCs w:val="21"/>
                <w:lang w:val="en-US" w:eastAsia="zh-CN" w:bidi="ar-SA"/>
              </w:rPr>
              <w:t>04</w:t>
            </w:r>
            <w:r>
              <w:rPr>
                <w:rFonts w:hint="eastAsia" w:ascii="宋体" w:hAnsi="宋体" w:eastAsia="宋体" w:cs="宋体"/>
                <w:b w:val="0"/>
                <w:bCs w:val="0"/>
                <w:color w:val="auto"/>
                <w:kern w:val="0"/>
                <w:sz w:val="21"/>
                <w:szCs w:val="21"/>
                <w:lang w:val="en-US" w:eastAsia="zh-CN" w:bidi="ar-SA"/>
              </w:rPr>
              <w:t>t/a。拟建在成品堆场设置三面围挡并设置顶棚，并加强喷淋，提高产品表面含水率，措施采取后，抑尘量可达</w:t>
            </w:r>
            <w:r>
              <w:rPr>
                <w:rFonts w:hint="eastAsia" w:ascii="宋体" w:hAnsi="宋体" w:cs="宋体"/>
                <w:b w:val="0"/>
                <w:bCs w:val="0"/>
                <w:color w:val="auto"/>
                <w:kern w:val="0"/>
                <w:sz w:val="21"/>
                <w:szCs w:val="21"/>
                <w:lang w:val="en-US" w:eastAsia="zh-CN" w:bidi="ar-SA"/>
              </w:rPr>
              <w:t>70</w:t>
            </w:r>
            <w:r>
              <w:rPr>
                <w:rFonts w:hint="eastAsia" w:ascii="宋体" w:hAnsi="宋体" w:eastAsia="宋体" w:cs="宋体"/>
                <w:b w:val="0"/>
                <w:bCs w:val="0"/>
                <w:color w:val="auto"/>
                <w:kern w:val="0"/>
                <w:sz w:val="21"/>
                <w:szCs w:val="21"/>
                <w:lang w:val="en-US" w:eastAsia="zh-CN" w:bidi="ar-SA"/>
              </w:rPr>
              <w:t>%，成品堆场粉尘排放量降至0.</w:t>
            </w:r>
            <w:r>
              <w:rPr>
                <w:rFonts w:hint="default" w:ascii="宋体" w:hAnsi="宋体" w:cs="宋体"/>
                <w:b w:val="0"/>
                <w:bCs w:val="0"/>
                <w:color w:val="auto"/>
                <w:kern w:val="0"/>
                <w:sz w:val="21"/>
                <w:szCs w:val="21"/>
                <w:lang w:val="en-US" w:eastAsia="zh-CN" w:bidi="ar-SA"/>
              </w:rPr>
              <w:t>0</w:t>
            </w:r>
            <w:r>
              <w:rPr>
                <w:rFonts w:hint="eastAsia" w:ascii="宋体" w:hAnsi="宋体" w:cs="宋体"/>
                <w:b w:val="0"/>
                <w:bCs w:val="0"/>
                <w:color w:val="auto"/>
                <w:kern w:val="0"/>
                <w:sz w:val="21"/>
                <w:szCs w:val="21"/>
                <w:lang w:val="en-US" w:eastAsia="zh-CN" w:bidi="ar-SA"/>
              </w:rPr>
              <w:t>12</w:t>
            </w:r>
            <w:r>
              <w:rPr>
                <w:rFonts w:hint="eastAsia" w:ascii="宋体" w:hAnsi="宋体" w:eastAsia="宋体" w:cs="宋体"/>
                <w:b w:val="0"/>
                <w:bCs w:val="0"/>
                <w:color w:val="auto"/>
                <w:kern w:val="0"/>
                <w:sz w:val="21"/>
                <w:szCs w:val="21"/>
                <w:lang w:val="en-US" w:eastAsia="zh-CN" w:bidi="ar-SA"/>
              </w:rPr>
              <w:t>t/a。</w:t>
            </w:r>
          </w:p>
          <w:p>
            <w:pPr>
              <w:keepNext w:val="0"/>
              <w:keepLines w:val="0"/>
              <w:pageBreakBefore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b w:val="0"/>
                <w:bCs w:val="0"/>
                <w:color w:val="auto"/>
                <w:kern w:val="0"/>
                <w:sz w:val="21"/>
                <w:szCs w:val="21"/>
                <w:lang w:val="en-US" w:eastAsia="zh-CN" w:bidi="ar-SA"/>
              </w:rPr>
            </w:pPr>
            <w:r>
              <w:rPr>
                <w:rFonts w:hint="eastAsia" w:ascii="宋体" w:hAnsi="宋体" w:eastAsia="宋体" w:cs="宋体"/>
                <w:b w:val="0"/>
                <w:bCs w:val="0"/>
                <w:color w:val="auto"/>
                <w:kern w:val="0"/>
                <w:sz w:val="21"/>
                <w:szCs w:val="21"/>
                <w:lang w:val="en-US" w:eastAsia="zh-CN" w:bidi="ar"/>
              </w:rPr>
              <w:sym w:font="Wingdings" w:char="F082"/>
            </w:r>
            <w:r>
              <w:rPr>
                <w:rFonts w:hint="eastAsia" w:ascii="宋体" w:hAnsi="宋体" w:eastAsia="宋体" w:cs="宋体"/>
                <w:b w:val="0"/>
                <w:bCs w:val="0"/>
                <w:color w:val="auto"/>
                <w:kern w:val="0"/>
                <w:sz w:val="21"/>
                <w:szCs w:val="21"/>
                <w:lang w:val="en-US" w:eastAsia="zh-CN" w:bidi="ar-SA"/>
              </w:rPr>
              <w:t>落料点起尘</w:t>
            </w:r>
          </w:p>
          <w:p>
            <w:pPr>
              <w:keepNext w:val="0"/>
              <w:keepLines w:val="0"/>
              <w:pageBreakBefore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b w:val="0"/>
                <w:bCs w:val="0"/>
                <w:color w:val="auto"/>
                <w:kern w:val="0"/>
                <w:sz w:val="21"/>
                <w:szCs w:val="21"/>
                <w:lang w:val="en-US" w:eastAsia="zh-CN" w:bidi="ar-SA"/>
              </w:rPr>
            </w:pPr>
            <w:r>
              <w:rPr>
                <w:rFonts w:hint="eastAsia" w:ascii="宋体" w:hAnsi="宋体" w:eastAsia="宋体" w:cs="宋体"/>
                <w:b w:val="0"/>
                <w:bCs w:val="0"/>
                <w:color w:val="auto"/>
                <w:kern w:val="0"/>
                <w:sz w:val="21"/>
                <w:szCs w:val="21"/>
                <w:lang w:val="en-US" w:eastAsia="zh-CN" w:bidi="ar-SA"/>
              </w:rPr>
              <w:t>钠长石</w:t>
            </w:r>
            <w:r>
              <w:rPr>
                <w:rFonts w:hint="eastAsia" w:ascii="宋体" w:hAnsi="宋体" w:cs="宋体"/>
                <w:b w:val="0"/>
                <w:bCs w:val="0"/>
                <w:color w:val="auto"/>
                <w:kern w:val="0"/>
                <w:sz w:val="21"/>
                <w:szCs w:val="21"/>
                <w:lang w:val="en-US" w:eastAsia="zh-CN" w:bidi="ar-SA"/>
              </w:rPr>
              <w:t>及废石</w:t>
            </w:r>
            <w:r>
              <w:rPr>
                <w:rFonts w:hint="eastAsia" w:ascii="宋体" w:hAnsi="宋体" w:eastAsia="宋体" w:cs="宋体"/>
                <w:b w:val="0"/>
                <w:bCs w:val="0"/>
                <w:color w:val="auto"/>
                <w:kern w:val="0"/>
                <w:sz w:val="21"/>
                <w:szCs w:val="21"/>
                <w:lang w:val="en-US" w:eastAsia="zh-CN" w:bidi="ar-SA"/>
              </w:rPr>
              <w:t>经破碎、筛分后通过输送带输送至成品堆场上空，令其自由下落，成品自皮带机顶端下落时会产生粉尘，经类比同类型项目，本项目的生产规模约为20万t/a，本项目通过降低落料口高度，及在落料口安装多个雾化喷头，成品在落料点的产尘量约为成品的0.009‰，落料点粉尘的排放量约为1.8t/a。拟对皮带运输机采取全封闭措施，除尘效率可达85%以上，即外排粉尘量约0.27t/a。</w:t>
            </w:r>
          </w:p>
          <w:p>
            <w:pPr>
              <w:keepNext w:val="0"/>
              <w:keepLines w:val="0"/>
              <w:pageBreakBefore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b w:val="0"/>
                <w:bCs w:val="0"/>
                <w:color w:val="auto"/>
                <w:kern w:val="0"/>
                <w:sz w:val="21"/>
                <w:szCs w:val="21"/>
                <w:lang w:val="en-US" w:eastAsia="zh-CN" w:bidi="ar"/>
              </w:rPr>
            </w:pPr>
            <w:r>
              <w:rPr>
                <w:color w:val="auto"/>
              </w:rPr>
              <w:sym w:font="Wingdings" w:char="F083"/>
            </w:r>
            <w:r>
              <w:rPr>
                <w:rFonts w:hint="eastAsia" w:ascii="宋体" w:hAnsi="宋体" w:eastAsia="宋体" w:cs="宋体"/>
                <w:b w:val="0"/>
                <w:bCs w:val="0"/>
                <w:color w:val="auto"/>
                <w:kern w:val="0"/>
                <w:sz w:val="21"/>
                <w:szCs w:val="21"/>
                <w:lang w:val="en-US" w:eastAsia="zh-CN" w:bidi="ar-SA"/>
              </w:rPr>
              <w:t>装卸过程起尘</w:t>
            </w:r>
          </w:p>
          <w:p>
            <w:pPr>
              <w:keepNext w:val="0"/>
              <w:keepLines w:val="0"/>
              <w:pageBreakBefore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b w:val="0"/>
                <w:bCs w:val="0"/>
                <w:color w:val="auto"/>
                <w:kern w:val="0"/>
                <w:sz w:val="21"/>
                <w:szCs w:val="21"/>
                <w:lang w:val="en-US" w:eastAsia="zh-CN" w:bidi="ar"/>
              </w:rPr>
              <w:t>本项目生产原料为</w:t>
            </w:r>
            <w:r>
              <w:rPr>
                <w:rFonts w:hint="eastAsia" w:ascii="宋体" w:hAnsi="宋体" w:eastAsia="宋体" w:cs="宋体"/>
                <w:b w:val="0"/>
                <w:bCs w:val="0"/>
                <w:color w:val="auto"/>
                <w:kern w:val="0"/>
                <w:sz w:val="21"/>
                <w:szCs w:val="21"/>
                <w:lang w:val="en-US" w:eastAsia="zh-CN" w:bidi="ar-SA"/>
              </w:rPr>
              <w:t>大块的钠长石石块，且原料石块含水率较高，因此本项目原料卸载过程基本不产生扬尘</w:t>
            </w:r>
            <w:r>
              <w:rPr>
                <w:rFonts w:hint="eastAsia" w:ascii="宋体" w:hAnsi="宋体" w:eastAsia="宋体" w:cs="宋体"/>
                <w:b w:val="0"/>
                <w:bCs w:val="0"/>
                <w:color w:val="auto"/>
                <w:kern w:val="0"/>
                <w:sz w:val="21"/>
                <w:szCs w:val="21"/>
                <w:lang w:val="en-US" w:eastAsia="zh-CN" w:bidi="ar"/>
              </w:rPr>
              <w:t>，本项目需考虑成品砂运输过程的粉尘排放量。本项目采用交通部水运研究所和武汉水运工程学院提出的装卸起尘量的经验公式估算，经验公式为：Q=1/t（0.03u</w:t>
            </w:r>
            <w:r>
              <w:rPr>
                <w:rFonts w:hint="eastAsia" w:ascii="宋体" w:hAnsi="宋体" w:eastAsia="宋体" w:cs="宋体"/>
                <w:b w:val="0"/>
                <w:bCs w:val="0"/>
                <w:color w:val="auto"/>
                <w:kern w:val="0"/>
                <w:sz w:val="21"/>
                <w:szCs w:val="21"/>
                <w:vertAlign w:val="superscript"/>
                <w:lang w:val="en-US" w:eastAsia="zh-CN" w:bidi="ar"/>
              </w:rPr>
              <w:t>1.6</w:t>
            </w:r>
            <w:r>
              <w:rPr>
                <w:rFonts w:hint="eastAsia" w:ascii="宋体" w:hAnsi="宋体" w:eastAsia="宋体" w:cs="宋体"/>
                <w:b w:val="0"/>
                <w:bCs w:val="0"/>
                <w:color w:val="auto"/>
                <w:kern w:val="0"/>
                <w:sz w:val="21"/>
                <w:szCs w:val="21"/>
                <w:lang w:val="en-US" w:eastAsia="zh-CN" w:bidi="ar"/>
              </w:rPr>
              <w:t>H</w:t>
            </w:r>
            <w:r>
              <w:rPr>
                <w:rFonts w:hint="eastAsia" w:ascii="宋体" w:hAnsi="宋体" w:eastAsia="宋体" w:cs="宋体"/>
                <w:b w:val="0"/>
                <w:bCs w:val="0"/>
                <w:color w:val="auto"/>
                <w:kern w:val="0"/>
                <w:sz w:val="21"/>
                <w:szCs w:val="21"/>
                <w:vertAlign w:val="superscript"/>
                <w:lang w:val="en-US" w:eastAsia="zh-CN" w:bidi="ar"/>
              </w:rPr>
              <w:t>1.23</w:t>
            </w:r>
            <w:r>
              <w:rPr>
                <w:rFonts w:hint="eastAsia" w:ascii="宋体" w:hAnsi="宋体" w:eastAsia="宋体" w:cs="宋体"/>
                <w:b w:val="0"/>
                <w:bCs w:val="0"/>
                <w:color w:val="auto"/>
                <w:kern w:val="0"/>
                <w:sz w:val="21"/>
                <w:szCs w:val="21"/>
                <w:lang w:val="en-US" w:eastAsia="zh-CN" w:bidi="ar"/>
              </w:rPr>
              <w:t>e</w:t>
            </w:r>
            <w:r>
              <w:rPr>
                <w:rFonts w:hint="eastAsia" w:ascii="宋体" w:hAnsi="宋体" w:eastAsia="宋体" w:cs="宋体"/>
                <w:b w:val="0"/>
                <w:bCs w:val="0"/>
                <w:color w:val="auto"/>
                <w:kern w:val="0"/>
                <w:sz w:val="21"/>
                <w:szCs w:val="21"/>
                <w:vertAlign w:val="superscript"/>
                <w:lang w:val="en-US" w:eastAsia="zh-CN" w:bidi="ar"/>
              </w:rPr>
              <w:t>-0.28w</w:t>
            </w:r>
            <w:r>
              <w:rPr>
                <w:rFonts w:hint="eastAsia" w:ascii="宋体" w:hAnsi="宋体" w:eastAsia="宋体" w:cs="宋体"/>
                <w:b w:val="0"/>
                <w:bCs w:val="0"/>
                <w:color w:val="auto"/>
                <w:kern w:val="0"/>
                <w:sz w:val="21"/>
                <w:szCs w:val="21"/>
                <w:lang w:val="en-US" w:eastAsia="zh-CN" w:bidi="ar"/>
              </w:rPr>
              <w:t>）</w:t>
            </w:r>
          </w:p>
          <w:p>
            <w:pPr>
              <w:keepNext w:val="0"/>
              <w:keepLines w:val="0"/>
              <w:pageBreakBefore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b w:val="0"/>
                <w:bCs w:val="0"/>
                <w:color w:val="auto"/>
                <w:kern w:val="0"/>
                <w:sz w:val="21"/>
                <w:szCs w:val="21"/>
                <w:lang w:val="en-US" w:eastAsia="zh-CN" w:bidi="ar"/>
              </w:rPr>
              <w:t>式中：Q—物料装车时机械落差起尘量，kg/s；</w:t>
            </w:r>
          </w:p>
          <w:p>
            <w:pPr>
              <w:keepNext w:val="0"/>
              <w:keepLines w:val="0"/>
              <w:pageBreakBefore w:val="0"/>
              <w:kinsoku/>
              <w:wordWrap/>
              <w:overflowPunct/>
              <w:topLinePunct w:val="0"/>
              <w:autoSpaceDE/>
              <w:autoSpaceDN/>
              <w:bidi w:val="0"/>
              <w:adjustRightInd w:val="0"/>
              <w:snapToGrid w:val="0"/>
              <w:spacing w:after="0" w:line="360" w:lineRule="auto"/>
              <w:ind w:firstLine="1050" w:firstLineChars="500"/>
              <w:jc w:val="both"/>
              <w:textAlignment w:val="auto"/>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b w:val="0"/>
                <w:bCs w:val="0"/>
                <w:color w:val="auto"/>
                <w:kern w:val="0"/>
                <w:sz w:val="21"/>
                <w:szCs w:val="21"/>
                <w:lang w:val="en-US" w:eastAsia="zh-CN" w:bidi="ar"/>
              </w:rPr>
              <w:t>u—平均风速，m/s；</w:t>
            </w:r>
          </w:p>
          <w:p>
            <w:pPr>
              <w:keepNext w:val="0"/>
              <w:keepLines w:val="0"/>
              <w:pageBreakBefore w:val="0"/>
              <w:kinsoku/>
              <w:wordWrap/>
              <w:overflowPunct/>
              <w:topLinePunct w:val="0"/>
              <w:autoSpaceDE/>
              <w:autoSpaceDN/>
              <w:bidi w:val="0"/>
              <w:adjustRightInd w:val="0"/>
              <w:snapToGrid w:val="0"/>
              <w:spacing w:after="0" w:line="360" w:lineRule="auto"/>
              <w:ind w:firstLine="1050" w:firstLineChars="500"/>
              <w:jc w:val="both"/>
              <w:textAlignment w:val="auto"/>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b w:val="0"/>
                <w:bCs w:val="0"/>
                <w:color w:val="auto"/>
                <w:kern w:val="0"/>
                <w:sz w:val="21"/>
                <w:szCs w:val="21"/>
                <w:lang w:val="en-US" w:eastAsia="zh-CN" w:bidi="ar"/>
              </w:rPr>
              <w:t>H—物料落差，m；</w:t>
            </w:r>
          </w:p>
          <w:p>
            <w:pPr>
              <w:keepNext w:val="0"/>
              <w:keepLines w:val="0"/>
              <w:pageBreakBefore w:val="0"/>
              <w:kinsoku/>
              <w:wordWrap/>
              <w:overflowPunct/>
              <w:topLinePunct w:val="0"/>
              <w:autoSpaceDE/>
              <w:autoSpaceDN/>
              <w:bidi w:val="0"/>
              <w:adjustRightInd w:val="0"/>
              <w:snapToGrid w:val="0"/>
              <w:spacing w:after="0" w:line="360" w:lineRule="auto"/>
              <w:ind w:firstLine="1050" w:firstLineChars="500"/>
              <w:jc w:val="both"/>
              <w:textAlignment w:val="auto"/>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b w:val="0"/>
                <w:bCs w:val="0"/>
                <w:color w:val="auto"/>
                <w:kern w:val="0"/>
                <w:sz w:val="21"/>
                <w:szCs w:val="21"/>
                <w:lang w:val="en-US" w:eastAsia="zh-CN" w:bidi="ar"/>
              </w:rPr>
              <w:t>w—物料含水率，%；</w:t>
            </w:r>
          </w:p>
          <w:p>
            <w:pPr>
              <w:keepNext w:val="0"/>
              <w:keepLines w:val="0"/>
              <w:pageBreakBefore w:val="0"/>
              <w:kinsoku/>
              <w:wordWrap/>
              <w:overflowPunct/>
              <w:topLinePunct w:val="0"/>
              <w:autoSpaceDE/>
              <w:autoSpaceDN/>
              <w:bidi w:val="0"/>
              <w:adjustRightInd w:val="0"/>
              <w:snapToGrid w:val="0"/>
              <w:spacing w:after="0" w:line="360" w:lineRule="auto"/>
              <w:ind w:firstLine="1050" w:firstLineChars="500"/>
              <w:jc w:val="both"/>
              <w:textAlignment w:val="auto"/>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b w:val="0"/>
                <w:bCs w:val="0"/>
                <w:color w:val="auto"/>
                <w:kern w:val="0"/>
                <w:sz w:val="21"/>
                <w:szCs w:val="21"/>
                <w:lang w:val="en-US" w:eastAsia="zh-CN" w:bidi="ar"/>
              </w:rPr>
              <w:t>t—物料装车所用时间，s/t。</w:t>
            </w:r>
          </w:p>
          <w:p>
            <w:pPr>
              <w:keepNext w:val="0"/>
              <w:keepLines w:val="0"/>
              <w:pageBreakBefore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b w:val="0"/>
                <w:bCs w:val="0"/>
                <w:color w:val="auto"/>
                <w:kern w:val="0"/>
                <w:sz w:val="21"/>
                <w:szCs w:val="21"/>
                <w:lang w:val="en-US" w:eastAsia="zh-CN" w:bidi="ar"/>
              </w:rPr>
              <w:t>根据本项目的情况，</w:t>
            </w:r>
            <w:r>
              <w:rPr>
                <w:rFonts w:hint="eastAsia" w:ascii="宋体" w:hAnsi="宋体" w:cs="宋体"/>
                <w:b w:val="0"/>
                <w:bCs w:val="0"/>
                <w:color w:val="auto"/>
                <w:kern w:val="0"/>
                <w:sz w:val="21"/>
                <w:szCs w:val="21"/>
                <w:lang w:val="en-US" w:eastAsia="zh-CN" w:bidi="ar-SA"/>
              </w:rPr>
              <w:t>堆场为半封闭状态，风速根据类比工程可按一级风速（0.3-1.5</w:t>
            </w:r>
            <w:r>
              <w:rPr>
                <w:rFonts w:hint="eastAsia" w:ascii="宋体" w:hAnsi="宋体" w:eastAsia="宋体" w:cs="宋体"/>
                <w:b w:val="0"/>
                <w:bCs w:val="0"/>
                <w:color w:val="auto"/>
                <w:kern w:val="0"/>
                <w:sz w:val="21"/>
                <w:szCs w:val="21"/>
                <w:lang w:val="en-US" w:eastAsia="zh-CN" w:bidi="ar-SA"/>
              </w:rPr>
              <w:t>m/s</w:t>
            </w:r>
            <w:r>
              <w:rPr>
                <w:rFonts w:hint="eastAsia" w:ascii="宋体" w:hAnsi="宋体" w:cs="宋体"/>
                <w:b w:val="0"/>
                <w:bCs w:val="0"/>
                <w:color w:val="auto"/>
                <w:kern w:val="0"/>
                <w:sz w:val="21"/>
                <w:szCs w:val="21"/>
                <w:lang w:val="en-US" w:eastAsia="zh-CN" w:bidi="ar-SA"/>
              </w:rPr>
              <w:t>）中保守值1.5</w:t>
            </w:r>
            <w:r>
              <w:rPr>
                <w:rFonts w:hint="eastAsia" w:ascii="宋体" w:hAnsi="宋体" w:eastAsia="宋体" w:cs="宋体"/>
                <w:b w:val="0"/>
                <w:bCs w:val="0"/>
                <w:color w:val="auto"/>
                <w:kern w:val="0"/>
                <w:sz w:val="21"/>
                <w:szCs w:val="21"/>
                <w:lang w:val="en-US" w:eastAsia="zh-CN" w:bidi="ar-SA"/>
              </w:rPr>
              <w:t>m/s</w:t>
            </w:r>
            <w:r>
              <w:rPr>
                <w:rFonts w:hint="eastAsia" w:ascii="宋体" w:hAnsi="宋体" w:cs="宋体"/>
                <w:b w:val="0"/>
                <w:bCs w:val="0"/>
                <w:color w:val="auto"/>
                <w:kern w:val="0"/>
                <w:sz w:val="21"/>
                <w:szCs w:val="21"/>
                <w:lang w:val="en-US" w:eastAsia="zh-CN" w:bidi="ar-SA"/>
              </w:rPr>
              <w:t>计算</w:t>
            </w:r>
            <w:r>
              <w:rPr>
                <w:rFonts w:hint="eastAsia" w:ascii="宋体" w:hAnsi="宋体" w:eastAsia="宋体" w:cs="宋体"/>
                <w:b w:val="0"/>
                <w:bCs w:val="0"/>
                <w:color w:val="auto"/>
                <w:kern w:val="0"/>
                <w:sz w:val="21"/>
                <w:szCs w:val="21"/>
                <w:lang w:val="en-US" w:eastAsia="zh-CN" w:bidi="ar"/>
              </w:rPr>
              <w:t>，H取0.4m，物料综合含水率约1</w:t>
            </w:r>
            <w:r>
              <w:rPr>
                <w:rFonts w:hint="default" w:ascii="宋体" w:hAnsi="宋体" w:cs="宋体"/>
                <w:b w:val="0"/>
                <w:bCs w:val="0"/>
                <w:color w:val="auto"/>
                <w:kern w:val="0"/>
                <w:sz w:val="21"/>
                <w:szCs w:val="21"/>
                <w:lang w:val="en-US" w:eastAsia="zh-CN" w:bidi="ar"/>
              </w:rPr>
              <w:t>5</w:t>
            </w:r>
            <w:r>
              <w:rPr>
                <w:rFonts w:hint="eastAsia" w:ascii="宋体" w:hAnsi="宋体" w:eastAsia="宋体" w:cs="宋体"/>
                <w:b w:val="0"/>
                <w:bCs w:val="0"/>
                <w:color w:val="auto"/>
                <w:kern w:val="0"/>
                <w:sz w:val="21"/>
                <w:szCs w:val="21"/>
                <w:lang w:val="en-US" w:eastAsia="zh-CN" w:bidi="ar"/>
              </w:rPr>
              <w:t>%，装车平均时间t取10s/t，通过计算装卸起尘量约为</w:t>
            </w:r>
            <w:r>
              <w:rPr>
                <w:rFonts w:hint="eastAsia" w:ascii="宋体" w:hAnsi="宋体" w:cs="宋体"/>
                <w:b w:val="0"/>
                <w:bCs w:val="0"/>
                <w:color w:val="auto"/>
                <w:kern w:val="0"/>
                <w:sz w:val="21"/>
                <w:szCs w:val="21"/>
                <w:lang w:val="en-US" w:eastAsia="zh-CN" w:bidi="ar"/>
              </w:rPr>
              <w:t>1.783</w:t>
            </w:r>
            <w:r>
              <w:rPr>
                <w:rFonts w:hint="eastAsia" w:ascii="宋体" w:hAnsi="宋体" w:eastAsia="宋体" w:cs="宋体"/>
                <w:b w:val="0"/>
                <w:bCs w:val="0"/>
                <w:color w:val="auto"/>
                <w:kern w:val="0"/>
                <w:sz w:val="21"/>
                <w:szCs w:val="21"/>
                <w:lang w:val="en-US" w:eastAsia="zh-CN" w:bidi="ar"/>
              </w:rPr>
              <w:t>g/s，根据</w:t>
            </w:r>
            <w:r>
              <w:rPr>
                <w:rFonts w:hint="eastAsia" w:ascii="宋体" w:hAnsi="宋体" w:cs="宋体"/>
                <w:b w:val="0"/>
                <w:bCs w:val="0"/>
                <w:color w:val="auto"/>
                <w:kern w:val="0"/>
                <w:sz w:val="21"/>
                <w:szCs w:val="21"/>
                <w:lang w:val="en-US" w:eastAsia="zh-CN" w:bidi="ar"/>
              </w:rPr>
              <w:t>产品</w:t>
            </w:r>
            <w:r>
              <w:rPr>
                <w:rFonts w:hint="eastAsia" w:ascii="宋体" w:hAnsi="宋体" w:eastAsia="宋体" w:cs="宋体"/>
                <w:b w:val="0"/>
                <w:bCs w:val="0"/>
                <w:color w:val="auto"/>
                <w:kern w:val="0"/>
                <w:sz w:val="21"/>
                <w:szCs w:val="21"/>
                <w:lang w:val="en-US" w:eastAsia="zh-CN" w:bidi="ar"/>
              </w:rPr>
              <w:t>砂年产量约为20万吨，产品的年装卸车时间约556h，每年由装车而引起的粉尘量约为</w:t>
            </w:r>
            <w:r>
              <w:rPr>
                <w:rFonts w:hint="eastAsia" w:ascii="宋体" w:hAnsi="宋体" w:cs="宋体"/>
                <w:b w:val="0"/>
                <w:bCs w:val="0"/>
                <w:color w:val="auto"/>
                <w:kern w:val="0"/>
                <w:sz w:val="21"/>
                <w:szCs w:val="21"/>
                <w:lang w:val="en-US" w:eastAsia="zh-CN" w:bidi="ar"/>
              </w:rPr>
              <w:t>3.57</w:t>
            </w:r>
            <w:r>
              <w:rPr>
                <w:rFonts w:hint="eastAsia" w:ascii="宋体" w:hAnsi="宋体" w:eastAsia="宋体" w:cs="宋体"/>
                <w:b w:val="0"/>
                <w:bCs w:val="0"/>
                <w:color w:val="auto"/>
                <w:kern w:val="0"/>
                <w:sz w:val="21"/>
                <w:szCs w:val="21"/>
                <w:lang w:val="en-US" w:eastAsia="zh-CN" w:bidi="ar"/>
              </w:rPr>
              <w:t>t/a。车辆装卸堆场为</w:t>
            </w:r>
            <w:r>
              <w:rPr>
                <w:rFonts w:hint="eastAsia" w:ascii="宋体" w:hAnsi="宋体" w:eastAsia="宋体" w:cs="宋体"/>
                <w:b w:val="0"/>
                <w:bCs w:val="0"/>
                <w:color w:val="auto"/>
                <w:kern w:val="0"/>
                <w:sz w:val="21"/>
                <w:szCs w:val="21"/>
                <w:lang w:val="en-US" w:eastAsia="zh-CN" w:bidi="ar-SA"/>
              </w:rPr>
              <w:t>三面封闭带顶棚的轻钢结构堆场，在采取</w:t>
            </w:r>
            <w:r>
              <w:rPr>
                <w:rFonts w:hint="eastAsia" w:ascii="宋体" w:hAnsi="宋体" w:eastAsia="宋体" w:cs="宋体"/>
                <w:b w:val="0"/>
                <w:bCs w:val="0"/>
                <w:color w:val="auto"/>
                <w:kern w:val="0"/>
                <w:sz w:val="21"/>
                <w:szCs w:val="21"/>
                <w:lang w:val="en-US" w:eastAsia="zh-CN" w:bidi="ar"/>
              </w:rPr>
              <w:t>提高装车效率以缩短每天的装车时间，减小卸料落差，洒水降尘等措施后，能有效的抑制粉尘的排放量，处理效率可达</w:t>
            </w:r>
            <w:r>
              <w:rPr>
                <w:rFonts w:hint="eastAsia" w:ascii="宋体" w:hAnsi="宋体" w:cs="宋体"/>
                <w:b w:val="0"/>
                <w:bCs w:val="0"/>
                <w:color w:val="auto"/>
                <w:kern w:val="0"/>
                <w:sz w:val="21"/>
                <w:szCs w:val="21"/>
                <w:lang w:val="en-US" w:eastAsia="zh-CN" w:bidi="ar"/>
              </w:rPr>
              <w:t>90</w:t>
            </w:r>
            <w:r>
              <w:rPr>
                <w:rFonts w:hint="eastAsia" w:ascii="宋体" w:hAnsi="宋体" w:eastAsia="宋体" w:cs="宋体"/>
                <w:b w:val="0"/>
                <w:bCs w:val="0"/>
                <w:color w:val="auto"/>
                <w:kern w:val="0"/>
                <w:sz w:val="21"/>
                <w:szCs w:val="21"/>
                <w:lang w:val="en-US" w:eastAsia="zh-CN" w:bidi="ar"/>
              </w:rPr>
              <w:t>%以上，无组织排放粉尘约为0.</w:t>
            </w:r>
            <w:r>
              <w:rPr>
                <w:rFonts w:hint="eastAsia" w:ascii="宋体" w:hAnsi="宋体" w:cs="宋体"/>
                <w:b w:val="0"/>
                <w:bCs w:val="0"/>
                <w:color w:val="auto"/>
                <w:kern w:val="0"/>
                <w:sz w:val="21"/>
                <w:szCs w:val="21"/>
                <w:lang w:val="en-US" w:eastAsia="zh-CN" w:bidi="ar"/>
              </w:rPr>
              <w:t>357</w:t>
            </w:r>
            <w:r>
              <w:rPr>
                <w:rFonts w:hint="eastAsia" w:ascii="宋体" w:hAnsi="宋体" w:eastAsia="宋体" w:cs="宋体"/>
                <w:b w:val="0"/>
                <w:bCs w:val="0"/>
                <w:color w:val="auto"/>
                <w:kern w:val="0"/>
                <w:sz w:val="21"/>
                <w:szCs w:val="21"/>
                <w:lang w:val="en-US" w:eastAsia="zh-CN" w:bidi="ar"/>
              </w:rPr>
              <w:t>t/a。</w:t>
            </w:r>
          </w:p>
          <w:p>
            <w:pPr>
              <w:keepNext w:val="0"/>
              <w:keepLines w:val="0"/>
              <w:pageBreakBefore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b w:val="0"/>
                <w:bCs w:val="0"/>
                <w:color w:val="auto"/>
                <w:kern w:val="0"/>
                <w:sz w:val="21"/>
                <w:szCs w:val="21"/>
                <w:lang w:val="en-US" w:eastAsia="zh-CN" w:bidi="ar-SA"/>
              </w:rPr>
            </w:pPr>
            <w:r>
              <w:rPr>
                <w:rFonts w:hint="eastAsia" w:ascii="宋体" w:hAnsi="宋体" w:eastAsia="宋体" w:cs="宋体"/>
                <w:b w:val="0"/>
                <w:bCs w:val="0"/>
                <w:color w:val="auto"/>
                <w:kern w:val="0"/>
                <w:sz w:val="21"/>
                <w:szCs w:val="21"/>
                <w:lang w:val="en-US" w:eastAsia="zh-CN" w:bidi="ar-SA"/>
              </w:rPr>
              <w:t>综上所述，成品堆场无组织粉尘产生量为</w:t>
            </w:r>
            <w:r>
              <w:rPr>
                <w:rFonts w:hint="eastAsia" w:ascii="宋体" w:hAnsi="宋体" w:cs="宋体"/>
                <w:b w:val="0"/>
                <w:bCs w:val="0"/>
                <w:color w:val="auto"/>
                <w:kern w:val="0"/>
                <w:sz w:val="21"/>
                <w:szCs w:val="21"/>
                <w:lang w:val="en-US" w:eastAsia="zh-CN" w:bidi="ar-SA"/>
              </w:rPr>
              <w:t>5.41</w:t>
            </w:r>
            <w:r>
              <w:rPr>
                <w:rFonts w:hint="eastAsia" w:ascii="宋体" w:hAnsi="宋体" w:eastAsia="宋体" w:cs="宋体"/>
                <w:b w:val="0"/>
                <w:bCs w:val="0"/>
                <w:color w:val="auto"/>
                <w:kern w:val="0"/>
                <w:sz w:val="21"/>
                <w:szCs w:val="21"/>
                <w:lang w:val="en-US" w:eastAsia="zh-CN" w:bidi="ar"/>
              </w:rPr>
              <w:t>t/a，采取措施后的</w:t>
            </w:r>
            <w:r>
              <w:rPr>
                <w:rFonts w:hint="eastAsia" w:ascii="宋体" w:hAnsi="宋体" w:eastAsia="宋体" w:cs="宋体"/>
                <w:b w:val="0"/>
                <w:bCs w:val="0"/>
                <w:color w:val="auto"/>
                <w:kern w:val="0"/>
                <w:sz w:val="21"/>
                <w:szCs w:val="21"/>
                <w:lang w:val="en-US" w:eastAsia="zh-CN" w:bidi="ar-SA"/>
              </w:rPr>
              <w:t>粉尘排放量共</w:t>
            </w:r>
            <w:r>
              <w:rPr>
                <w:rFonts w:hint="eastAsia" w:ascii="宋体" w:hAnsi="宋体" w:cs="宋体"/>
                <w:b w:val="0"/>
                <w:bCs w:val="0"/>
                <w:color w:val="auto"/>
                <w:kern w:val="0"/>
                <w:sz w:val="21"/>
                <w:szCs w:val="21"/>
                <w:lang w:val="en-US" w:eastAsia="zh-CN" w:bidi="ar-SA"/>
              </w:rPr>
              <w:t>0.639</w:t>
            </w:r>
            <w:r>
              <w:rPr>
                <w:rFonts w:hint="eastAsia" w:ascii="宋体" w:hAnsi="宋体" w:eastAsia="宋体" w:cs="宋体"/>
                <w:b w:val="0"/>
                <w:bCs w:val="0"/>
                <w:color w:val="auto"/>
                <w:kern w:val="0"/>
                <w:sz w:val="21"/>
                <w:szCs w:val="21"/>
                <w:lang w:val="en-US" w:eastAsia="zh-CN" w:bidi="ar"/>
              </w:rPr>
              <w:t>t/a。</w:t>
            </w:r>
          </w:p>
          <w:p>
            <w:pPr>
              <w:keepNext w:val="0"/>
              <w:keepLines w:val="0"/>
              <w:pageBreakBefore w:val="0"/>
              <w:numPr>
                <w:ilvl w:val="0"/>
                <w:numId w:val="0"/>
              </w:numPr>
              <w:kinsoku/>
              <w:wordWrap/>
              <w:overflowPunct/>
              <w:topLinePunct w:val="0"/>
              <w:autoSpaceDE/>
              <w:autoSpaceDN/>
              <w:bidi w:val="0"/>
              <w:adjustRightInd w:val="0"/>
              <w:snapToGrid w:val="0"/>
              <w:spacing w:after="0" w:line="360" w:lineRule="auto"/>
              <w:ind w:left="426" w:leftChars="203" w:firstLine="11" w:firstLineChars="5"/>
              <w:jc w:val="both"/>
              <w:textAlignment w:val="auto"/>
              <w:rPr>
                <w:rFonts w:hint="eastAsia" w:ascii="宋体" w:hAnsi="宋体" w:eastAsia="宋体" w:cs="宋体"/>
                <w:b/>
                <w:bCs/>
                <w:snapToGrid w:val="0"/>
                <w:color w:val="auto"/>
                <w:kern w:val="0"/>
                <w:sz w:val="21"/>
                <w:szCs w:val="21"/>
                <w:lang w:val="en-US" w:eastAsia="zh-CN" w:bidi="ar-SA"/>
              </w:rPr>
            </w:pPr>
            <w:r>
              <w:rPr>
                <w:rFonts w:hint="eastAsia" w:ascii="宋体" w:hAnsi="宋体" w:cs="宋体"/>
                <w:b/>
                <w:bCs/>
                <w:snapToGrid w:val="0"/>
                <w:color w:val="auto"/>
                <w:kern w:val="0"/>
                <w:sz w:val="21"/>
                <w:szCs w:val="21"/>
                <w:lang w:val="en-US" w:eastAsia="zh-CN" w:bidi="ar-SA"/>
              </w:rPr>
              <w:t>3）</w:t>
            </w:r>
            <w:r>
              <w:rPr>
                <w:rFonts w:hint="eastAsia" w:ascii="宋体" w:hAnsi="宋体" w:eastAsia="宋体" w:cs="宋体"/>
                <w:b/>
                <w:bCs/>
                <w:snapToGrid w:val="0"/>
                <w:color w:val="auto"/>
                <w:kern w:val="0"/>
                <w:sz w:val="21"/>
                <w:szCs w:val="21"/>
                <w:lang w:val="en-US" w:eastAsia="zh-CN" w:bidi="ar-SA"/>
              </w:rPr>
              <w:t>运输道路扬尘</w:t>
            </w:r>
          </w:p>
          <w:p>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b w:val="0"/>
                <w:bCs w:val="0"/>
                <w:color w:val="auto"/>
                <w:kern w:val="0"/>
                <w:sz w:val="21"/>
                <w:szCs w:val="21"/>
                <w:lang w:val="en-US" w:eastAsia="zh-CN" w:bidi="ar-SA"/>
              </w:rPr>
            </w:pPr>
            <w:r>
              <w:rPr>
                <w:rFonts w:hint="eastAsia" w:ascii="宋体" w:hAnsi="宋体" w:eastAsia="宋体" w:cs="宋体"/>
                <w:b w:val="0"/>
                <w:bCs w:val="0"/>
                <w:color w:val="auto"/>
                <w:kern w:val="0"/>
                <w:sz w:val="21"/>
                <w:szCs w:val="21"/>
                <w:lang w:val="en-US" w:eastAsia="zh-CN" w:bidi="ar-SA"/>
              </w:rPr>
              <w:t>项目营运期在运送原料、成品的过程中，车辆行驶途中由于风力的作用，使装载车厢内的原料、成品，形成扬尘，另外车辆行驶途中若车辆轮胎沾附有泥沙或运输路面积灰较多时，车辆运输时也将产生少量地面灰尘。</w:t>
            </w:r>
          </w:p>
          <w:p>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b w:val="0"/>
                <w:bCs w:val="0"/>
                <w:color w:val="auto"/>
                <w:kern w:val="0"/>
                <w:sz w:val="21"/>
                <w:szCs w:val="21"/>
                <w:lang w:val="en-US" w:eastAsia="zh-CN" w:bidi="ar-SA"/>
              </w:rPr>
            </w:pPr>
            <w:r>
              <w:rPr>
                <w:rFonts w:hint="eastAsia" w:ascii="宋体" w:hAnsi="宋体" w:eastAsia="宋体" w:cs="宋体"/>
                <w:b w:val="0"/>
                <w:bCs w:val="0"/>
                <w:color w:val="auto"/>
                <w:kern w:val="0"/>
                <w:sz w:val="21"/>
                <w:szCs w:val="21"/>
                <w:lang w:val="en-US" w:eastAsia="zh-CN" w:bidi="ar-SA"/>
              </w:rPr>
              <w:t>项目外购的原料为大粒径钠长石，运输车辆采取遮盖处理，原料运输过程产生的扬尘影响较小；项目成品运输采取遮盖处理，进出场区道路硬化并采取路面洒水、保持路面清洁，成品运输过程产生的扬尘较小。</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4）汽车尾气</w:t>
            </w:r>
          </w:p>
          <w:p>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b w:val="0"/>
                <w:bCs w:val="0"/>
                <w:snapToGrid w:val="0"/>
                <w:color w:val="auto"/>
                <w:kern w:val="0"/>
                <w:sz w:val="21"/>
                <w:szCs w:val="21"/>
              </w:rPr>
            </w:pPr>
            <w:r>
              <w:rPr>
                <w:rFonts w:hint="eastAsia" w:ascii="宋体" w:hAnsi="宋体" w:eastAsia="宋体" w:cs="宋体"/>
                <w:b w:val="0"/>
                <w:bCs w:val="0"/>
                <w:snapToGrid w:val="0"/>
                <w:color w:val="auto"/>
                <w:kern w:val="0"/>
                <w:sz w:val="21"/>
                <w:szCs w:val="21"/>
              </w:rPr>
              <w:t>本项目在运输过程中将产生汽车尾气，其中主要含有NO</w:t>
            </w:r>
            <w:r>
              <w:rPr>
                <w:rFonts w:hint="eastAsia" w:ascii="宋体" w:hAnsi="宋体" w:eastAsia="宋体" w:cs="宋体"/>
                <w:b w:val="0"/>
                <w:bCs w:val="0"/>
                <w:snapToGrid w:val="0"/>
                <w:color w:val="auto"/>
                <w:kern w:val="0"/>
                <w:sz w:val="21"/>
                <w:szCs w:val="21"/>
                <w:vertAlign w:val="subscript"/>
              </w:rPr>
              <w:t>X</w:t>
            </w:r>
            <w:r>
              <w:rPr>
                <w:rFonts w:hint="eastAsia" w:ascii="宋体" w:hAnsi="宋体" w:eastAsia="宋体" w:cs="宋体"/>
                <w:b w:val="0"/>
                <w:bCs w:val="0"/>
                <w:snapToGrid w:val="0"/>
                <w:color w:val="auto"/>
                <w:kern w:val="0"/>
                <w:sz w:val="21"/>
                <w:szCs w:val="21"/>
              </w:rPr>
              <w:t>、CO等污染物，由于运输车辆较少，且运输距离较短，汽车能源消耗量不大，产生的尾气量少。</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b/>
                <w:bCs w:val="0"/>
                <w:color w:val="auto"/>
                <w:spacing w:val="0"/>
                <w:sz w:val="21"/>
                <w:szCs w:val="21"/>
              </w:rPr>
            </w:pPr>
            <w:r>
              <w:rPr>
                <w:b/>
                <w:bCs w:val="0"/>
                <w:color w:val="auto"/>
                <w:spacing w:val="0"/>
                <w:sz w:val="21"/>
                <w:szCs w:val="21"/>
              </w:rPr>
              <w:t>（4）达标排放分析</w:t>
            </w:r>
          </w:p>
          <w:p>
            <w:pPr>
              <w:adjustRightInd w:val="0"/>
              <w:snapToGrid w:val="0"/>
              <w:spacing w:line="360" w:lineRule="auto"/>
              <w:ind w:firstLine="380" w:firstLineChars="200"/>
              <w:rPr>
                <w:color w:val="auto"/>
              </w:rPr>
            </w:pPr>
            <w:r>
              <w:rPr>
                <w:bCs/>
                <w:color w:val="auto"/>
                <w:spacing w:val="-10"/>
                <w:szCs w:val="21"/>
              </w:rPr>
              <w:t>本项目破碎、卸料、输送过程产生的粉尘</w:t>
            </w:r>
            <w:r>
              <w:rPr>
                <w:snapToGrid w:val="0"/>
                <w:color w:val="auto"/>
                <w:szCs w:val="21"/>
              </w:rPr>
              <w:t>以无组织形式排放，</w:t>
            </w:r>
            <w:r>
              <w:rPr>
                <w:bCs/>
                <w:color w:val="auto"/>
                <w:spacing w:val="-10"/>
                <w:szCs w:val="21"/>
              </w:rPr>
              <w:t>为进一步分析其达标排放情况，本环评通过选用附录A推荐的估算模式AERSCREEN对厂内污染源排放的粉尘</w:t>
            </w:r>
            <w:r>
              <w:rPr>
                <w:color w:val="auto"/>
              </w:rPr>
              <w:t>计算最大地面质量浓度占标率P</w:t>
            </w:r>
            <w:r>
              <w:rPr>
                <w:color w:val="auto"/>
                <w:vertAlign w:val="subscript"/>
              </w:rPr>
              <w:t>i</w:t>
            </w:r>
            <w:r>
              <w:rPr>
                <w:color w:val="auto"/>
              </w:rPr>
              <w:t>（第i个污染物），及第i个污染物的地面质量浓度达标准限值10%时所对应的最远距离D</w:t>
            </w:r>
            <w:r>
              <w:rPr>
                <w:color w:val="auto"/>
                <w:vertAlign w:val="subscript"/>
              </w:rPr>
              <w:t>10%</w:t>
            </w:r>
            <w:r>
              <w:rPr>
                <w:color w:val="auto"/>
              </w:rPr>
              <w:t>。其中估算模型参数、详见以下表：</w:t>
            </w:r>
          </w:p>
          <w:p>
            <w:pPr>
              <w:pStyle w:val="8"/>
              <w:ind w:firstLine="210"/>
              <w:rPr>
                <w:color w:val="auto"/>
                <w:sz w:val="21"/>
              </w:rPr>
            </w:pPr>
            <w:r>
              <w:rPr>
                <w:color w:val="auto"/>
                <w:sz w:val="21"/>
              </w:rPr>
              <w:t>表</w:t>
            </w:r>
            <w:r>
              <w:rPr>
                <w:color w:val="auto"/>
                <w:sz w:val="21"/>
                <w:lang w:eastAsia="zh-CN"/>
              </w:rPr>
              <w:t>4-6</w:t>
            </w:r>
            <w:r>
              <w:rPr>
                <w:color w:val="auto"/>
                <w:sz w:val="21"/>
              </w:rPr>
              <w:t xml:space="preserve">  估算模型参数表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7"/>
              <w:gridCol w:w="2829"/>
              <w:gridCol w:w="2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41" w:type="dxa"/>
                  <w:gridSpan w:val="2"/>
                  <w:tcBorders>
                    <w:top w:val="single" w:color="auto" w:sz="4" w:space="0"/>
                    <w:left w:val="single" w:color="auto" w:sz="4" w:space="0"/>
                    <w:bottom w:val="single" w:color="auto" w:sz="4" w:space="0"/>
                    <w:right w:val="single" w:color="auto" w:sz="4" w:space="0"/>
                  </w:tcBorders>
                  <w:vAlign w:val="center"/>
                </w:tcPr>
                <w:p>
                  <w:pPr>
                    <w:pStyle w:val="45"/>
                    <w:ind w:firstLine="360"/>
                    <w:rPr>
                      <w:color w:val="auto"/>
                      <w:sz w:val="18"/>
                      <w:szCs w:val="18"/>
                    </w:rPr>
                  </w:pPr>
                  <w:r>
                    <w:rPr>
                      <w:color w:val="auto"/>
                      <w:sz w:val="18"/>
                      <w:szCs w:val="18"/>
                    </w:rPr>
                    <w:t>参数</w:t>
                  </w:r>
                </w:p>
              </w:tc>
              <w:tc>
                <w:tcPr>
                  <w:tcW w:w="2195" w:type="dxa"/>
                  <w:tcBorders>
                    <w:top w:val="single" w:color="auto" w:sz="4" w:space="0"/>
                    <w:left w:val="nil"/>
                    <w:bottom w:val="single" w:color="auto" w:sz="4" w:space="0"/>
                    <w:right w:val="single" w:color="auto" w:sz="4" w:space="0"/>
                  </w:tcBorders>
                  <w:vAlign w:val="center"/>
                </w:tcPr>
                <w:p>
                  <w:pPr>
                    <w:pStyle w:val="45"/>
                    <w:ind w:firstLine="360"/>
                    <w:rPr>
                      <w:color w:val="auto"/>
                      <w:sz w:val="18"/>
                      <w:szCs w:val="18"/>
                    </w:rPr>
                  </w:pPr>
                  <w:r>
                    <w:rPr>
                      <w:color w:val="auto"/>
                      <w:sz w:val="18"/>
                      <w:szCs w:val="18"/>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0" w:type="dxa"/>
                  <w:vMerge w:val="restart"/>
                  <w:tcBorders>
                    <w:top w:val="nil"/>
                    <w:left w:val="single" w:color="auto" w:sz="4" w:space="0"/>
                    <w:bottom w:val="single" w:color="auto" w:sz="4" w:space="0"/>
                    <w:right w:val="single" w:color="auto" w:sz="4" w:space="0"/>
                  </w:tcBorders>
                  <w:vAlign w:val="center"/>
                </w:tcPr>
                <w:p>
                  <w:pPr>
                    <w:pStyle w:val="45"/>
                    <w:ind w:firstLine="360"/>
                    <w:rPr>
                      <w:color w:val="auto"/>
                      <w:sz w:val="18"/>
                      <w:szCs w:val="18"/>
                    </w:rPr>
                  </w:pPr>
                  <w:r>
                    <w:rPr>
                      <w:color w:val="auto"/>
                      <w:sz w:val="18"/>
                      <w:szCs w:val="18"/>
                    </w:rPr>
                    <w:t>城市农村/选项</w:t>
                  </w:r>
                </w:p>
              </w:tc>
              <w:tc>
                <w:tcPr>
                  <w:tcW w:w="2831" w:type="dxa"/>
                  <w:tcBorders>
                    <w:top w:val="single" w:color="auto" w:sz="4" w:space="0"/>
                    <w:left w:val="nil"/>
                    <w:bottom w:val="single" w:color="auto" w:sz="4" w:space="0"/>
                    <w:right w:val="single" w:color="auto" w:sz="4" w:space="0"/>
                  </w:tcBorders>
                  <w:vAlign w:val="center"/>
                </w:tcPr>
                <w:p>
                  <w:pPr>
                    <w:pStyle w:val="45"/>
                    <w:ind w:firstLine="360"/>
                    <w:rPr>
                      <w:color w:val="auto"/>
                      <w:sz w:val="18"/>
                      <w:szCs w:val="18"/>
                    </w:rPr>
                  </w:pPr>
                  <w:r>
                    <w:rPr>
                      <w:color w:val="auto"/>
                      <w:sz w:val="18"/>
                      <w:szCs w:val="18"/>
                    </w:rPr>
                    <w:t>城市/农村</w:t>
                  </w:r>
                </w:p>
              </w:tc>
              <w:tc>
                <w:tcPr>
                  <w:tcW w:w="2195" w:type="dxa"/>
                  <w:tcBorders>
                    <w:top w:val="single" w:color="auto" w:sz="4" w:space="0"/>
                    <w:left w:val="nil"/>
                    <w:bottom w:val="single" w:color="auto" w:sz="4" w:space="0"/>
                    <w:right w:val="single" w:color="auto" w:sz="4" w:space="0"/>
                  </w:tcBorders>
                  <w:vAlign w:val="center"/>
                </w:tcPr>
                <w:p>
                  <w:pPr>
                    <w:pStyle w:val="45"/>
                    <w:ind w:firstLine="360"/>
                    <w:rPr>
                      <w:color w:val="auto"/>
                      <w:sz w:val="18"/>
                      <w:szCs w:val="18"/>
                    </w:rPr>
                  </w:pPr>
                  <w:r>
                    <w:rPr>
                      <w:color w:val="auto"/>
                      <w:sz w:val="18"/>
                      <w:szCs w:val="18"/>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0" w:type="dxa"/>
                  <w:vMerge w:val="continue"/>
                  <w:tcBorders>
                    <w:top w:val="nil"/>
                    <w:left w:val="single" w:color="auto" w:sz="4" w:space="0"/>
                    <w:bottom w:val="single" w:color="auto" w:sz="4" w:space="0"/>
                    <w:right w:val="single" w:color="auto" w:sz="4" w:space="0"/>
                  </w:tcBorders>
                  <w:vAlign w:val="center"/>
                </w:tcPr>
                <w:p>
                  <w:pPr>
                    <w:pStyle w:val="45"/>
                    <w:ind w:firstLine="360"/>
                    <w:rPr>
                      <w:color w:val="auto"/>
                      <w:sz w:val="18"/>
                      <w:szCs w:val="18"/>
                    </w:rPr>
                  </w:pPr>
                </w:p>
              </w:tc>
              <w:tc>
                <w:tcPr>
                  <w:tcW w:w="2831" w:type="dxa"/>
                  <w:tcBorders>
                    <w:top w:val="single" w:color="auto" w:sz="4" w:space="0"/>
                    <w:left w:val="nil"/>
                    <w:bottom w:val="single" w:color="auto" w:sz="4" w:space="0"/>
                    <w:right w:val="single" w:color="auto" w:sz="4" w:space="0"/>
                  </w:tcBorders>
                  <w:vAlign w:val="center"/>
                </w:tcPr>
                <w:p>
                  <w:pPr>
                    <w:pStyle w:val="45"/>
                    <w:ind w:firstLine="360"/>
                    <w:rPr>
                      <w:color w:val="auto"/>
                      <w:sz w:val="18"/>
                      <w:szCs w:val="18"/>
                    </w:rPr>
                  </w:pPr>
                  <w:r>
                    <w:rPr>
                      <w:color w:val="auto"/>
                      <w:sz w:val="18"/>
                      <w:szCs w:val="18"/>
                    </w:rPr>
                    <w:t>人口数(城市人口数)</w:t>
                  </w:r>
                </w:p>
              </w:tc>
              <w:tc>
                <w:tcPr>
                  <w:tcW w:w="2195" w:type="dxa"/>
                  <w:tcBorders>
                    <w:top w:val="single" w:color="auto" w:sz="4" w:space="0"/>
                    <w:left w:val="nil"/>
                    <w:bottom w:val="single" w:color="auto" w:sz="4" w:space="0"/>
                    <w:right w:val="single" w:color="auto" w:sz="4" w:space="0"/>
                  </w:tcBorders>
                  <w:vAlign w:val="center"/>
                </w:tcPr>
                <w:p>
                  <w:pPr>
                    <w:pStyle w:val="45"/>
                    <w:ind w:firstLine="360"/>
                    <w:rPr>
                      <w:color w:val="auto"/>
                      <w:sz w:val="18"/>
                      <w:szCs w:val="18"/>
                    </w:rPr>
                  </w:pPr>
                  <w:r>
                    <w:rPr>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41" w:type="dxa"/>
                  <w:gridSpan w:val="2"/>
                  <w:tcBorders>
                    <w:top w:val="single" w:color="auto" w:sz="4" w:space="0"/>
                    <w:left w:val="single" w:color="auto" w:sz="4" w:space="0"/>
                    <w:bottom w:val="single" w:color="auto" w:sz="4" w:space="0"/>
                    <w:right w:val="single" w:color="auto" w:sz="4" w:space="0"/>
                  </w:tcBorders>
                  <w:vAlign w:val="center"/>
                </w:tcPr>
                <w:p>
                  <w:pPr>
                    <w:pStyle w:val="45"/>
                    <w:ind w:firstLine="360"/>
                    <w:rPr>
                      <w:color w:val="auto"/>
                      <w:sz w:val="18"/>
                      <w:szCs w:val="18"/>
                    </w:rPr>
                  </w:pPr>
                  <w:r>
                    <w:rPr>
                      <w:color w:val="auto"/>
                      <w:sz w:val="18"/>
                      <w:szCs w:val="18"/>
                    </w:rPr>
                    <w:t>最高环境温度</w:t>
                  </w:r>
                </w:p>
              </w:tc>
              <w:tc>
                <w:tcPr>
                  <w:tcW w:w="2195" w:type="dxa"/>
                  <w:tcBorders>
                    <w:top w:val="single" w:color="auto" w:sz="4" w:space="0"/>
                    <w:left w:val="nil"/>
                    <w:bottom w:val="single" w:color="auto" w:sz="4" w:space="0"/>
                    <w:right w:val="single" w:color="auto" w:sz="4" w:space="0"/>
                  </w:tcBorders>
                  <w:vAlign w:val="center"/>
                </w:tcPr>
                <w:p>
                  <w:pPr>
                    <w:pStyle w:val="45"/>
                    <w:ind w:firstLine="360"/>
                    <w:rPr>
                      <w:color w:val="auto"/>
                      <w:sz w:val="18"/>
                      <w:szCs w:val="18"/>
                    </w:rPr>
                  </w:pPr>
                  <w:r>
                    <w:rPr>
                      <w:color w:val="auto"/>
                      <w:sz w:val="18"/>
                      <w:szCs w:val="18"/>
                      <w:lang w:eastAsia="zh-CN"/>
                    </w:rPr>
                    <w:t>40.8</w:t>
                  </w:r>
                  <w:r>
                    <w:rPr>
                      <w:color w:val="auto"/>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41" w:type="dxa"/>
                  <w:gridSpan w:val="2"/>
                  <w:tcBorders>
                    <w:top w:val="single" w:color="auto" w:sz="4" w:space="0"/>
                    <w:left w:val="single" w:color="auto" w:sz="4" w:space="0"/>
                    <w:bottom w:val="single" w:color="auto" w:sz="4" w:space="0"/>
                    <w:right w:val="single" w:color="auto" w:sz="4" w:space="0"/>
                  </w:tcBorders>
                  <w:vAlign w:val="center"/>
                </w:tcPr>
                <w:p>
                  <w:pPr>
                    <w:pStyle w:val="45"/>
                    <w:ind w:firstLine="360"/>
                    <w:rPr>
                      <w:color w:val="auto"/>
                      <w:sz w:val="18"/>
                      <w:szCs w:val="18"/>
                    </w:rPr>
                  </w:pPr>
                  <w:r>
                    <w:rPr>
                      <w:color w:val="auto"/>
                      <w:sz w:val="18"/>
                      <w:szCs w:val="18"/>
                    </w:rPr>
                    <w:t>最低环境温度</w:t>
                  </w:r>
                </w:p>
              </w:tc>
              <w:tc>
                <w:tcPr>
                  <w:tcW w:w="2195" w:type="dxa"/>
                  <w:tcBorders>
                    <w:top w:val="single" w:color="auto" w:sz="4" w:space="0"/>
                    <w:left w:val="nil"/>
                    <w:bottom w:val="single" w:color="auto" w:sz="4" w:space="0"/>
                    <w:right w:val="single" w:color="auto" w:sz="4" w:space="0"/>
                  </w:tcBorders>
                  <w:vAlign w:val="center"/>
                </w:tcPr>
                <w:p>
                  <w:pPr>
                    <w:pStyle w:val="45"/>
                    <w:ind w:firstLine="360"/>
                    <w:rPr>
                      <w:color w:val="auto"/>
                      <w:sz w:val="18"/>
                      <w:szCs w:val="18"/>
                    </w:rPr>
                  </w:pPr>
                  <w:r>
                    <w:rPr>
                      <w:color w:val="auto"/>
                      <w:sz w:val="18"/>
                      <w:szCs w:val="18"/>
                    </w:rPr>
                    <w:t>-</w:t>
                  </w:r>
                  <w:r>
                    <w:rPr>
                      <w:color w:val="auto"/>
                      <w:sz w:val="18"/>
                      <w:szCs w:val="18"/>
                      <w:lang w:eastAsia="zh-CN"/>
                    </w:rPr>
                    <w:t>8.3</w:t>
                  </w:r>
                  <w:r>
                    <w:rPr>
                      <w:color w:val="auto"/>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41" w:type="dxa"/>
                  <w:gridSpan w:val="2"/>
                  <w:tcBorders>
                    <w:top w:val="single" w:color="auto" w:sz="4" w:space="0"/>
                    <w:left w:val="single" w:color="auto" w:sz="4" w:space="0"/>
                    <w:bottom w:val="single" w:color="auto" w:sz="4" w:space="0"/>
                    <w:right w:val="single" w:color="auto" w:sz="4" w:space="0"/>
                  </w:tcBorders>
                  <w:vAlign w:val="center"/>
                </w:tcPr>
                <w:p>
                  <w:pPr>
                    <w:pStyle w:val="45"/>
                    <w:ind w:firstLine="360"/>
                    <w:rPr>
                      <w:color w:val="auto"/>
                      <w:sz w:val="18"/>
                      <w:szCs w:val="18"/>
                    </w:rPr>
                  </w:pPr>
                  <w:r>
                    <w:rPr>
                      <w:color w:val="auto"/>
                      <w:sz w:val="18"/>
                      <w:szCs w:val="18"/>
                    </w:rPr>
                    <w:t>土地利用类型</w:t>
                  </w:r>
                </w:p>
              </w:tc>
              <w:tc>
                <w:tcPr>
                  <w:tcW w:w="2195" w:type="dxa"/>
                  <w:tcBorders>
                    <w:top w:val="single" w:color="auto" w:sz="4" w:space="0"/>
                    <w:left w:val="nil"/>
                    <w:bottom w:val="single" w:color="auto" w:sz="4" w:space="0"/>
                    <w:right w:val="single" w:color="auto" w:sz="4" w:space="0"/>
                  </w:tcBorders>
                  <w:vAlign w:val="center"/>
                </w:tcPr>
                <w:p>
                  <w:pPr>
                    <w:pStyle w:val="45"/>
                    <w:ind w:firstLine="360"/>
                    <w:rPr>
                      <w:color w:val="auto"/>
                      <w:sz w:val="18"/>
                      <w:szCs w:val="18"/>
                      <w:lang w:eastAsia="zh-CN"/>
                    </w:rPr>
                  </w:pPr>
                  <w:r>
                    <w:rPr>
                      <w:color w:val="auto"/>
                      <w:sz w:val="18"/>
                      <w:szCs w:val="18"/>
                      <w:lang w:eastAsia="zh-CN"/>
                    </w:rPr>
                    <w:t>草地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41" w:type="dxa"/>
                  <w:gridSpan w:val="2"/>
                  <w:tcBorders>
                    <w:top w:val="single" w:color="auto" w:sz="4" w:space="0"/>
                    <w:left w:val="single" w:color="auto" w:sz="4" w:space="0"/>
                    <w:bottom w:val="single" w:color="auto" w:sz="4" w:space="0"/>
                    <w:right w:val="single" w:color="auto" w:sz="4" w:space="0"/>
                  </w:tcBorders>
                  <w:vAlign w:val="center"/>
                </w:tcPr>
                <w:p>
                  <w:pPr>
                    <w:pStyle w:val="45"/>
                    <w:ind w:firstLine="360"/>
                    <w:rPr>
                      <w:color w:val="auto"/>
                      <w:sz w:val="18"/>
                      <w:szCs w:val="18"/>
                    </w:rPr>
                  </w:pPr>
                  <w:r>
                    <w:rPr>
                      <w:color w:val="auto"/>
                      <w:sz w:val="18"/>
                      <w:szCs w:val="18"/>
                    </w:rPr>
                    <w:t>区域湿度条件</w:t>
                  </w:r>
                </w:p>
              </w:tc>
              <w:tc>
                <w:tcPr>
                  <w:tcW w:w="2195" w:type="dxa"/>
                  <w:tcBorders>
                    <w:top w:val="single" w:color="auto" w:sz="4" w:space="0"/>
                    <w:left w:val="nil"/>
                    <w:bottom w:val="single" w:color="auto" w:sz="4" w:space="0"/>
                    <w:right w:val="single" w:color="auto" w:sz="4" w:space="0"/>
                  </w:tcBorders>
                  <w:vAlign w:val="center"/>
                </w:tcPr>
                <w:p>
                  <w:pPr>
                    <w:pStyle w:val="45"/>
                    <w:ind w:firstLine="360"/>
                    <w:rPr>
                      <w:color w:val="auto"/>
                      <w:sz w:val="18"/>
                      <w:szCs w:val="18"/>
                    </w:rPr>
                  </w:pPr>
                  <w:r>
                    <w:rPr>
                      <w:color w:val="auto"/>
                      <w:sz w:val="18"/>
                      <w:szCs w:val="18"/>
                      <w:lang w:eastAsia="zh-CN"/>
                    </w:rPr>
                    <w:t>中等湿度</w:t>
                  </w:r>
                  <w:r>
                    <w:rPr>
                      <w:color w:val="auto"/>
                      <w:sz w:val="18"/>
                      <w:szCs w:val="18"/>
                    </w:rPr>
                    <w:t>气候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2910" w:type="dxa"/>
                  <w:vMerge w:val="restart"/>
                  <w:tcBorders>
                    <w:top w:val="nil"/>
                    <w:left w:val="single" w:color="auto" w:sz="4" w:space="0"/>
                    <w:bottom w:val="single" w:color="auto" w:sz="4" w:space="0"/>
                    <w:right w:val="single" w:color="auto" w:sz="4" w:space="0"/>
                  </w:tcBorders>
                  <w:vAlign w:val="center"/>
                </w:tcPr>
                <w:p>
                  <w:pPr>
                    <w:pStyle w:val="45"/>
                    <w:ind w:firstLine="360"/>
                    <w:rPr>
                      <w:color w:val="auto"/>
                      <w:sz w:val="18"/>
                      <w:szCs w:val="18"/>
                    </w:rPr>
                  </w:pPr>
                  <w:r>
                    <w:rPr>
                      <w:color w:val="auto"/>
                      <w:sz w:val="18"/>
                      <w:szCs w:val="18"/>
                    </w:rPr>
                    <w:t>是否考虑地形</w:t>
                  </w:r>
                </w:p>
              </w:tc>
              <w:tc>
                <w:tcPr>
                  <w:tcW w:w="2831" w:type="dxa"/>
                  <w:tcBorders>
                    <w:top w:val="single" w:color="auto" w:sz="4" w:space="0"/>
                    <w:left w:val="nil"/>
                    <w:bottom w:val="single" w:color="auto" w:sz="4" w:space="0"/>
                    <w:right w:val="single" w:color="auto" w:sz="4" w:space="0"/>
                  </w:tcBorders>
                  <w:vAlign w:val="center"/>
                </w:tcPr>
                <w:p>
                  <w:pPr>
                    <w:pStyle w:val="45"/>
                    <w:ind w:firstLine="360"/>
                    <w:rPr>
                      <w:color w:val="auto"/>
                      <w:sz w:val="18"/>
                      <w:szCs w:val="18"/>
                    </w:rPr>
                  </w:pPr>
                  <w:r>
                    <w:rPr>
                      <w:color w:val="auto"/>
                      <w:sz w:val="18"/>
                      <w:szCs w:val="18"/>
                    </w:rPr>
                    <w:t>考虑地形</w:t>
                  </w:r>
                </w:p>
              </w:tc>
              <w:tc>
                <w:tcPr>
                  <w:tcW w:w="2195" w:type="dxa"/>
                  <w:tcBorders>
                    <w:top w:val="single" w:color="auto" w:sz="4" w:space="0"/>
                    <w:left w:val="nil"/>
                    <w:bottom w:val="single" w:color="auto" w:sz="4" w:space="0"/>
                    <w:right w:val="single" w:color="auto" w:sz="4" w:space="0"/>
                  </w:tcBorders>
                  <w:vAlign w:val="center"/>
                </w:tcPr>
                <w:p>
                  <w:pPr>
                    <w:pStyle w:val="45"/>
                    <w:ind w:firstLine="360"/>
                    <w:rPr>
                      <w:color w:val="auto"/>
                      <w:sz w:val="18"/>
                      <w:szCs w:val="18"/>
                    </w:rPr>
                  </w:pPr>
                  <w:r>
                    <w:rPr>
                      <w:color w:val="auto"/>
                      <w:sz w:val="18"/>
                      <w:szCs w:val="18"/>
                    </w:rPr>
                    <w:t xml:space="preserve">□是  </w:t>
                  </w:r>
                  <w:r>
                    <w:rPr>
                      <w:rFonts w:hint="eastAsia" w:ascii="MS Mincho" w:hAnsi="MS Mincho" w:eastAsia="MS Mincho" w:cs="MS Mincho"/>
                      <w:color w:val="auto"/>
                      <w:sz w:val="18"/>
                      <w:szCs w:val="18"/>
                    </w:rPr>
                    <w:t>☑</w:t>
                  </w:r>
                  <w:r>
                    <w:rPr>
                      <w:color w:val="auto"/>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0" w:type="dxa"/>
                  <w:vMerge w:val="continue"/>
                  <w:tcBorders>
                    <w:top w:val="nil"/>
                    <w:left w:val="single" w:color="auto" w:sz="4" w:space="0"/>
                    <w:bottom w:val="single" w:color="auto" w:sz="4" w:space="0"/>
                    <w:right w:val="single" w:color="auto" w:sz="4" w:space="0"/>
                  </w:tcBorders>
                  <w:vAlign w:val="center"/>
                </w:tcPr>
                <w:p>
                  <w:pPr>
                    <w:pStyle w:val="45"/>
                    <w:ind w:firstLine="360"/>
                    <w:rPr>
                      <w:color w:val="auto"/>
                      <w:sz w:val="18"/>
                      <w:szCs w:val="18"/>
                    </w:rPr>
                  </w:pPr>
                </w:p>
              </w:tc>
              <w:tc>
                <w:tcPr>
                  <w:tcW w:w="2831" w:type="dxa"/>
                  <w:tcBorders>
                    <w:top w:val="single" w:color="auto" w:sz="4" w:space="0"/>
                    <w:left w:val="nil"/>
                    <w:bottom w:val="single" w:color="auto" w:sz="4" w:space="0"/>
                    <w:right w:val="single" w:color="auto" w:sz="4" w:space="0"/>
                  </w:tcBorders>
                  <w:vAlign w:val="center"/>
                </w:tcPr>
                <w:p>
                  <w:pPr>
                    <w:pStyle w:val="45"/>
                    <w:ind w:firstLine="360"/>
                    <w:rPr>
                      <w:color w:val="auto"/>
                      <w:sz w:val="18"/>
                      <w:szCs w:val="18"/>
                    </w:rPr>
                  </w:pPr>
                  <w:r>
                    <w:rPr>
                      <w:color w:val="auto"/>
                      <w:sz w:val="18"/>
                      <w:szCs w:val="18"/>
                    </w:rPr>
                    <w:t>地形数据分辨率(m)</w:t>
                  </w:r>
                </w:p>
              </w:tc>
              <w:tc>
                <w:tcPr>
                  <w:tcW w:w="2195" w:type="dxa"/>
                  <w:tcBorders>
                    <w:top w:val="single" w:color="auto" w:sz="4" w:space="0"/>
                    <w:left w:val="nil"/>
                    <w:bottom w:val="single" w:color="auto" w:sz="4" w:space="0"/>
                    <w:right w:val="single" w:color="auto" w:sz="4" w:space="0"/>
                  </w:tcBorders>
                  <w:vAlign w:val="center"/>
                </w:tcPr>
                <w:p>
                  <w:pPr>
                    <w:pStyle w:val="45"/>
                    <w:ind w:firstLine="360"/>
                    <w:rPr>
                      <w:color w:val="auto"/>
                      <w:sz w:val="18"/>
                      <w:szCs w:val="18"/>
                    </w:rPr>
                  </w:pPr>
                  <w:r>
                    <w:rPr>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0" w:type="dxa"/>
                  <w:vMerge w:val="restart"/>
                  <w:tcBorders>
                    <w:top w:val="nil"/>
                    <w:left w:val="single" w:color="auto" w:sz="4" w:space="0"/>
                    <w:bottom w:val="single" w:color="auto" w:sz="4" w:space="0"/>
                    <w:right w:val="single" w:color="auto" w:sz="4" w:space="0"/>
                  </w:tcBorders>
                  <w:vAlign w:val="center"/>
                </w:tcPr>
                <w:p>
                  <w:pPr>
                    <w:pStyle w:val="45"/>
                    <w:ind w:firstLine="360"/>
                    <w:rPr>
                      <w:color w:val="auto"/>
                      <w:sz w:val="18"/>
                      <w:szCs w:val="18"/>
                    </w:rPr>
                  </w:pPr>
                  <w:r>
                    <w:rPr>
                      <w:color w:val="auto"/>
                      <w:sz w:val="18"/>
                      <w:szCs w:val="18"/>
                    </w:rPr>
                    <w:t>是否考虑海岸线熏烟</w:t>
                  </w:r>
                </w:p>
              </w:tc>
              <w:tc>
                <w:tcPr>
                  <w:tcW w:w="2831" w:type="dxa"/>
                  <w:tcBorders>
                    <w:top w:val="single" w:color="auto" w:sz="4" w:space="0"/>
                    <w:left w:val="nil"/>
                    <w:bottom w:val="single" w:color="auto" w:sz="4" w:space="0"/>
                    <w:right w:val="single" w:color="auto" w:sz="4" w:space="0"/>
                  </w:tcBorders>
                  <w:vAlign w:val="center"/>
                </w:tcPr>
                <w:p>
                  <w:pPr>
                    <w:pStyle w:val="45"/>
                    <w:ind w:firstLine="360"/>
                    <w:rPr>
                      <w:color w:val="auto"/>
                      <w:sz w:val="18"/>
                      <w:szCs w:val="18"/>
                    </w:rPr>
                  </w:pPr>
                  <w:r>
                    <w:rPr>
                      <w:color w:val="auto"/>
                      <w:sz w:val="18"/>
                      <w:szCs w:val="18"/>
                    </w:rPr>
                    <w:t>考虑海岸线熏烟</w:t>
                  </w:r>
                </w:p>
              </w:tc>
              <w:tc>
                <w:tcPr>
                  <w:tcW w:w="2195" w:type="dxa"/>
                  <w:tcBorders>
                    <w:top w:val="single" w:color="auto" w:sz="4" w:space="0"/>
                    <w:left w:val="nil"/>
                    <w:bottom w:val="single" w:color="auto" w:sz="4" w:space="0"/>
                    <w:right w:val="single" w:color="auto" w:sz="4" w:space="0"/>
                  </w:tcBorders>
                  <w:vAlign w:val="center"/>
                </w:tcPr>
                <w:p>
                  <w:pPr>
                    <w:pStyle w:val="45"/>
                    <w:ind w:firstLine="360"/>
                    <w:rPr>
                      <w:color w:val="auto"/>
                      <w:sz w:val="18"/>
                      <w:szCs w:val="18"/>
                    </w:rPr>
                  </w:pPr>
                  <w:r>
                    <w:rPr>
                      <w:color w:val="auto"/>
                      <w:sz w:val="18"/>
                      <w:szCs w:val="18"/>
                    </w:rPr>
                    <w:t xml:space="preserve">□是  </w:t>
                  </w:r>
                  <w:r>
                    <w:rPr>
                      <w:rFonts w:hint="eastAsia" w:ascii="MS Mincho" w:hAnsi="MS Mincho" w:eastAsia="MS Mincho" w:cs="MS Mincho"/>
                      <w:color w:val="auto"/>
                      <w:sz w:val="18"/>
                      <w:szCs w:val="18"/>
                    </w:rPr>
                    <w:t>☑</w:t>
                  </w:r>
                  <w:r>
                    <w:rPr>
                      <w:color w:val="auto"/>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0" w:type="dxa"/>
                  <w:vMerge w:val="continue"/>
                  <w:tcBorders>
                    <w:top w:val="nil"/>
                    <w:left w:val="single" w:color="auto" w:sz="4" w:space="0"/>
                    <w:bottom w:val="single" w:color="auto" w:sz="4" w:space="0"/>
                    <w:right w:val="single" w:color="auto" w:sz="4" w:space="0"/>
                  </w:tcBorders>
                  <w:vAlign w:val="center"/>
                </w:tcPr>
                <w:p>
                  <w:pPr>
                    <w:pStyle w:val="45"/>
                    <w:ind w:firstLine="360"/>
                    <w:rPr>
                      <w:color w:val="auto"/>
                      <w:sz w:val="18"/>
                      <w:szCs w:val="18"/>
                    </w:rPr>
                  </w:pPr>
                </w:p>
              </w:tc>
              <w:tc>
                <w:tcPr>
                  <w:tcW w:w="2831" w:type="dxa"/>
                  <w:tcBorders>
                    <w:top w:val="single" w:color="auto" w:sz="4" w:space="0"/>
                    <w:left w:val="nil"/>
                    <w:bottom w:val="single" w:color="auto" w:sz="4" w:space="0"/>
                    <w:right w:val="single" w:color="auto" w:sz="4" w:space="0"/>
                  </w:tcBorders>
                  <w:vAlign w:val="center"/>
                </w:tcPr>
                <w:p>
                  <w:pPr>
                    <w:pStyle w:val="45"/>
                    <w:ind w:firstLine="360"/>
                    <w:rPr>
                      <w:color w:val="auto"/>
                      <w:sz w:val="18"/>
                      <w:szCs w:val="18"/>
                    </w:rPr>
                  </w:pPr>
                  <w:r>
                    <w:rPr>
                      <w:color w:val="auto"/>
                      <w:sz w:val="18"/>
                      <w:szCs w:val="18"/>
                    </w:rPr>
                    <w:t>海岸线距离/m</w:t>
                  </w:r>
                </w:p>
              </w:tc>
              <w:tc>
                <w:tcPr>
                  <w:tcW w:w="2195" w:type="dxa"/>
                  <w:tcBorders>
                    <w:top w:val="single" w:color="auto" w:sz="4" w:space="0"/>
                    <w:left w:val="nil"/>
                    <w:bottom w:val="single" w:color="auto" w:sz="4" w:space="0"/>
                    <w:right w:val="single" w:color="auto" w:sz="4" w:space="0"/>
                  </w:tcBorders>
                  <w:vAlign w:val="center"/>
                </w:tcPr>
                <w:p>
                  <w:pPr>
                    <w:pStyle w:val="45"/>
                    <w:ind w:firstLine="360"/>
                    <w:rPr>
                      <w:color w:val="auto"/>
                      <w:sz w:val="18"/>
                      <w:szCs w:val="18"/>
                    </w:rPr>
                  </w:pPr>
                  <w:r>
                    <w:rPr>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2910" w:type="dxa"/>
                  <w:vMerge w:val="continue"/>
                  <w:tcBorders>
                    <w:top w:val="nil"/>
                    <w:left w:val="single" w:color="auto" w:sz="4" w:space="0"/>
                    <w:bottom w:val="single" w:color="auto" w:sz="4" w:space="0"/>
                    <w:right w:val="single" w:color="auto" w:sz="4" w:space="0"/>
                  </w:tcBorders>
                  <w:vAlign w:val="center"/>
                </w:tcPr>
                <w:p>
                  <w:pPr>
                    <w:pStyle w:val="45"/>
                    <w:ind w:firstLine="360"/>
                    <w:rPr>
                      <w:color w:val="auto"/>
                      <w:sz w:val="18"/>
                      <w:szCs w:val="18"/>
                    </w:rPr>
                  </w:pPr>
                </w:p>
              </w:tc>
              <w:tc>
                <w:tcPr>
                  <w:tcW w:w="2831" w:type="dxa"/>
                  <w:tcBorders>
                    <w:top w:val="single" w:color="auto" w:sz="4" w:space="0"/>
                    <w:left w:val="nil"/>
                    <w:bottom w:val="single" w:color="auto" w:sz="4" w:space="0"/>
                    <w:right w:val="single" w:color="auto" w:sz="4" w:space="0"/>
                  </w:tcBorders>
                  <w:vAlign w:val="center"/>
                </w:tcPr>
                <w:p>
                  <w:pPr>
                    <w:pStyle w:val="45"/>
                    <w:ind w:firstLine="360"/>
                    <w:rPr>
                      <w:color w:val="auto"/>
                      <w:sz w:val="18"/>
                      <w:szCs w:val="18"/>
                    </w:rPr>
                  </w:pPr>
                  <w:r>
                    <w:rPr>
                      <w:color w:val="auto"/>
                      <w:sz w:val="18"/>
                      <w:szCs w:val="18"/>
                    </w:rPr>
                    <w:t>海岸线方向/</w:t>
                  </w:r>
                  <w:r>
                    <w:rPr>
                      <w:color w:val="auto"/>
                      <w:sz w:val="18"/>
                      <w:szCs w:val="18"/>
                      <w:vertAlign w:val="superscript"/>
                    </w:rPr>
                    <w:t>o</w:t>
                  </w:r>
                </w:p>
              </w:tc>
              <w:tc>
                <w:tcPr>
                  <w:tcW w:w="2195" w:type="dxa"/>
                  <w:tcBorders>
                    <w:top w:val="single" w:color="auto" w:sz="4" w:space="0"/>
                    <w:left w:val="nil"/>
                    <w:bottom w:val="single" w:color="auto" w:sz="4" w:space="0"/>
                    <w:right w:val="single" w:color="auto" w:sz="4" w:space="0"/>
                  </w:tcBorders>
                  <w:vAlign w:val="center"/>
                </w:tcPr>
                <w:p>
                  <w:pPr>
                    <w:pStyle w:val="45"/>
                    <w:ind w:firstLine="360"/>
                    <w:rPr>
                      <w:color w:val="auto"/>
                      <w:sz w:val="18"/>
                      <w:szCs w:val="18"/>
                    </w:rPr>
                  </w:pPr>
                  <w:r>
                    <w:rPr>
                      <w:color w:val="auto"/>
                      <w:sz w:val="18"/>
                      <w:szCs w:val="18"/>
                    </w:rPr>
                    <w:t>/</w:t>
                  </w:r>
                </w:p>
              </w:tc>
            </w:tr>
          </w:tbl>
          <w:p>
            <w:pPr>
              <w:pStyle w:val="8"/>
              <w:ind w:firstLine="210"/>
              <w:rPr>
                <w:color w:val="auto"/>
                <w:sz w:val="21"/>
                <w:lang w:eastAsia="zh-CN"/>
              </w:rPr>
            </w:pPr>
          </w:p>
          <w:p>
            <w:pPr>
              <w:pStyle w:val="8"/>
              <w:ind w:firstLine="210"/>
              <w:rPr>
                <w:color w:val="auto"/>
                <w:sz w:val="21"/>
              </w:rPr>
            </w:pPr>
            <w:r>
              <w:rPr>
                <w:color w:val="auto"/>
                <w:sz w:val="21"/>
              </w:rPr>
              <w:t>表</w:t>
            </w:r>
            <w:r>
              <w:rPr>
                <w:color w:val="auto"/>
                <w:sz w:val="21"/>
                <w:lang w:eastAsia="zh-CN"/>
              </w:rPr>
              <w:t>4-7</w:t>
            </w:r>
            <w:r>
              <w:rPr>
                <w:color w:val="auto"/>
                <w:sz w:val="21"/>
              </w:rPr>
              <w:t xml:space="preserve">  </w:t>
            </w:r>
            <w:r>
              <w:rPr>
                <w:color w:val="auto"/>
                <w:sz w:val="21"/>
                <w:lang w:eastAsia="zh-CN"/>
              </w:rPr>
              <w:t>污染源排放</w:t>
            </w:r>
            <w:r>
              <w:rPr>
                <w:color w:val="auto"/>
                <w:sz w:val="21"/>
              </w:rPr>
              <w:t>参数表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
              <w:gridCol w:w="612"/>
              <w:gridCol w:w="1269"/>
              <w:gridCol w:w="1185"/>
              <w:gridCol w:w="555"/>
              <w:gridCol w:w="541"/>
              <w:gridCol w:w="407"/>
              <w:gridCol w:w="574"/>
              <w:gridCol w:w="663"/>
              <w:gridCol w:w="576"/>
              <w:gridCol w:w="398"/>
              <w:gridCol w:w="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249" w:type="pct"/>
                  <w:vMerge w:val="restart"/>
                  <w:vAlign w:val="center"/>
                </w:tcPr>
                <w:p>
                  <w:pPr>
                    <w:pStyle w:val="45"/>
                    <w:rPr>
                      <w:color w:val="auto"/>
                      <w:sz w:val="18"/>
                      <w:szCs w:val="18"/>
                      <w:lang w:val="zh-CN" w:eastAsia="zh-CN"/>
                    </w:rPr>
                  </w:pPr>
                  <w:r>
                    <w:rPr>
                      <w:color w:val="auto"/>
                      <w:sz w:val="18"/>
                      <w:szCs w:val="18"/>
                      <w:lang w:val="zh-CN" w:eastAsia="zh-CN"/>
                    </w:rPr>
                    <w:t>编号</w:t>
                  </w:r>
                </w:p>
              </w:tc>
              <w:tc>
                <w:tcPr>
                  <w:tcW w:w="385" w:type="pct"/>
                  <w:vMerge w:val="restart"/>
                  <w:vAlign w:val="center"/>
                </w:tcPr>
                <w:p>
                  <w:pPr>
                    <w:pStyle w:val="45"/>
                    <w:rPr>
                      <w:color w:val="auto"/>
                      <w:sz w:val="18"/>
                      <w:szCs w:val="18"/>
                      <w:lang w:val="zh-CN" w:eastAsia="zh-CN"/>
                    </w:rPr>
                  </w:pPr>
                  <w:r>
                    <w:rPr>
                      <w:color w:val="auto"/>
                      <w:sz w:val="18"/>
                      <w:szCs w:val="18"/>
                      <w:lang w:val="zh-CN" w:eastAsia="zh-CN"/>
                    </w:rPr>
                    <w:t>名称</w:t>
                  </w:r>
                </w:p>
              </w:tc>
              <w:tc>
                <w:tcPr>
                  <w:tcW w:w="1547" w:type="pct"/>
                  <w:gridSpan w:val="2"/>
                  <w:vAlign w:val="center"/>
                </w:tcPr>
                <w:p>
                  <w:pPr>
                    <w:pStyle w:val="45"/>
                    <w:rPr>
                      <w:color w:val="auto"/>
                      <w:sz w:val="18"/>
                      <w:szCs w:val="18"/>
                      <w:lang w:val="zh-CN" w:eastAsia="zh-CN"/>
                    </w:rPr>
                  </w:pPr>
                  <w:r>
                    <w:rPr>
                      <w:color w:val="auto"/>
                      <w:sz w:val="18"/>
                      <w:szCs w:val="18"/>
                      <w:lang w:val="zh-CN" w:eastAsia="zh-CN"/>
                    </w:rPr>
                    <w:t>面源起点坐标/m</w:t>
                  </w:r>
                </w:p>
              </w:tc>
              <w:tc>
                <w:tcPr>
                  <w:tcW w:w="349" w:type="pct"/>
                  <w:vMerge w:val="restart"/>
                  <w:vAlign w:val="center"/>
                </w:tcPr>
                <w:p>
                  <w:pPr>
                    <w:pStyle w:val="45"/>
                    <w:ind w:right="-80" w:rightChars="-38"/>
                    <w:rPr>
                      <w:color w:val="auto"/>
                      <w:sz w:val="18"/>
                      <w:szCs w:val="18"/>
                      <w:lang w:val="zh-CN" w:eastAsia="zh-CN"/>
                    </w:rPr>
                  </w:pPr>
                  <w:r>
                    <w:rPr>
                      <w:color w:val="auto"/>
                      <w:sz w:val="18"/>
                      <w:szCs w:val="18"/>
                      <w:lang w:val="zh-CN" w:eastAsia="zh-CN"/>
                    </w:rPr>
                    <w:t>面源海拔高度/m</w:t>
                  </w:r>
                </w:p>
              </w:tc>
              <w:tc>
                <w:tcPr>
                  <w:tcW w:w="341" w:type="pct"/>
                  <w:vMerge w:val="restart"/>
                  <w:vAlign w:val="center"/>
                </w:tcPr>
                <w:p>
                  <w:pPr>
                    <w:pStyle w:val="45"/>
                    <w:rPr>
                      <w:color w:val="auto"/>
                      <w:sz w:val="18"/>
                      <w:szCs w:val="18"/>
                      <w:lang w:val="zh-CN" w:eastAsia="zh-CN"/>
                    </w:rPr>
                  </w:pPr>
                  <w:r>
                    <w:rPr>
                      <w:color w:val="auto"/>
                      <w:sz w:val="18"/>
                      <w:szCs w:val="18"/>
                      <w:lang w:val="zh-CN" w:eastAsia="zh-CN"/>
                    </w:rPr>
                    <w:t>面源长度/m</w:t>
                  </w:r>
                </w:p>
              </w:tc>
              <w:tc>
                <w:tcPr>
                  <w:tcW w:w="256" w:type="pct"/>
                  <w:vMerge w:val="restart"/>
                  <w:vAlign w:val="center"/>
                </w:tcPr>
                <w:p>
                  <w:pPr>
                    <w:pStyle w:val="45"/>
                    <w:rPr>
                      <w:color w:val="auto"/>
                      <w:sz w:val="18"/>
                      <w:szCs w:val="18"/>
                      <w:lang w:val="zh-CN" w:eastAsia="zh-CN"/>
                    </w:rPr>
                  </w:pPr>
                  <w:r>
                    <w:rPr>
                      <w:color w:val="auto"/>
                      <w:sz w:val="18"/>
                      <w:szCs w:val="18"/>
                      <w:lang w:val="zh-CN" w:eastAsia="zh-CN"/>
                    </w:rPr>
                    <w:t>面源宽度/m</w:t>
                  </w:r>
                </w:p>
              </w:tc>
              <w:tc>
                <w:tcPr>
                  <w:tcW w:w="361" w:type="pct"/>
                  <w:vMerge w:val="restart"/>
                  <w:vAlign w:val="center"/>
                </w:tcPr>
                <w:p>
                  <w:pPr>
                    <w:pStyle w:val="45"/>
                    <w:rPr>
                      <w:color w:val="auto"/>
                      <w:sz w:val="18"/>
                      <w:szCs w:val="18"/>
                      <w:lang w:val="zh-CN" w:eastAsia="zh-CN"/>
                    </w:rPr>
                  </w:pPr>
                  <w:r>
                    <w:rPr>
                      <w:color w:val="auto"/>
                      <w:sz w:val="18"/>
                      <w:szCs w:val="18"/>
                      <w:lang w:val="zh-CN" w:eastAsia="zh-CN"/>
                    </w:rPr>
                    <w:t>与正北向夹角/°</w:t>
                  </w:r>
                </w:p>
              </w:tc>
              <w:tc>
                <w:tcPr>
                  <w:tcW w:w="418" w:type="pct"/>
                  <w:vMerge w:val="restart"/>
                  <w:vAlign w:val="center"/>
                </w:tcPr>
                <w:p>
                  <w:pPr>
                    <w:pStyle w:val="45"/>
                    <w:rPr>
                      <w:color w:val="auto"/>
                      <w:sz w:val="18"/>
                      <w:szCs w:val="18"/>
                      <w:lang w:val="zh-CN" w:eastAsia="zh-CN"/>
                    </w:rPr>
                  </w:pPr>
                  <w:r>
                    <w:rPr>
                      <w:color w:val="auto"/>
                      <w:sz w:val="18"/>
                      <w:szCs w:val="18"/>
                      <w:lang w:val="zh-CN" w:eastAsia="zh-CN"/>
                    </w:rPr>
                    <w:t>面源有效排放高度/m</w:t>
                  </w:r>
                </w:p>
              </w:tc>
              <w:tc>
                <w:tcPr>
                  <w:tcW w:w="363" w:type="pct"/>
                  <w:vMerge w:val="restart"/>
                  <w:vAlign w:val="center"/>
                </w:tcPr>
                <w:p>
                  <w:pPr>
                    <w:pStyle w:val="45"/>
                    <w:rPr>
                      <w:color w:val="auto"/>
                      <w:sz w:val="18"/>
                      <w:szCs w:val="18"/>
                      <w:lang w:val="zh-CN" w:eastAsia="zh-CN"/>
                    </w:rPr>
                  </w:pPr>
                  <w:r>
                    <w:rPr>
                      <w:color w:val="auto"/>
                      <w:sz w:val="18"/>
                      <w:szCs w:val="18"/>
                      <w:lang w:val="zh-CN" w:eastAsia="zh-CN"/>
                    </w:rPr>
                    <w:t>年排放小时数/h</w:t>
                  </w:r>
                </w:p>
              </w:tc>
              <w:tc>
                <w:tcPr>
                  <w:tcW w:w="250" w:type="pct"/>
                  <w:vMerge w:val="restart"/>
                  <w:vAlign w:val="center"/>
                </w:tcPr>
                <w:p>
                  <w:pPr>
                    <w:pStyle w:val="45"/>
                    <w:rPr>
                      <w:color w:val="auto"/>
                      <w:sz w:val="18"/>
                      <w:szCs w:val="18"/>
                      <w:lang w:val="zh-CN" w:eastAsia="zh-CN"/>
                    </w:rPr>
                  </w:pPr>
                  <w:r>
                    <w:rPr>
                      <w:color w:val="auto"/>
                      <w:sz w:val="18"/>
                      <w:szCs w:val="18"/>
                      <w:lang w:val="zh-CN" w:eastAsia="zh-CN"/>
                    </w:rPr>
                    <w:t>排放工况</w:t>
                  </w:r>
                </w:p>
              </w:tc>
              <w:tc>
                <w:tcPr>
                  <w:tcW w:w="476" w:type="pct"/>
                  <w:vAlign w:val="center"/>
                </w:tcPr>
                <w:p>
                  <w:pPr>
                    <w:pStyle w:val="45"/>
                    <w:rPr>
                      <w:color w:val="auto"/>
                      <w:sz w:val="18"/>
                      <w:szCs w:val="18"/>
                      <w:lang w:val="zh-CN" w:eastAsia="zh-CN"/>
                    </w:rPr>
                  </w:pPr>
                  <w:r>
                    <w:rPr>
                      <w:color w:val="auto"/>
                      <w:sz w:val="18"/>
                      <w:szCs w:val="18"/>
                      <w:lang w:val="zh-CN" w:eastAsia="zh-CN"/>
                    </w:rPr>
                    <w:t>排放速率/（t/a）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9" w:type="pct"/>
                  <w:vMerge w:val="continue"/>
                  <w:vAlign w:val="center"/>
                </w:tcPr>
                <w:p>
                  <w:pPr>
                    <w:pStyle w:val="45"/>
                    <w:rPr>
                      <w:color w:val="auto"/>
                      <w:sz w:val="18"/>
                      <w:szCs w:val="18"/>
                      <w:lang w:val="zh-CN" w:eastAsia="zh-CN"/>
                    </w:rPr>
                  </w:pPr>
                </w:p>
              </w:tc>
              <w:tc>
                <w:tcPr>
                  <w:tcW w:w="385" w:type="pct"/>
                  <w:vMerge w:val="continue"/>
                  <w:vAlign w:val="center"/>
                </w:tcPr>
                <w:p>
                  <w:pPr>
                    <w:pStyle w:val="45"/>
                    <w:rPr>
                      <w:color w:val="auto"/>
                      <w:sz w:val="18"/>
                      <w:szCs w:val="18"/>
                      <w:lang w:val="zh-CN" w:eastAsia="zh-CN"/>
                    </w:rPr>
                  </w:pPr>
                </w:p>
              </w:tc>
              <w:tc>
                <w:tcPr>
                  <w:tcW w:w="800" w:type="pct"/>
                  <w:vAlign w:val="center"/>
                </w:tcPr>
                <w:p>
                  <w:pPr>
                    <w:pStyle w:val="45"/>
                    <w:rPr>
                      <w:color w:val="auto"/>
                      <w:sz w:val="18"/>
                      <w:szCs w:val="18"/>
                      <w:lang w:val="zh-CN" w:eastAsia="zh-CN"/>
                    </w:rPr>
                  </w:pPr>
                  <w:r>
                    <w:rPr>
                      <w:color w:val="auto"/>
                      <w:sz w:val="18"/>
                      <w:szCs w:val="18"/>
                      <w:lang w:val="zh-CN" w:eastAsia="zh-CN"/>
                    </w:rPr>
                    <w:t>X</w:t>
                  </w:r>
                </w:p>
                <w:p>
                  <w:pPr>
                    <w:pStyle w:val="45"/>
                    <w:rPr>
                      <w:color w:val="auto"/>
                      <w:sz w:val="18"/>
                      <w:szCs w:val="18"/>
                      <w:lang w:val="zh-CN" w:eastAsia="zh-CN"/>
                    </w:rPr>
                  </w:pPr>
                  <w:r>
                    <w:rPr>
                      <w:color w:val="auto"/>
                      <w:sz w:val="18"/>
                      <w:szCs w:val="18"/>
                      <w:lang w:val="zh-CN" w:eastAsia="zh-CN"/>
                    </w:rPr>
                    <w:t>（E）</w:t>
                  </w:r>
                </w:p>
              </w:tc>
              <w:tc>
                <w:tcPr>
                  <w:tcW w:w="747" w:type="pct"/>
                  <w:vAlign w:val="center"/>
                </w:tcPr>
                <w:p>
                  <w:pPr>
                    <w:pStyle w:val="45"/>
                    <w:rPr>
                      <w:color w:val="auto"/>
                      <w:sz w:val="18"/>
                      <w:szCs w:val="18"/>
                      <w:lang w:val="zh-CN" w:eastAsia="zh-CN"/>
                    </w:rPr>
                  </w:pPr>
                  <w:r>
                    <w:rPr>
                      <w:color w:val="auto"/>
                      <w:sz w:val="18"/>
                      <w:szCs w:val="18"/>
                      <w:lang w:val="zh-CN" w:eastAsia="zh-CN"/>
                    </w:rPr>
                    <w:t>Y</w:t>
                  </w:r>
                </w:p>
                <w:p>
                  <w:pPr>
                    <w:pStyle w:val="45"/>
                    <w:rPr>
                      <w:color w:val="auto"/>
                      <w:sz w:val="18"/>
                      <w:szCs w:val="18"/>
                      <w:lang w:val="zh-CN" w:eastAsia="zh-CN"/>
                    </w:rPr>
                  </w:pPr>
                  <w:r>
                    <w:rPr>
                      <w:color w:val="auto"/>
                      <w:sz w:val="18"/>
                      <w:szCs w:val="18"/>
                      <w:lang w:val="zh-CN" w:eastAsia="zh-CN"/>
                    </w:rPr>
                    <w:t>（N）</w:t>
                  </w:r>
                </w:p>
              </w:tc>
              <w:tc>
                <w:tcPr>
                  <w:tcW w:w="349" w:type="pct"/>
                  <w:vMerge w:val="continue"/>
                  <w:vAlign w:val="center"/>
                </w:tcPr>
                <w:p>
                  <w:pPr>
                    <w:pStyle w:val="45"/>
                    <w:rPr>
                      <w:color w:val="auto"/>
                      <w:sz w:val="18"/>
                      <w:szCs w:val="18"/>
                      <w:lang w:val="zh-CN" w:eastAsia="zh-CN"/>
                    </w:rPr>
                  </w:pPr>
                </w:p>
              </w:tc>
              <w:tc>
                <w:tcPr>
                  <w:tcW w:w="341" w:type="pct"/>
                  <w:vMerge w:val="continue"/>
                  <w:vAlign w:val="center"/>
                </w:tcPr>
                <w:p>
                  <w:pPr>
                    <w:pStyle w:val="45"/>
                    <w:rPr>
                      <w:color w:val="auto"/>
                      <w:sz w:val="18"/>
                      <w:szCs w:val="18"/>
                      <w:lang w:val="zh-CN" w:eastAsia="zh-CN"/>
                    </w:rPr>
                  </w:pPr>
                </w:p>
              </w:tc>
              <w:tc>
                <w:tcPr>
                  <w:tcW w:w="256" w:type="pct"/>
                  <w:vMerge w:val="continue"/>
                  <w:vAlign w:val="center"/>
                </w:tcPr>
                <w:p>
                  <w:pPr>
                    <w:pStyle w:val="45"/>
                    <w:rPr>
                      <w:color w:val="auto"/>
                      <w:sz w:val="18"/>
                      <w:szCs w:val="18"/>
                      <w:lang w:val="zh-CN" w:eastAsia="zh-CN"/>
                    </w:rPr>
                  </w:pPr>
                </w:p>
              </w:tc>
              <w:tc>
                <w:tcPr>
                  <w:tcW w:w="361" w:type="pct"/>
                  <w:vMerge w:val="continue"/>
                  <w:vAlign w:val="center"/>
                </w:tcPr>
                <w:p>
                  <w:pPr>
                    <w:pStyle w:val="45"/>
                    <w:rPr>
                      <w:color w:val="auto"/>
                      <w:sz w:val="18"/>
                      <w:szCs w:val="18"/>
                      <w:lang w:val="zh-CN" w:eastAsia="zh-CN"/>
                    </w:rPr>
                  </w:pPr>
                </w:p>
              </w:tc>
              <w:tc>
                <w:tcPr>
                  <w:tcW w:w="418" w:type="pct"/>
                  <w:vMerge w:val="continue"/>
                  <w:vAlign w:val="center"/>
                </w:tcPr>
                <w:p>
                  <w:pPr>
                    <w:pStyle w:val="45"/>
                    <w:rPr>
                      <w:color w:val="auto"/>
                      <w:sz w:val="18"/>
                      <w:szCs w:val="18"/>
                      <w:lang w:val="zh-CN" w:eastAsia="zh-CN"/>
                    </w:rPr>
                  </w:pPr>
                </w:p>
              </w:tc>
              <w:tc>
                <w:tcPr>
                  <w:tcW w:w="363" w:type="pct"/>
                  <w:vMerge w:val="continue"/>
                  <w:vAlign w:val="center"/>
                </w:tcPr>
                <w:p>
                  <w:pPr>
                    <w:pStyle w:val="45"/>
                    <w:rPr>
                      <w:color w:val="auto"/>
                      <w:sz w:val="18"/>
                      <w:szCs w:val="18"/>
                      <w:lang w:val="zh-CN" w:eastAsia="zh-CN"/>
                    </w:rPr>
                  </w:pPr>
                </w:p>
              </w:tc>
              <w:tc>
                <w:tcPr>
                  <w:tcW w:w="250" w:type="pct"/>
                  <w:vMerge w:val="continue"/>
                  <w:vAlign w:val="center"/>
                </w:tcPr>
                <w:p>
                  <w:pPr>
                    <w:pStyle w:val="45"/>
                    <w:rPr>
                      <w:color w:val="auto"/>
                      <w:sz w:val="18"/>
                      <w:szCs w:val="18"/>
                      <w:lang w:val="zh-CN" w:eastAsia="zh-CN"/>
                    </w:rPr>
                  </w:pPr>
                </w:p>
              </w:tc>
              <w:tc>
                <w:tcPr>
                  <w:tcW w:w="476" w:type="pct"/>
                  <w:vAlign w:val="center"/>
                </w:tcPr>
                <w:p>
                  <w:pPr>
                    <w:pStyle w:val="45"/>
                    <w:rPr>
                      <w:color w:val="auto"/>
                      <w:sz w:val="18"/>
                      <w:szCs w:val="18"/>
                      <w:lang w:val="zh-CN" w:eastAsia="zh-CN"/>
                    </w:rPr>
                  </w:pPr>
                  <w:r>
                    <w:rPr>
                      <w:color w:val="auto"/>
                      <w:sz w:val="18"/>
                      <w:szCs w:val="18"/>
                      <w:lang w:val="zh-CN" w:eastAsia="zh-CN"/>
                    </w:rPr>
                    <w:t>TSP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9" w:type="pct"/>
                  <w:vAlign w:val="center"/>
                </w:tcPr>
                <w:p>
                  <w:pPr>
                    <w:pStyle w:val="45"/>
                    <w:rPr>
                      <w:color w:val="auto"/>
                      <w:sz w:val="18"/>
                      <w:szCs w:val="18"/>
                      <w:lang w:val="zh-CN" w:eastAsia="zh-CN"/>
                    </w:rPr>
                  </w:pPr>
                  <w:r>
                    <w:rPr>
                      <w:color w:val="auto"/>
                      <w:sz w:val="18"/>
                      <w:szCs w:val="18"/>
                      <w:lang w:val="zh-CN" w:eastAsia="zh-CN"/>
                    </w:rPr>
                    <w:t>1#</w:t>
                  </w:r>
                </w:p>
              </w:tc>
              <w:tc>
                <w:tcPr>
                  <w:tcW w:w="385" w:type="pct"/>
                  <w:vAlign w:val="center"/>
                </w:tcPr>
                <w:p>
                  <w:pPr>
                    <w:pStyle w:val="45"/>
                    <w:rPr>
                      <w:color w:val="auto"/>
                      <w:sz w:val="18"/>
                      <w:szCs w:val="18"/>
                      <w:lang w:val="zh-CN" w:eastAsia="zh-CN"/>
                    </w:rPr>
                  </w:pPr>
                  <w:r>
                    <w:rPr>
                      <w:rFonts w:hint="eastAsia"/>
                      <w:color w:val="auto"/>
                      <w:sz w:val="18"/>
                      <w:szCs w:val="18"/>
                      <w:lang w:val="zh-CN" w:eastAsia="zh-CN"/>
                    </w:rPr>
                    <w:t>加工区</w:t>
                  </w:r>
                </w:p>
              </w:tc>
              <w:tc>
                <w:tcPr>
                  <w:tcW w:w="800" w:type="pct"/>
                  <w:vAlign w:val="center"/>
                </w:tcPr>
                <w:p>
                  <w:pPr>
                    <w:pStyle w:val="45"/>
                    <w:rPr>
                      <w:color w:val="auto"/>
                      <w:sz w:val="18"/>
                      <w:szCs w:val="18"/>
                      <w:lang w:val="zh-CN" w:eastAsia="zh-CN"/>
                    </w:rPr>
                  </w:pPr>
                  <w:r>
                    <w:rPr>
                      <w:rFonts w:hint="eastAsia"/>
                      <w:color w:val="auto"/>
                      <w:sz w:val="18"/>
                      <w:szCs w:val="18"/>
                      <w:lang w:val="zh-CN" w:eastAsia="zh-CN"/>
                    </w:rPr>
                    <w:t>112.552130</w:t>
                  </w:r>
                </w:p>
              </w:tc>
              <w:tc>
                <w:tcPr>
                  <w:tcW w:w="747" w:type="pct"/>
                  <w:vAlign w:val="center"/>
                </w:tcPr>
                <w:p>
                  <w:pPr>
                    <w:pStyle w:val="45"/>
                    <w:rPr>
                      <w:color w:val="auto"/>
                      <w:sz w:val="18"/>
                      <w:szCs w:val="18"/>
                      <w:lang w:val="zh-CN" w:eastAsia="zh-CN"/>
                    </w:rPr>
                  </w:pPr>
                  <w:r>
                    <w:rPr>
                      <w:rFonts w:hint="eastAsia"/>
                      <w:color w:val="auto"/>
                      <w:sz w:val="18"/>
                      <w:szCs w:val="18"/>
                      <w:lang w:val="zh-CN" w:eastAsia="zh-CN"/>
                    </w:rPr>
                    <w:t>27.</w:t>
                  </w:r>
                  <w:r>
                    <w:rPr>
                      <w:rFonts w:hint="eastAsia"/>
                      <w:color w:val="auto"/>
                      <w:sz w:val="18"/>
                      <w:szCs w:val="18"/>
                      <w:lang w:val="en-US" w:eastAsia="zh-CN"/>
                    </w:rPr>
                    <w:t>2</w:t>
                  </w:r>
                  <w:r>
                    <w:rPr>
                      <w:rFonts w:hint="eastAsia"/>
                      <w:color w:val="auto"/>
                      <w:sz w:val="18"/>
                      <w:szCs w:val="18"/>
                      <w:lang w:val="zh-CN" w:eastAsia="zh-CN"/>
                    </w:rPr>
                    <w:t>41</w:t>
                  </w:r>
                  <w:r>
                    <w:rPr>
                      <w:rFonts w:hint="eastAsia"/>
                      <w:color w:val="auto"/>
                      <w:sz w:val="18"/>
                      <w:szCs w:val="18"/>
                      <w:lang w:val="en-US" w:eastAsia="zh-CN"/>
                    </w:rPr>
                    <w:t>8</w:t>
                  </w:r>
                  <w:r>
                    <w:rPr>
                      <w:rFonts w:hint="eastAsia"/>
                      <w:color w:val="auto"/>
                      <w:sz w:val="18"/>
                      <w:szCs w:val="18"/>
                      <w:lang w:val="zh-CN" w:eastAsia="zh-CN"/>
                    </w:rPr>
                    <w:t>5</w:t>
                  </w:r>
                  <w:r>
                    <w:rPr>
                      <w:rFonts w:hint="eastAsia"/>
                      <w:color w:val="auto"/>
                      <w:sz w:val="18"/>
                      <w:szCs w:val="18"/>
                      <w:lang w:val="en-US" w:eastAsia="zh-CN"/>
                    </w:rPr>
                    <w:t>6</w:t>
                  </w:r>
                </w:p>
              </w:tc>
              <w:tc>
                <w:tcPr>
                  <w:tcW w:w="349" w:type="pct"/>
                  <w:vAlign w:val="center"/>
                </w:tcPr>
                <w:p>
                  <w:pPr>
                    <w:pStyle w:val="45"/>
                    <w:rPr>
                      <w:color w:val="auto"/>
                      <w:sz w:val="18"/>
                      <w:szCs w:val="18"/>
                      <w:lang w:val="zh-CN" w:eastAsia="zh-CN"/>
                    </w:rPr>
                  </w:pPr>
                  <w:r>
                    <w:rPr>
                      <w:color w:val="auto"/>
                      <w:sz w:val="18"/>
                      <w:szCs w:val="18"/>
                      <w:lang w:val="zh-CN" w:eastAsia="zh-CN"/>
                    </w:rPr>
                    <w:t>—</w:t>
                  </w:r>
                </w:p>
              </w:tc>
              <w:tc>
                <w:tcPr>
                  <w:tcW w:w="341" w:type="pct"/>
                  <w:vAlign w:val="center"/>
                </w:tcPr>
                <w:p>
                  <w:pPr>
                    <w:pStyle w:val="45"/>
                    <w:rPr>
                      <w:rFonts w:hint="default"/>
                      <w:color w:val="auto"/>
                      <w:sz w:val="18"/>
                      <w:szCs w:val="18"/>
                      <w:lang w:val="en-US" w:eastAsia="zh-CN"/>
                    </w:rPr>
                  </w:pPr>
                  <w:r>
                    <w:rPr>
                      <w:rFonts w:hint="eastAsia"/>
                      <w:color w:val="auto"/>
                      <w:sz w:val="18"/>
                      <w:szCs w:val="18"/>
                      <w:lang w:val="en-US" w:eastAsia="zh-CN"/>
                    </w:rPr>
                    <w:t>60</w:t>
                  </w:r>
                </w:p>
              </w:tc>
              <w:tc>
                <w:tcPr>
                  <w:tcW w:w="256" w:type="pct"/>
                  <w:vAlign w:val="center"/>
                </w:tcPr>
                <w:p>
                  <w:pPr>
                    <w:pStyle w:val="45"/>
                    <w:rPr>
                      <w:rFonts w:hint="default"/>
                      <w:color w:val="auto"/>
                      <w:sz w:val="18"/>
                      <w:szCs w:val="18"/>
                      <w:lang w:val="en-US" w:eastAsia="zh-CN"/>
                    </w:rPr>
                  </w:pPr>
                  <w:r>
                    <w:rPr>
                      <w:rFonts w:hint="eastAsia"/>
                      <w:color w:val="auto"/>
                      <w:sz w:val="18"/>
                      <w:szCs w:val="18"/>
                      <w:lang w:val="en-US" w:eastAsia="zh-CN"/>
                    </w:rPr>
                    <w:t>50</w:t>
                  </w:r>
                </w:p>
              </w:tc>
              <w:tc>
                <w:tcPr>
                  <w:tcW w:w="361" w:type="pct"/>
                  <w:vAlign w:val="center"/>
                </w:tcPr>
                <w:p>
                  <w:pPr>
                    <w:pStyle w:val="45"/>
                    <w:rPr>
                      <w:rFonts w:hint="default"/>
                      <w:color w:val="auto"/>
                      <w:sz w:val="18"/>
                      <w:szCs w:val="18"/>
                      <w:lang w:val="en-US" w:eastAsia="zh-CN"/>
                    </w:rPr>
                  </w:pPr>
                  <w:r>
                    <w:rPr>
                      <w:rFonts w:hint="eastAsia"/>
                      <w:color w:val="auto"/>
                      <w:sz w:val="18"/>
                      <w:szCs w:val="18"/>
                      <w:lang w:val="en-US" w:eastAsia="zh-CN"/>
                    </w:rPr>
                    <w:t>140</w:t>
                  </w:r>
                </w:p>
              </w:tc>
              <w:tc>
                <w:tcPr>
                  <w:tcW w:w="418" w:type="pct"/>
                  <w:vAlign w:val="center"/>
                </w:tcPr>
                <w:p>
                  <w:pPr>
                    <w:pStyle w:val="45"/>
                    <w:rPr>
                      <w:color w:val="auto"/>
                      <w:sz w:val="18"/>
                      <w:szCs w:val="18"/>
                      <w:lang w:val="zh-CN" w:eastAsia="zh-CN"/>
                    </w:rPr>
                  </w:pPr>
                  <w:r>
                    <w:rPr>
                      <w:color w:val="auto"/>
                      <w:sz w:val="18"/>
                      <w:szCs w:val="18"/>
                      <w:lang w:val="zh-CN" w:eastAsia="zh-CN"/>
                    </w:rPr>
                    <w:t>10</w:t>
                  </w:r>
                </w:p>
              </w:tc>
              <w:tc>
                <w:tcPr>
                  <w:tcW w:w="363" w:type="pct"/>
                  <w:vAlign w:val="center"/>
                </w:tcPr>
                <w:p>
                  <w:pPr>
                    <w:pStyle w:val="45"/>
                    <w:rPr>
                      <w:color w:val="auto"/>
                      <w:sz w:val="18"/>
                      <w:szCs w:val="18"/>
                      <w:lang w:val="zh-CN" w:eastAsia="zh-CN"/>
                    </w:rPr>
                  </w:pPr>
                  <w:r>
                    <w:rPr>
                      <w:color w:val="auto"/>
                      <w:sz w:val="18"/>
                      <w:szCs w:val="18"/>
                      <w:lang w:val="zh-CN" w:eastAsia="zh-CN"/>
                    </w:rPr>
                    <w:t>3600</w:t>
                  </w:r>
                </w:p>
              </w:tc>
              <w:tc>
                <w:tcPr>
                  <w:tcW w:w="250" w:type="pct"/>
                  <w:vAlign w:val="center"/>
                </w:tcPr>
                <w:p>
                  <w:pPr>
                    <w:pStyle w:val="45"/>
                    <w:rPr>
                      <w:color w:val="auto"/>
                      <w:sz w:val="18"/>
                      <w:szCs w:val="18"/>
                      <w:lang w:val="zh-CN" w:eastAsia="zh-CN"/>
                    </w:rPr>
                  </w:pPr>
                  <w:r>
                    <w:rPr>
                      <w:color w:val="auto"/>
                      <w:sz w:val="18"/>
                      <w:szCs w:val="18"/>
                      <w:lang w:val="zh-CN" w:eastAsia="zh-CN"/>
                    </w:rPr>
                    <w:t>正常</w:t>
                  </w:r>
                </w:p>
              </w:tc>
              <w:tc>
                <w:tcPr>
                  <w:tcW w:w="476" w:type="pct"/>
                  <w:vAlign w:val="center"/>
                </w:tcPr>
                <w:p>
                  <w:pPr>
                    <w:pStyle w:val="45"/>
                    <w:rPr>
                      <w:rFonts w:hint="default"/>
                      <w:color w:val="auto"/>
                      <w:sz w:val="18"/>
                      <w:szCs w:val="18"/>
                      <w:lang w:val="en-US" w:eastAsia="zh-CN"/>
                    </w:rPr>
                  </w:pPr>
                  <w:r>
                    <w:rPr>
                      <w:rFonts w:hint="eastAsia"/>
                      <w:color w:val="auto"/>
                      <w:sz w:val="18"/>
                      <w:szCs w:val="18"/>
                      <w:lang w:val="en-US" w:eastAsia="zh-CN"/>
                    </w:rPr>
                    <w:t>0.450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9" w:type="pct"/>
                  <w:vAlign w:val="center"/>
                </w:tcPr>
                <w:p>
                  <w:pPr>
                    <w:pStyle w:val="45"/>
                    <w:rPr>
                      <w:rFonts w:hint="default"/>
                      <w:color w:val="auto"/>
                      <w:sz w:val="18"/>
                      <w:szCs w:val="18"/>
                      <w:lang w:val="en-US" w:eastAsia="zh-CN"/>
                    </w:rPr>
                  </w:pPr>
                  <w:r>
                    <w:rPr>
                      <w:rFonts w:hint="eastAsia"/>
                      <w:color w:val="auto"/>
                      <w:sz w:val="18"/>
                      <w:szCs w:val="18"/>
                      <w:lang w:val="en-US" w:eastAsia="zh-CN"/>
                    </w:rPr>
                    <w:t>2#</w:t>
                  </w:r>
                </w:p>
              </w:tc>
              <w:tc>
                <w:tcPr>
                  <w:tcW w:w="385" w:type="pct"/>
                  <w:vAlign w:val="center"/>
                </w:tcPr>
                <w:p>
                  <w:pPr>
                    <w:pStyle w:val="45"/>
                    <w:rPr>
                      <w:color w:val="auto"/>
                      <w:sz w:val="18"/>
                      <w:szCs w:val="18"/>
                      <w:lang w:val="zh-CN" w:eastAsia="zh-CN"/>
                    </w:rPr>
                  </w:pPr>
                  <w:r>
                    <w:rPr>
                      <w:rFonts w:hint="eastAsia"/>
                      <w:color w:val="auto"/>
                      <w:sz w:val="18"/>
                      <w:szCs w:val="18"/>
                      <w:lang w:val="zh-CN" w:eastAsia="zh-CN"/>
                    </w:rPr>
                    <w:t>成品堆场</w:t>
                  </w:r>
                </w:p>
              </w:tc>
              <w:tc>
                <w:tcPr>
                  <w:tcW w:w="800" w:type="pct"/>
                  <w:vAlign w:val="center"/>
                </w:tcPr>
                <w:p>
                  <w:pPr>
                    <w:pStyle w:val="45"/>
                    <w:rPr>
                      <w:rFonts w:hint="default"/>
                      <w:color w:val="auto"/>
                      <w:sz w:val="18"/>
                      <w:szCs w:val="18"/>
                      <w:lang w:val="en-US" w:eastAsia="zh-CN"/>
                    </w:rPr>
                  </w:pPr>
                  <w:r>
                    <w:rPr>
                      <w:rFonts w:hint="eastAsia"/>
                      <w:color w:val="auto"/>
                      <w:sz w:val="18"/>
                      <w:szCs w:val="18"/>
                      <w:lang w:val="en-US" w:eastAsia="zh-CN"/>
                    </w:rPr>
                    <w:t>112.554698</w:t>
                  </w:r>
                </w:p>
              </w:tc>
              <w:tc>
                <w:tcPr>
                  <w:tcW w:w="747" w:type="pct"/>
                  <w:vAlign w:val="center"/>
                </w:tcPr>
                <w:p>
                  <w:pPr>
                    <w:pStyle w:val="45"/>
                    <w:rPr>
                      <w:rFonts w:hint="default"/>
                      <w:color w:val="auto"/>
                      <w:sz w:val="18"/>
                      <w:szCs w:val="18"/>
                      <w:lang w:val="en-US" w:eastAsia="zh-CN"/>
                    </w:rPr>
                  </w:pPr>
                  <w:r>
                    <w:rPr>
                      <w:rFonts w:hint="eastAsia"/>
                      <w:color w:val="auto"/>
                      <w:sz w:val="18"/>
                      <w:szCs w:val="18"/>
                      <w:lang w:val="en-US" w:eastAsia="zh-CN"/>
                    </w:rPr>
                    <w:t>27.241948</w:t>
                  </w:r>
                </w:p>
              </w:tc>
              <w:tc>
                <w:tcPr>
                  <w:tcW w:w="349" w:type="pct"/>
                  <w:vAlign w:val="center"/>
                </w:tcPr>
                <w:p>
                  <w:pPr>
                    <w:pStyle w:val="45"/>
                    <w:rPr>
                      <w:color w:val="auto"/>
                      <w:sz w:val="18"/>
                      <w:szCs w:val="18"/>
                      <w:lang w:val="zh-CN" w:eastAsia="zh-CN"/>
                    </w:rPr>
                  </w:pPr>
                  <w:r>
                    <w:rPr>
                      <w:color w:val="auto"/>
                      <w:sz w:val="18"/>
                      <w:szCs w:val="18"/>
                      <w:lang w:val="zh-CN" w:eastAsia="zh-CN"/>
                    </w:rPr>
                    <w:t>—</w:t>
                  </w:r>
                </w:p>
              </w:tc>
              <w:tc>
                <w:tcPr>
                  <w:tcW w:w="341" w:type="pct"/>
                  <w:vAlign w:val="center"/>
                </w:tcPr>
                <w:p>
                  <w:pPr>
                    <w:pStyle w:val="45"/>
                    <w:rPr>
                      <w:rFonts w:hint="default"/>
                      <w:color w:val="auto"/>
                      <w:sz w:val="18"/>
                      <w:szCs w:val="18"/>
                      <w:lang w:val="en-US" w:eastAsia="zh-CN"/>
                    </w:rPr>
                  </w:pPr>
                  <w:r>
                    <w:rPr>
                      <w:rFonts w:hint="eastAsia"/>
                      <w:color w:val="auto"/>
                      <w:sz w:val="18"/>
                      <w:szCs w:val="18"/>
                      <w:lang w:val="en-US" w:eastAsia="zh-CN"/>
                    </w:rPr>
                    <w:t>30</w:t>
                  </w:r>
                </w:p>
              </w:tc>
              <w:tc>
                <w:tcPr>
                  <w:tcW w:w="256" w:type="pct"/>
                  <w:vAlign w:val="center"/>
                </w:tcPr>
                <w:p>
                  <w:pPr>
                    <w:pStyle w:val="45"/>
                    <w:rPr>
                      <w:rFonts w:hint="default"/>
                      <w:color w:val="auto"/>
                      <w:sz w:val="18"/>
                      <w:szCs w:val="18"/>
                      <w:lang w:val="en-US" w:eastAsia="zh-CN"/>
                    </w:rPr>
                  </w:pPr>
                  <w:r>
                    <w:rPr>
                      <w:rFonts w:hint="eastAsia"/>
                      <w:color w:val="auto"/>
                      <w:sz w:val="18"/>
                      <w:szCs w:val="18"/>
                      <w:lang w:val="en-US" w:eastAsia="zh-CN"/>
                    </w:rPr>
                    <w:t>20</w:t>
                  </w:r>
                </w:p>
              </w:tc>
              <w:tc>
                <w:tcPr>
                  <w:tcW w:w="361" w:type="pct"/>
                  <w:vAlign w:val="center"/>
                </w:tcPr>
                <w:p>
                  <w:pPr>
                    <w:pStyle w:val="45"/>
                    <w:rPr>
                      <w:rFonts w:hint="default"/>
                      <w:color w:val="auto"/>
                      <w:sz w:val="18"/>
                      <w:szCs w:val="18"/>
                      <w:lang w:val="en-US" w:eastAsia="zh-CN"/>
                    </w:rPr>
                  </w:pPr>
                  <w:r>
                    <w:rPr>
                      <w:rFonts w:hint="eastAsia"/>
                      <w:color w:val="auto"/>
                      <w:sz w:val="18"/>
                      <w:szCs w:val="18"/>
                      <w:lang w:val="en-US" w:eastAsia="zh-CN"/>
                    </w:rPr>
                    <w:t>140</w:t>
                  </w:r>
                </w:p>
              </w:tc>
              <w:tc>
                <w:tcPr>
                  <w:tcW w:w="418" w:type="pct"/>
                  <w:vAlign w:val="center"/>
                </w:tcPr>
                <w:p>
                  <w:pPr>
                    <w:pStyle w:val="45"/>
                    <w:rPr>
                      <w:rFonts w:hint="default"/>
                      <w:color w:val="auto"/>
                      <w:sz w:val="18"/>
                      <w:szCs w:val="18"/>
                      <w:lang w:val="en-US" w:eastAsia="zh-CN"/>
                    </w:rPr>
                  </w:pPr>
                  <w:r>
                    <w:rPr>
                      <w:rFonts w:hint="eastAsia"/>
                      <w:color w:val="auto"/>
                      <w:sz w:val="18"/>
                      <w:szCs w:val="18"/>
                      <w:lang w:val="en-US" w:eastAsia="zh-CN"/>
                    </w:rPr>
                    <w:t>10</w:t>
                  </w:r>
                </w:p>
              </w:tc>
              <w:tc>
                <w:tcPr>
                  <w:tcW w:w="363" w:type="pct"/>
                  <w:vAlign w:val="center"/>
                </w:tcPr>
                <w:p>
                  <w:pPr>
                    <w:pStyle w:val="45"/>
                    <w:rPr>
                      <w:rFonts w:hint="default"/>
                      <w:color w:val="auto"/>
                      <w:sz w:val="18"/>
                      <w:szCs w:val="18"/>
                      <w:lang w:val="en-US" w:eastAsia="zh-CN"/>
                    </w:rPr>
                  </w:pPr>
                  <w:r>
                    <w:rPr>
                      <w:rFonts w:hint="eastAsia"/>
                      <w:color w:val="auto"/>
                      <w:sz w:val="18"/>
                      <w:szCs w:val="18"/>
                      <w:lang w:val="en-US" w:eastAsia="zh-CN"/>
                    </w:rPr>
                    <w:t>3600</w:t>
                  </w:r>
                </w:p>
              </w:tc>
              <w:tc>
                <w:tcPr>
                  <w:tcW w:w="250" w:type="pct"/>
                  <w:vAlign w:val="center"/>
                </w:tcPr>
                <w:p>
                  <w:pPr>
                    <w:pStyle w:val="45"/>
                    <w:rPr>
                      <w:color w:val="auto"/>
                      <w:sz w:val="18"/>
                      <w:szCs w:val="18"/>
                      <w:lang w:val="zh-CN" w:eastAsia="zh-CN"/>
                    </w:rPr>
                  </w:pPr>
                  <w:r>
                    <w:rPr>
                      <w:color w:val="auto"/>
                      <w:sz w:val="18"/>
                      <w:szCs w:val="18"/>
                      <w:lang w:val="zh-CN" w:eastAsia="zh-CN"/>
                    </w:rPr>
                    <w:t>正常</w:t>
                  </w:r>
                </w:p>
              </w:tc>
              <w:tc>
                <w:tcPr>
                  <w:tcW w:w="476" w:type="pct"/>
                  <w:vAlign w:val="center"/>
                </w:tcPr>
                <w:p>
                  <w:pPr>
                    <w:pStyle w:val="45"/>
                    <w:rPr>
                      <w:rFonts w:hint="default"/>
                      <w:color w:val="auto"/>
                      <w:sz w:val="18"/>
                      <w:szCs w:val="18"/>
                      <w:lang w:val="en-US" w:eastAsia="zh-CN"/>
                    </w:rPr>
                  </w:pPr>
                  <w:r>
                    <w:rPr>
                      <w:rFonts w:hint="eastAsia"/>
                      <w:color w:val="auto"/>
                      <w:sz w:val="18"/>
                      <w:szCs w:val="18"/>
                      <w:lang w:val="en-US" w:eastAsia="zh-CN"/>
                    </w:rPr>
                    <w:t>0.639</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20" w:firstLineChars="200"/>
              <w:textAlignment w:val="auto"/>
              <w:rPr>
                <w:bCs/>
                <w:color w:val="auto"/>
                <w:spacing w:val="0"/>
                <w:sz w:val="21"/>
                <w:szCs w:val="21"/>
              </w:rPr>
            </w:pPr>
            <w:r>
              <w:rPr>
                <w:bCs/>
                <w:color w:val="auto"/>
                <w:spacing w:val="0"/>
                <w:sz w:val="21"/>
                <w:szCs w:val="21"/>
              </w:rPr>
              <w:t>估算模型结果见下表：</w:t>
            </w:r>
          </w:p>
          <w:p>
            <w:pPr>
              <w:pStyle w:val="8"/>
              <w:ind w:firstLine="210"/>
              <w:rPr>
                <w:color w:val="auto"/>
                <w:sz w:val="21"/>
              </w:rPr>
            </w:pPr>
            <w:r>
              <w:rPr>
                <w:color w:val="auto"/>
                <w:sz w:val="21"/>
              </w:rPr>
              <w:t>表4-</w:t>
            </w:r>
            <w:r>
              <w:rPr>
                <w:color w:val="auto"/>
                <w:sz w:val="21"/>
                <w:lang w:eastAsia="zh-CN"/>
              </w:rPr>
              <w:t>8</w:t>
            </w:r>
            <w:r>
              <w:rPr>
                <w:color w:val="auto"/>
                <w:sz w:val="21"/>
              </w:rPr>
              <w:t xml:space="preserve">  估算模型计算结果一览表</w:t>
            </w:r>
          </w:p>
          <w:tbl>
            <w:tblPr>
              <w:tblStyle w:val="20"/>
              <w:tblW w:w="73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8"/>
              <w:gridCol w:w="1580"/>
              <w:gridCol w:w="1520"/>
              <w:gridCol w:w="1260"/>
              <w:gridCol w:w="1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8" w:type="dxa"/>
                  <w:vMerge w:val="restart"/>
                  <w:shd w:val="clear" w:color="auto" w:fill="auto"/>
                  <w:noWrap/>
                  <w:vAlign w:val="center"/>
                </w:tcPr>
                <w:p>
                  <w:pPr>
                    <w:pStyle w:val="45"/>
                    <w:ind w:firstLine="360"/>
                    <w:rPr>
                      <w:rFonts w:hint="eastAsia" w:ascii="宋体" w:hAnsi="宋体" w:eastAsia="宋体" w:cs="宋体"/>
                      <w:color w:val="auto"/>
                      <w:sz w:val="21"/>
                      <w:szCs w:val="21"/>
                    </w:rPr>
                  </w:pPr>
                  <w:r>
                    <w:rPr>
                      <w:rFonts w:hint="eastAsia" w:ascii="宋体" w:hAnsi="宋体" w:eastAsia="宋体" w:cs="宋体"/>
                      <w:color w:val="auto"/>
                      <w:sz w:val="21"/>
                      <w:szCs w:val="21"/>
                    </w:rPr>
                    <w:t>距源中心下风向距离D（m）</w:t>
                  </w:r>
                </w:p>
              </w:tc>
              <w:tc>
                <w:tcPr>
                  <w:tcW w:w="3100" w:type="dxa"/>
                  <w:gridSpan w:val="2"/>
                  <w:shd w:val="clear" w:color="auto" w:fill="auto"/>
                  <w:noWrap/>
                  <w:vAlign w:val="center"/>
                </w:tcPr>
                <w:p>
                  <w:pPr>
                    <w:pStyle w:val="45"/>
                    <w:rPr>
                      <w:rFonts w:hint="eastAsia" w:ascii="宋体" w:hAnsi="宋体" w:eastAsia="宋体" w:cs="宋体"/>
                      <w:color w:val="auto"/>
                      <w:sz w:val="21"/>
                      <w:szCs w:val="21"/>
                      <w:lang w:eastAsia="zh-CN"/>
                    </w:rPr>
                  </w:pPr>
                  <w:r>
                    <w:rPr>
                      <w:color w:val="auto"/>
                    </w:rPr>
                    <w:t>1#</w:t>
                  </w:r>
                  <w:r>
                    <w:rPr>
                      <w:rFonts w:hint="eastAsia"/>
                      <w:color w:val="auto"/>
                      <w:lang w:eastAsia="zh-CN"/>
                    </w:rPr>
                    <w:t>加工区</w:t>
                  </w:r>
                  <w:r>
                    <w:rPr>
                      <w:color w:val="auto"/>
                    </w:rPr>
                    <w:t>粉尘</w:t>
                  </w:r>
                </w:p>
              </w:tc>
              <w:tc>
                <w:tcPr>
                  <w:tcW w:w="2640" w:type="dxa"/>
                  <w:gridSpan w:val="2"/>
                  <w:shd w:val="clear" w:color="auto" w:fill="auto"/>
                  <w:noWrap/>
                  <w:vAlign w:val="center"/>
                </w:tcPr>
                <w:p>
                  <w:pPr>
                    <w:pStyle w:val="45"/>
                    <w:ind w:firstLine="360"/>
                    <w:rPr>
                      <w:rFonts w:hint="eastAsia" w:ascii="宋体" w:hAnsi="宋体" w:eastAsia="宋体" w:cs="宋体"/>
                      <w:color w:val="auto"/>
                      <w:sz w:val="21"/>
                      <w:szCs w:val="21"/>
                      <w:lang w:eastAsia="zh-CN"/>
                    </w:rPr>
                  </w:pPr>
                  <w:r>
                    <w:rPr>
                      <w:color w:val="auto"/>
                    </w:rPr>
                    <w:t>2#成品堆场粉尘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8" w:type="dxa"/>
                  <w:vMerge w:val="continue"/>
                  <w:shd w:val="clear" w:color="auto" w:fill="auto"/>
                  <w:noWrap/>
                  <w:vAlign w:val="center"/>
                </w:tcPr>
                <w:p>
                  <w:pPr>
                    <w:pStyle w:val="45"/>
                    <w:ind w:firstLine="360"/>
                    <w:rPr>
                      <w:rFonts w:hint="eastAsia" w:ascii="宋体" w:hAnsi="宋体" w:eastAsia="宋体" w:cs="宋体"/>
                      <w:color w:val="auto"/>
                      <w:sz w:val="21"/>
                      <w:szCs w:val="21"/>
                    </w:rPr>
                  </w:pPr>
                </w:p>
              </w:tc>
              <w:tc>
                <w:tcPr>
                  <w:tcW w:w="1580" w:type="dxa"/>
                  <w:shd w:val="clear" w:color="auto" w:fill="auto"/>
                  <w:noWrap/>
                  <w:vAlign w:val="center"/>
                </w:tcPr>
                <w:p>
                  <w:pPr>
                    <w:pStyle w:val="45"/>
                    <w:ind w:left="0" w:leftChars="0"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预测浓度Ci（mg/m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w:t>
                  </w:r>
                </w:p>
              </w:tc>
              <w:tc>
                <w:tcPr>
                  <w:tcW w:w="1520" w:type="dxa"/>
                  <w:shd w:val="clear" w:color="auto" w:fill="auto"/>
                  <w:noWrap/>
                  <w:vAlign w:val="center"/>
                </w:tcPr>
                <w:p>
                  <w:pPr>
                    <w:pStyle w:val="45"/>
                    <w:ind w:left="0" w:leftChars="0"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占标率Pi（%）</w:t>
                  </w:r>
                </w:p>
              </w:tc>
              <w:tc>
                <w:tcPr>
                  <w:tcW w:w="1260" w:type="dxa"/>
                  <w:shd w:val="clear" w:color="auto" w:fill="auto"/>
                  <w:noWrap/>
                  <w:vAlign w:val="center"/>
                </w:tcPr>
                <w:p>
                  <w:pPr>
                    <w:pStyle w:val="45"/>
                    <w:ind w:left="0" w:leftChars="0"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预测浓度Ci（mg/m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w:t>
                  </w:r>
                </w:p>
              </w:tc>
              <w:tc>
                <w:tcPr>
                  <w:tcW w:w="1380" w:type="dxa"/>
                  <w:shd w:val="clear" w:color="auto" w:fill="auto"/>
                  <w:noWrap/>
                  <w:vAlign w:val="center"/>
                </w:tcPr>
                <w:p>
                  <w:pPr>
                    <w:pStyle w:val="45"/>
                    <w:ind w:left="0" w:leftChars="0"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占标率Pi（%）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8" w:type="dxa"/>
                  <w:shd w:val="clear" w:color="auto" w:fill="auto"/>
                  <w:noWrap/>
                  <w:vAlign w:val="center"/>
                </w:tcPr>
                <w:p>
                  <w:pPr>
                    <w:jc w:val="center"/>
                    <w:rPr>
                      <w:rFonts w:hint="eastAsia" w:ascii="宋体" w:hAnsi="宋体" w:eastAsia="宋体" w:cs="宋体"/>
                      <w:color w:val="auto"/>
                      <w:kern w:val="0"/>
                      <w:sz w:val="21"/>
                      <w:szCs w:val="21"/>
                      <w:lang w:val="zh-CN" w:eastAsia="zh-CN"/>
                    </w:rPr>
                  </w:pPr>
                  <w:r>
                    <w:rPr>
                      <w:rFonts w:hint="eastAsia" w:ascii="宋体" w:hAnsi="宋体" w:eastAsia="宋体" w:cs="宋体"/>
                      <w:color w:val="auto"/>
                      <w:kern w:val="0"/>
                      <w:sz w:val="21"/>
                      <w:szCs w:val="21"/>
                      <w:lang w:val="en-US" w:eastAsia="zh-CN"/>
                    </w:rPr>
                    <w:t>10</w:t>
                  </w:r>
                </w:p>
              </w:tc>
              <w:tc>
                <w:tcPr>
                  <w:tcW w:w="158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zh-CN" w:eastAsia="zh-CN"/>
                    </w:rPr>
                  </w:pPr>
                  <w:r>
                    <w:rPr>
                      <w:rFonts w:hint="eastAsia"/>
                      <w:color w:val="auto"/>
                    </w:rPr>
                    <w:t>0.0170</w:t>
                  </w:r>
                </w:p>
              </w:tc>
              <w:tc>
                <w:tcPr>
                  <w:tcW w:w="152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en-US" w:eastAsia="zh-CN"/>
                    </w:rPr>
                  </w:pPr>
                  <w:r>
                    <w:rPr>
                      <w:rFonts w:hint="eastAsia"/>
                      <w:color w:val="auto"/>
                    </w:rPr>
                    <w:t>1.89</w:t>
                  </w:r>
                </w:p>
              </w:tc>
              <w:tc>
                <w:tcPr>
                  <w:tcW w:w="126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color w:val="auto"/>
                    </w:rPr>
                    <w:t>0.0580</w:t>
                  </w:r>
                </w:p>
              </w:tc>
              <w:tc>
                <w:tcPr>
                  <w:tcW w:w="138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color w:val="auto"/>
                    </w:rPr>
                    <w:t>6.44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8" w:type="dxa"/>
                  <w:shd w:val="clear" w:color="auto" w:fill="auto"/>
                  <w:noWrap/>
                  <w:vAlign w:val="center"/>
                </w:tcPr>
                <w:p>
                  <w:pPr>
                    <w:jc w:val="center"/>
                    <w:rPr>
                      <w:rFonts w:hint="eastAsia" w:ascii="宋体" w:hAnsi="宋体" w:eastAsia="宋体" w:cs="宋体"/>
                      <w:color w:val="auto"/>
                      <w:kern w:val="0"/>
                      <w:sz w:val="21"/>
                      <w:szCs w:val="21"/>
                      <w:lang w:val="zh-CN" w:eastAsia="zh-CN"/>
                    </w:rPr>
                  </w:pPr>
                  <w:r>
                    <w:rPr>
                      <w:rFonts w:hint="eastAsia" w:ascii="宋体" w:hAnsi="宋体" w:eastAsia="宋体" w:cs="宋体"/>
                      <w:color w:val="auto"/>
                      <w:kern w:val="0"/>
                      <w:sz w:val="21"/>
                      <w:szCs w:val="21"/>
                      <w:lang w:val="en-US" w:eastAsia="zh-CN"/>
                    </w:rPr>
                    <w:t>25</w:t>
                  </w:r>
                </w:p>
              </w:tc>
              <w:tc>
                <w:tcPr>
                  <w:tcW w:w="158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zh-CN" w:eastAsia="zh-CN"/>
                    </w:rPr>
                  </w:pPr>
                  <w:r>
                    <w:rPr>
                      <w:rFonts w:hint="eastAsia"/>
                      <w:color w:val="auto"/>
                    </w:rPr>
                    <w:t>0.0229</w:t>
                  </w:r>
                </w:p>
              </w:tc>
              <w:tc>
                <w:tcPr>
                  <w:tcW w:w="152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zh-CN" w:eastAsia="zh-CN"/>
                    </w:rPr>
                  </w:pPr>
                  <w:r>
                    <w:rPr>
                      <w:rFonts w:hint="eastAsia"/>
                      <w:color w:val="auto"/>
                    </w:rPr>
                    <w:t>2.54</w:t>
                  </w:r>
                </w:p>
              </w:tc>
              <w:tc>
                <w:tcPr>
                  <w:tcW w:w="126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color w:val="auto"/>
                    </w:rPr>
                    <w:t>0.0768</w:t>
                  </w:r>
                </w:p>
              </w:tc>
              <w:tc>
                <w:tcPr>
                  <w:tcW w:w="138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color w:val="auto"/>
                    </w:rPr>
                    <w:t>8.53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8" w:type="dxa"/>
                  <w:shd w:val="clear" w:color="auto" w:fill="auto"/>
                  <w:noWrap/>
                  <w:vAlign w:val="center"/>
                </w:tcPr>
                <w:p>
                  <w:pPr>
                    <w:jc w:val="center"/>
                    <w:rPr>
                      <w:rFonts w:hint="eastAsia" w:ascii="宋体" w:hAnsi="宋体" w:eastAsia="宋体" w:cs="宋体"/>
                      <w:color w:val="auto"/>
                      <w:kern w:val="0"/>
                      <w:sz w:val="21"/>
                      <w:szCs w:val="21"/>
                      <w:lang w:val="zh-CN" w:eastAsia="zh-CN"/>
                    </w:rPr>
                  </w:pPr>
                  <w:r>
                    <w:rPr>
                      <w:rFonts w:hint="eastAsia" w:ascii="宋体" w:hAnsi="宋体" w:eastAsia="宋体" w:cs="宋体"/>
                      <w:color w:val="auto"/>
                      <w:kern w:val="0"/>
                      <w:sz w:val="21"/>
                      <w:szCs w:val="21"/>
                      <w:lang w:val="en-US" w:eastAsia="zh-CN"/>
                    </w:rPr>
                    <w:t>50</w:t>
                  </w:r>
                </w:p>
              </w:tc>
              <w:tc>
                <w:tcPr>
                  <w:tcW w:w="158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zh-CN" w:eastAsia="zh-CN"/>
                    </w:rPr>
                  </w:pPr>
                  <w:r>
                    <w:rPr>
                      <w:rFonts w:hint="eastAsia"/>
                      <w:color w:val="auto"/>
                    </w:rPr>
                    <w:t>0.0349</w:t>
                  </w:r>
                </w:p>
              </w:tc>
              <w:tc>
                <w:tcPr>
                  <w:tcW w:w="152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zh-CN" w:eastAsia="zh-CN"/>
                    </w:rPr>
                  </w:pPr>
                  <w:r>
                    <w:rPr>
                      <w:rFonts w:hint="eastAsia"/>
                      <w:color w:val="auto"/>
                    </w:rPr>
                    <w:t>3.88</w:t>
                  </w:r>
                </w:p>
              </w:tc>
              <w:tc>
                <w:tcPr>
                  <w:tcW w:w="126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color w:val="auto"/>
                    </w:rPr>
                    <w:t>0.0822</w:t>
                  </w:r>
                </w:p>
              </w:tc>
              <w:tc>
                <w:tcPr>
                  <w:tcW w:w="138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color w:val="auto"/>
                    </w:rPr>
                    <w:t>9.14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8" w:type="dxa"/>
                  <w:shd w:val="clear" w:color="auto" w:fill="auto"/>
                  <w:noWrap/>
                  <w:vAlign w:val="center"/>
                </w:tcPr>
                <w:p>
                  <w:pPr>
                    <w:jc w:val="center"/>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74</w:t>
                  </w:r>
                  <w:r>
                    <w:rPr>
                      <w:rFonts w:hint="eastAsia" w:ascii="宋体" w:hAnsi="宋体" w:cs="宋体"/>
                      <w:color w:val="auto"/>
                      <w:kern w:val="0"/>
                      <w:sz w:val="21"/>
                      <w:szCs w:val="21"/>
                      <w:lang w:val="en-US" w:eastAsia="zh-CN"/>
                    </w:rPr>
                    <w:t>/55</w:t>
                  </w:r>
                </w:p>
              </w:tc>
              <w:tc>
                <w:tcPr>
                  <w:tcW w:w="158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zh-CN" w:eastAsia="zh-CN"/>
                    </w:rPr>
                  </w:pPr>
                  <w:r>
                    <w:rPr>
                      <w:rFonts w:hint="eastAsia"/>
                      <w:color w:val="auto"/>
                    </w:rPr>
                    <w:t>0.0392</w:t>
                  </w:r>
                </w:p>
              </w:tc>
              <w:tc>
                <w:tcPr>
                  <w:tcW w:w="152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zh-CN" w:eastAsia="zh-CN"/>
                    </w:rPr>
                  </w:pPr>
                  <w:r>
                    <w:rPr>
                      <w:rFonts w:hint="eastAsia"/>
                      <w:color w:val="auto"/>
                    </w:rPr>
                    <w:t>4.36</w:t>
                  </w:r>
                </w:p>
              </w:tc>
              <w:tc>
                <w:tcPr>
                  <w:tcW w:w="126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color w:val="auto"/>
                    </w:rPr>
                    <w:t>0.0828</w:t>
                  </w:r>
                </w:p>
              </w:tc>
              <w:tc>
                <w:tcPr>
                  <w:tcW w:w="138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color w:val="auto"/>
                    </w:rPr>
                    <w:t>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8" w:type="dxa"/>
                  <w:shd w:val="clear" w:color="auto" w:fill="auto"/>
                  <w:noWrap/>
                  <w:vAlign w:val="center"/>
                </w:tcPr>
                <w:p>
                  <w:pPr>
                    <w:jc w:val="center"/>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75</w:t>
                  </w:r>
                </w:p>
              </w:tc>
              <w:tc>
                <w:tcPr>
                  <w:tcW w:w="158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zh-CN" w:eastAsia="zh-CN"/>
                    </w:rPr>
                  </w:pPr>
                  <w:r>
                    <w:rPr>
                      <w:rFonts w:hint="eastAsia"/>
                      <w:color w:val="auto"/>
                    </w:rPr>
                    <w:t>0.0392</w:t>
                  </w:r>
                </w:p>
              </w:tc>
              <w:tc>
                <w:tcPr>
                  <w:tcW w:w="152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zh-CN" w:eastAsia="zh-CN"/>
                    </w:rPr>
                  </w:pPr>
                  <w:r>
                    <w:rPr>
                      <w:rFonts w:hint="eastAsia"/>
                      <w:color w:val="auto"/>
                    </w:rPr>
                    <w:t>4.36</w:t>
                  </w:r>
                </w:p>
              </w:tc>
              <w:tc>
                <w:tcPr>
                  <w:tcW w:w="126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color w:val="auto"/>
                    </w:rPr>
                    <w:t>0.0764</w:t>
                  </w:r>
                </w:p>
              </w:tc>
              <w:tc>
                <w:tcPr>
                  <w:tcW w:w="138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color w:val="auto"/>
                    </w:rPr>
                    <w:t>8.49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8" w:type="dxa"/>
                  <w:shd w:val="clear" w:color="auto" w:fill="auto"/>
                  <w:noWrap/>
                  <w:vAlign w:val="center"/>
                </w:tcPr>
                <w:p>
                  <w:pPr>
                    <w:jc w:val="center"/>
                    <w:rPr>
                      <w:rFonts w:hint="eastAsia" w:ascii="宋体" w:hAnsi="宋体" w:eastAsia="宋体" w:cs="宋体"/>
                      <w:color w:val="auto"/>
                      <w:kern w:val="0"/>
                      <w:sz w:val="21"/>
                      <w:szCs w:val="21"/>
                      <w:lang w:val="zh-CN" w:eastAsia="zh-CN"/>
                    </w:rPr>
                  </w:pPr>
                  <w:r>
                    <w:rPr>
                      <w:rFonts w:hint="eastAsia" w:ascii="宋体" w:hAnsi="宋体" w:eastAsia="宋体" w:cs="宋体"/>
                      <w:color w:val="auto"/>
                      <w:kern w:val="0"/>
                      <w:sz w:val="21"/>
                      <w:szCs w:val="21"/>
                      <w:lang w:val="en-US" w:eastAsia="zh-CN"/>
                    </w:rPr>
                    <w:t>100</w:t>
                  </w:r>
                </w:p>
              </w:tc>
              <w:tc>
                <w:tcPr>
                  <w:tcW w:w="158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zh-CN" w:eastAsia="zh-CN"/>
                    </w:rPr>
                  </w:pPr>
                  <w:r>
                    <w:rPr>
                      <w:rFonts w:hint="eastAsia"/>
                      <w:color w:val="auto"/>
                    </w:rPr>
                    <w:t>0.0368</w:t>
                  </w:r>
                </w:p>
              </w:tc>
              <w:tc>
                <w:tcPr>
                  <w:tcW w:w="152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en-US" w:eastAsia="zh-CN"/>
                    </w:rPr>
                  </w:pPr>
                  <w:r>
                    <w:rPr>
                      <w:rFonts w:hint="eastAsia"/>
                      <w:color w:val="auto"/>
                    </w:rPr>
                    <w:t>4.09</w:t>
                  </w:r>
                </w:p>
              </w:tc>
              <w:tc>
                <w:tcPr>
                  <w:tcW w:w="126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color w:val="auto"/>
                    </w:rPr>
                    <w:t>0.0640</w:t>
                  </w:r>
                </w:p>
              </w:tc>
              <w:tc>
                <w:tcPr>
                  <w:tcW w:w="138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color w:val="auto"/>
                    </w:rPr>
                    <w:t>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8" w:type="dxa"/>
                  <w:shd w:val="clear" w:color="auto" w:fill="auto"/>
                  <w:noWrap/>
                  <w:vAlign w:val="center"/>
                </w:tcPr>
                <w:p>
                  <w:pPr>
                    <w:jc w:val="center"/>
                    <w:rPr>
                      <w:rFonts w:hint="eastAsia" w:ascii="宋体" w:hAnsi="宋体" w:eastAsia="宋体" w:cs="宋体"/>
                      <w:color w:val="auto"/>
                      <w:kern w:val="0"/>
                      <w:sz w:val="21"/>
                      <w:szCs w:val="21"/>
                      <w:lang w:val="zh-CN" w:eastAsia="zh-CN"/>
                    </w:rPr>
                  </w:pPr>
                  <w:r>
                    <w:rPr>
                      <w:rFonts w:hint="eastAsia" w:ascii="宋体" w:hAnsi="宋体" w:eastAsia="宋体" w:cs="宋体"/>
                      <w:color w:val="auto"/>
                      <w:kern w:val="0"/>
                      <w:sz w:val="21"/>
                      <w:szCs w:val="21"/>
                      <w:lang w:val="en-US" w:eastAsia="zh-CN"/>
                    </w:rPr>
                    <w:t>125</w:t>
                  </w:r>
                </w:p>
              </w:tc>
              <w:tc>
                <w:tcPr>
                  <w:tcW w:w="158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zh-CN" w:eastAsia="zh-CN"/>
                    </w:rPr>
                  </w:pPr>
                  <w:r>
                    <w:rPr>
                      <w:rFonts w:hint="eastAsia"/>
                      <w:color w:val="auto"/>
                    </w:rPr>
                    <w:t>0.0332</w:t>
                  </w:r>
                </w:p>
              </w:tc>
              <w:tc>
                <w:tcPr>
                  <w:tcW w:w="152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zh-CN" w:eastAsia="zh-CN"/>
                    </w:rPr>
                  </w:pPr>
                  <w:r>
                    <w:rPr>
                      <w:rFonts w:hint="eastAsia"/>
                      <w:color w:val="auto"/>
                    </w:rPr>
                    <w:t>3.69</w:t>
                  </w:r>
                </w:p>
              </w:tc>
              <w:tc>
                <w:tcPr>
                  <w:tcW w:w="126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color w:val="auto"/>
                    </w:rPr>
                    <w:t>0.0563</w:t>
                  </w:r>
                </w:p>
              </w:tc>
              <w:tc>
                <w:tcPr>
                  <w:tcW w:w="138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color w:val="auto"/>
                    </w:rPr>
                    <w:t>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8" w:type="dxa"/>
                  <w:shd w:val="clear" w:color="auto" w:fill="auto"/>
                  <w:noWrap/>
                  <w:vAlign w:val="center"/>
                </w:tcPr>
                <w:p>
                  <w:pPr>
                    <w:jc w:val="center"/>
                    <w:rPr>
                      <w:rFonts w:hint="eastAsia" w:ascii="宋体" w:hAnsi="宋体" w:eastAsia="宋体" w:cs="宋体"/>
                      <w:color w:val="auto"/>
                      <w:kern w:val="0"/>
                      <w:sz w:val="21"/>
                      <w:szCs w:val="21"/>
                      <w:lang w:val="zh-CN" w:eastAsia="zh-CN"/>
                    </w:rPr>
                  </w:pPr>
                  <w:r>
                    <w:rPr>
                      <w:rFonts w:hint="eastAsia" w:ascii="宋体" w:hAnsi="宋体" w:eastAsia="宋体" w:cs="宋体"/>
                      <w:color w:val="auto"/>
                      <w:kern w:val="0"/>
                      <w:sz w:val="21"/>
                      <w:szCs w:val="21"/>
                      <w:lang w:val="en-US" w:eastAsia="zh-CN"/>
                    </w:rPr>
                    <w:t>150</w:t>
                  </w:r>
                </w:p>
              </w:tc>
              <w:tc>
                <w:tcPr>
                  <w:tcW w:w="158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zh-CN" w:eastAsia="zh-CN"/>
                    </w:rPr>
                  </w:pPr>
                  <w:r>
                    <w:rPr>
                      <w:rFonts w:hint="eastAsia"/>
                      <w:color w:val="auto"/>
                    </w:rPr>
                    <w:t>0.0302</w:t>
                  </w:r>
                </w:p>
              </w:tc>
              <w:tc>
                <w:tcPr>
                  <w:tcW w:w="152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zh-CN" w:eastAsia="zh-CN"/>
                    </w:rPr>
                  </w:pPr>
                  <w:r>
                    <w:rPr>
                      <w:rFonts w:hint="eastAsia"/>
                      <w:color w:val="auto"/>
                    </w:rPr>
                    <w:t>3.35</w:t>
                  </w:r>
                </w:p>
              </w:tc>
              <w:tc>
                <w:tcPr>
                  <w:tcW w:w="126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color w:val="auto"/>
                    </w:rPr>
                    <w:t>0.0493</w:t>
                  </w:r>
                </w:p>
              </w:tc>
              <w:tc>
                <w:tcPr>
                  <w:tcW w:w="138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color w:val="auto"/>
                    </w:rPr>
                    <w:t>5.48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8" w:type="dxa"/>
                  <w:shd w:val="clear" w:color="auto" w:fill="auto"/>
                  <w:noWrap/>
                  <w:vAlign w:val="center"/>
                </w:tcPr>
                <w:p>
                  <w:pPr>
                    <w:jc w:val="center"/>
                    <w:rPr>
                      <w:rFonts w:hint="eastAsia" w:ascii="宋体" w:hAnsi="宋体" w:eastAsia="宋体" w:cs="宋体"/>
                      <w:color w:val="auto"/>
                      <w:kern w:val="0"/>
                      <w:sz w:val="21"/>
                      <w:szCs w:val="21"/>
                      <w:lang w:val="zh-CN" w:eastAsia="zh-CN"/>
                    </w:rPr>
                  </w:pPr>
                  <w:r>
                    <w:rPr>
                      <w:rFonts w:hint="eastAsia" w:ascii="宋体" w:hAnsi="宋体" w:eastAsia="宋体" w:cs="宋体"/>
                      <w:color w:val="auto"/>
                      <w:kern w:val="0"/>
                      <w:sz w:val="21"/>
                      <w:szCs w:val="21"/>
                      <w:lang w:val="en-US" w:eastAsia="zh-CN"/>
                    </w:rPr>
                    <w:t>175</w:t>
                  </w:r>
                </w:p>
              </w:tc>
              <w:tc>
                <w:tcPr>
                  <w:tcW w:w="158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zh-CN" w:eastAsia="zh-CN"/>
                    </w:rPr>
                  </w:pPr>
                  <w:r>
                    <w:rPr>
                      <w:rFonts w:hint="eastAsia"/>
                      <w:color w:val="auto"/>
                    </w:rPr>
                    <w:t>0.0277</w:t>
                  </w:r>
                </w:p>
              </w:tc>
              <w:tc>
                <w:tcPr>
                  <w:tcW w:w="152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zh-CN" w:eastAsia="zh-CN"/>
                    </w:rPr>
                  </w:pPr>
                  <w:r>
                    <w:rPr>
                      <w:rFonts w:hint="eastAsia"/>
                      <w:color w:val="auto"/>
                    </w:rPr>
                    <w:t>3.08</w:t>
                  </w:r>
                </w:p>
              </w:tc>
              <w:tc>
                <w:tcPr>
                  <w:tcW w:w="126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color w:val="auto"/>
                    </w:rPr>
                    <w:t>0.0441</w:t>
                  </w:r>
                </w:p>
              </w:tc>
              <w:tc>
                <w:tcPr>
                  <w:tcW w:w="138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color w:val="auto"/>
                    </w:rPr>
                    <w:t>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8" w:type="dxa"/>
                  <w:shd w:val="clear" w:color="auto" w:fill="auto"/>
                  <w:noWrap/>
                  <w:vAlign w:val="center"/>
                </w:tcPr>
                <w:p>
                  <w:pPr>
                    <w:jc w:val="center"/>
                    <w:rPr>
                      <w:rFonts w:hint="eastAsia" w:ascii="宋体" w:hAnsi="宋体" w:eastAsia="宋体" w:cs="宋体"/>
                      <w:color w:val="auto"/>
                      <w:kern w:val="0"/>
                      <w:sz w:val="21"/>
                      <w:szCs w:val="21"/>
                      <w:lang w:val="zh-CN" w:eastAsia="zh-CN"/>
                    </w:rPr>
                  </w:pPr>
                  <w:r>
                    <w:rPr>
                      <w:rFonts w:hint="eastAsia" w:ascii="宋体" w:hAnsi="宋体" w:eastAsia="宋体" w:cs="宋体"/>
                      <w:color w:val="auto"/>
                      <w:kern w:val="0"/>
                      <w:sz w:val="21"/>
                      <w:szCs w:val="21"/>
                      <w:lang w:val="en-US" w:eastAsia="zh-CN"/>
                    </w:rPr>
                    <w:t>200</w:t>
                  </w:r>
                </w:p>
              </w:tc>
              <w:tc>
                <w:tcPr>
                  <w:tcW w:w="158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zh-CN" w:eastAsia="zh-CN"/>
                    </w:rPr>
                  </w:pPr>
                  <w:r>
                    <w:rPr>
                      <w:rFonts w:hint="eastAsia"/>
                      <w:color w:val="auto"/>
                    </w:rPr>
                    <w:t>0.0256</w:t>
                  </w:r>
                </w:p>
              </w:tc>
              <w:tc>
                <w:tcPr>
                  <w:tcW w:w="152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zh-CN" w:eastAsia="zh-CN"/>
                    </w:rPr>
                  </w:pPr>
                  <w:r>
                    <w:rPr>
                      <w:rFonts w:hint="eastAsia"/>
                      <w:color w:val="auto"/>
                    </w:rPr>
                    <w:t>2.85</w:t>
                  </w:r>
                </w:p>
              </w:tc>
              <w:tc>
                <w:tcPr>
                  <w:tcW w:w="126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color w:val="auto"/>
                    </w:rPr>
                    <w:t>0.0401</w:t>
                  </w:r>
                </w:p>
              </w:tc>
              <w:tc>
                <w:tcPr>
                  <w:tcW w:w="138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color w:val="auto"/>
                    </w:rPr>
                    <w:t>4.46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8" w:type="dxa"/>
                  <w:shd w:val="clear" w:color="auto" w:fill="auto"/>
                  <w:noWrap/>
                  <w:vAlign w:val="center"/>
                </w:tcPr>
                <w:p>
                  <w:pPr>
                    <w:jc w:val="center"/>
                    <w:rPr>
                      <w:rFonts w:hint="eastAsia" w:ascii="宋体" w:hAnsi="宋体" w:eastAsia="宋体" w:cs="宋体"/>
                      <w:color w:val="auto"/>
                      <w:kern w:val="0"/>
                      <w:sz w:val="21"/>
                      <w:szCs w:val="21"/>
                      <w:lang w:val="zh-CN" w:eastAsia="zh-CN"/>
                    </w:rPr>
                  </w:pPr>
                  <w:r>
                    <w:rPr>
                      <w:rFonts w:hint="eastAsia" w:ascii="宋体" w:hAnsi="宋体" w:eastAsia="宋体" w:cs="宋体"/>
                      <w:color w:val="auto"/>
                      <w:kern w:val="0"/>
                      <w:sz w:val="21"/>
                      <w:szCs w:val="21"/>
                      <w:lang w:val="en-US" w:eastAsia="zh-CN"/>
                    </w:rPr>
                    <w:t>225</w:t>
                  </w:r>
                </w:p>
              </w:tc>
              <w:tc>
                <w:tcPr>
                  <w:tcW w:w="158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zh-CN" w:eastAsia="zh-CN"/>
                    </w:rPr>
                  </w:pPr>
                  <w:r>
                    <w:rPr>
                      <w:rFonts w:hint="eastAsia"/>
                      <w:color w:val="auto"/>
                    </w:rPr>
                    <w:t>0.0239</w:t>
                  </w:r>
                </w:p>
              </w:tc>
              <w:tc>
                <w:tcPr>
                  <w:tcW w:w="152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en-US" w:eastAsia="zh-CN"/>
                    </w:rPr>
                  </w:pPr>
                  <w:r>
                    <w:rPr>
                      <w:rFonts w:hint="eastAsia"/>
                      <w:color w:val="auto"/>
                    </w:rPr>
                    <w:t>2.66</w:t>
                  </w:r>
                </w:p>
              </w:tc>
              <w:tc>
                <w:tcPr>
                  <w:tcW w:w="126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color w:val="auto"/>
                    </w:rPr>
                    <w:t>0.0369</w:t>
                  </w:r>
                </w:p>
              </w:tc>
              <w:tc>
                <w:tcPr>
                  <w:tcW w:w="138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color w:val="auto"/>
                    </w:rPr>
                    <w:t>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8" w:type="dxa"/>
                  <w:shd w:val="clear" w:color="auto" w:fill="auto"/>
                  <w:noWrap/>
                  <w:vAlign w:val="center"/>
                </w:tcPr>
                <w:p>
                  <w:pPr>
                    <w:jc w:val="center"/>
                    <w:rPr>
                      <w:rFonts w:hint="eastAsia" w:ascii="宋体" w:hAnsi="宋体" w:eastAsia="宋体" w:cs="宋体"/>
                      <w:color w:val="auto"/>
                      <w:kern w:val="0"/>
                      <w:sz w:val="21"/>
                      <w:szCs w:val="21"/>
                      <w:lang w:val="zh-CN" w:eastAsia="zh-CN"/>
                    </w:rPr>
                  </w:pPr>
                  <w:r>
                    <w:rPr>
                      <w:rFonts w:hint="eastAsia" w:ascii="宋体" w:hAnsi="宋体" w:eastAsia="宋体" w:cs="宋体"/>
                      <w:color w:val="auto"/>
                      <w:kern w:val="0"/>
                      <w:sz w:val="21"/>
                      <w:szCs w:val="21"/>
                      <w:lang w:val="en-US" w:eastAsia="zh-CN"/>
                    </w:rPr>
                    <w:t>250</w:t>
                  </w:r>
                </w:p>
              </w:tc>
              <w:tc>
                <w:tcPr>
                  <w:tcW w:w="158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zh-CN" w:eastAsia="zh-CN"/>
                    </w:rPr>
                  </w:pPr>
                  <w:r>
                    <w:rPr>
                      <w:rFonts w:hint="eastAsia"/>
                      <w:color w:val="auto"/>
                    </w:rPr>
                    <w:t>0.0224</w:t>
                  </w:r>
                </w:p>
              </w:tc>
              <w:tc>
                <w:tcPr>
                  <w:tcW w:w="152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zh-CN" w:eastAsia="zh-CN"/>
                    </w:rPr>
                  </w:pPr>
                  <w:r>
                    <w:rPr>
                      <w:rFonts w:hint="eastAsia"/>
                      <w:color w:val="auto"/>
                    </w:rPr>
                    <w:t>2.49</w:t>
                  </w:r>
                </w:p>
              </w:tc>
              <w:tc>
                <w:tcPr>
                  <w:tcW w:w="126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color w:val="auto"/>
                    </w:rPr>
                    <w:t>0.0342</w:t>
                  </w:r>
                </w:p>
              </w:tc>
              <w:tc>
                <w:tcPr>
                  <w:tcW w:w="138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color w:val="auto"/>
                    </w:rPr>
                    <w:t>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8" w:type="dxa"/>
                  <w:shd w:val="clear" w:color="auto" w:fill="auto"/>
                  <w:noWrap/>
                  <w:vAlign w:val="center"/>
                </w:tcPr>
                <w:p>
                  <w:pPr>
                    <w:jc w:val="center"/>
                    <w:rPr>
                      <w:rFonts w:hint="eastAsia" w:ascii="宋体" w:hAnsi="宋体" w:eastAsia="宋体" w:cs="宋体"/>
                      <w:color w:val="auto"/>
                      <w:kern w:val="0"/>
                      <w:sz w:val="21"/>
                      <w:szCs w:val="21"/>
                      <w:lang w:val="zh-CN" w:eastAsia="zh-CN"/>
                    </w:rPr>
                  </w:pPr>
                  <w:r>
                    <w:rPr>
                      <w:rFonts w:hint="eastAsia" w:ascii="宋体" w:hAnsi="宋体" w:eastAsia="宋体" w:cs="宋体"/>
                      <w:color w:val="auto"/>
                      <w:kern w:val="0"/>
                      <w:sz w:val="21"/>
                      <w:szCs w:val="21"/>
                      <w:lang w:val="en-US" w:eastAsia="zh-CN"/>
                    </w:rPr>
                    <w:t>275</w:t>
                  </w:r>
                </w:p>
              </w:tc>
              <w:tc>
                <w:tcPr>
                  <w:tcW w:w="158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zh-CN" w:eastAsia="zh-CN"/>
                    </w:rPr>
                  </w:pPr>
                  <w:r>
                    <w:rPr>
                      <w:rFonts w:hint="eastAsia"/>
                      <w:color w:val="auto"/>
                    </w:rPr>
                    <w:t>0.0224</w:t>
                  </w:r>
                </w:p>
              </w:tc>
              <w:tc>
                <w:tcPr>
                  <w:tcW w:w="152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en-US" w:eastAsia="zh-CN"/>
                    </w:rPr>
                  </w:pPr>
                  <w:r>
                    <w:rPr>
                      <w:rFonts w:hint="eastAsia"/>
                      <w:color w:val="auto"/>
                    </w:rPr>
                    <w:t>2.49</w:t>
                  </w:r>
                </w:p>
              </w:tc>
              <w:tc>
                <w:tcPr>
                  <w:tcW w:w="126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color w:val="auto"/>
                    </w:rPr>
                    <w:t>0.0320</w:t>
                  </w:r>
                </w:p>
              </w:tc>
              <w:tc>
                <w:tcPr>
                  <w:tcW w:w="138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color w:val="auto"/>
                    </w:rPr>
                    <w:t>3.56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8" w:type="dxa"/>
                  <w:shd w:val="clear" w:color="auto" w:fill="auto"/>
                  <w:noWrap/>
                  <w:vAlign w:val="center"/>
                </w:tcPr>
                <w:p>
                  <w:pPr>
                    <w:jc w:val="center"/>
                    <w:rPr>
                      <w:rFonts w:hint="eastAsia" w:ascii="宋体" w:hAnsi="宋体" w:eastAsia="宋体" w:cs="宋体"/>
                      <w:color w:val="auto"/>
                      <w:kern w:val="0"/>
                      <w:sz w:val="21"/>
                      <w:szCs w:val="21"/>
                      <w:lang w:val="zh-CN" w:eastAsia="zh-CN"/>
                    </w:rPr>
                  </w:pPr>
                  <w:r>
                    <w:rPr>
                      <w:rFonts w:hint="eastAsia" w:ascii="宋体" w:hAnsi="宋体" w:eastAsia="宋体" w:cs="宋体"/>
                      <w:color w:val="auto"/>
                      <w:kern w:val="0"/>
                      <w:sz w:val="21"/>
                      <w:szCs w:val="21"/>
                      <w:lang w:val="en-US" w:eastAsia="zh-CN"/>
                    </w:rPr>
                    <w:t>300</w:t>
                  </w:r>
                </w:p>
              </w:tc>
              <w:tc>
                <w:tcPr>
                  <w:tcW w:w="158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zh-CN" w:eastAsia="zh-CN"/>
                    </w:rPr>
                  </w:pPr>
                  <w:r>
                    <w:rPr>
                      <w:rFonts w:hint="eastAsia"/>
                      <w:color w:val="auto"/>
                    </w:rPr>
                    <w:t>0.0211</w:t>
                  </w:r>
                </w:p>
              </w:tc>
              <w:tc>
                <w:tcPr>
                  <w:tcW w:w="152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zh-CN" w:eastAsia="zh-CN"/>
                    </w:rPr>
                  </w:pPr>
                  <w:r>
                    <w:rPr>
                      <w:rFonts w:hint="eastAsia"/>
                      <w:color w:val="auto"/>
                    </w:rPr>
                    <w:t>2.34</w:t>
                  </w:r>
                </w:p>
              </w:tc>
              <w:tc>
                <w:tcPr>
                  <w:tcW w:w="126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color w:val="auto"/>
                    </w:rPr>
                    <w:t>0.0301</w:t>
                  </w:r>
                </w:p>
              </w:tc>
              <w:tc>
                <w:tcPr>
                  <w:tcW w:w="138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color w:val="auto"/>
                    </w:rPr>
                    <w:t>3.34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8" w:type="dxa"/>
                  <w:shd w:val="clear" w:color="auto" w:fill="auto"/>
                  <w:noWrap/>
                  <w:vAlign w:val="center"/>
                </w:tcPr>
                <w:p>
                  <w:pPr>
                    <w:jc w:val="center"/>
                    <w:rPr>
                      <w:rFonts w:hint="eastAsia" w:ascii="宋体" w:hAnsi="宋体" w:eastAsia="宋体" w:cs="宋体"/>
                      <w:color w:val="auto"/>
                      <w:kern w:val="0"/>
                      <w:sz w:val="21"/>
                      <w:szCs w:val="21"/>
                      <w:lang w:val="zh-CN" w:eastAsia="zh-CN"/>
                    </w:rPr>
                  </w:pPr>
                  <w:r>
                    <w:rPr>
                      <w:rFonts w:hint="eastAsia" w:ascii="宋体" w:hAnsi="宋体" w:eastAsia="宋体" w:cs="宋体"/>
                      <w:color w:val="auto"/>
                      <w:kern w:val="0"/>
                      <w:sz w:val="21"/>
                      <w:szCs w:val="21"/>
                      <w:lang w:val="en-US" w:eastAsia="zh-CN"/>
                    </w:rPr>
                    <w:t>325</w:t>
                  </w:r>
                </w:p>
              </w:tc>
              <w:tc>
                <w:tcPr>
                  <w:tcW w:w="158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zh-CN" w:eastAsia="zh-CN"/>
                    </w:rPr>
                  </w:pPr>
                  <w:r>
                    <w:rPr>
                      <w:rFonts w:hint="eastAsia"/>
                      <w:color w:val="auto"/>
                    </w:rPr>
                    <w:t>0.0199</w:t>
                  </w:r>
                </w:p>
              </w:tc>
              <w:tc>
                <w:tcPr>
                  <w:tcW w:w="152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zh-CN" w:eastAsia="zh-CN"/>
                    </w:rPr>
                  </w:pPr>
                  <w:r>
                    <w:rPr>
                      <w:rFonts w:hint="eastAsia"/>
                      <w:color w:val="auto"/>
                    </w:rPr>
                    <w:t>2.21</w:t>
                  </w:r>
                </w:p>
              </w:tc>
              <w:tc>
                <w:tcPr>
                  <w:tcW w:w="126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color w:val="auto"/>
                    </w:rPr>
                    <w:t>0.0284</w:t>
                  </w:r>
                </w:p>
              </w:tc>
              <w:tc>
                <w:tcPr>
                  <w:tcW w:w="138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color w:val="auto"/>
                    </w:rPr>
                    <w:t>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8" w:type="dxa"/>
                  <w:shd w:val="clear" w:color="auto" w:fill="auto"/>
                  <w:noWrap/>
                  <w:vAlign w:val="center"/>
                </w:tcPr>
                <w:p>
                  <w:pPr>
                    <w:jc w:val="center"/>
                    <w:rPr>
                      <w:rFonts w:hint="eastAsia" w:ascii="宋体" w:hAnsi="宋体" w:eastAsia="宋体" w:cs="宋体"/>
                      <w:color w:val="auto"/>
                      <w:kern w:val="0"/>
                      <w:sz w:val="21"/>
                      <w:szCs w:val="21"/>
                      <w:lang w:val="zh-CN" w:eastAsia="zh-CN"/>
                    </w:rPr>
                  </w:pPr>
                  <w:r>
                    <w:rPr>
                      <w:rFonts w:hint="eastAsia" w:ascii="宋体" w:hAnsi="宋体" w:eastAsia="宋体" w:cs="宋体"/>
                      <w:color w:val="auto"/>
                      <w:kern w:val="0"/>
                      <w:sz w:val="21"/>
                      <w:szCs w:val="21"/>
                      <w:lang w:val="en-US" w:eastAsia="zh-CN"/>
                    </w:rPr>
                    <w:t>350</w:t>
                  </w:r>
                </w:p>
              </w:tc>
              <w:tc>
                <w:tcPr>
                  <w:tcW w:w="158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zh-CN" w:eastAsia="zh-CN"/>
                    </w:rPr>
                  </w:pPr>
                  <w:r>
                    <w:rPr>
                      <w:rFonts w:hint="eastAsia"/>
                      <w:color w:val="auto"/>
                    </w:rPr>
                    <w:t>0.0189</w:t>
                  </w:r>
                </w:p>
              </w:tc>
              <w:tc>
                <w:tcPr>
                  <w:tcW w:w="152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zh-CN" w:eastAsia="zh-CN"/>
                    </w:rPr>
                  </w:pPr>
                  <w:r>
                    <w:rPr>
                      <w:rFonts w:hint="eastAsia"/>
                      <w:color w:val="auto"/>
                    </w:rPr>
                    <w:t>2.10</w:t>
                  </w:r>
                </w:p>
              </w:tc>
              <w:tc>
                <w:tcPr>
                  <w:tcW w:w="126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color w:val="auto"/>
                    </w:rPr>
                    <w:t>0.0270</w:t>
                  </w:r>
                </w:p>
              </w:tc>
              <w:tc>
                <w:tcPr>
                  <w:tcW w:w="138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color w:val="auto"/>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8" w:type="dxa"/>
                  <w:shd w:val="clear" w:color="auto" w:fill="auto"/>
                  <w:noWrap/>
                  <w:vAlign w:val="center"/>
                </w:tcPr>
                <w:p>
                  <w:pPr>
                    <w:jc w:val="center"/>
                    <w:rPr>
                      <w:rFonts w:hint="eastAsia" w:ascii="宋体" w:hAnsi="宋体" w:eastAsia="宋体" w:cs="宋体"/>
                      <w:color w:val="auto"/>
                      <w:kern w:val="0"/>
                      <w:sz w:val="21"/>
                      <w:szCs w:val="21"/>
                      <w:lang w:val="zh-CN" w:eastAsia="zh-CN"/>
                    </w:rPr>
                  </w:pPr>
                  <w:r>
                    <w:rPr>
                      <w:rFonts w:hint="eastAsia" w:ascii="宋体" w:hAnsi="宋体" w:eastAsia="宋体" w:cs="宋体"/>
                      <w:color w:val="auto"/>
                      <w:kern w:val="0"/>
                      <w:sz w:val="21"/>
                      <w:szCs w:val="21"/>
                      <w:lang w:val="en-US" w:eastAsia="zh-CN"/>
                    </w:rPr>
                    <w:t>375</w:t>
                  </w:r>
                </w:p>
              </w:tc>
              <w:tc>
                <w:tcPr>
                  <w:tcW w:w="158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zh-CN" w:eastAsia="zh-CN"/>
                    </w:rPr>
                  </w:pPr>
                  <w:r>
                    <w:rPr>
                      <w:rFonts w:hint="eastAsia"/>
                      <w:color w:val="auto"/>
                    </w:rPr>
                    <w:t>0.0180</w:t>
                  </w:r>
                </w:p>
              </w:tc>
              <w:tc>
                <w:tcPr>
                  <w:tcW w:w="152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en-US" w:eastAsia="zh-CN"/>
                    </w:rPr>
                  </w:pPr>
                  <w:r>
                    <w:rPr>
                      <w:rFonts w:hint="eastAsia"/>
                      <w:color w:val="auto"/>
                    </w:rPr>
                    <w:t>2.00</w:t>
                  </w:r>
                </w:p>
              </w:tc>
              <w:tc>
                <w:tcPr>
                  <w:tcW w:w="126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color w:val="auto"/>
                    </w:rPr>
                    <w:t>0.0257</w:t>
                  </w:r>
                </w:p>
              </w:tc>
              <w:tc>
                <w:tcPr>
                  <w:tcW w:w="138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color w:val="auto"/>
                    </w:rPr>
                    <w:t>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8" w:type="dxa"/>
                  <w:shd w:val="clear" w:color="auto" w:fill="auto"/>
                  <w:noWrap/>
                  <w:vAlign w:val="center"/>
                </w:tcPr>
                <w:p>
                  <w:pPr>
                    <w:jc w:val="center"/>
                    <w:rPr>
                      <w:rFonts w:hint="eastAsia" w:ascii="宋体" w:hAnsi="宋体" w:eastAsia="宋体" w:cs="宋体"/>
                      <w:color w:val="auto"/>
                      <w:kern w:val="0"/>
                      <w:sz w:val="21"/>
                      <w:szCs w:val="21"/>
                      <w:lang w:val="zh-CN" w:eastAsia="zh-CN"/>
                    </w:rPr>
                  </w:pPr>
                  <w:r>
                    <w:rPr>
                      <w:rFonts w:hint="eastAsia" w:ascii="宋体" w:hAnsi="宋体" w:eastAsia="宋体" w:cs="宋体"/>
                      <w:color w:val="auto"/>
                      <w:kern w:val="0"/>
                      <w:sz w:val="21"/>
                      <w:szCs w:val="21"/>
                      <w:lang w:val="en-US" w:eastAsia="zh-CN"/>
                    </w:rPr>
                    <w:t>400</w:t>
                  </w:r>
                </w:p>
              </w:tc>
              <w:tc>
                <w:tcPr>
                  <w:tcW w:w="158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zh-CN" w:eastAsia="zh-CN"/>
                    </w:rPr>
                  </w:pPr>
                  <w:r>
                    <w:rPr>
                      <w:rFonts w:hint="eastAsia"/>
                      <w:color w:val="auto"/>
                    </w:rPr>
                    <w:t>0.0172</w:t>
                  </w:r>
                </w:p>
              </w:tc>
              <w:tc>
                <w:tcPr>
                  <w:tcW w:w="152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zh-CN" w:eastAsia="zh-CN"/>
                    </w:rPr>
                  </w:pPr>
                  <w:r>
                    <w:rPr>
                      <w:rFonts w:hint="eastAsia"/>
                      <w:color w:val="auto"/>
                    </w:rPr>
                    <w:t>1.91</w:t>
                  </w:r>
                </w:p>
              </w:tc>
              <w:tc>
                <w:tcPr>
                  <w:tcW w:w="126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color w:val="auto"/>
                    </w:rPr>
                    <w:t>0.0245</w:t>
                  </w:r>
                </w:p>
              </w:tc>
              <w:tc>
                <w:tcPr>
                  <w:tcW w:w="138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color w:val="auto"/>
                    </w:rPr>
                    <w:t>2.73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8" w:type="dxa"/>
                  <w:shd w:val="clear" w:color="auto" w:fill="auto"/>
                  <w:noWrap/>
                  <w:vAlign w:val="center"/>
                </w:tcPr>
                <w:p>
                  <w:pPr>
                    <w:jc w:val="center"/>
                    <w:rPr>
                      <w:rFonts w:hint="eastAsia" w:ascii="宋体" w:hAnsi="宋体" w:eastAsia="宋体" w:cs="宋体"/>
                      <w:color w:val="auto"/>
                      <w:kern w:val="0"/>
                      <w:sz w:val="21"/>
                      <w:szCs w:val="21"/>
                      <w:lang w:val="zh-CN" w:eastAsia="zh-CN"/>
                    </w:rPr>
                  </w:pPr>
                  <w:r>
                    <w:rPr>
                      <w:rFonts w:hint="eastAsia" w:ascii="宋体" w:hAnsi="宋体" w:eastAsia="宋体" w:cs="宋体"/>
                      <w:color w:val="auto"/>
                      <w:kern w:val="0"/>
                      <w:sz w:val="21"/>
                      <w:szCs w:val="21"/>
                      <w:lang w:val="en-US" w:eastAsia="zh-CN"/>
                    </w:rPr>
                    <w:t>425</w:t>
                  </w:r>
                </w:p>
              </w:tc>
              <w:tc>
                <w:tcPr>
                  <w:tcW w:w="158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zh-CN" w:eastAsia="zh-CN"/>
                    </w:rPr>
                  </w:pPr>
                  <w:r>
                    <w:rPr>
                      <w:rFonts w:hint="eastAsia"/>
                      <w:color w:val="auto"/>
                    </w:rPr>
                    <w:t>0.0165</w:t>
                  </w:r>
                </w:p>
              </w:tc>
              <w:tc>
                <w:tcPr>
                  <w:tcW w:w="152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zh-CN" w:eastAsia="zh-CN"/>
                    </w:rPr>
                  </w:pPr>
                  <w:r>
                    <w:rPr>
                      <w:rFonts w:hint="eastAsia"/>
                      <w:color w:val="auto"/>
                    </w:rPr>
                    <w:t>1.83</w:t>
                  </w:r>
                </w:p>
              </w:tc>
              <w:tc>
                <w:tcPr>
                  <w:tcW w:w="126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color w:val="auto"/>
                    </w:rPr>
                    <w:t>0.0235</w:t>
                  </w:r>
                </w:p>
              </w:tc>
              <w:tc>
                <w:tcPr>
                  <w:tcW w:w="138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color w:val="auto"/>
                    </w:rPr>
                    <w:t>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8" w:type="dxa"/>
                  <w:shd w:val="clear" w:color="auto" w:fill="auto"/>
                  <w:noWrap/>
                  <w:vAlign w:val="center"/>
                </w:tcPr>
                <w:p>
                  <w:pPr>
                    <w:jc w:val="center"/>
                    <w:rPr>
                      <w:rFonts w:hint="eastAsia" w:ascii="宋体" w:hAnsi="宋体" w:eastAsia="宋体" w:cs="宋体"/>
                      <w:color w:val="auto"/>
                      <w:kern w:val="0"/>
                      <w:sz w:val="21"/>
                      <w:szCs w:val="21"/>
                      <w:lang w:val="zh-CN" w:eastAsia="zh-CN"/>
                    </w:rPr>
                  </w:pPr>
                  <w:r>
                    <w:rPr>
                      <w:rFonts w:hint="eastAsia" w:ascii="宋体" w:hAnsi="宋体" w:eastAsia="宋体" w:cs="宋体"/>
                      <w:color w:val="auto"/>
                      <w:kern w:val="0"/>
                      <w:sz w:val="21"/>
                      <w:szCs w:val="21"/>
                      <w:lang w:val="en-US" w:eastAsia="zh-CN"/>
                    </w:rPr>
                    <w:t>450</w:t>
                  </w:r>
                </w:p>
              </w:tc>
              <w:tc>
                <w:tcPr>
                  <w:tcW w:w="158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zh-CN" w:eastAsia="zh-CN"/>
                    </w:rPr>
                  </w:pPr>
                  <w:r>
                    <w:rPr>
                      <w:rFonts w:hint="eastAsia"/>
                      <w:color w:val="auto"/>
                    </w:rPr>
                    <w:t>0.0158</w:t>
                  </w:r>
                </w:p>
              </w:tc>
              <w:tc>
                <w:tcPr>
                  <w:tcW w:w="152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zh-CN" w:eastAsia="zh-CN"/>
                    </w:rPr>
                  </w:pPr>
                  <w:r>
                    <w:rPr>
                      <w:rFonts w:hint="eastAsia"/>
                      <w:color w:val="auto"/>
                    </w:rPr>
                    <w:t>1.76</w:t>
                  </w:r>
                </w:p>
              </w:tc>
              <w:tc>
                <w:tcPr>
                  <w:tcW w:w="126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color w:val="auto"/>
                    </w:rPr>
                    <w:t>0.0226</w:t>
                  </w:r>
                </w:p>
              </w:tc>
              <w:tc>
                <w:tcPr>
                  <w:tcW w:w="138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color w:val="auto"/>
                    </w:rPr>
                    <w:t>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8" w:type="dxa"/>
                  <w:shd w:val="clear" w:color="auto" w:fill="auto"/>
                  <w:noWrap/>
                  <w:vAlign w:val="center"/>
                </w:tcPr>
                <w:p>
                  <w:pPr>
                    <w:jc w:val="center"/>
                    <w:rPr>
                      <w:rFonts w:hint="eastAsia" w:ascii="宋体" w:hAnsi="宋体" w:eastAsia="宋体" w:cs="宋体"/>
                      <w:color w:val="auto"/>
                      <w:kern w:val="0"/>
                      <w:sz w:val="21"/>
                      <w:szCs w:val="21"/>
                      <w:lang w:val="zh-CN" w:eastAsia="zh-CN"/>
                    </w:rPr>
                  </w:pPr>
                  <w:r>
                    <w:rPr>
                      <w:rFonts w:hint="eastAsia" w:ascii="宋体" w:hAnsi="宋体" w:eastAsia="宋体" w:cs="宋体"/>
                      <w:color w:val="auto"/>
                      <w:kern w:val="0"/>
                      <w:sz w:val="21"/>
                      <w:szCs w:val="21"/>
                      <w:lang w:val="en-US" w:eastAsia="zh-CN"/>
                    </w:rPr>
                    <w:t>475</w:t>
                  </w:r>
                </w:p>
              </w:tc>
              <w:tc>
                <w:tcPr>
                  <w:tcW w:w="158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zh-CN" w:eastAsia="zh-CN"/>
                    </w:rPr>
                  </w:pPr>
                  <w:r>
                    <w:rPr>
                      <w:rFonts w:hint="eastAsia"/>
                      <w:color w:val="auto"/>
                    </w:rPr>
                    <w:t>0.0152</w:t>
                  </w:r>
                </w:p>
              </w:tc>
              <w:tc>
                <w:tcPr>
                  <w:tcW w:w="152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zh-CN" w:eastAsia="zh-CN"/>
                    </w:rPr>
                  </w:pPr>
                  <w:r>
                    <w:rPr>
                      <w:rFonts w:hint="eastAsia"/>
                      <w:color w:val="auto"/>
                    </w:rPr>
                    <w:t>1.69</w:t>
                  </w:r>
                </w:p>
              </w:tc>
              <w:tc>
                <w:tcPr>
                  <w:tcW w:w="126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color w:val="auto"/>
                    </w:rPr>
                    <w:t>0.0217</w:t>
                  </w:r>
                </w:p>
              </w:tc>
              <w:tc>
                <w:tcPr>
                  <w:tcW w:w="138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color w:val="auto"/>
                    </w:rPr>
                    <w:t>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8" w:type="dxa"/>
                  <w:shd w:val="clear" w:color="auto" w:fill="auto"/>
                  <w:noWrap/>
                  <w:vAlign w:val="center"/>
                </w:tcPr>
                <w:p>
                  <w:pPr>
                    <w:jc w:val="center"/>
                    <w:rPr>
                      <w:rFonts w:hint="eastAsia" w:ascii="宋体" w:hAnsi="宋体" w:eastAsia="宋体" w:cs="宋体"/>
                      <w:color w:val="auto"/>
                      <w:kern w:val="0"/>
                      <w:sz w:val="21"/>
                      <w:szCs w:val="21"/>
                      <w:lang w:val="zh-CN" w:eastAsia="zh-CN"/>
                    </w:rPr>
                  </w:pPr>
                  <w:r>
                    <w:rPr>
                      <w:rFonts w:hint="eastAsia" w:ascii="宋体" w:hAnsi="宋体" w:eastAsia="宋体" w:cs="宋体"/>
                      <w:color w:val="auto"/>
                      <w:kern w:val="0"/>
                      <w:sz w:val="21"/>
                      <w:szCs w:val="21"/>
                      <w:lang w:val="en-US" w:eastAsia="zh-CN"/>
                    </w:rPr>
                    <w:t>500</w:t>
                  </w:r>
                </w:p>
              </w:tc>
              <w:tc>
                <w:tcPr>
                  <w:tcW w:w="158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zh-CN" w:eastAsia="zh-CN"/>
                    </w:rPr>
                  </w:pPr>
                  <w:r>
                    <w:rPr>
                      <w:rFonts w:hint="eastAsia"/>
                      <w:color w:val="auto"/>
                    </w:rPr>
                    <w:t>0.0147</w:t>
                  </w:r>
                </w:p>
              </w:tc>
              <w:tc>
                <w:tcPr>
                  <w:tcW w:w="152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en-US" w:eastAsia="zh-CN"/>
                    </w:rPr>
                  </w:pPr>
                  <w:r>
                    <w:rPr>
                      <w:rFonts w:hint="eastAsia"/>
                      <w:color w:val="auto"/>
                    </w:rPr>
                    <w:t>1.63</w:t>
                  </w:r>
                </w:p>
              </w:tc>
              <w:tc>
                <w:tcPr>
                  <w:tcW w:w="126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color w:val="auto"/>
                    </w:rPr>
                    <w:t>0.0210</w:t>
                  </w:r>
                </w:p>
              </w:tc>
              <w:tc>
                <w:tcPr>
                  <w:tcW w:w="138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color w:val="auto"/>
                    </w:rPr>
                    <w:t>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8" w:type="dxa"/>
                  <w:shd w:val="clear" w:color="auto" w:fill="auto"/>
                  <w:noWrap/>
                  <w:vAlign w:val="center"/>
                </w:tcPr>
                <w:p>
                  <w:pPr>
                    <w:pStyle w:val="45"/>
                    <w:ind w:firstLine="360"/>
                    <w:rPr>
                      <w:rFonts w:hint="eastAsia" w:ascii="宋体" w:hAnsi="宋体" w:eastAsia="宋体" w:cs="宋体"/>
                      <w:color w:val="auto"/>
                      <w:sz w:val="21"/>
                      <w:szCs w:val="21"/>
                    </w:rPr>
                  </w:pPr>
                  <w:r>
                    <w:rPr>
                      <w:rFonts w:hint="eastAsia" w:ascii="宋体" w:hAnsi="宋体" w:eastAsia="宋体" w:cs="宋体"/>
                      <w:color w:val="auto"/>
                      <w:sz w:val="21"/>
                      <w:szCs w:val="21"/>
                    </w:rPr>
                    <w:t>最大落地浓度及占标率</w:t>
                  </w:r>
                </w:p>
              </w:tc>
              <w:tc>
                <w:tcPr>
                  <w:tcW w:w="158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zh-CN" w:eastAsia="zh-CN"/>
                    </w:rPr>
                  </w:pPr>
                  <w:r>
                    <w:rPr>
                      <w:rFonts w:hint="eastAsia"/>
                      <w:color w:val="auto"/>
                    </w:rPr>
                    <w:t>0.0392</w:t>
                  </w:r>
                </w:p>
              </w:tc>
              <w:tc>
                <w:tcPr>
                  <w:tcW w:w="152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zh-CN" w:eastAsia="zh-CN"/>
                    </w:rPr>
                  </w:pPr>
                  <w:r>
                    <w:rPr>
                      <w:rFonts w:hint="eastAsia"/>
                      <w:color w:val="auto"/>
                    </w:rPr>
                    <w:t>4.36</w:t>
                  </w:r>
                </w:p>
              </w:tc>
              <w:tc>
                <w:tcPr>
                  <w:tcW w:w="126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color w:val="auto"/>
                    </w:rPr>
                    <w:t>0.0828</w:t>
                  </w:r>
                </w:p>
              </w:tc>
              <w:tc>
                <w:tcPr>
                  <w:tcW w:w="138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color w:val="auto"/>
                    </w:rPr>
                    <w:t>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8" w:type="dxa"/>
                  <w:shd w:val="clear" w:color="auto" w:fill="auto"/>
                  <w:noWrap/>
                  <w:vAlign w:val="center"/>
                </w:tcPr>
                <w:p>
                  <w:pPr>
                    <w:pStyle w:val="45"/>
                    <w:ind w:firstLine="360"/>
                    <w:rPr>
                      <w:rFonts w:hint="eastAsia" w:ascii="宋体" w:hAnsi="宋体" w:eastAsia="宋体" w:cs="宋体"/>
                      <w:color w:val="auto"/>
                      <w:sz w:val="21"/>
                      <w:szCs w:val="21"/>
                    </w:rPr>
                  </w:pPr>
                  <w:r>
                    <w:rPr>
                      <w:rFonts w:hint="eastAsia" w:ascii="宋体" w:hAnsi="宋体" w:eastAsia="宋体" w:cs="宋体"/>
                      <w:color w:val="auto"/>
                      <w:sz w:val="21"/>
                      <w:szCs w:val="21"/>
                    </w:rPr>
                    <w:t>最大浓度出现距离（m）</w:t>
                  </w:r>
                </w:p>
              </w:tc>
              <w:tc>
                <w:tcPr>
                  <w:tcW w:w="3100" w:type="dxa"/>
                  <w:gridSpan w:val="2"/>
                  <w:shd w:val="clear" w:color="auto" w:fill="auto"/>
                  <w:noWrap/>
                  <w:vAlign w:val="center"/>
                </w:tcPr>
                <w:p>
                  <w:pPr>
                    <w:pStyle w:val="45"/>
                    <w:ind w:firstLine="36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7</w:t>
                  </w:r>
                  <w:r>
                    <w:rPr>
                      <w:rFonts w:hint="eastAsia" w:ascii="宋体" w:hAnsi="宋体" w:eastAsia="宋体" w:cs="宋体"/>
                      <w:color w:val="auto"/>
                      <w:sz w:val="21"/>
                      <w:szCs w:val="21"/>
                      <w:lang w:val="en-US" w:eastAsia="zh-CN"/>
                    </w:rPr>
                    <w:t>4</w:t>
                  </w:r>
                </w:p>
              </w:tc>
              <w:tc>
                <w:tcPr>
                  <w:tcW w:w="2640" w:type="dxa"/>
                  <w:gridSpan w:val="2"/>
                  <w:shd w:val="clear" w:color="auto" w:fill="auto"/>
                  <w:noWrap/>
                  <w:vAlign w:val="center"/>
                </w:tcPr>
                <w:p>
                  <w:pPr>
                    <w:pStyle w:val="45"/>
                    <w:ind w:firstLine="360"/>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55</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color w:val="auto"/>
                <w:spacing w:val="0"/>
                <w:sz w:val="21"/>
                <w:szCs w:val="21"/>
                <w:u w:val="none"/>
              </w:rPr>
            </w:pPr>
            <w:r>
              <w:rPr>
                <w:color w:val="auto"/>
                <w:szCs w:val="21"/>
                <w:u w:val="none"/>
              </w:rPr>
              <w:t>经预测计算，在正常排放情况下，本项目无组织外排的粉尘在距污染源</w:t>
            </w:r>
            <w:r>
              <w:rPr>
                <w:rFonts w:hint="eastAsia"/>
                <w:color w:val="auto"/>
                <w:szCs w:val="21"/>
                <w:u w:val="none"/>
                <w:lang w:val="en-US" w:eastAsia="zh-CN"/>
              </w:rPr>
              <w:t>55</w:t>
            </w:r>
            <w:r>
              <w:rPr>
                <w:color w:val="auto"/>
                <w:szCs w:val="21"/>
                <w:u w:val="none"/>
              </w:rPr>
              <w:t>m处取得最大落地浓度为</w:t>
            </w:r>
            <w:r>
              <w:rPr>
                <w:rFonts w:hint="eastAsia"/>
                <w:color w:val="auto"/>
              </w:rPr>
              <w:t>0.0828</w:t>
            </w:r>
            <w:r>
              <w:rPr>
                <w:color w:val="auto"/>
                <w:szCs w:val="21"/>
                <w:u w:val="none"/>
              </w:rPr>
              <w:t>mg/m</w:t>
            </w:r>
            <w:r>
              <w:rPr>
                <w:color w:val="auto"/>
                <w:szCs w:val="21"/>
                <w:u w:val="none"/>
                <w:vertAlign w:val="superscript"/>
              </w:rPr>
              <w:t>3</w:t>
            </w:r>
            <w:r>
              <w:rPr>
                <w:color w:val="auto"/>
                <w:szCs w:val="21"/>
                <w:u w:val="none"/>
              </w:rPr>
              <w:t>，能满足《大气污染物综合排放标准》(GB16297-1996)中</w:t>
            </w:r>
            <w:r>
              <w:rPr>
                <w:color w:val="auto"/>
                <w:spacing w:val="0"/>
                <w:sz w:val="21"/>
                <w:szCs w:val="21"/>
                <w:u w:val="none"/>
              </w:rPr>
              <w:t>无组织排放浓度限值（1.0mg/m</w:t>
            </w:r>
            <w:r>
              <w:rPr>
                <w:color w:val="auto"/>
                <w:spacing w:val="0"/>
                <w:sz w:val="21"/>
                <w:szCs w:val="21"/>
                <w:u w:val="none"/>
                <w:vertAlign w:val="superscript"/>
              </w:rPr>
              <w:t>3</w:t>
            </w:r>
            <w:r>
              <w:rPr>
                <w:color w:val="auto"/>
                <w:spacing w:val="0"/>
                <w:sz w:val="21"/>
                <w:szCs w:val="21"/>
                <w:u w:val="none"/>
              </w:rPr>
              <w:t>），因此，本项目</w:t>
            </w:r>
            <w:r>
              <w:rPr>
                <w:bCs/>
                <w:color w:val="auto"/>
                <w:spacing w:val="0"/>
                <w:sz w:val="21"/>
                <w:szCs w:val="21"/>
                <w:u w:val="none"/>
              </w:rPr>
              <w:t>破碎、卸料、输送过程产生的粉尘</w:t>
            </w:r>
            <w:r>
              <w:rPr>
                <w:color w:val="auto"/>
                <w:spacing w:val="0"/>
                <w:sz w:val="21"/>
                <w:szCs w:val="21"/>
                <w:u w:val="none"/>
              </w:rPr>
              <w:t>可实现无组织达标排放。</w:t>
            </w:r>
          </w:p>
          <w:p>
            <w:pPr>
              <w:pStyle w:val="57"/>
              <w:numPr>
                <w:ilvl w:val="0"/>
                <w:numId w:val="0"/>
              </w:numPr>
              <w:tabs>
                <w:tab w:val="left" w:pos="1781"/>
              </w:tabs>
              <w:spacing w:before="1" w:after="0" w:line="240" w:lineRule="auto"/>
              <w:ind w:left="420" w:leftChars="0" w:right="0" w:rightChars="0" w:firstLine="0" w:firstLineChars="0"/>
              <w:jc w:val="left"/>
              <w:rPr>
                <w:b/>
                <w:bCs/>
                <w:color w:val="auto"/>
                <w:sz w:val="21"/>
                <w:szCs w:val="21"/>
              </w:rPr>
            </w:pPr>
            <w:r>
              <w:rPr>
                <w:b/>
                <w:bCs w:val="0"/>
                <w:color w:val="auto"/>
                <w:spacing w:val="0"/>
                <w:sz w:val="21"/>
                <w:szCs w:val="21"/>
              </w:rPr>
              <w:t>（5）</w:t>
            </w:r>
            <w:r>
              <w:rPr>
                <w:b/>
                <w:bCs/>
                <w:color w:val="auto"/>
                <w:sz w:val="21"/>
                <w:szCs w:val="21"/>
              </w:rPr>
              <w:t>卫生防护距离</w:t>
            </w:r>
          </w:p>
          <w:p>
            <w:pPr>
              <w:pStyle w:val="6"/>
              <w:spacing w:before="173" w:line="374" w:lineRule="auto"/>
              <w:ind w:right="-41" w:rightChars="0" w:firstLine="198" w:firstLineChars="100"/>
              <w:jc w:val="both"/>
              <w:rPr>
                <w:color w:val="auto"/>
                <w:sz w:val="21"/>
                <w:szCs w:val="21"/>
              </w:rPr>
            </w:pPr>
            <w:r>
              <w:rPr>
                <w:color w:val="auto"/>
                <w:spacing w:val="-6"/>
                <w:sz w:val="21"/>
                <w:szCs w:val="21"/>
              </w:rPr>
              <w:t>本工程无组织排放废气的卫生防护距离按照《制定大气污染物排放标准的技</w:t>
            </w:r>
            <w:r>
              <w:rPr>
                <w:color w:val="auto"/>
                <w:spacing w:val="-11"/>
                <w:sz w:val="21"/>
                <w:szCs w:val="21"/>
              </w:rPr>
              <w:t>术方法</w:t>
            </w:r>
            <w:r>
              <w:rPr>
                <w:color w:val="auto"/>
                <w:spacing w:val="-3"/>
                <w:sz w:val="21"/>
                <w:szCs w:val="21"/>
              </w:rPr>
              <w:t>（GB/T13201-91）</w:t>
            </w:r>
            <w:r>
              <w:rPr>
                <w:color w:val="auto"/>
                <w:spacing w:val="-7"/>
                <w:sz w:val="21"/>
                <w:szCs w:val="21"/>
              </w:rPr>
              <w:t>》中工业企业卫生防护距离的计算公式计算颗粒物需设</w:t>
            </w:r>
            <w:r>
              <w:rPr>
                <w:color w:val="auto"/>
                <w:sz w:val="21"/>
                <w:szCs w:val="21"/>
              </w:rPr>
              <w:t>置的卫生防护距离。</w:t>
            </w:r>
          </w:p>
          <w:p>
            <w:pPr>
              <w:pStyle w:val="6"/>
              <w:spacing w:before="1"/>
              <w:ind w:left="1180"/>
              <w:rPr>
                <w:color w:val="auto"/>
                <w:sz w:val="21"/>
                <w:szCs w:val="21"/>
              </w:rPr>
            </w:pPr>
            <w:r>
              <w:rPr>
                <w:color w:val="auto"/>
                <w:sz w:val="21"/>
                <w:szCs w:val="21"/>
              </w:rPr>
              <w:t>计算公式及所选取的参数如下：</w:t>
            </w:r>
          </w:p>
          <w:p>
            <w:pPr>
              <w:rPr>
                <w:color w:val="auto"/>
                <w:sz w:val="21"/>
                <w:szCs w:val="21"/>
              </w:rPr>
            </w:pPr>
            <w:r>
              <w:rPr>
                <w:color w:val="auto"/>
                <w:szCs w:val="21"/>
              </w:rPr>
              <w:pict>
                <v:shape id="对象 810" o:spid="_x0000_s1027" o:spt="75" type="#_x0000_t75" style="position:absolute;left:0pt;margin-left:83.5pt;margin-top:1.9pt;height:35pt;width:144.15pt;z-index:251664384;mso-width-relative:page;mso-height-relative:page;" o:ole="t" filled="f" o:preferrelative="t" stroked="f" coordsize="21600,21600">
                  <v:path/>
                  <v:fill on="f" focussize="0,0"/>
                  <v:stroke on="f"/>
                  <v:imagedata r:id="rId21" o:title=""/>
                  <o:lock v:ext="edit" aspectratio="t"/>
                </v:shape>
                <o:OLEObject Type="Embed" ProgID="Equations" ShapeID="对象 810" DrawAspect="Content" ObjectID="_1468075725" r:id="rId20">
                  <o:LockedField>false</o:LockedField>
                </o:OLEObject>
              </w:pict>
            </w:r>
          </w:p>
          <w:p>
            <w:pPr>
              <w:pStyle w:val="6"/>
              <w:rPr>
                <w:rFonts w:hint="default" w:eastAsia="宋体"/>
                <w:color w:val="auto"/>
                <w:sz w:val="21"/>
                <w:szCs w:val="21"/>
                <w:lang w:val="en-US" w:eastAsia="zh-CN"/>
              </w:rPr>
            </w:pPr>
            <w:r>
              <w:rPr>
                <w:rFonts w:hint="eastAsia"/>
                <w:color w:val="auto"/>
                <w:sz w:val="21"/>
                <w:szCs w:val="21"/>
                <w:lang w:val="en-US" w:eastAsia="zh-CN"/>
              </w:rPr>
              <w:t xml:space="preserve">  </w:t>
            </w:r>
          </w:p>
          <w:p>
            <w:pPr>
              <w:pStyle w:val="6"/>
              <w:spacing w:before="66"/>
              <w:ind w:left="1180"/>
              <w:rPr>
                <w:color w:val="auto"/>
              </w:rPr>
            </w:pPr>
          </w:p>
          <w:p>
            <w:pPr>
              <w:pStyle w:val="6"/>
              <w:keepNext w:val="0"/>
              <w:keepLines w:val="0"/>
              <w:pageBreakBefore w:val="0"/>
              <w:widowControl/>
              <w:kinsoku/>
              <w:wordWrap/>
              <w:overflowPunct/>
              <w:topLinePunct w:val="0"/>
              <w:autoSpaceDE/>
              <w:autoSpaceDN/>
              <w:bidi w:val="0"/>
              <w:adjustRightInd/>
              <w:snapToGrid w:val="0"/>
              <w:spacing w:before="0" w:after="0" w:line="360" w:lineRule="auto"/>
              <w:ind w:left="1180"/>
              <w:textAlignment w:val="auto"/>
              <w:rPr>
                <w:color w:val="auto"/>
                <w:sz w:val="21"/>
                <w:szCs w:val="21"/>
              </w:rPr>
            </w:pPr>
            <w:r>
              <w:rPr>
                <w:color w:val="auto"/>
              </w:rPr>
              <w:t>C</w:t>
            </w:r>
            <w:r>
              <w:rPr>
                <w:rFonts w:ascii="Times New Roman"/>
                <w:i/>
                <w:color w:val="auto"/>
                <w:position w:val="-5"/>
                <w:sz w:val="14"/>
              </w:rPr>
              <w:t>m</w:t>
            </w:r>
            <w:r>
              <w:rPr>
                <w:color w:val="auto"/>
              </w:rPr>
              <w:t>―</w:t>
            </w:r>
            <w:r>
              <w:rPr>
                <w:color w:val="auto"/>
                <w:sz w:val="21"/>
                <w:szCs w:val="21"/>
              </w:rPr>
              <w:t>标准浓度限值；</w:t>
            </w:r>
          </w:p>
          <w:p>
            <w:pPr>
              <w:pStyle w:val="6"/>
              <w:keepNext w:val="0"/>
              <w:keepLines w:val="0"/>
              <w:pageBreakBefore w:val="0"/>
              <w:widowControl/>
              <w:kinsoku/>
              <w:wordWrap/>
              <w:overflowPunct/>
              <w:topLinePunct w:val="0"/>
              <w:autoSpaceDE/>
              <w:autoSpaceDN/>
              <w:bidi w:val="0"/>
              <w:adjustRightInd/>
              <w:snapToGrid w:val="0"/>
              <w:spacing w:before="0" w:after="0" w:line="360" w:lineRule="auto"/>
              <w:ind w:left="1180"/>
              <w:textAlignment w:val="auto"/>
              <w:rPr>
                <w:color w:val="auto"/>
              </w:rPr>
            </w:pPr>
            <w:r>
              <w:rPr>
                <w:color w:val="auto"/>
              </w:rPr>
              <w:t>L―</w:t>
            </w:r>
            <w:r>
              <w:rPr>
                <w:color w:val="auto"/>
                <w:sz w:val="21"/>
                <w:szCs w:val="21"/>
              </w:rPr>
              <w:t>工业企业所需卫生防护距离</w:t>
            </w:r>
            <w:r>
              <w:rPr>
                <w:color w:val="auto"/>
              </w:rPr>
              <w:t>，m；</w:t>
            </w:r>
          </w:p>
          <w:p>
            <w:pPr>
              <w:pStyle w:val="6"/>
              <w:keepNext w:val="0"/>
              <w:keepLines w:val="0"/>
              <w:pageBreakBefore w:val="0"/>
              <w:widowControl/>
              <w:kinsoku/>
              <w:wordWrap/>
              <w:overflowPunct/>
              <w:topLinePunct w:val="0"/>
              <w:autoSpaceDE/>
              <w:autoSpaceDN/>
              <w:bidi w:val="0"/>
              <w:adjustRightInd/>
              <w:snapToGrid w:val="0"/>
              <w:spacing w:before="0" w:after="0" w:line="360" w:lineRule="auto"/>
              <w:ind w:left="0" w:leftChars="0" w:right="0" w:rightChars="0" w:firstLine="1179" w:firstLineChars="655"/>
              <w:jc w:val="both"/>
              <w:textAlignment w:val="auto"/>
              <w:rPr>
                <w:color w:val="auto"/>
              </w:rPr>
            </w:pPr>
            <w:r>
              <w:rPr>
                <w:color w:val="auto"/>
              </w:rPr>
              <w:t>r―</w:t>
            </w:r>
            <w:r>
              <w:rPr>
                <w:color w:val="auto"/>
                <w:spacing w:val="-2"/>
                <w:sz w:val="21"/>
                <w:szCs w:val="21"/>
              </w:rPr>
              <w:t>有害气体无组织排放源所在生产单元的等效半径，</w:t>
            </w:r>
            <w:r>
              <w:rPr>
                <w:color w:val="auto"/>
                <w:spacing w:val="-32"/>
                <w:sz w:val="21"/>
                <w:szCs w:val="21"/>
              </w:rPr>
              <w:t>m</w:t>
            </w:r>
            <w:r>
              <w:rPr>
                <w:rFonts w:hint="eastAsia"/>
                <w:color w:val="auto"/>
                <w:spacing w:val="-32"/>
                <w:sz w:val="21"/>
                <w:szCs w:val="21"/>
                <w:lang w:val="en-US" w:eastAsia="zh-CN"/>
              </w:rPr>
              <w:t xml:space="preserve"> </w:t>
            </w:r>
            <w:r>
              <w:rPr>
                <w:color w:val="auto"/>
                <w:spacing w:val="-8"/>
                <w:sz w:val="21"/>
                <w:szCs w:val="21"/>
              </w:rPr>
              <w:t>；根据该生产单元占</w:t>
            </w:r>
            <w:r>
              <w:rPr>
                <w:color w:val="auto"/>
                <w:spacing w:val="-15"/>
                <w:sz w:val="21"/>
                <w:szCs w:val="21"/>
              </w:rPr>
              <w:t xml:space="preserve">地面积 </w:t>
            </w:r>
            <w:r>
              <w:rPr>
                <w:color w:val="auto"/>
              </w:rPr>
              <w:t>S（m</w:t>
            </w:r>
            <w:r>
              <w:rPr>
                <w:color w:val="auto"/>
                <w:position w:val="12"/>
                <w:sz w:val="12"/>
              </w:rPr>
              <w:t>2</w:t>
            </w:r>
            <w:r>
              <w:rPr>
                <w:color w:val="auto"/>
              </w:rPr>
              <w:t>）</w:t>
            </w:r>
            <w:r>
              <w:rPr>
                <w:color w:val="auto"/>
                <w:sz w:val="21"/>
                <w:szCs w:val="21"/>
              </w:rPr>
              <w:t>计算</w:t>
            </w:r>
            <w:r>
              <w:rPr>
                <w:color w:val="auto"/>
              </w:rPr>
              <w:t>，r=(S/π)</w:t>
            </w:r>
            <w:r>
              <w:rPr>
                <w:color w:val="auto"/>
                <w:position w:val="12"/>
                <w:sz w:val="12"/>
              </w:rPr>
              <w:t>0.5</w:t>
            </w:r>
            <w:r>
              <w:rPr>
                <w:color w:val="auto"/>
              </w:rPr>
              <w:t>；</w:t>
            </w:r>
          </w:p>
          <w:p>
            <w:pPr>
              <w:pStyle w:val="6"/>
              <w:keepNext w:val="0"/>
              <w:keepLines w:val="0"/>
              <w:pageBreakBefore w:val="0"/>
              <w:widowControl/>
              <w:kinsoku/>
              <w:wordWrap/>
              <w:overflowPunct/>
              <w:topLinePunct w:val="0"/>
              <w:autoSpaceDE/>
              <w:autoSpaceDN/>
              <w:bidi w:val="0"/>
              <w:adjustRightInd/>
              <w:snapToGrid w:val="0"/>
              <w:spacing w:before="0" w:after="0" w:line="360" w:lineRule="auto"/>
              <w:ind w:left="0" w:leftChars="0" w:right="-41" w:rightChars="0" w:firstLine="1260" w:firstLineChars="600"/>
              <w:jc w:val="both"/>
              <w:textAlignment w:val="auto"/>
              <w:rPr>
                <w:color w:val="auto"/>
                <w:sz w:val="21"/>
                <w:szCs w:val="21"/>
              </w:rPr>
            </w:pPr>
            <w:r>
              <w:rPr>
                <w:color w:val="auto"/>
                <w:sz w:val="21"/>
                <w:szCs w:val="21"/>
              </w:rPr>
              <w:t>A</w:t>
            </w:r>
            <w:r>
              <w:rPr>
                <w:color w:val="auto"/>
                <w:spacing w:val="-20"/>
                <w:sz w:val="21"/>
                <w:szCs w:val="21"/>
              </w:rPr>
              <w:t>、</w:t>
            </w:r>
            <w:r>
              <w:rPr>
                <w:color w:val="auto"/>
                <w:sz w:val="21"/>
                <w:szCs w:val="21"/>
              </w:rPr>
              <w:t>B</w:t>
            </w:r>
            <w:r>
              <w:rPr>
                <w:color w:val="auto"/>
                <w:spacing w:val="-20"/>
                <w:sz w:val="21"/>
                <w:szCs w:val="21"/>
              </w:rPr>
              <w:t>、</w:t>
            </w:r>
            <w:r>
              <w:rPr>
                <w:color w:val="auto"/>
                <w:sz w:val="21"/>
                <w:szCs w:val="21"/>
              </w:rPr>
              <w:t>C</w:t>
            </w:r>
            <w:r>
              <w:rPr>
                <w:color w:val="auto"/>
                <w:spacing w:val="-20"/>
                <w:sz w:val="21"/>
                <w:szCs w:val="21"/>
              </w:rPr>
              <w:t>、</w:t>
            </w:r>
            <w:r>
              <w:rPr>
                <w:color w:val="auto"/>
                <w:sz w:val="21"/>
                <w:szCs w:val="21"/>
              </w:rPr>
              <w:t>D――</w:t>
            </w:r>
            <w:r>
              <w:rPr>
                <w:color w:val="auto"/>
                <w:spacing w:val="-5"/>
                <w:sz w:val="21"/>
                <w:szCs w:val="21"/>
              </w:rPr>
              <w:t>卫生防护距离计算系数，无因次，根据工业企业所在地区年</w:t>
            </w:r>
            <w:r>
              <w:rPr>
                <w:color w:val="auto"/>
                <w:sz w:val="21"/>
                <w:szCs w:val="21"/>
              </w:rPr>
              <w:t>平均风速及工业企业大气污染源构成类别从制定大气污染物排放标准的技术方法（GB/T3840-91）</w:t>
            </w:r>
            <w:r>
              <w:rPr>
                <w:color w:val="auto"/>
                <w:spacing w:val="-3"/>
                <w:sz w:val="21"/>
                <w:szCs w:val="21"/>
              </w:rPr>
              <w:t xml:space="preserve">中卫生防护距离计算系数表查取；年平均风速为 </w:t>
            </w:r>
            <w:r>
              <w:rPr>
                <w:color w:val="auto"/>
                <w:sz w:val="21"/>
                <w:szCs w:val="21"/>
              </w:rPr>
              <w:t>2m/s；</w:t>
            </w:r>
          </w:p>
          <w:p>
            <w:pPr>
              <w:pStyle w:val="6"/>
              <w:keepNext w:val="0"/>
              <w:keepLines w:val="0"/>
              <w:pageBreakBefore w:val="0"/>
              <w:widowControl/>
              <w:kinsoku/>
              <w:wordWrap/>
              <w:overflowPunct/>
              <w:topLinePunct w:val="0"/>
              <w:autoSpaceDE/>
              <w:autoSpaceDN/>
              <w:bidi w:val="0"/>
              <w:adjustRightInd/>
              <w:snapToGrid w:val="0"/>
              <w:spacing w:before="0" w:after="0" w:line="360" w:lineRule="auto"/>
              <w:ind w:left="1180" w:right="159" w:rightChars="0"/>
              <w:jc w:val="both"/>
              <w:textAlignment w:val="auto"/>
              <w:rPr>
                <w:color w:val="auto"/>
                <w:sz w:val="21"/>
                <w:szCs w:val="21"/>
              </w:rPr>
            </w:pPr>
            <w:r>
              <w:rPr>
                <w:color w:val="auto"/>
                <w:sz w:val="21"/>
                <w:szCs w:val="21"/>
              </w:rPr>
              <w:t>Q</w:t>
            </w:r>
            <w:r>
              <w:rPr>
                <w:color w:val="auto"/>
                <w:position w:val="-2"/>
                <w:sz w:val="21"/>
                <w:szCs w:val="21"/>
              </w:rPr>
              <w:t>c</w:t>
            </w:r>
            <w:r>
              <w:rPr>
                <w:color w:val="auto"/>
                <w:sz w:val="21"/>
                <w:szCs w:val="21"/>
              </w:rPr>
              <w:t>―工业企业有害气体无组织排放量可以达到的控制水平。</w:t>
            </w:r>
          </w:p>
          <w:p>
            <w:pPr>
              <w:pStyle w:val="6"/>
              <w:pageBreakBefore w:val="0"/>
              <w:kinsoku/>
              <w:wordWrap/>
              <w:overflowPunct/>
              <w:topLinePunct w:val="0"/>
              <w:autoSpaceDE/>
              <w:autoSpaceDN/>
              <w:bidi w:val="0"/>
              <w:adjustRightInd/>
              <w:spacing w:before="0" w:after="0" w:line="360" w:lineRule="auto"/>
              <w:ind w:left="1180" w:right="2845"/>
              <w:jc w:val="both"/>
              <w:textAlignment w:val="auto"/>
              <w:rPr>
                <w:color w:val="auto"/>
              </w:rPr>
            </w:pPr>
            <w:r>
              <w:rPr>
                <w:color w:val="auto"/>
                <w:sz w:val="21"/>
                <w:szCs w:val="21"/>
              </w:rPr>
              <w:t>计算结果见表</w:t>
            </w:r>
            <w:r>
              <w:rPr>
                <w:rFonts w:hint="eastAsia"/>
                <w:color w:val="auto"/>
                <w:sz w:val="21"/>
                <w:szCs w:val="21"/>
                <w:lang w:val="en-US" w:eastAsia="zh-CN"/>
              </w:rPr>
              <w:t>4-5</w:t>
            </w:r>
            <w:r>
              <w:rPr>
                <w:color w:val="auto"/>
                <w:sz w:val="21"/>
                <w:szCs w:val="21"/>
              </w:rPr>
              <w:t>。</w:t>
            </w:r>
          </w:p>
          <w:p>
            <w:pPr>
              <w:pStyle w:val="2"/>
              <w:pageBreakBefore w:val="0"/>
              <w:kinsoku/>
              <w:wordWrap/>
              <w:overflowPunct/>
              <w:topLinePunct w:val="0"/>
              <w:autoSpaceDE/>
              <w:autoSpaceDN/>
              <w:bidi w:val="0"/>
              <w:adjustRightInd/>
              <w:spacing w:before="0" w:after="0" w:line="360" w:lineRule="auto"/>
              <w:ind w:left="2783"/>
              <w:jc w:val="both"/>
              <w:textAlignment w:val="auto"/>
              <w:rPr>
                <w:rFonts w:hint="eastAsia" w:eastAsia="宋体"/>
                <w:color w:val="auto"/>
                <w:sz w:val="21"/>
                <w:szCs w:val="21"/>
                <w:lang w:eastAsia="zh-CN"/>
              </w:rPr>
            </w:pPr>
            <w:r>
              <w:rPr>
                <w:color w:val="auto"/>
                <w:sz w:val="21"/>
                <w:szCs w:val="21"/>
              </w:rPr>
              <w:t xml:space="preserve">表 </w:t>
            </w:r>
            <w:r>
              <w:rPr>
                <w:rFonts w:hint="eastAsia" w:ascii="宋体" w:hAnsi="宋体" w:eastAsia="宋体" w:cs="宋体"/>
                <w:color w:val="auto"/>
                <w:sz w:val="21"/>
                <w:szCs w:val="21"/>
                <w:lang w:val="en-US" w:eastAsia="zh-CN"/>
              </w:rPr>
              <w:t>4-5</w:t>
            </w:r>
            <w:r>
              <w:rPr>
                <w:rFonts w:hint="eastAsia" w:ascii="宋体" w:hAnsi="宋体" w:eastAsia="宋体" w:cs="宋体"/>
                <w:color w:val="auto"/>
                <w:sz w:val="21"/>
                <w:szCs w:val="21"/>
              </w:rPr>
              <w:t xml:space="preserve"> </w:t>
            </w:r>
            <w:r>
              <w:rPr>
                <w:color w:val="auto"/>
                <w:sz w:val="21"/>
                <w:szCs w:val="21"/>
              </w:rPr>
              <w:t>项目卫生防护距离计算</w:t>
            </w:r>
            <w:r>
              <w:rPr>
                <w:rFonts w:hint="eastAsia"/>
                <w:color w:val="auto"/>
                <w:sz w:val="21"/>
                <w:szCs w:val="21"/>
                <w:lang w:eastAsia="zh-CN"/>
              </w:rPr>
              <w:t>结果</w:t>
            </w:r>
          </w:p>
          <w:tbl>
            <w:tblPr>
              <w:tblStyle w:val="20"/>
              <w:tblW w:w="8034"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54"/>
              <w:gridCol w:w="1132"/>
              <w:gridCol w:w="825"/>
              <w:gridCol w:w="799"/>
              <w:gridCol w:w="891"/>
              <w:gridCol w:w="711"/>
              <w:gridCol w:w="766"/>
              <w:gridCol w:w="678"/>
              <w:gridCol w:w="739"/>
              <w:gridCol w:w="73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32" w:hRule="atLeast"/>
                <w:jc w:val="center"/>
              </w:trPr>
              <w:tc>
                <w:tcPr>
                  <w:tcW w:w="754" w:type="dxa"/>
                  <w:tcBorders>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lang w:eastAsia="zh-CN"/>
                    </w:rPr>
                  </w:pPr>
                  <w:r>
                    <w:rPr>
                      <w:rFonts w:hint="eastAsia" w:cs="宋体"/>
                      <w:color w:val="auto"/>
                      <w:sz w:val="18"/>
                      <w:szCs w:val="18"/>
                      <w:lang w:eastAsia="zh-CN"/>
                    </w:rPr>
                    <w:t>污染源</w:t>
                  </w:r>
                </w:p>
              </w:tc>
              <w:tc>
                <w:tcPr>
                  <w:tcW w:w="1132" w:type="dxa"/>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污染物</w:t>
                  </w:r>
                </w:p>
              </w:tc>
              <w:tc>
                <w:tcPr>
                  <w:tcW w:w="825" w:type="dxa"/>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源强 Qc</w:t>
                  </w: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（kg/h）</w:t>
                  </w:r>
                </w:p>
              </w:tc>
              <w:tc>
                <w:tcPr>
                  <w:tcW w:w="799" w:type="dxa"/>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snapToGrid w:val="0"/>
                      <w:color w:val="auto"/>
                      <w:kern w:val="0"/>
                      <w:sz w:val="18"/>
                      <w:szCs w:val="18"/>
                    </w:rPr>
                  </w:pPr>
                  <w:r>
                    <w:rPr>
                      <w:rFonts w:hint="eastAsia" w:ascii="宋体" w:hAnsi="宋体" w:eastAsia="宋体" w:cs="宋体"/>
                      <w:snapToGrid w:val="0"/>
                      <w:color w:val="auto"/>
                      <w:kern w:val="0"/>
                      <w:sz w:val="18"/>
                      <w:szCs w:val="18"/>
                    </w:rPr>
                    <w:t>标准 Cm</w:t>
                  </w: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snapToGrid w:val="0"/>
                      <w:color w:val="auto"/>
                      <w:kern w:val="0"/>
                      <w:sz w:val="18"/>
                      <w:szCs w:val="18"/>
                    </w:rPr>
                    <w:t>（mg/m</w:t>
                  </w:r>
                  <w:r>
                    <w:rPr>
                      <w:rFonts w:hint="eastAsia" w:ascii="宋体" w:hAnsi="宋体" w:eastAsia="宋体" w:cs="宋体"/>
                      <w:snapToGrid w:val="0"/>
                      <w:color w:val="auto"/>
                      <w:kern w:val="0"/>
                      <w:sz w:val="24"/>
                      <w:szCs w:val="24"/>
                      <w:vertAlign w:val="superscript"/>
                    </w:rPr>
                    <w:t>3</w:t>
                  </w:r>
                  <w:r>
                    <w:rPr>
                      <w:rFonts w:hint="eastAsia" w:ascii="宋体" w:hAnsi="宋体" w:eastAsia="宋体" w:cs="宋体"/>
                      <w:snapToGrid w:val="0"/>
                      <w:color w:val="auto"/>
                      <w:kern w:val="0"/>
                      <w:sz w:val="18"/>
                      <w:szCs w:val="18"/>
                    </w:rPr>
                    <w:t>）</w:t>
                  </w:r>
                </w:p>
              </w:tc>
              <w:tc>
                <w:tcPr>
                  <w:tcW w:w="891" w:type="dxa"/>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cs="宋体"/>
                      <w:color w:val="auto"/>
                      <w:sz w:val="18"/>
                      <w:szCs w:val="18"/>
                      <w:lang w:eastAsia="zh-CN"/>
                    </w:rPr>
                    <w:t>参数</w:t>
                  </w:r>
                  <w:r>
                    <w:rPr>
                      <w:rFonts w:hint="eastAsia" w:ascii="宋体" w:hAnsi="宋体" w:eastAsia="宋体" w:cs="宋体"/>
                      <w:color w:val="auto"/>
                      <w:sz w:val="18"/>
                      <w:szCs w:val="18"/>
                    </w:rPr>
                    <w:t>A</w:t>
                  </w:r>
                </w:p>
              </w:tc>
              <w:tc>
                <w:tcPr>
                  <w:tcW w:w="711" w:type="dxa"/>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cs="宋体"/>
                      <w:color w:val="auto"/>
                      <w:sz w:val="18"/>
                      <w:szCs w:val="18"/>
                      <w:lang w:eastAsia="zh-CN"/>
                    </w:rPr>
                    <w:t>参数</w:t>
                  </w:r>
                  <w:r>
                    <w:rPr>
                      <w:rFonts w:hint="eastAsia" w:ascii="宋体" w:hAnsi="宋体" w:eastAsia="宋体" w:cs="宋体"/>
                      <w:color w:val="auto"/>
                      <w:sz w:val="18"/>
                      <w:szCs w:val="18"/>
                    </w:rPr>
                    <w:t>B</w:t>
                  </w:r>
                </w:p>
              </w:tc>
              <w:tc>
                <w:tcPr>
                  <w:tcW w:w="766" w:type="dxa"/>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cs="宋体"/>
                      <w:color w:val="auto"/>
                      <w:sz w:val="18"/>
                      <w:szCs w:val="18"/>
                      <w:lang w:eastAsia="zh-CN"/>
                    </w:rPr>
                    <w:t>参数</w:t>
                  </w:r>
                  <w:r>
                    <w:rPr>
                      <w:rFonts w:hint="eastAsia" w:ascii="宋体" w:hAnsi="宋体" w:eastAsia="宋体" w:cs="宋体"/>
                      <w:color w:val="auto"/>
                      <w:sz w:val="18"/>
                      <w:szCs w:val="18"/>
                    </w:rPr>
                    <w:t>C</w:t>
                  </w:r>
                </w:p>
              </w:tc>
              <w:tc>
                <w:tcPr>
                  <w:tcW w:w="678" w:type="dxa"/>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cs="宋体"/>
                      <w:color w:val="auto"/>
                      <w:sz w:val="18"/>
                      <w:szCs w:val="18"/>
                      <w:lang w:eastAsia="zh-CN"/>
                    </w:rPr>
                    <w:t>参数</w:t>
                  </w:r>
                  <w:r>
                    <w:rPr>
                      <w:rFonts w:hint="eastAsia" w:ascii="宋体" w:hAnsi="宋体" w:eastAsia="宋体" w:cs="宋体"/>
                      <w:color w:val="auto"/>
                      <w:sz w:val="18"/>
                      <w:szCs w:val="18"/>
                    </w:rPr>
                    <w:t>D</w:t>
                  </w:r>
                </w:p>
              </w:tc>
              <w:tc>
                <w:tcPr>
                  <w:tcW w:w="739" w:type="dxa"/>
                  <w:tcBorders>
                    <w:left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计算值</w:t>
                  </w:r>
                </w:p>
              </w:tc>
              <w:tc>
                <w:tcPr>
                  <w:tcW w:w="739" w:type="dxa"/>
                  <w:tcBorders>
                    <w:left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lang w:eastAsia="zh-CN"/>
                    </w:rPr>
                  </w:pPr>
                  <w:r>
                    <w:rPr>
                      <w:rFonts w:hint="eastAsia" w:cs="宋体"/>
                      <w:color w:val="auto"/>
                      <w:sz w:val="18"/>
                      <w:szCs w:val="18"/>
                      <w:lang w:eastAsia="zh-CN"/>
                    </w:rPr>
                    <w:t>卫生防护距离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4" w:hRule="atLeast"/>
                <w:jc w:val="center"/>
              </w:trPr>
              <w:tc>
                <w:tcPr>
                  <w:tcW w:w="754" w:type="dxa"/>
                  <w:tcBorders>
                    <w:top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加工区</w:t>
                  </w:r>
                </w:p>
              </w:tc>
              <w:tc>
                <w:tcPr>
                  <w:tcW w:w="113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颗粒物</w:t>
                  </w:r>
                </w:p>
              </w:tc>
              <w:tc>
                <w:tcPr>
                  <w:tcW w:w="82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default" w:ascii="宋体" w:hAnsi="宋体" w:eastAsia="宋体" w:cs="宋体"/>
                      <w:color w:val="auto"/>
                      <w:sz w:val="18"/>
                      <w:szCs w:val="18"/>
                      <w:lang w:val="en-US" w:eastAsia="zh-CN"/>
                    </w:rPr>
                  </w:pPr>
                  <w:r>
                    <w:rPr>
                      <w:rFonts w:hint="eastAsia" w:cs="宋体"/>
                      <w:color w:val="auto"/>
                      <w:sz w:val="18"/>
                      <w:szCs w:val="18"/>
                      <w:lang w:val="en-US" w:eastAsia="zh-CN"/>
                    </w:rPr>
                    <w:t>0.125</w:t>
                  </w:r>
                </w:p>
              </w:tc>
              <w:tc>
                <w:tcPr>
                  <w:tcW w:w="79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0.45</w:t>
                  </w:r>
                </w:p>
              </w:tc>
              <w:tc>
                <w:tcPr>
                  <w:tcW w:w="89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val="0"/>
                    <w:ind w:left="0" w:leftChars="0" w:right="0" w:rightChars="0"/>
                    <w:jc w:val="center"/>
                    <w:textAlignment w:val="auto"/>
                    <w:rPr>
                      <w:rFonts w:hint="eastAsia" w:ascii="宋体" w:hAnsi="宋体" w:eastAsia="宋体" w:cs="宋体"/>
                      <w:color w:val="auto"/>
                      <w:sz w:val="18"/>
                      <w:szCs w:val="18"/>
                    </w:rPr>
                  </w:pPr>
                  <w:r>
                    <w:rPr>
                      <w:rFonts w:hint="eastAsia" w:cs="宋体"/>
                      <w:color w:val="auto"/>
                      <w:sz w:val="18"/>
                      <w:szCs w:val="18"/>
                      <w:lang w:val="en-US" w:eastAsia="zh-CN"/>
                    </w:rPr>
                    <w:t>350</w:t>
                  </w:r>
                </w:p>
              </w:tc>
              <w:tc>
                <w:tcPr>
                  <w:tcW w:w="71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val="0"/>
                    <w:ind w:left="0" w:leftChars="0" w:right="0" w:rightChars="0"/>
                    <w:jc w:val="center"/>
                    <w:textAlignment w:val="auto"/>
                    <w:rPr>
                      <w:rFonts w:hint="eastAsia" w:ascii="宋体" w:hAnsi="宋体" w:eastAsia="宋体" w:cs="宋体"/>
                      <w:color w:val="auto"/>
                      <w:sz w:val="18"/>
                      <w:szCs w:val="18"/>
                    </w:rPr>
                  </w:pPr>
                  <w:r>
                    <w:rPr>
                      <w:rFonts w:hint="eastAsia" w:cs="宋体"/>
                      <w:color w:val="auto"/>
                      <w:sz w:val="18"/>
                      <w:szCs w:val="18"/>
                      <w:lang w:val="en-US" w:eastAsia="zh-CN"/>
                    </w:rPr>
                    <w:t>0.021</w:t>
                  </w:r>
                </w:p>
              </w:tc>
              <w:tc>
                <w:tcPr>
                  <w:tcW w:w="76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val="0"/>
                    <w:ind w:left="0" w:leftChars="0" w:right="0" w:rightChars="0"/>
                    <w:jc w:val="center"/>
                    <w:textAlignment w:val="auto"/>
                    <w:rPr>
                      <w:rFonts w:hint="eastAsia" w:ascii="宋体" w:hAnsi="宋体" w:eastAsia="宋体" w:cs="宋体"/>
                      <w:color w:val="auto"/>
                      <w:sz w:val="18"/>
                      <w:szCs w:val="18"/>
                    </w:rPr>
                  </w:pPr>
                  <w:r>
                    <w:rPr>
                      <w:rFonts w:hint="eastAsia" w:cs="宋体"/>
                      <w:color w:val="auto"/>
                      <w:sz w:val="18"/>
                      <w:szCs w:val="18"/>
                      <w:lang w:val="en-US" w:eastAsia="zh-CN"/>
                    </w:rPr>
                    <w:t>1.85</w:t>
                  </w:r>
                </w:p>
              </w:tc>
              <w:tc>
                <w:tcPr>
                  <w:tcW w:w="67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val="0"/>
                    <w:ind w:left="0" w:leftChars="0" w:right="0" w:rightChars="0"/>
                    <w:jc w:val="center"/>
                    <w:textAlignment w:val="auto"/>
                    <w:rPr>
                      <w:rFonts w:hint="eastAsia" w:ascii="宋体" w:hAnsi="宋体" w:eastAsia="宋体" w:cs="宋体"/>
                      <w:color w:val="auto"/>
                      <w:sz w:val="18"/>
                      <w:szCs w:val="18"/>
                    </w:rPr>
                  </w:pPr>
                  <w:r>
                    <w:rPr>
                      <w:rFonts w:hint="eastAsia" w:cs="宋体"/>
                      <w:color w:val="auto"/>
                      <w:sz w:val="18"/>
                      <w:szCs w:val="18"/>
                      <w:lang w:val="en-US" w:eastAsia="zh-CN"/>
                    </w:rPr>
                    <w:t>0.84</w:t>
                  </w:r>
                </w:p>
              </w:tc>
              <w:tc>
                <w:tcPr>
                  <w:tcW w:w="739"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default" w:ascii="宋体" w:hAnsi="宋体" w:eastAsia="宋体" w:cs="宋体"/>
                      <w:color w:val="auto"/>
                      <w:sz w:val="18"/>
                      <w:szCs w:val="18"/>
                      <w:lang w:val="en-US" w:eastAsia="zh-CN"/>
                    </w:rPr>
                  </w:pPr>
                  <w:r>
                    <w:rPr>
                      <w:rFonts w:hint="eastAsia" w:cs="宋体"/>
                      <w:color w:val="auto"/>
                      <w:sz w:val="18"/>
                      <w:szCs w:val="18"/>
                      <w:lang w:val="en-US" w:eastAsia="zh-CN"/>
                    </w:rPr>
                    <w:t>7.95m</w:t>
                  </w:r>
                </w:p>
              </w:tc>
              <w:tc>
                <w:tcPr>
                  <w:tcW w:w="739"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b/>
                      <w:bCs/>
                      <w:color w:val="auto"/>
                      <w:sz w:val="18"/>
                      <w:szCs w:val="18"/>
                    </w:rPr>
                  </w:pPr>
                  <w:r>
                    <w:rPr>
                      <w:rFonts w:hint="eastAsia" w:cs="宋体"/>
                      <w:b/>
                      <w:bCs/>
                      <w:color w:val="auto"/>
                      <w:sz w:val="18"/>
                      <w:szCs w:val="18"/>
                      <w:lang w:val="en-US" w:eastAsia="zh-CN"/>
                    </w:rPr>
                    <w:t>50m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4" w:hRule="atLeast"/>
                <w:jc w:val="center"/>
              </w:trPr>
              <w:tc>
                <w:tcPr>
                  <w:tcW w:w="754" w:type="dxa"/>
                  <w:tcBorders>
                    <w:top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lang w:eastAsia="zh-CN"/>
                    </w:rPr>
                  </w:pPr>
                  <w:r>
                    <w:rPr>
                      <w:rFonts w:hint="eastAsia" w:ascii="宋体" w:hAnsi="宋体" w:cs="宋体"/>
                      <w:color w:val="auto"/>
                      <w:sz w:val="18"/>
                      <w:szCs w:val="18"/>
                      <w:lang w:val="en-US" w:eastAsia="zh-CN"/>
                    </w:rPr>
                    <w:t>成品堆场</w:t>
                  </w:r>
                </w:p>
              </w:tc>
              <w:tc>
                <w:tcPr>
                  <w:tcW w:w="1132" w:type="dxa"/>
                  <w:tcBorders>
                    <w:top w:val="single" w:color="000000" w:sz="4" w:space="0"/>
                    <w:left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eastAsia="宋体" w:cs="宋体"/>
                      <w:color w:val="auto"/>
                      <w:sz w:val="18"/>
                      <w:szCs w:val="18"/>
                      <w:lang w:val="en-US" w:eastAsia="zh-CN"/>
                    </w:rPr>
                  </w:pPr>
                  <w:r>
                    <w:rPr>
                      <w:rFonts w:hint="eastAsia" w:ascii="宋体" w:hAnsi="宋体" w:eastAsia="宋体" w:cs="宋体"/>
                      <w:color w:val="auto"/>
                      <w:sz w:val="18"/>
                      <w:szCs w:val="18"/>
                    </w:rPr>
                    <w:t>颗粒物</w:t>
                  </w:r>
                </w:p>
              </w:tc>
              <w:tc>
                <w:tcPr>
                  <w:tcW w:w="825" w:type="dxa"/>
                  <w:tcBorders>
                    <w:top w:val="single" w:color="000000" w:sz="4" w:space="0"/>
                    <w:left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default" w:ascii="宋体" w:hAnsi="宋体" w:eastAsia="宋体" w:cs="宋体"/>
                      <w:color w:val="auto"/>
                      <w:sz w:val="18"/>
                      <w:szCs w:val="18"/>
                      <w:lang w:val="en-US" w:eastAsia="zh-CN"/>
                    </w:rPr>
                  </w:pPr>
                  <w:r>
                    <w:rPr>
                      <w:rFonts w:hint="eastAsia" w:cs="宋体"/>
                      <w:color w:val="auto"/>
                      <w:sz w:val="18"/>
                      <w:szCs w:val="18"/>
                      <w:lang w:val="en-US" w:eastAsia="zh-CN"/>
                    </w:rPr>
                    <w:t>0.178</w:t>
                  </w:r>
                </w:p>
              </w:tc>
              <w:tc>
                <w:tcPr>
                  <w:tcW w:w="799" w:type="dxa"/>
                  <w:tcBorders>
                    <w:top w:val="single" w:color="000000" w:sz="4" w:space="0"/>
                    <w:left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default" w:ascii="宋体" w:hAnsi="宋体" w:eastAsia="宋体" w:cs="宋体"/>
                      <w:color w:val="auto"/>
                      <w:sz w:val="18"/>
                      <w:szCs w:val="18"/>
                      <w:lang w:val="en-US" w:eastAsia="zh-CN"/>
                    </w:rPr>
                  </w:pPr>
                  <w:r>
                    <w:rPr>
                      <w:rFonts w:hint="eastAsia" w:cs="宋体"/>
                      <w:color w:val="auto"/>
                      <w:sz w:val="18"/>
                      <w:szCs w:val="18"/>
                      <w:lang w:val="en-US" w:eastAsia="zh-CN"/>
                    </w:rPr>
                    <w:t>0.45</w:t>
                  </w:r>
                </w:p>
              </w:tc>
              <w:tc>
                <w:tcPr>
                  <w:tcW w:w="891" w:type="dxa"/>
                  <w:tcBorders>
                    <w:top w:val="single" w:color="000000" w:sz="4" w:space="0"/>
                    <w:left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default" w:ascii="宋体" w:hAnsi="宋体" w:eastAsia="宋体" w:cs="宋体"/>
                      <w:color w:val="auto"/>
                      <w:sz w:val="18"/>
                      <w:szCs w:val="18"/>
                      <w:lang w:val="en-US" w:eastAsia="zh-CN"/>
                    </w:rPr>
                  </w:pPr>
                  <w:r>
                    <w:rPr>
                      <w:rFonts w:hint="eastAsia" w:cs="宋体"/>
                      <w:color w:val="auto"/>
                      <w:sz w:val="18"/>
                      <w:szCs w:val="18"/>
                      <w:lang w:val="en-US" w:eastAsia="zh-CN"/>
                    </w:rPr>
                    <w:t>350</w:t>
                  </w:r>
                </w:p>
              </w:tc>
              <w:tc>
                <w:tcPr>
                  <w:tcW w:w="711" w:type="dxa"/>
                  <w:tcBorders>
                    <w:top w:val="single" w:color="000000" w:sz="4" w:space="0"/>
                    <w:left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default" w:ascii="宋体" w:hAnsi="宋体" w:eastAsia="宋体" w:cs="宋体"/>
                      <w:color w:val="auto"/>
                      <w:sz w:val="18"/>
                      <w:szCs w:val="18"/>
                      <w:lang w:val="en-US" w:eastAsia="zh-CN"/>
                    </w:rPr>
                  </w:pPr>
                  <w:r>
                    <w:rPr>
                      <w:rFonts w:hint="eastAsia" w:cs="宋体"/>
                      <w:color w:val="auto"/>
                      <w:sz w:val="18"/>
                      <w:szCs w:val="18"/>
                      <w:lang w:val="en-US" w:eastAsia="zh-CN"/>
                    </w:rPr>
                    <w:t>0.021</w:t>
                  </w:r>
                </w:p>
              </w:tc>
              <w:tc>
                <w:tcPr>
                  <w:tcW w:w="766" w:type="dxa"/>
                  <w:tcBorders>
                    <w:top w:val="single" w:color="000000" w:sz="4" w:space="0"/>
                    <w:left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default" w:ascii="宋体" w:hAnsi="宋体" w:eastAsia="宋体" w:cs="宋体"/>
                      <w:color w:val="auto"/>
                      <w:sz w:val="18"/>
                      <w:szCs w:val="18"/>
                      <w:lang w:val="en-US" w:eastAsia="zh-CN"/>
                    </w:rPr>
                  </w:pPr>
                  <w:r>
                    <w:rPr>
                      <w:rFonts w:hint="eastAsia" w:cs="宋体"/>
                      <w:color w:val="auto"/>
                      <w:sz w:val="18"/>
                      <w:szCs w:val="18"/>
                      <w:lang w:val="en-US" w:eastAsia="zh-CN"/>
                    </w:rPr>
                    <w:t>1.85</w:t>
                  </w:r>
                </w:p>
              </w:tc>
              <w:tc>
                <w:tcPr>
                  <w:tcW w:w="678" w:type="dxa"/>
                  <w:tcBorders>
                    <w:top w:val="single" w:color="000000" w:sz="4" w:space="0"/>
                    <w:left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default" w:ascii="宋体" w:hAnsi="宋体" w:eastAsia="宋体" w:cs="宋体"/>
                      <w:color w:val="auto"/>
                      <w:sz w:val="18"/>
                      <w:szCs w:val="18"/>
                      <w:lang w:val="en-US" w:eastAsia="zh-CN"/>
                    </w:rPr>
                  </w:pPr>
                  <w:r>
                    <w:rPr>
                      <w:rFonts w:hint="eastAsia" w:cs="宋体"/>
                      <w:color w:val="auto"/>
                      <w:sz w:val="18"/>
                      <w:szCs w:val="18"/>
                      <w:lang w:val="en-US" w:eastAsia="zh-CN"/>
                    </w:rPr>
                    <w:t>0.84</w:t>
                  </w:r>
                </w:p>
              </w:tc>
              <w:tc>
                <w:tcPr>
                  <w:tcW w:w="739" w:type="dxa"/>
                  <w:tcBorders>
                    <w:top w:val="single" w:color="000000" w:sz="4" w:space="0"/>
                    <w:lef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default" w:ascii="宋体" w:hAnsi="宋体" w:eastAsia="宋体" w:cs="宋体"/>
                      <w:color w:val="auto"/>
                      <w:sz w:val="18"/>
                      <w:szCs w:val="18"/>
                      <w:lang w:val="en-US" w:eastAsia="zh-CN"/>
                    </w:rPr>
                  </w:pPr>
                  <w:r>
                    <w:rPr>
                      <w:rFonts w:hint="eastAsia" w:cs="宋体"/>
                      <w:color w:val="auto"/>
                      <w:sz w:val="18"/>
                      <w:szCs w:val="18"/>
                      <w:lang w:val="en-US" w:eastAsia="zh-CN"/>
                    </w:rPr>
                    <w:t>10.99m</w:t>
                  </w:r>
                </w:p>
              </w:tc>
              <w:tc>
                <w:tcPr>
                  <w:tcW w:w="739" w:type="dxa"/>
                  <w:tcBorders>
                    <w:top w:val="single" w:color="000000" w:sz="4" w:space="0"/>
                    <w:lef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default" w:ascii="宋体" w:hAnsi="宋体" w:eastAsia="宋体" w:cs="宋体"/>
                      <w:b/>
                      <w:bCs/>
                      <w:color w:val="auto"/>
                      <w:sz w:val="18"/>
                      <w:szCs w:val="18"/>
                      <w:lang w:val="en-US" w:eastAsia="zh-CN"/>
                    </w:rPr>
                  </w:pPr>
                  <w:r>
                    <w:rPr>
                      <w:rFonts w:hint="eastAsia" w:cs="宋体"/>
                      <w:b/>
                      <w:bCs/>
                      <w:color w:val="auto"/>
                      <w:sz w:val="18"/>
                      <w:szCs w:val="18"/>
                      <w:lang w:val="en-US" w:eastAsia="zh-CN"/>
                    </w:rPr>
                    <w:t>50m</w:t>
                  </w:r>
                </w:p>
              </w:tc>
            </w:tr>
          </w:tbl>
          <w:p>
            <w:pPr>
              <w:keepNext w:val="0"/>
              <w:keepLines w:val="0"/>
              <w:pageBreakBefore w:val="0"/>
              <w:widowControl w:val="0"/>
              <w:kinsoku/>
              <w:wordWrap/>
              <w:overflowPunct/>
              <w:topLinePunct w:val="0"/>
              <w:autoSpaceDE w:val="0"/>
              <w:autoSpaceDN w:val="0"/>
              <w:bidi w:val="0"/>
              <w:adjustRightInd/>
              <w:snapToGrid w:val="0"/>
              <w:spacing w:after="0" w:line="360" w:lineRule="auto"/>
              <w:ind w:right="-40" w:rightChars="-19" w:firstLine="210" w:firstLineChars="100"/>
              <w:jc w:val="both"/>
              <w:textAlignment w:val="auto"/>
              <w:rPr>
                <w:color w:val="auto"/>
                <w:sz w:val="21"/>
                <w:szCs w:val="21"/>
              </w:rPr>
            </w:pPr>
            <w:r>
              <w:rPr>
                <w:rFonts w:hint="eastAsia"/>
                <w:color w:val="auto"/>
                <w:sz w:val="21"/>
                <w:szCs w:val="21"/>
              </w:rPr>
              <w:t>由上表可知，项目</w:t>
            </w:r>
            <w:r>
              <w:rPr>
                <w:rFonts w:hint="eastAsia"/>
                <w:color w:val="auto"/>
                <w:sz w:val="21"/>
                <w:szCs w:val="21"/>
                <w:lang w:eastAsia="zh-CN"/>
              </w:rPr>
              <w:t>加工区、成品堆场</w:t>
            </w:r>
            <w:r>
              <w:rPr>
                <w:rFonts w:hint="eastAsia"/>
                <w:color w:val="auto"/>
                <w:sz w:val="21"/>
                <w:szCs w:val="21"/>
              </w:rPr>
              <w:t>排放的无组织颗粒物的卫生防护距离均为50m。根据总平面布置可知，项目</w:t>
            </w:r>
            <w:r>
              <w:rPr>
                <w:rFonts w:hint="eastAsia"/>
                <w:color w:val="auto"/>
                <w:sz w:val="21"/>
                <w:szCs w:val="21"/>
                <w:lang w:eastAsia="zh-CN"/>
              </w:rPr>
              <w:t>加工区、成品堆场并列平行</w:t>
            </w:r>
            <w:r>
              <w:rPr>
                <w:rFonts w:hint="eastAsia"/>
                <w:color w:val="auto"/>
                <w:sz w:val="21"/>
                <w:szCs w:val="21"/>
              </w:rPr>
              <w:t>，因此，本次评价以</w:t>
            </w:r>
            <w:r>
              <w:rPr>
                <w:rFonts w:hint="eastAsia"/>
                <w:color w:val="auto"/>
                <w:sz w:val="21"/>
                <w:szCs w:val="21"/>
                <w:lang w:eastAsia="zh-CN"/>
              </w:rPr>
              <w:t>加工区、成品堆场</w:t>
            </w:r>
            <w:r>
              <w:rPr>
                <w:rFonts w:hint="eastAsia"/>
                <w:color w:val="auto"/>
                <w:sz w:val="21"/>
                <w:szCs w:val="21"/>
              </w:rPr>
              <w:t>边界分别向外延伸 50m 的距离划为卫生防护距离。经现场勘查并结合外环境关系可知，项目卫生防护距离内无居民、学校、食品及医药企业等敏感目标。环评要求，今后在卫生防护距离内禁止新建住宅、学校、医院等环境敏感目标。</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b/>
                <w:bCs w:val="0"/>
                <w:color w:val="auto"/>
                <w:spacing w:val="0"/>
                <w:sz w:val="21"/>
                <w:szCs w:val="21"/>
              </w:rPr>
            </w:pPr>
            <w:r>
              <w:rPr>
                <w:b/>
                <w:bCs w:val="0"/>
                <w:color w:val="auto"/>
                <w:spacing w:val="0"/>
                <w:sz w:val="21"/>
                <w:szCs w:val="21"/>
              </w:rPr>
              <w:t>（5）废气影响分析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Cs w:val="21"/>
                <w:u w:val="none"/>
                <w:lang w:eastAsia="zh-CN"/>
              </w:rPr>
            </w:pPr>
            <w:r>
              <w:rPr>
                <w:rFonts w:hint="eastAsia" w:ascii="宋体" w:hAnsi="宋体" w:eastAsia="宋体" w:cs="宋体"/>
                <w:color w:val="auto"/>
                <w:szCs w:val="21"/>
                <w:u w:val="none"/>
              </w:rPr>
              <w:t>根据现状监测数据可知，项目所在区域为达标区，项目周边100m环境保护目标较少</w:t>
            </w:r>
            <w:r>
              <w:rPr>
                <w:rFonts w:hint="eastAsia" w:ascii="宋体" w:hAnsi="宋体" w:eastAsia="宋体" w:cs="宋体"/>
                <w:color w:val="auto"/>
                <w:szCs w:val="21"/>
                <w:u w:val="none"/>
                <w:lang w:eastAsia="zh-CN"/>
              </w:rPr>
              <w:t>。</w:t>
            </w:r>
            <w:r>
              <w:rPr>
                <w:rFonts w:hint="eastAsia" w:ascii="宋体" w:hAnsi="宋体" w:eastAsia="宋体" w:cs="宋体"/>
                <w:color w:val="auto"/>
                <w:szCs w:val="21"/>
                <w:u w:val="none"/>
              </w:rPr>
              <w:t>根据前文分析可知，破碎、卸料、输送过程产生的粉尘以无组织形式排放</w:t>
            </w:r>
            <w:r>
              <w:rPr>
                <w:rFonts w:hint="eastAsia" w:ascii="宋体" w:hAnsi="宋体" w:eastAsia="宋体" w:cs="宋体"/>
                <w:color w:val="auto"/>
                <w:szCs w:val="21"/>
                <w:u w:val="none"/>
                <w:lang w:eastAsia="zh-CN"/>
              </w:rPr>
              <w:t>，预测最大</w:t>
            </w:r>
            <w:r>
              <w:rPr>
                <w:rFonts w:hint="eastAsia" w:ascii="宋体" w:hAnsi="宋体" w:eastAsia="宋体" w:cs="宋体"/>
                <w:color w:val="auto"/>
                <w:szCs w:val="21"/>
                <w:u w:val="none"/>
              </w:rPr>
              <w:t>落地浓度能满足《大气污染物综合排放标准》(GB16297-1996)中无组织排放浓度限值</w:t>
            </w:r>
            <w:r>
              <w:rPr>
                <w:rFonts w:hint="eastAsia" w:ascii="宋体" w:hAnsi="宋体" w:eastAsia="宋体" w:cs="宋体"/>
                <w:color w:val="auto"/>
                <w:szCs w:val="21"/>
                <w:u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Cs w:val="21"/>
                <w:u w:val="none"/>
              </w:rPr>
            </w:pPr>
            <w:r>
              <w:rPr>
                <w:rFonts w:hint="eastAsia" w:ascii="宋体" w:hAnsi="宋体" w:eastAsia="宋体" w:cs="宋体"/>
                <w:color w:val="auto"/>
                <w:szCs w:val="21"/>
                <w:u w:val="none"/>
                <w:lang w:eastAsia="zh-CN"/>
              </w:rPr>
              <w:t>根据企业提供资料，</w:t>
            </w:r>
            <w:r>
              <w:rPr>
                <w:rFonts w:hint="eastAsia" w:ascii="宋体" w:hAnsi="宋体" w:eastAsia="宋体" w:cs="宋体"/>
                <w:color w:val="auto"/>
                <w:szCs w:val="21"/>
                <w:u w:val="none"/>
              </w:rPr>
              <w:t>生产过程中产生的粉尘</w:t>
            </w:r>
            <w:r>
              <w:rPr>
                <w:rFonts w:hint="eastAsia" w:ascii="宋体" w:hAnsi="宋体" w:eastAsia="宋体" w:cs="宋体"/>
                <w:color w:val="auto"/>
                <w:szCs w:val="21"/>
                <w:u w:val="none"/>
                <w:lang w:eastAsia="zh-CN"/>
              </w:rPr>
              <w:t>将</w:t>
            </w:r>
            <w:r>
              <w:rPr>
                <w:rFonts w:hint="eastAsia" w:ascii="宋体" w:hAnsi="宋体" w:eastAsia="宋体" w:cs="宋体"/>
                <w:color w:val="auto"/>
                <w:szCs w:val="21"/>
                <w:u w:val="none"/>
              </w:rPr>
              <w:t>采取以下措施：</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Cs w:val="21"/>
                <w:u w:val="none"/>
              </w:rPr>
            </w:pPr>
            <w:r>
              <w:rPr>
                <w:rFonts w:hint="eastAsia" w:ascii="宋体" w:hAnsi="宋体" w:eastAsia="宋体" w:cs="宋体"/>
                <w:color w:val="auto"/>
                <w:szCs w:val="21"/>
                <w:u w:val="none"/>
              </w:rPr>
              <w:t xml:space="preserve">①使用喷淋降尘，皮带运输过程中要降低卸料点的落差，减少粉尘的产生； </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Cs w:val="21"/>
                <w:u w:val="none"/>
              </w:rPr>
            </w:pPr>
            <w:r>
              <w:rPr>
                <w:rFonts w:hint="eastAsia" w:ascii="宋体" w:hAnsi="宋体" w:eastAsia="宋体" w:cs="宋体"/>
                <w:color w:val="auto"/>
                <w:szCs w:val="21"/>
                <w:u w:val="none"/>
              </w:rPr>
              <w:t xml:space="preserve">②对入场道路进行硬化，及时对沿线道路进行清扫，及时洒水抑尘，特别是干燥天气要加大洒水抑尘的次数，尽可能减少扬尘的产生； </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Cs w:val="21"/>
                <w:u w:val="none"/>
                <w:lang w:eastAsia="zh-CN"/>
              </w:rPr>
            </w:pPr>
            <w:r>
              <w:rPr>
                <w:rFonts w:hint="eastAsia" w:ascii="宋体" w:hAnsi="宋体" w:eastAsia="宋体" w:cs="宋体"/>
                <w:color w:val="auto"/>
                <w:szCs w:val="21"/>
                <w:u w:val="none"/>
              </w:rPr>
              <w:t>③严格控制车辆装载量和行驶速度，运输车辆尽量做到密闭装载，减少漏撒和扬散；</w:t>
            </w:r>
            <w:r>
              <w:rPr>
                <w:rFonts w:hint="eastAsia" w:ascii="宋体" w:hAnsi="宋体" w:cs="宋体"/>
                <w:color w:val="auto"/>
                <w:szCs w:val="21"/>
                <w:u w:val="none"/>
                <w:lang w:eastAsia="zh-CN"/>
              </w:rPr>
              <w:t>厂出车口设置了洗车平台，车辆进厂出厂保持车身干净；</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Cs w:val="21"/>
                <w:u w:val="none"/>
              </w:rPr>
            </w:pPr>
            <w:r>
              <w:rPr>
                <w:rFonts w:hint="eastAsia" w:ascii="宋体" w:hAnsi="宋体" w:eastAsia="宋体" w:cs="宋体"/>
                <w:color w:val="auto"/>
                <w:szCs w:val="21"/>
                <w:u w:val="none"/>
              </w:rPr>
              <w:t>④尽量避免在大风天气实施装载运输，若无法避免则须采取必要的遮盖措施；</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宋体"/>
                <w:color w:val="auto"/>
                <w:szCs w:val="21"/>
                <w:u w:val="none"/>
                <w:lang w:eastAsia="zh-CN"/>
              </w:rPr>
            </w:pPr>
            <w:r>
              <w:rPr>
                <w:rFonts w:hint="eastAsia"/>
                <w:color w:val="auto"/>
                <w:szCs w:val="21"/>
                <w:u w:val="none"/>
              </w:rPr>
              <w:t>⑤</w:t>
            </w:r>
            <w:r>
              <w:rPr>
                <w:color w:val="auto"/>
                <w:szCs w:val="21"/>
                <w:u w:val="none"/>
              </w:rPr>
              <w:t>原料堆场</w:t>
            </w:r>
            <w:r>
              <w:rPr>
                <w:rFonts w:hint="eastAsia"/>
                <w:color w:val="auto"/>
                <w:szCs w:val="21"/>
                <w:u w:val="none"/>
              </w:rPr>
              <w:t>和</w:t>
            </w:r>
            <w:r>
              <w:rPr>
                <w:color w:val="auto"/>
                <w:szCs w:val="21"/>
                <w:u w:val="none"/>
              </w:rPr>
              <w:t>成品堆场设置为三面封面带顶棚的轻钢结构堆场</w:t>
            </w:r>
            <w:r>
              <w:rPr>
                <w:rFonts w:hint="eastAsia"/>
                <w:color w:val="auto"/>
                <w:szCs w:val="21"/>
                <w:u w:val="none"/>
                <w:lang w:eastAsia="zh-CN"/>
              </w:rPr>
              <w:t>，</w:t>
            </w:r>
            <w:r>
              <w:rPr>
                <w:color w:val="auto"/>
                <w:szCs w:val="21"/>
                <w:u w:val="none"/>
              </w:rPr>
              <w:t>严禁物料露天堆放</w:t>
            </w:r>
            <w:r>
              <w:rPr>
                <w:rFonts w:hint="eastAsia"/>
                <w:color w:val="auto"/>
                <w:szCs w:val="21"/>
                <w:u w:val="none"/>
                <w:lang w:eastAsia="zh-CN"/>
              </w:rPr>
              <w:t>；原料堆场及成品堆场均设置有喷雾降尘装置；</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color w:val="auto"/>
                <w:spacing w:val="0"/>
                <w:sz w:val="21"/>
                <w:szCs w:val="21"/>
                <w:u w:val="none"/>
              </w:rPr>
            </w:pPr>
            <w:r>
              <w:rPr>
                <w:rFonts w:hint="eastAsia"/>
                <w:color w:val="auto"/>
                <w:szCs w:val="21"/>
                <w:u w:val="none"/>
              </w:rPr>
              <w:t>⑥</w:t>
            </w:r>
            <w:r>
              <w:rPr>
                <w:color w:val="auto"/>
                <w:szCs w:val="21"/>
                <w:u w:val="none"/>
              </w:rPr>
              <w:t>生产设备均需安装在密闭式的生产车间内，同时对易产尘的破碎、</w:t>
            </w:r>
            <w:r>
              <w:rPr>
                <w:rFonts w:hint="eastAsia"/>
                <w:color w:val="auto"/>
                <w:szCs w:val="21"/>
                <w:u w:val="none"/>
                <w:lang w:eastAsia="zh-CN"/>
              </w:rPr>
              <w:t>筛分</w:t>
            </w:r>
            <w:r>
              <w:rPr>
                <w:color w:val="auto"/>
                <w:szCs w:val="21"/>
                <w:u w:val="none"/>
              </w:rPr>
              <w:t>工序设置</w:t>
            </w:r>
            <w:r>
              <w:rPr>
                <w:color w:val="auto"/>
                <w:spacing w:val="0"/>
                <w:sz w:val="21"/>
                <w:szCs w:val="21"/>
                <w:u w:val="none"/>
              </w:rPr>
              <w:t>喷淋设施，尽量降低无组织排放粉尘对周边环境的影响。</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color w:val="auto"/>
                <w:spacing w:val="0"/>
                <w:sz w:val="21"/>
                <w:szCs w:val="21"/>
                <w:u w:val="none"/>
              </w:rPr>
            </w:pPr>
            <w:r>
              <w:rPr>
                <w:color w:val="auto"/>
                <w:spacing w:val="0"/>
                <w:sz w:val="21"/>
                <w:szCs w:val="21"/>
                <w:u w:val="none"/>
              </w:rPr>
              <w:t>综上所述，本项目运营期产生的废气经本环评采取的措施后外排对周边大气环境影响较小。</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22" w:firstLineChars="200"/>
              <w:textAlignment w:val="auto"/>
              <w:rPr>
                <w:b/>
                <w:bCs w:val="0"/>
                <w:color w:val="auto"/>
                <w:spacing w:val="0"/>
                <w:sz w:val="21"/>
                <w:szCs w:val="21"/>
              </w:rPr>
            </w:pPr>
            <w:r>
              <w:rPr>
                <w:b/>
                <w:bCs w:val="0"/>
                <w:color w:val="auto"/>
                <w:spacing w:val="0"/>
                <w:sz w:val="21"/>
                <w:szCs w:val="21"/>
              </w:rPr>
              <w:t>（6）监测要求</w:t>
            </w:r>
          </w:p>
          <w:p>
            <w:pPr>
              <w:adjustRightInd w:val="0"/>
              <w:snapToGrid w:val="0"/>
              <w:spacing w:line="360" w:lineRule="auto"/>
              <w:ind w:firstLine="420" w:firstLineChars="200"/>
              <w:rPr>
                <w:bCs/>
                <w:color w:val="auto"/>
                <w:spacing w:val="0"/>
                <w:sz w:val="21"/>
                <w:szCs w:val="21"/>
              </w:rPr>
            </w:pPr>
            <w:r>
              <w:rPr>
                <w:bCs/>
                <w:color w:val="auto"/>
                <w:spacing w:val="0"/>
                <w:sz w:val="21"/>
                <w:szCs w:val="21"/>
              </w:rPr>
              <w:t>本项目废气监测要求详细见下表。</w:t>
            </w:r>
          </w:p>
          <w:p>
            <w:pPr>
              <w:pStyle w:val="8"/>
              <w:ind w:firstLine="210"/>
              <w:rPr>
                <w:color w:val="auto"/>
                <w:sz w:val="21"/>
                <w:lang w:eastAsia="zh-CN"/>
              </w:rPr>
            </w:pPr>
            <w:r>
              <w:rPr>
                <w:color w:val="auto"/>
                <w:sz w:val="21"/>
              </w:rPr>
              <w:t>表4-</w:t>
            </w:r>
            <w:r>
              <w:rPr>
                <w:color w:val="auto"/>
                <w:sz w:val="21"/>
                <w:lang w:eastAsia="zh-CN"/>
              </w:rPr>
              <w:t>9</w:t>
            </w:r>
            <w:r>
              <w:rPr>
                <w:color w:val="auto"/>
                <w:sz w:val="21"/>
              </w:rPr>
              <w:t xml:space="preserve">  </w:t>
            </w:r>
            <w:r>
              <w:rPr>
                <w:color w:val="auto"/>
                <w:sz w:val="21"/>
                <w:lang w:eastAsia="zh-CN"/>
              </w:rPr>
              <w:t>废气</w:t>
            </w:r>
            <w:r>
              <w:rPr>
                <w:color w:val="auto"/>
                <w:sz w:val="21"/>
              </w:rPr>
              <w:t>监测要求</w:t>
            </w:r>
            <w:r>
              <w:rPr>
                <w:color w:val="auto"/>
                <w:sz w:val="21"/>
                <w:lang w:eastAsia="zh-CN"/>
              </w:rPr>
              <w:t>一览表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9"/>
              <w:gridCol w:w="1320"/>
              <w:gridCol w:w="1262"/>
              <w:gridCol w:w="3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1" w:type="pct"/>
                  <w:shd w:val="clear" w:color="auto" w:fill="auto"/>
                  <w:vAlign w:val="center"/>
                </w:tcPr>
                <w:p>
                  <w:pPr>
                    <w:adjustRightInd w:val="0"/>
                    <w:snapToGrid w:val="0"/>
                    <w:jc w:val="center"/>
                    <w:rPr>
                      <w:bCs/>
                      <w:color w:val="auto"/>
                      <w:spacing w:val="0"/>
                      <w:sz w:val="18"/>
                      <w:szCs w:val="18"/>
                      <w:u w:val="none"/>
                    </w:rPr>
                  </w:pPr>
                  <w:r>
                    <w:rPr>
                      <w:bCs/>
                      <w:color w:val="auto"/>
                      <w:spacing w:val="0"/>
                      <w:sz w:val="18"/>
                      <w:szCs w:val="18"/>
                      <w:u w:val="none"/>
                    </w:rPr>
                    <w:t>监测点位</w:t>
                  </w:r>
                </w:p>
              </w:tc>
              <w:tc>
                <w:tcPr>
                  <w:tcW w:w="832" w:type="pct"/>
                  <w:shd w:val="clear" w:color="auto" w:fill="auto"/>
                  <w:vAlign w:val="center"/>
                </w:tcPr>
                <w:p>
                  <w:pPr>
                    <w:adjustRightInd w:val="0"/>
                    <w:snapToGrid w:val="0"/>
                    <w:jc w:val="center"/>
                    <w:rPr>
                      <w:bCs/>
                      <w:color w:val="auto"/>
                      <w:spacing w:val="0"/>
                      <w:sz w:val="18"/>
                      <w:szCs w:val="18"/>
                      <w:u w:val="none"/>
                    </w:rPr>
                  </w:pPr>
                  <w:r>
                    <w:rPr>
                      <w:bCs/>
                      <w:color w:val="auto"/>
                      <w:spacing w:val="0"/>
                      <w:sz w:val="18"/>
                      <w:szCs w:val="18"/>
                      <w:u w:val="none"/>
                    </w:rPr>
                    <w:t>监测因子</w:t>
                  </w:r>
                </w:p>
              </w:tc>
              <w:tc>
                <w:tcPr>
                  <w:tcW w:w="795" w:type="pct"/>
                  <w:shd w:val="clear" w:color="auto" w:fill="auto"/>
                  <w:vAlign w:val="center"/>
                </w:tcPr>
                <w:p>
                  <w:pPr>
                    <w:adjustRightInd w:val="0"/>
                    <w:snapToGrid w:val="0"/>
                    <w:jc w:val="center"/>
                    <w:rPr>
                      <w:bCs/>
                      <w:color w:val="auto"/>
                      <w:spacing w:val="0"/>
                      <w:sz w:val="18"/>
                      <w:szCs w:val="18"/>
                      <w:u w:val="none"/>
                    </w:rPr>
                  </w:pPr>
                  <w:r>
                    <w:rPr>
                      <w:bCs/>
                      <w:color w:val="auto"/>
                      <w:spacing w:val="0"/>
                      <w:sz w:val="18"/>
                      <w:szCs w:val="18"/>
                      <w:u w:val="none"/>
                    </w:rPr>
                    <w:t>监测频次</w:t>
                  </w:r>
                </w:p>
              </w:tc>
              <w:tc>
                <w:tcPr>
                  <w:tcW w:w="2130" w:type="pct"/>
                  <w:shd w:val="clear" w:color="auto" w:fill="auto"/>
                  <w:vAlign w:val="center"/>
                </w:tcPr>
                <w:p>
                  <w:pPr>
                    <w:adjustRightInd w:val="0"/>
                    <w:snapToGrid w:val="0"/>
                    <w:jc w:val="center"/>
                    <w:rPr>
                      <w:bCs/>
                      <w:color w:val="auto"/>
                      <w:spacing w:val="0"/>
                      <w:sz w:val="18"/>
                      <w:szCs w:val="18"/>
                      <w:u w:val="none"/>
                    </w:rPr>
                  </w:pPr>
                  <w:r>
                    <w:rPr>
                      <w:bCs/>
                      <w:color w:val="auto"/>
                      <w:spacing w:val="0"/>
                      <w:sz w:val="18"/>
                      <w:szCs w:val="18"/>
                      <w:u w:val="none"/>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1" w:type="pct"/>
                  <w:shd w:val="clear" w:color="auto" w:fill="auto"/>
                  <w:vAlign w:val="center"/>
                </w:tcPr>
                <w:p>
                  <w:pPr>
                    <w:pStyle w:val="45"/>
                    <w:rPr>
                      <w:bCs/>
                      <w:color w:val="auto"/>
                      <w:spacing w:val="0"/>
                      <w:sz w:val="18"/>
                      <w:szCs w:val="18"/>
                      <w:u w:val="none"/>
                    </w:rPr>
                  </w:pPr>
                  <w:r>
                    <w:rPr>
                      <w:rFonts w:hint="eastAsia" w:ascii="宋体" w:hAnsi="宋体" w:eastAsia="宋体" w:cs="宋体"/>
                      <w:bCs/>
                      <w:color w:val="auto"/>
                      <w:spacing w:val="0"/>
                      <w:sz w:val="18"/>
                      <w:szCs w:val="18"/>
                      <w:u w:val="none"/>
                    </w:rPr>
                    <w:t>厂界外 20 m 处上风向设参照点，下风向设监控点</w:t>
                  </w:r>
                </w:p>
              </w:tc>
              <w:tc>
                <w:tcPr>
                  <w:tcW w:w="832" w:type="pct"/>
                  <w:shd w:val="clear" w:color="auto" w:fill="auto"/>
                  <w:vAlign w:val="center"/>
                </w:tcPr>
                <w:p>
                  <w:pPr>
                    <w:pStyle w:val="45"/>
                    <w:rPr>
                      <w:bCs/>
                      <w:color w:val="auto"/>
                      <w:spacing w:val="0"/>
                      <w:sz w:val="18"/>
                      <w:szCs w:val="18"/>
                      <w:u w:val="none"/>
                    </w:rPr>
                  </w:pPr>
                  <w:r>
                    <w:rPr>
                      <w:bCs/>
                      <w:color w:val="auto"/>
                      <w:spacing w:val="0"/>
                      <w:sz w:val="18"/>
                      <w:szCs w:val="18"/>
                      <w:u w:val="none"/>
                    </w:rPr>
                    <w:t>颗粒物</w:t>
                  </w:r>
                </w:p>
              </w:tc>
              <w:tc>
                <w:tcPr>
                  <w:tcW w:w="795" w:type="pct"/>
                  <w:shd w:val="clear" w:color="auto" w:fill="auto"/>
                  <w:vAlign w:val="center"/>
                </w:tcPr>
                <w:p>
                  <w:pPr>
                    <w:pStyle w:val="45"/>
                    <w:rPr>
                      <w:bCs/>
                      <w:color w:val="auto"/>
                      <w:spacing w:val="0"/>
                      <w:sz w:val="18"/>
                      <w:szCs w:val="18"/>
                      <w:u w:val="none"/>
                    </w:rPr>
                  </w:pPr>
                  <w:r>
                    <w:rPr>
                      <w:bCs/>
                      <w:color w:val="auto"/>
                      <w:spacing w:val="0"/>
                      <w:sz w:val="18"/>
                      <w:szCs w:val="18"/>
                      <w:u w:val="none"/>
                    </w:rPr>
                    <w:t>每年1次</w:t>
                  </w:r>
                </w:p>
              </w:tc>
              <w:tc>
                <w:tcPr>
                  <w:tcW w:w="2130" w:type="pct"/>
                  <w:shd w:val="clear" w:color="auto" w:fill="auto"/>
                  <w:vAlign w:val="center"/>
                </w:tcPr>
                <w:p>
                  <w:pPr>
                    <w:jc w:val="center"/>
                    <w:rPr>
                      <w:color w:val="auto"/>
                      <w:spacing w:val="0"/>
                      <w:sz w:val="18"/>
                      <w:szCs w:val="18"/>
                      <w:u w:val="none"/>
                    </w:rPr>
                  </w:pPr>
                  <w:r>
                    <w:rPr>
                      <w:color w:val="auto"/>
                      <w:spacing w:val="0"/>
                      <w:sz w:val="18"/>
                      <w:szCs w:val="18"/>
                      <w:u w:val="none"/>
                    </w:rPr>
                    <w:t>《大气污染物综合排放标准》(GB16297-1996)无组织排放浓度限值</w:t>
                  </w:r>
                </w:p>
              </w:tc>
            </w:tr>
          </w:tbl>
          <w:p>
            <w:pPr>
              <w:adjustRightInd w:val="0"/>
              <w:snapToGrid w:val="0"/>
              <w:rPr>
                <w:bCs/>
                <w:color w:val="auto"/>
                <w:spacing w:val="-10"/>
                <w:szCs w:val="21"/>
              </w:rPr>
            </w:pPr>
          </w:p>
          <w:p>
            <w:pPr>
              <w:adjustRightInd w:val="0"/>
              <w:snapToGrid w:val="0"/>
              <w:spacing w:line="360" w:lineRule="auto"/>
              <w:rPr>
                <w:b/>
                <w:bCs/>
                <w:color w:val="auto"/>
                <w:spacing w:val="-10"/>
                <w:szCs w:val="21"/>
              </w:rPr>
            </w:pPr>
            <w:r>
              <w:rPr>
                <w:b/>
                <w:bCs/>
                <w:color w:val="auto"/>
                <w:spacing w:val="-10"/>
                <w:szCs w:val="21"/>
              </w:rPr>
              <w:t>2、</w:t>
            </w:r>
            <w:r>
              <w:rPr>
                <w:b/>
                <w:bCs/>
                <w:color w:val="auto"/>
                <w:spacing w:val="0"/>
                <w:sz w:val="21"/>
                <w:szCs w:val="21"/>
              </w:rPr>
              <w:t>废水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本项目实施雨污分流，初期雨水经排水沟收集入</w:t>
            </w:r>
            <w:r>
              <w:rPr>
                <w:rFonts w:hint="eastAsia" w:ascii="宋体" w:hAnsi="宋体" w:cs="宋体"/>
                <w:color w:val="auto"/>
                <w:sz w:val="21"/>
                <w:szCs w:val="21"/>
                <w:lang w:eastAsia="zh-CN"/>
              </w:rPr>
              <w:t>初期雨水池，经沉淀池沉淀后抽入</w:t>
            </w:r>
            <w:r>
              <w:rPr>
                <w:rFonts w:hint="eastAsia" w:ascii="宋体" w:hAnsi="宋体" w:eastAsia="宋体" w:cs="宋体"/>
                <w:color w:val="auto"/>
                <w:sz w:val="21"/>
                <w:szCs w:val="21"/>
              </w:rPr>
              <w:t>清水池，回用于生产，废水主要为生产废水和生活污水。</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（1）初期雨水</w:t>
            </w:r>
          </w:p>
          <w:p>
            <w:pPr>
              <w:pStyle w:val="5"/>
              <w:keepNext w:val="0"/>
              <w:keepLines w:val="0"/>
              <w:pageBreakBefore w:val="0"/>
              <w:widowControl w:val="0"/>
              <w:kinsoku/>
              <w:wordWrap/>
              <w:overflowPunct/>
              <w:topLinePunct w:val="0"/>
              <w:autoSpaceDE/>
              <w:autoSpaceDN/>
              <w:bidi w:val="0"/>
              <w:adjustRightInd/>
              <w:snapToGrid/>
              <w:spacing w:after="0" w:line="360" w:lineRule="auto"/>
              <w:ind w:firstLine="48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厂区初期雨水考虑降雨形成地面径流后15min内，收集的厂区受尘污染区域的地面雨水。</w:t>
            </w:r>
            <w:r>
              <w:rPr>
                <w:rFonts w:hint="default" w:ascii="Times New Roman" w:hAnsi="Times New Roman" w:eastAsia="宋体" w:cs="Times New Roman"/>
                <w:bCs/>
                <w:color w:val="auto"/>
                <w:sz w:val="21"/>
                <w:szCs w:val="21"/>
              </w:rPr>
              <w:t>初期雨水经沟渠汇入沉淀池回用于生产。</w:t>
            </w:r>
            <w:r>
              <w:rPr>
                <w:rFonts w:hint="default" w:ascii="Times New Roman" w:hAnsi="Times New Roman" w:eastAsia="宋体" w:cs="Times New Roman"/>
                <w:color w:val="auto"/>
                <w:sz w:val="21"/>
                <w:szCs w:val="21"/>
              </w:rPr>
              <w:t>降雨初期地面水与气象条件密切相关，具有间歇性、时间间隔的变化大等特点。本环评根据衡阳市地区暴雨强度公式计算初期雨水量。</w:t>
            </w:r>
          </w:p>
          <w:p>
            <w:pPr>
              <w:pStyle w:val="5"/>
              <w:keepNext w:val="0"/>
              <w:keepLines w:val="0"/>
              <w:pageBreakBefore w:val="0"/>
              <w:widowControl w:val="0"/>
              <w:kinsoku/>
              <w:wordWrap/>
              <w:overflowPunct/>
              <w:topLinePunct w:val="0"/>
              <w:autoSpaceDE/>
              <w:autoSpaceDN/>
              <w:bidi w:val="0"/>
              <w:adjustRightInd/>
              <w:snapToGrid/>
              <w:spacing w:after="0" w:line="360" w:lineRule="auto"/>
              <w:ind w:firstLine="480"/>
              <w:jc w:val="center"/>
              <w:textAlignment w:val="auto"/>
              <w:rPr>
                <w:rFonts w:hint="default" w:ascii="Times New Roman" w:hAnsi="Times New Roman" w:eastAsia="宋体" w:cs="Times New Roman"/>
                <w:color w:val="auto"/>
                <w:sz w:val="21"/>
                <w:szCs w:val="21"/>
                <w:vertAlign w:val="superscript"/>
              </w:rPr>
            </w:pPr>
            <w:r>
              <w:rPr>
                <w:rFonts w:hint="default" w:ascii="Times New Roman" w:hAnsi="Times New Roman" w:eastAsia="宋体" w:cs="Times New Roman"/>
                <w:color w:val="auto"/>
                <w:sz w:val="21"/>
                <w:szCs w:val="21"/>
              </w:rPr>
              <w:t>q=892（1+0.67lgP）/t</w:t>
            </w:r>
            <w:r>
              <w:rPr>
                <w:rFonts w:hint="default" w:ascii="Times New Roman" w:hAnsi="Times New Roman" w:eastAsia="宋体" w:cs="Times New Roman"/>
                <w:color w:val="auto"/>
                <w:sz w:val="21"/>
                <w:szCs w:val="21"/>
                <w:vertAlign w:val="superscript"/>
              </w:rPr>
              <w:t>0.57</w:t>
            </w:r>
          </w:p>
          <w:p>
            <w:pPr>
              <w:pStyle w:val="5"/>
              <w:keepNext w:val="0"/>
              <w:keepLines w:val="0"/>
              <w:pageBreakBefore w:val="0"/>
              <w:widowControl w:val="0"/>
              <w:kinsoku/>
              <w:wordWrap/>
              <w:overflowPunct/>
              <w:topLinePunct w:val="0"/>
              <w:autoSpaceDE/>
              <w:autoSpaceDN/>
              <w:bidi w:val="0"/>
              <w:adjustRightInd/>
              <w:snapToGrid/>
              <w:spacing w:after="0" w:line="360" w:lineRule="auto"/>
              <w:ind w:firstLine="48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其中：q：暴雨强度（L/s·万m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w:t>
            </w:r>
          </w:p>
          <w:p>
            <w:pPr>
              <w:pStyle w:val="5"/>
              <w:keepNext w:val="0"/>
              <w:keepLines w:val="0"/>
              <w:pageBreakBefore w:val="0"/>
              <w:widowControl w:val="0"/>
              <w:kinsoku/>
              <w:wordWrap/>
              <w:overflowPunct/>
              <w:topLinePunct w:val="0"/>
              <w:autoSpaceDE/>
              <w:autoSpaceDN/>
              <w:bidi w:val="0"/>
              <w:adjustRightInd/>
              <w:snapToGrid/>
              <w:spacing w:after="0" w:line="360" w:lineRule="auto"/>
              <w:ind w:firstLine="48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P：重现期，本项目取3年</w:t>
            </w:r>
          </w:p>
          <w:p>
            <w:pPr>
              <w:pStyle w:val="5"/>
              <w:keepNext w:val="0"/>
              <w:keepLines w:val="0"/>
              <w:pageBreakBefore w:val="0"/>
              <w:widowControl w:val="0"/>
              <w:kinsoku/>
              <w:wordWrap/>
              <w:overflowPunct/>
              <w:topLinePunct w:val="0"/>
              <w:autoSpaceDE/>
              <w:autoSpaceDN/>
              <w:bidi w:val="0"/>
              <w:adjustRightInd/>
              <w:snapToGrid/>
              <w:spacing w:after="0" w:line="360" w:lineRule="auto"/>
              <w:ind w:firstLine="48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T：降雨历时（min），本项目按15min计算。</w:t>
            </w:r>
          </w:p>
          <w:p>
            <w:pPr>
              <w:pStyle w:val="5"/>
              <w:keepNext w:val="0"/>
              <w:keepLines w:val="0"/>
              <w:pageBreakBefore w:val="0"/>
              <w:widowControl w:val="0"/>
              <w:kinsoku/>
              <w:wordWrap/>
              <w:overflowPunct/>
              <w:topLinePunct w:val="0"/>
              <w:autoSpaceDE/>
              <w:autoSpaceDN/>
              <w:bidi w:val="0"/>
              <w:adjustRightInd/>
              <w:snapToGrid/>
              <w:spacing w:after="0" w:line="360" w:lineRule="auto"/>
              <w:ind w:firstLine="48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根据计算，本项目的暴雨强度为251.454L/s·万m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w:t>
            </w:r>
          </w:p>
          <w:p>
            <w:pPr>
              <w:pStyle w:val="5"/>
              <w:keepNext w:val="0"/>
              <w:keepLines w:val="0"/>
              <w:pageBreakBefore w:val="0"/>
              <w:widowControl w:val="0"/>
              <w:kinsoku/>
              <w:wordWrap/>
              <w:overflowPunct/>
              <w:topLinePunct w:val="0"/>
              <w:autoSpaceDE/>
              <w:autoSpaceDN/>
              <w:bidi w:val="0"/>
              <w:adjustRightInd/>
              <w:snapToGrid/>
              <w:spacing w:after="0" w:line="360" w:lineRule="auto"/>
              <w:ind w:firstLine="48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Q=q× ψ×F</w:t>
            </w:r>
          </w:p>
          <w:p>
            <w:pPr>
              <w:pStyle w:val="5"/>
              <w:keepNext w:val="0"/>
              <w:keepLines w:val="0"/>
              <w:pageBreakBefore w:val="0"/>
              <w:widowControl w:val="0"/>
              <w:kinsoku/>
              <w:wordWrap/>
              <w:overflowPunct/>
              <w:topLinePunct w:val="0"/>
              <w:autoSpaceDE/>
              <w:autoSpaceDN/>
              <w:bidi w:val="0"/>
              <w:adjustRightInd/>
              <w:snapToGrid/>
              <w:spacing w:after="0" w:line="360" w:lineRule="auto"/>
              <w:ind w:firstLine="48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其中： Q：雨量（L/s）；</w:t>
            </w:r>
          </w:p>
          <w:p>
            <w:pPr>
              <w:pStyle w:val="5"/>
              <w:keepNext w:val="0"/>
              <w:keepLines w:val="0"/>
              <w:pageBreakBefore w:val="0"/>
              <w:widowControl w:val="0"/>
              <w:kinsoku/>
              <w:wordWrap/>
              <w:overflowPunct/>
              <w:topLinePunct w:val="0"/>
              <w:autoSpaceDE/>
              <w:autoSpaceDN/>
              <w:bidi w:val="0"/>
              <w:adjustRightInd/>
              <w:snapToGrid/>
              <w:spacing w:after="0" w:line="360" w:lineRule="auto"/>
              <w:ind w:firstLine="48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ψ：综合径流系数，本环评取0.6；</w:t>
            </w:r>
          </w:p>
          <w:p>
            <w:pPr>
              <w:pStyle w:val="5"/>
              <w:keepNext w:val="0"/>
              <w:keepLines w:val="0"/>
              <w:pageBreakBefore w:val="0"/>
              <w:widowControl w:val="0"/>
              <w:kinsoku/>
              <w:wordWrap/>
              <w:overflowPunct/>
              <w:topLinePunct w:val="0"/>
              <w:autoSpaceDE/>
              <w:autoSpaceDN/>
              <w:bidi w:val="0"/>
              <w:adjustRightInd/>
              <w:snapToGrid/>
              <w:spacing w:after="0" w:line="360" w:lineRule="auto"/>
              <w:ind w:firstLine="48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F：汇水面积，项目</w:t>
            </w:r>
            <w:r>
              <w:rPr>
                <w:rFonts w:hint="eastAsia" w:cs="Times New Roman"/>
                <w:color w:val="auto"/>
                <w:sz w:val="21"/>
                <w:szCs w:val="21"/>
                <w:lang w:eastAsia="zh-CN"/>
              </w:rPr>
              <w:t>没有设置顶棚</w:t>
            </w:r>
            <w:r>
              <w:rPr>
                <w:rFonts w:hint="default" w:ascii="Times New Roman" w:hAnsi="Times New Roman" w:eastAsia="宋体" w:cs="Times New Roman"/>
                <w:color w:val="auto"/>
                <w:sz w:val="21"/>
                <w:szCs w:val="21"/>
              </w:rPr>
              <w:t>总面积约</w:t>
            </w:r>
            <w:r>
              <w:rPr>
                <w:rFonts w:hint="eastAsia" w:cs="Times New Roman"/>
                <w:color w:val="auto"/>
                <w:sz w:val="21"/>
                <w:szCs w:val="21"/>
                <w:lang w:val="en-US" w:eastAsia="zh-CN"/>
              </w:rPr>
              <w:t>2000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w:t>
            </w:r>
          </w:p>
          <w:p>
            <w:pPr>
              <w:pStyle w:val="5"/>
              <w:keepNext w:val="0"/>
              <w:keepLines w:val="0"/>
              <w:pageBreakBefore w:val="0"/>
              <w:widowControl w:val="0"/>
              <w:kinsoku/>
              <w:wordWrap/>
              <w:overflowPunct/>
              <w:topLinePunct w:val="0"/>
              <w:autoSpaceDE/>
              <w:autoSpaceDN/>
              <w:bidi w:val="0"/>
              <w:adjustRightInd/>
              <w:snapToGrid/>
              <w:spacing w:after="0" w:line="360" w:lineRule="auto"/>
              <w:ind w:firstLine="480"/>
              <w:textAlignment w:val="auto"/>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rPr>
              <w:t>根据计算，厂区的初期雨水量约为</w:t>
            </w:r>
            <w:r>
              <w:rPr>
                <w:rFonts w:hint="eastAsia" w:cs="Times New Roman"/>
                <w:color w:val="auto"/>
                <w:sz w:val="21"/>
                <w:szCs w:val="21"/>
                <w:lang w:val="en-US" w:eastAsia="zh-CN"/>
              </w:rPr>
              <w:t>27</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/次，主要污染物为SS，初始浓度约为600mg/L。</w:t>
            </w:r>
          </w:p>
          <w:p>
            <w:pPr>
              <w:pStyle w:val="5"/>
              <w:keepNext w:val="0"/>
              <w:keepLines w:val="0"/>
              <w:pageBreakBefore w:val="0"/>
              <w:widowControl w:val="0"/>
              <w:kinsoku/>
              <w:wordWrap/>
              <w:overflowPunct/>
              <w:topLinePunct w:val="0"/>
              <w:autoSpaceDE/>
              <w:autoSpaceDN/>
              <w:bidi w:val="0"/>
              <w:adjustRightInd/>
              <w:snapToGrid/>
              <w:spacing w:after="0" w:line="360" w:lineRule="auto"/>
              <w:ind w:firstLine="48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本项目需在厂区内设置截排水沟，</w:t>
            </w:r>
            <w:r>
              <w:rPr>
                <w:rFonts w:hint="default" w:ascii="Times New Roman" w:hAnsi="Times New Roman" w:eastAsia="宋体" w:cs="Times New Roman"/>
                <w:color w:val="auto"/>
                <w:sz w:val="21"/>
                <w:szCs w:val="21"/>
                <w:lang w:eastAsia="zh-CN"/>
              </w:rPr>
              <w:t>根据厂区15min初期雨水汇集量</w:t>
            </w:r>
            <w:r>
              <w:rPr>
                <w:rFonts w:hint="default" w:ascii="Times New Roman" w:hAnsi="Times New Roman" w:eastAsia="宋体" w:cs="Times New Roman"/>
                <w:color w:val="auto"/>
                <w:sz w:val="21"/>
                <w:szCs w:val="21"/>
              </w:rPr>
              <w:t>需1个</w:t>
            </w:r>
            <w:r>
              <w:rPr>
                <w:rFonts w:hint="eastAsia" w:cs="Times New Roman"/>
                <w:color w:val="auto"/>
                <w:sz w:val="21"/>
                <w:szCs w:val="21"/>
                <w:lang w:val="en-US" w:eastAsia="zh-CN"/>
              </w:rPr>
              <w:t>27</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的初期雨水收集池。厂区</w:t>
            </w:r>
            <w:r>
              <w:rPr>
                <w:rFonts w:hint="default" w:ascii="Times New Roman" w:hAnsi="Times New Roman" w:eastAsia="宋体" w:cs="Times New Roman"/>
                <w:color w:val="auto"/>
                <w:sz w:val="21"/>
                <w:szCs w:val="21"/>
                <w:lang w:eastAsia="zh-CN"/>
              </w:rPr>
              <w:t>设置有</w:t>
            </w:r>
            <w:r>
              <w:rPr>
                <w:rFonts w:hint="eastAsia" w:cs="Times New Roman"/>
                <w:color w:val="auto"/>
                <w:sz w:val="21"/>
                <w:szCs w:val="21"/>
                <w:lang w:eastAsia="zh-CN"/>
              </w:rPr>
              <w:t>雨水</w:t>
            </w:r>
            <w:r>
              <w:rPr>
                <w:rFonts w:hint="default" w:ascii="Times New Roman" w:hAnsi="Times New Roman" w:eastAsia="宋体" w:cs="Times New Roman"/>
                <w:color w:val="auto"/>
                <w:sz w:val="21"/>
                <w:szCs w:val="21"/>
              </w:rPr>
              <w:t>池约</w:t>
            </w:r>
            <w:r>
              <w:rPr>
                <w:rFonts w:hint="eastAsia" w:cs="Times New Roman"/>
                <w:color w:val="auto"/>
                <w:sz w:val="21"/>
                <w:szCs w:val="21"/>
                <w:lang w:val="en-US" w:eastAsia="zh-CN"/>
              </w:rPr>
              <w:t>70</w:t>
            </w:r>
            <w:r>
              <w:rPr>
                <w:rFonts w:hint="default" w:ascii="Times New Roman" w:hAnsi="Times New Roman" w:eastAsia="宋体" w:cs="Times New Roman"/>
                <w:color w:val="auto"/>
                <w:sz w:val="21"/>
                <w:szCs w:val="21"/>
              </w:rPr>
              <w:t xml:space="preserve"> 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，因此在暴雨季节，初期雨水可全部接纳到清水池内，初期雨水经收集沉淀处理后回用于生产。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因此营运期初期雨水对周围环境的影响较小。</w:t>
            </w:r>
          </w:p>
          <w:p>
            <w:pPr>
              <w:pStyle w:val="5"/>
              <w:keepNext w:val="0"/>
              <w:keepLines w:val="0"/>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b/>
                <w:bCs/>
                <w:color w:val="auto"/>
              </w:rPr>
            </w:pPr>
            <w:r>
              <w:rPr>
                <w:rFonts w:hint="eastAsia" w:ascii="宋体" w:hAnsi="宋体" w:eastAsia="宋体" w:cs="宋体"/>
                <w:b/>
                <w:bCs/>
                <w:color w:val="auto"/>
              </w:rPr>
              <w:t>（2）生活污水</w:t>
            </w:r>
          </w:p>
          <w:p>
            <w:pPr>
              <w:adjustRightInd w:val="0"/>
              <w:snapToGrid w:val="0"/>
              <w:spacing w:line="360" w:lineRule="auto"/>
              <w:ind w:firstLine="420" w:firstLineChars="200"/>
              <w:rPr>
                <w:rFonts w:hint="eastAsia" w:ascii="宋体" w:hAnsi="宋体" w:eastAsia="宋体" w:cs="宋体"/>
                <w:color w:val="auto"/>
              </w:rPr>
            </w:pPr>
            <w:r>
              <w:rPr>
                <w:rFonts w:hint="eastAsia" w:ascii="宋体" w:hAnsi="宋体" w:eastAsia="宋体" w:cs="宋体"/>
                <w:color w:val="auto"/>
              </w:rPr>
              <w:t>本项目营运期生活污水产生量为</w:t>
            </w:r>
            <w:r>
              <w:rPr>
                <w:rFonts w:hint="eastAsia" w:ascii="宋体" w:hAnsi="宋体" w:eastAsia="宋体" w:cs="宋体"/>
                <w:color w:val="auto"/>
                <w:lang w:val="en-US" w:eastAsia="zh-CN"/>
              </w:rPr>
              <w:t>270</w:t>
            </w:r>
            <w:r>
              <w:rPr>
                <w:rFonts w:hint="eastAsia" w:ascii="宋体" w:hAnsi="宋体" w:eastAsia="宋体" w:cs="宋体"/>
                <w:color w:val="auto"/>
                <w:szCs w:val="24"/>
              </w:rPr>
              <w:t>m</w:t>
            </w:r>
            <w:r>
              <w:rPr>
                <w:rFonts w:hint="eastAsia" w:ascii="宋体" w:hAnsi="宋体" w:eastAsia="宋体" w:cs="宋体"/>
                <w:color w:val="auto"/>
                <w:szCs w:val="24"/>
                <w:vertAlign w:val="superscript"/>
              </w:rPr>
              <w:t>3</w:t>
            </w:r>
            <w:r>
              <w:rPr>
                <w:rFonts w:hint="eastAsia" w:ascii="宋体" w:hAnsi="宋体" w:eastAsia="宋体" w:cs="宋体"/>
                <w:color w:val="auto"/>
                <w:szCs w:val="24"/>
              </w:rPr>
              <w:t>/a，</w:t>
            </w:r>
            <w:r>
              <w:rPr>
                <w:rFonts w:hint="eastAsia" w:ascii="宋体" w:hAnsi="宋体" w:eastAsia="宋体" w:cs="宋体"/>
                <w:color w:val="auto"/>
              </w:rPr>
              <w:t>产量较小，水质较简单</w:t>
            </w:r>
            <w:r>
              <w:rPr>
                <w:rFonts w:hint="eastAsia" w:ascii="宋体" w:hAnsi="宋体" w:eastAsia="宋体" w:cs="宋体"/>
                <w:color w:val="auto"/>
                <w:u w:val="none"/>
              </w:rPr>
              <w:t>。</w:t>
            </w:r>
            <w:r>
              <w:rPr>
                <w:bCs/>
                <w:color w:val="auto"/>
                <w:spacing w:val="-10"/>
                <w:szCs w:val="21"/>
                <w:u w:val="none"/>
              </w:rPr>
              <w:t>参考《给排水设计手册》（第五册城镇排水）典型生活废水水质示例，生活废水水质约为COD</w:t>
            </w:r>
            <w:r>
              <w:rPr>
                <w:bCs/>
                <w:color w:val="auto"/>
                <w:spacing w:val="-10"/>
                <w:szCs w:val="21"/>
                <w:u w:val="none"/>
                <w:vertAlign w:val="subscript"/>
              </w:rPr>
              <w:t>Cr</w:t>
            </w:r>
            <w:r>
              <w:rPr>
                <w:bCs/>
                <w:color w:val="auto"/>
                <w:spacing w:val="-10"/>
                <w:szCs w:val="21"/>
                <w:u w:val="none"/>
              </w:rPr>
              <w:t>：250 mg/L、BOD</w:t>
            </w:r>
            <w:r>
              <w:rPr>
                <w:bCs/>
                <w:color w:val="auto"/>
                <w:spacing w:val="-10"/>
                <w:szCs w:val="21"/>
                <w:u w:val="none"/>
                <w:vertAlign w:val="subscript"/>
              </w:rPr>
              <w:t>5</w:t>
            </w:r>
            <w:r>
              <w:rPr>
                <w:bCs/>
                <w:color w:val="auto"/>
                <w:spacing w:val="-10"/>
                <w:szCs w:val="21"/>
                <w:u w:val="none"/>
              </w:rPr>
              <w:t>：200mg/L、SS：200mg/L、氨氮：25 mg/L、动植物油：20 mg/L。</w:t>
            </w:r>
            <w:r>
              <w:rPr>
                <w:rFonts w:hint="eastAsia" w:ascii="宋体" w:hAnsi="宋体" w:eastAsia="宋体" w:cs="宋体"/>
                <w:color w:val="auto"/>
                <w:u w:val="none"/>
              </w:rPr>
              <w:t>生活污水经化粪池处</w:t>
            </w:r>
            <w:r>
              <w:rPr>
                <w:rFonts w:hint="eastAsia" w:ascii="宋体" w:hAnsi="宋体" w:eastAsia="宋体" w:cs="宋体"/>
                <w:color w:val="auto"/>
              </w:rPr>
              <w:t>理后用作周边农民的农肥。由于项目周边农田较多，可满足需求，因此对周围环境的影响较小。</w:t>
            </w:r>
          </w:p>
          <w:p>
            <w:pPr>
              <w:pStyle w:val="5"/>
              <w:keepNext w:val="0"/>
              <w:keepLines w:val="0"/>
              <w:pageBreakBefore w:val="0"/>
              <w:widowControl w:val="0"/>
              <w:kinsoku/>
              <w:wordWrap/>
              <w:overflowPunct/>
              <w:topLinePunct w:val="0"/>
              <w:autoSpaceDE/>
              <w:autoSpaceDN/>
              <w:bidi w:val="0"/>
              <w:adjustRightInd/>
              <w:snapToGrid w:val="0"/>
              <w:spacing w:after="0" w:line="360" w:lineRule="auto"/>
              <w:ind w:firstLine="480"/>
              <w:textAlignment w:val="auto"/>
              <w:rPr>
                <w:rFonts w:hint="eastAsia" w:ascii="宋体" w:hAnsi="宋体" w:eastAsia="宋体" w:cs="宋体"/>
                <w:b/>
                <w:bCs/>
                <w:color w:val="auto"/>
              </w:rPr>
            </w:pPr>
            <w:r>
              <w:rPr>
                <w:rFonts w:hint="eastAsia" w:ascii="宋体" w:hAnsi="宋体" w:eastAsia="宋体" w:cs="宋体"/>
                <w:b/>
                <w:bCs/>
                <w:color w:val="auto"/>
              </w:rPr>
              <w:t>（3）生产废水</w:t>
            </w:r>
          </w:p>
          <w:p>
            <w:pPr>
              <w:pStyle w:val="5"/>
              <w:keepNext w:val="0"/>
              <w:keepLines w:val="0"/>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rPr>
            </w:pPr>
            <w:r>
              <w:rPr>
                <w:rFonts w:hint="eastAsia" w:ascii="宋体" w:hAnsi="宋体" w:eastAsia="宋体" w:cs="宋体"/>
                <w:color w:val="auto"/>
              </w:rPr>
              <w:t>本项目砂石生产线补充新水量为</w:t>
            </w:r>
            <w:r>
              <w:rPr>
                <w:rFonts w:hint="eastAsia" w:ascii="宋体" w:hAnsi="宋体" w:cs="宋体"/>
                <w:color w:val="auto"/>
                <w:lang w:val="en-US" w:eastAsia="zh-CN"/>
              </w:rPr>
              <w:t>26000</w:t>
            </w:r>
            <w:r>
              <w:rPr>
                <w:rFonts w:hint="eastAsia" w:ascii="宋体" w:hAnsi="宋体" w:eastAsia="宋体" w:cs="宋体"/>
                <w:color w:val="auto"/>
              </w:rPr>
              <w:t>m</w:t>
            </w:r>
            <w:r>
              <w:rPr>
                <w:rFonts w:hint="eastAsia" w:ascii="宋体" w:hAnsi="宋体" w:eastAsia="宋体" w:cs="宋体"/>
                <w:color w:val="auto"/>
                <w:vertAlign w:val="superscript"/>
              </w:rPr>
              <w:t>3</w:t>
            </w:r>
            <w:r>
              <w:rPr>
                <w:rFonts w:hint="eastAsia" w:ascii="宋体" w:hAnsi="宋体" w:eastAsia="宋体" w:cs="宋体"/>
                <w:color w:val="auto"/>
              </w:rPr>
              <w:t>/a。砂石生产线</w:t>
            </w:r>
            <w:r>
              <w:rPr>
                <w:rFonts w:hint="eastAsia" w:ascii="宋体" w:hAnsi="宋体" w:eastAsia="宋体" w:cs="宋体"/>
                <w:color w:val="auto"/>
                <w:lang w:eastAsia="zh-CN"/>
              </w:rPr>
              <w:t>循环</w:t>
            </w:r>
            <w:r>
              <w:rPr>
                <w:rFonts w:hint="eastAsia" w:ascii="宋体" w:hAnsi="宋体" w:eastAsia="宋体" w:cs="宋体"/>
                <w:color w:val="auto"/>
              </w:rPr>
              <w:t>废水水量为</w:t>
            </w:r>
            <w:r>
              <w:rPr>
                <w:rFonts w:hint="eastAsia" w:ascii="宋体" w:hAnsi="宋体" w:cs="宋体"/>
                <w:color w:val="auto"/>
                <w:lang w:val="en-US" w:eastAsia="zh-CN"/>
              </w:rPr>
              <w:t>174</w:t>
            </w:r>
            <w:r>
              <w:rPr>
                <w:rFonts w:hint="eastAsia" w:ascii="宋体" w:hAnsi="宋体" w:eastAsia="宋体" w:cs="宋体"/>
                <w:color w:val="auto"/>
                <w:lang w:val="en-US" w:eastAsia="zh-CN"/>
              </w:rPr>
              <w:t>000</w:t>
            </w:r>
            <w:r>
              <w:rPr>
                <w:rFonts w:hint="eastAsia" w:ascii="宋体" w:hAnsi="宋体" w:eastAsia="宋体" w:cs="宋体"/>
                <w:color w:val="auto"/>
              </w:rPr>
              <w:t>m</w:t>
            </w:r>
            <w:r>
              <w:rPr>
                <w:rFonts w:hint="eastAsia" w:ascii="宋体" w:hAnsi="宋体" w:eastAsia="宋体" w:cs="宋体"/>
                <w:color w:val="auto"/>
                <w:vertAlign w:val="superscript"/>
              </w:rPr>
              <w:t>3</w:t>
            </w:r>
            <w:r>
              <w:rPr>
                <w:rFonts w:hint="eastAsia" w:ascii="宋体" w:hAnsi="宋体" w:eastAsia="宋体" w:cs="宋体"/>
                <w:color w:val="auto"/>
              </w:rPr>
              <w:t>/a，生产废水的污染物为悬浮物，根据类比调查，该污水中SS的浓度约为12000mg/L</w:t>
            </w:r>
            <w:r>
              <w:rPr>
                <w:color w:val="auto"/>
                <w:u w:val="none"/>
                <w:lang w:val="en-US" w:eastAsia="zh-CN"/>
              </w:rPr>
              <w:t>。</w:t>
            </w:r>
            <w:r>
              <w:rPr>
                <w:rFonts w:hint="eastAsia" w:ascii="宋体" w:hAnsi="宋体" w:eastAsia="宋体" w:cs="宋体"/>
                <w:color w:val="auto"/>
                <w:lang w:eastAsia="zh-CN"/>
              </w:rPr>
              <w:t>本项目生产废水（洗砂废水和湿抑制废水）</w:t>
            </w:r>
            <w:r>
              <w:rPr>
                <w:rFonts w:hint="eastAsia" w:ascii="宋体" w:hAnsi="宋体" w:eastAsia="宋体" w:cs="宋体"/>
                <w:color w:val="auto"/>
                <w:lang w:val="en-US" w:eastAsia="zh-CN"/>
              </w:rPr>
              <w:t>在混合槽絮凝后进入2个浓缩塔沉淀，上层溢流与利用渣浆泵将下层污泥抽入压滤机压滤后</w:t>
            </w:r>
            <w:r>
              <w:rPr>
                <w:rFonts w:hint="eastAsia" w:ascii="宋体" w:hAnsi="宋体" w:cs="宋体"/>
                <w:color w:val="auto"/>
                <w:lang w:val="en-US" w:eastAsia="zh-CN"/>
              </w:rPr>
              <w:t>的清水，</w:t>
            </w:r>
            <w:r>
              <w:rPr>
                <w:rFonts w:hint="eastAsia" w:ascii="宋体" w:hAnsi="宋体" w:eastAsia="宋体" w:cs="宋体"/>
                <w:color w:val="auto"/>
                <w:lang w:val="en-US" w:eastAsia="zh-CN"/>
              </w:rPr>
              <w:t>暂存于清水池（</w:t>
            </w:r>
            <w:r>
              <w:rPr>
                <w:rFonts w:hint="eastAsia" w:ascii="宋体" w:hAnsi="宋体" w:cs="宋体"/>
                <w:color w:val="auto"/>
                <w:lang w:val="en-US" w:eastAsia="zh-CN"/>
              </w:rPr>
              <w:t>240</w:t>
            </w:r>
            <w:r>
              <w:rPr>
                <w:rFonts w:hint="eastAsia" w:ascii="宋体" w:hAnsi="宋体" w:eastAsia="宋体" w:cs="宋体"/>
                <w:color w:val="auto"/>
                <w:lang w:val="en-US" w:eastAsia="zh-CN"/>
              </w:rPr>
              <w:t>m</w:t>
            </w:r>
            <w:r>
              <w:rPr>
                <w:rFonts w:hint="eastAsia" w:ascii="宋体" w:hAnsi="宋体" w:eastAsia="宋体" w:cs="宋体"/>
                <w:color w:val="auto"/>
                <w:vertAlign w:val="superscript"/>
                <w:lang w:val="en-US" w:eastAsia="zh-CN"/>
              </w:rPr>
              <w:t>3</w:t>
            </w:r>
            <w:r>
              <w:rPr>
                <w:rFonts w:hint="eastAsia" w:ascii="宋体" w:hAnsi="宋体" w:eastAsia="宋体" w:cs="宋体"/>
                <w:color w:val="auto"/>
                <w:lang w:val="en-US" w:eastAsia="zh-CN"/>
              </w:rPr>
              <w:t>）回用于生产及喷淋降尘</w:t>
            </w:r>
            <w:r>
              <w:rPr>
                <w:rFonts w:hint="eastAsia" w:ascii="宋体" w:hAnsi="宋体" w:eastAsia="宋体" w:cs="宋体"/>
                <w:color w:val="auto"/>
              </w:rPr>
              <w:t>。本项目每天的循环水量为</w:t>
            </w:r>
            <w:r>
              <w:rPr>
                <w:rFonts w:hint="eastAsia" w:ascii="宋体" w:hAnsi="宋体" w:cs="宋体"/>
                <w:color w:val="auto"/>
                <w:lang w:val="en-US" w:eastAsia="zh-CN"/>
              </w:rPr>
              <w:t>580</w:t>
            </w:r>
            <w:r>
              <w:rPr>
                <w:rFonts w:hint="eastAsia" w:ascii="宋体" w:hAnsi="宋体" w:eastAsia="宋体" w:cs="宋体"/>
                <w:color w:val="auto"/>
              </w:rPr>
              <w:t>m</w:t>
            </w:r>
            <w:r>
              <w:rPr>
                <w:rFonts w:hint="eastAsia" w:ascii="宋体" w:hAnsi="宋体" w:eastAsia="宋体" w:cs="宋体"/>
                <w:color w:val="auto"/>
                <w:vertAlign w:val="superscript"/>
              </w:rPr>
              <w:t>3</w:t>
            </w:r>
            <w:r>
              <w:rPr>
                <w:rFonts w:hint="eastAsia" w:ascii="宋体" w:hAnsi="宋体" w:eastAsia="宋体" w:cs="宋体"/>
                <w:color w:val="auto"/>
              </w:rPr>
              <w:t>，</w:t>
            </w:r>
            <w:r>
              <w:rPr>
                <w:rFonts w:hint="eastAsia" w:ascii="宋体" w:hAnsi="宋体" w:eastAsia="宋体" w:cs="宋体"/>
                <w:color w:val="auto"/>
                <w:lang w:eastAsia="zh-CN"/>
              </w:rPr>
              <w:t>沉泥池</w:t>
            </w:r>
            <w:r>
              <w:rPr>
                <w:rFonts w:hint="eastAsia" w:ascii="宋体" w:hAnsi="宋体" w:eastAsia="宋体" w:cs="宋体"/>
                <w:color w:val="auto"/>
              </w:rPr>
              <w:t>的容积完全能够接纳。因此本项目生产废水全部回用，不外排，是可行的。</w:t>
            </w:r>
          </w:p>
          <w:p>
            <w:pPr>
              <w:adjustRightInd w:val="0"/>
              <w:snapToGrid w:val="0"/>
              <w:spacing w:line="360" w:lineRule="auto"/>
              <w:rPr>
                <w:b/>
                <w:bCs/>
                <w:color w:val="auto"/>
                <w:spacing w:val="0"/>
                <w:sz w:val="21"/>
                <w:szCs w:val="21"/>
              </w:rPr>
            </w:pPr>
            <w:r>
              <w:rPr>
                <w:b/>
                <w:bCs/>
                <w:color w:val="auto"/>
                <w:spacing w:val="0"/>
                <w:sz w:val="21"/>
                <w:szCs w:val="21"/>
              </w:rPr>
              <w:t>3、噪声</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Cs/>
                <w:color w:val="auto"/>
                <w:spacing w:val="-10"/>
                <w:szCs w:val="21"/>
              </w:rPr>
            </w:pPr>
            <w:r>
              <w:rPr>
                <w:rFonts w:hint="eastAsia" w:ascii="宋体" w:hAnsi="宋体" w:eastAsia="宋体" w:cs="宋体"/>
                <w:color w:val="auto"/>
              </w:rPr>
              <w:t>本项目主要噪声源为给料机、破碎机、振动筛、</w:t>
            </w:r>
            <w:r>
              <w:rPr>
                <w:rFonts w:hint="eastAsia" w:ascii="宋体" w:hAnsi="宋体" w:eastAsia="宋体" w:cs="宋体"/>
                <w:color w:val="auto"/>
                <w:lang w:eastAsia="zh-CN"/>
              </w:rPr>
              <w:t>对辊机</w:t>
            </w:r>
            <w:r>
              <w:rPr>
                <w:rFonts w:hint="eastAsia" w:ascii="宋体" w:hAnsi="宋体" w:eastAsia="宋体" w:cs="宋体"/>
                <w:color w:val="auto"/>
              </w:rPr>
              <w:t>、</w:t>
            </w:r>
            <w:r>
              <w:rPr>
                <w:rFonts w:hint="eastAsia" w:ascii="宋体" w:hAnsi="宋体" w:eastAsia="宋体" w:cs="宋体"/>
                <w:color w:val="auto"/>
                <w:lang w:eastAsia="zh-CN"/>
              </w:rPr>
              <w:t>螺旋</w:t>
            </w:r>
            <w:r>
              <w:rPr>
                <w:rFonts w:hint="eastAsia" w:ascii="宋体" w:hAnsi="宋体" w:eastAsia="宋体" w:cs="宋体"/>
                <w:color w:val="auto"/>
              </w:rPr>
              <w:t>洗砂机、细砂回收机</w:t>
            </w:r>
            <w:r>
              <w:rPr>
                <w:rFonts w:hint="eastAsia" w:ascii="宋体" w:hAnsi="宋体" w:eastAsia="宋体" w:cs="宋体"/>
                <w:color w:val="auto"/>
                <w:lang w:eastAsia="zh-CN"/>
              </w:rPr>
              <w:t>、</w:t>
            </w:r>
            <w:r>
              <w:rPr>
                <w:rFonts w:hint="eastAsia" w:ascii="宋体" w:hAnsi="宋体" w:eastAsia="宋体" w:cs="宋体"/>
                <w:color w:val="auto"/>
              </w:rPr>
              <w:t>皮带运输机等加工设备运行产生的机械噪声</w:t>
            </w:r>
            <w:r>
              <w:rPr>
                <w:rFonts w:hint="eastAsia" w:ascii="宋体" w:hAnsi="宋体" w:eastAsia="宋体" w:cs="宋体"/>
                <w:color w:val="auto"/>
                <w:lang w:eastAsia="zh-CN"/>
              </w:rPr>
              <w:t>，</w:t>
            </w:r>
            <w:r>
              <w:rPr>
                <w:rFonts w:hint="eastAsia" w:ascii="宋体" w:hAnsi="宋体" w:eastAsia="宋体" w:cs="宋体"/>
                <w:bCs/>
                <w:color w:val="auto"/>
                <w:spacing w:val="-10"/>
                <w:szCs w:val="21"/>
              </w:rPr>
              <w:t>所有设备均置于生产车间内。噪声源等效声级在70-95dB（A）。</w:t>
            </w:r>
          </w:p>
          <w:p>
            <w:pPr>
              <w:pStyle w:val="5"/>
              <w:keepNext w:val="0"/>
              <w:keepLines w:val="0"/>
              <w:pageBreakBefore w:val="0"/>
              <w:widowControl w:val="0"/>
              <w:kinsoku/>
              <w:wordWrap/>
              <w:overflowPunct/>
              <w:topLinePunct w:val="0"/>
              <w:autoSpaceDE/>
              <w:autoSpaceDN/>
              <w:bidi w:val="0"/>
              <w:spacing w:after="0" w:line="360" w:lineRule="auto"/>
              <w:ind w:firstLine="480"/>
              <w:textAlignment w:val="auto"/>
              <w:rPr>
                <w:rFonts w:hint="eastAsia" w:ascii="宋体" w:hAnsi="宋体" w:eastAsia="宋体" w:cs="宋体"/>
                <w:color w:val="auto"/>
              </w:rPr>
            </w:pPr>
            <w:r>
              <w:rPr>
                <w:rFonts w:hint="eastAsia" w:ascii="宋体" w:hAnsi="宋体" w:eastAsia="宋体" w:cs="宋体"/>
                <w:color w:val="auto"/>
              </w:rPr>
              <w:t>环评采用点声源衰减公式进行预测：</w:t>
            </w:r>
          </w:p>
          <w:p>
            <w:pPr>
              <w:pStyle w:val="5"/>
              <w:keepNext w:val="0"/>
              <w:keepLines w:val="0"/>
              <w:pageBreakBefore w:val="0"/>
              <w:widowControl w:val="0"/>
              <w:kinsoku/>
              <w:wordWrap/>
              <w:overflowPunct/>
              <w:topLinePunct w:val="0"/>
              <w:autoSpaceDE/>
              <w:autoSpaceDN/>
              <w:bidi w:val="0"/>
              <w:spacing w:after="0" w:line="360" w:lineRule="auto"/>
              <w:ind w:firstLine="480"/>
              <w:textAlignment w:val="auto"/>
              <w:rPr>
                <w:rFonts w:hint="eastAsia" w:ascii="宋体" w:hAnsi="宋体" w:eastAsia="宋体" w:cs="宋体"/>
                <w:color w:val="auto"/>
              </w:rPr>
            </w:pPr>
            <w:r>
              <w:rPr>
                <w:rFonts w:hint="eastAsia" w:ascii="宋体" w:hAnsi="宋体" w:eastAsia="宋体" w:cs="宋体"/>
                <w:color w:val="auto"/>
              </w:rPr>
              <w:t>噪声随距离增加呈对数衰减关系，用下式进行预测：</w:t>
            </w:r>
          </w:p>
          <w:p>
            <w:pPr>
              <w:pStyle w:val="5"/>
              <w:keepNext w:val="0"/>
              <w:keepLines w:val="0"/>
              <w:pageBreakBefore w:val="0"/>
              <w:widowControl w:val="0"/>
              <w:kinsoku/>
              <w:wordWrap/>
              <w:overflowPunct/>
              <w:topLinePunct w:val="0"/>
              <w:autoSpaceDE/>
              <w:autoSpaceDN/>
              <w:bidi w:val="0"/>
              <w:adjustRightInd/>
              <w:snapToGrid/>
              <w:spacing w:after="0"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drawing>
                <wp:anchor distT="0" distB="0" distL="114300" distR="114300" simplePos="0" relativeHeight="251659264" behindDoc="0" locked="0" layoutInCell="1" allowOverlap="1">
                  <wp:simplePos x="0" y="0"/>
                  <wp:positionH relativeFrom="column">
                    <wp:posOffset>1955165</wp:posOffset>
                  </wp:positionH>
                  <wp:positionV relativeFrom="paragraph">
                    <wp:posOffset>221615</wp:posOffset>
                  </wp:positionV>
                  <wp:extent cx="1752600" cy="390525"/>
                  <wp:effectExtent l="0" t="0" r="0" b="9525"/>
                  <wp:wrapTopAndBottom/>
                  <wp:docPr id="6" name="图片 10" descr="1523984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1523984209(1)"/>
                          <pic:cNvPicPr>
                            <a:picLocks noChangeAspect="1"/>
                          </pic:cNvPicPr>
                        </pic:nvPicPr>
                        <pic:blipFill>
                          <a:blip r:embed="rId22"/>
                          <a:stretch>
                            <a:fillRect/>
                          </a:stretch>
                        </pic:blipFill>
                        <pic:spPr>
                          <a:xfrm>
                            <a:off x="0" y="0"/>
                            <a:ext cx="1752600" cy="390525"/>
                          </a:xfrm>
                          <a:prstGeom prst="rect">
                            <a:avLst/>
                          </a:prstGeom>
                          <a:noFill/>
                          <a:ln>
                            <a:noFill/>
                          </a:ln>
                        </pic:spPr>
                      </pic:pic>
                    </a:graphicData>
                  </a:graphic>
                </wp:anchor>
              </w:drawing>
            </w:r>
            <w:r>
              <w:rPr>
                <w:rFonts w:hint="default" w:ascii="Times New Roman" w:hAnsi="Times New Roman" w:eastAsia="宋体" w:cs="Times New Roman"/>
                <w:color w:val="auto"/>
              </w:rPr>
              <w:t>式中：</w:t>
            </w:r>
          </w:p>
          <w:p>
            <w:pPr>
              <w:pStyle w:val="5"/>
              <w:keepNext w:val="0"/>
              <w:keepLines w:val="0"/>
              <w:pageBreakBefore w:val="0"/>
              <w:widowControl w:val="0"/>
              <w:kinsoku/>
              <w:wordWrap/>
              <w:overflowPunct/>
              <w:topLinePunct w:val="0"/>
              <w:autoSpaceDE/>
              <w:autoSpaceDN/>
              <w:bidi w:val="0"/>
              <w:adjustRightInd/>
              <w:snapToGrid/>
              <w:spacing w:after="0"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L</w:t>
            </w:r>
            <w:r>
              <w:rPr>
                <w:rFonts w:hint="default" w:ascii="Times New Roman" w:hAnsi="Times New Roman" w:eastAsia="宋体" w:cs="Times New Roman"/>
                <w:color w:val="auto"/>
                <w:vertAlign w:val="subscript"/>
              </w:rPr>
              <w:t>1</w:t>
            </w:r>
            <w:r>
              <w:rPr>
                <w:rFonts w:hint="default" w:ascii="Times New Roman" w:hAnsi="Times New Roman" w:eastAsia="宋体" w:cs="Times New Roman"/>
                <w:color w:val="auto"/>
              </w:rPr>
              <w:t>、L</w:t>
            </w:r>
            <w:r>
              <w:rPr>
                <w:rFonts w:hint="default" w:ascii="Times New Roman" w:hAnsi="Times New Roman" w:eastAsia="宋体" w:cs="Times New Roman"/>
                <w:color w:val="auto"/>
                <w:vertAlign w:val="subscript"/>
              </w:rPr>
              <w:t>2</w:t>
            </w:r>
            <w:r>
              <w:rPr>
                <w:rFonts w:hint="default" w:ascii="Times New Roman" w:hAnsi="Times New Roman" w:eastAsia="宋体" w:cs="Times New Roman"/>
                <w:color w:val="auto"/>
              </w:rPr>
              <w:t>——分别为距声源 r</w:t>
            </w:r>
            <w:r>
              <w:rPr>
                <w:rFonts w:hint="default" w:ascii="Times New Roman" w:hAnsi="Times New Roman" w:eastAsia="宋体" w:cs="Times New Roman"/>
                <w:color w:val="auto"/>
                <w:vertAlign w:val="subscript"/>
              </w:rPr>
              <w:t>1</w:t>
            </w:r>
            <w:r>
              <w:rPr>
                <w:rFonts w:hint="default" w:ascii="Times New Roman" w:hAnsi="Times New Roman" w:eastAsia="宋体" w:cs="Times New Roman"/>
                <w:color w:val="auto"/>
              </w:rPr>
              <w:t>、r</w:t>
            </w:r>
            <w:r>
              <w:rPr>
                <w:rFonts w:hint="default" w:ascii="Times New Roman" w:hAnsi="Times New Roman" w:eastAsia="宋体" w:cs="Times New Roman"/>
                <w:color w:val="auto"/>
                <w:vertAlign w:val="subscript"/>
              </w:rPr>
              <w:t>2</w:t>
            </w:r>
            <w:r>
              <w:rPr>
                <w:rFonts w:hint="default" w:ascii="Times New Roman" w:hAnsi="Times New Roman" w:eastAsia="宋体" w:cs="Times New Roman"/>
                <w:color w:val="auto"/>
              </w:rPr>
              <w:t xml:space="preserve"> 处的等效 A 声级，dB(A)；</w:t>
            </w:r>
          </w:p>
          <w:p>
            <w:pPr>
              <w:pStyle w:val="5"/>
              <w:keepNext w:val="0"/>
              <w:keepLines w:val="0"/>
              <w:pageBreakBefore w:val="0"/>
              <w:widowControl w:val="0"/>
              <w:kinsoku/>
              <w:wordWrap/>
              <w:overflowPunct/>
              <w:topLinePunct w:val="0"/>
              <w:autoSpaceDE/>
              <w:autoSpaceDN/>
              <w:bidi w:val="0"/>
              <w:adjustRightInd/>
              <w:snapToGrid/>
              <w:spacing w:after="0"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r</w:t>
            </w:r>
            <w:r>
              <w:rPr>
                <w:rFonts w:hint="default" w:ascii="Times New Roman" w:hAnsi="Times New Roman" w:eastAsia="宋体" w:cs="Times New Roman"/>
                <w:color w:val="auto"/>
                <w:vertAlign w:val="subscript"/>
              </w:rPr>
              <w:t>1</w:t>
            </w:r>
            <w:r>
              <w:rPr>
                <w:rFonts w:hint="default" w:ascii="Times New Roman" w:hAnsi="Times New Roman" w:eastAsia="宋体" w:cs="Times New Roman"/>
                <w:color w:val="auto"/>
              </w:rPr>
              <w:t>、r</w:t>
            </w:r>
            <w:r>
              <w:rPr>
                <w:rFonts w:hint="default" w:ascii="Times New Roman" w:hAnsi="Times New Roman" w:eastAsia="宋体" w:cs="Times New Roman"/>
                <w:color w:val="auto"/>
                <w:vertAlign w:val="subscript"/>
              </w:rPr>
              <w:t>2</w:t>
            </w:r>
            <w:r>
              <w:rPr>
                <w:rFonts w:hint="default" w:ascii="Times New Roman" w:hAnsi="Times New Roman" w:eastAsia="宋体" w:cs="Times New Roman"/>
                <w:color w:val="auto"/>
              </w:rPr>
              <w:t>——为接受点距声源的距离，m；</w:t>
            </w:r>
          </w:p>
          <w:p>
            <w:pPr>
              <w:pStyle w:val="5"/>
              <w:keepNext w:val="0"/>
              <w:keepLines w:val="0"/>
              <w:pageBreakBefore w:val="0"/>
              <w:widowControl w:val="0"/>
              <w:kinsoku/>
              <w:wordWrap/>
              <w:overflowPunct/>
              <w:topLinePunct w:val="0"/>
              <w:autoSpaceDE/>
              <w:autoSpaceDN/>
              <w:bidi w:val="0"/>
              <w:adjustRightInd/>
              <w:snapToGrid/>
              <w:spacing w:after="0"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ΔL——为其它情况引起的噪声衰减值，包括消声、隔声、吸声等，dB(A)。</w:t>
            </w:r>
          </w:p>
          <w:p>
            <w:pPr>
              <w:pStyle w:val="5"/>
              <w:keepNext w:val="0"/>
              <w:keepLines w:val="0"/>
              <w:pageBreakBefore w:val="0"/>
              <w:widowControl w:val="0"/>
              <w:kinsoku/>
              <w:wordWrap/>
              <w:overflowPunct/>
              <w:topLinePunct w:val="0"/>
              <w:autoSpaceDE/>
              <w:autoSpaceDN/>
              <w:bidi w:val="0"/>
              <w:adjustRightInd/>
              <w:snapToGrid/>
              <w:spacing w:after="0"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影响ΔL 取值的因素很多，根据工程特点，本项目主要考虑安装隔声垫的隔声影响，一般隔声垫隔声ΔL 取值 10~30dB(A)。</w:t>
            </w:r>
          </w:p>
          <w:p>
            <w:pPr>
              <w:pStyle w:val="5"/>
              <w:keepNext w:val="0"/>
              <w:keepLines w:val="0"/>
              <w:pageBreakBefore w:val="0"/>
              <w:widowControl w:val="0"/>
              <w:kinsoku/>
              <w:wordWrap/>
              <w:overflowPunct/>
              <w:topLinePunct w:val="0"/>
              <w:autoSpaceDE/>
              <w:autoSpaceDN/>
              <w:bidi w:val="0"/>
              <w:adjustRightInd/>
              <w:snapToGrid/>
              <w:spacing w:after="0"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多个声源噪声级叠加公式：</w:t>
            </w:r>
          </w:p>
          <w:p>
            <w:pPr>
              <w:pStyle w:val="5"/>
              <w:ind w:firstLine="480"/>
              <w:rPr>
                <w:color w:val="auto"/>
              </w:rPr>
            </w:pPr>
            <w:r>
              <w:rPr>
                <w:color w:val="auto"/>
              </w:rPr>
              <w:drawing>
                <wp:anchor distT="0" distB="0" distL="114300" distR="114300" simplePos="0" relativeHeight="251660288" behindDoc="0" locked="0" layoutInCell="1" allowOverlap="1">
                  <wp:simplePos x="0" y="0"/>
                  <wp:positionH relativeFrom="column">
                    <wp:posOffset>1819275</wp:posOffset>
                  </wp:positionH>
                  <wp:positionV relativeFrom="paragraph">
                    <wp:posOffset>45720</wp:posOffset>
                  </wp:positionV>
                  <wp:extent cx="1695450" cy="561975"/>
                  <wp:effectExtent l="0" t="0" r="0" b="9525"/>
                  <wp:wrapNone/>
                  <wp:docPr id="8" name="图片 9" descr="1523984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1523984159(1)"/>
                          <pic:cNvPicPr>
                            <a:picLocks noChangeAspect="1"/>
                          </pic:cNvPicPr>
                        </pic:nvPicPr>
                        <pic:blipFill>
                          <a:blip r:embed="rId23"/>
                          <a:stretch>
                            <a:fillRect/>
                          </a:stretch>
                        </pic:blipFill>
                        <pic:spPr>
                          <a:xfrm>
                            <a:off x="0" y="0"/>
                            <a:ext cx="1695450" cy="561975"/>
                          </a:xfrm>
                          <a:prstGeom prst="rect">
                            <a:avLst/>
                          </a:prstGeom>
                          <a:noFill/>
                          <a:ln>
                            <a:noFill/>
                          </a:ln>
                        </pic:spPr>
                      </pic:pic>
                    </a:graphicData>
                  </a:graphic>
                </wp:anchor>
              </w:drawing>
            </w:r>
          </w:p>
          <w:p>
            <w:pPr>
              <w:pStyle w:val="5"/>
              <w:ind w:firstLine="480"/>
              <w:rPr>
                <w:color w:val="auto"/>
              </w:rPr>
            </w:pPr>
          </w:p>
          <w:p>
            <w:pPr>
              <w:pStyle w:val="5"/>
              <w:ind w:firstLine="480"/>
              <w:rPr>
                <w:color w:val="auto"/>
              </w:rPr>
            </w:pPr>
          </w:p>
          <w:p>
            <w:pPr>
              <w:pStyle w:val="5"/>
              <w:keepNext w:val="0"/>
              <w:keepLines w:val="0"/>
              <w:pageBreakBefore w:val="0"/>
              <w:widowControl w:val="0"/>
              <w:kinsoku/>
              <w:wordWrap/>
              <w:overflowPunct/>
              <w:topLinePunct w:val="0"/>
              <w:autoSpaceDE/>
              <w:autoSpaceDN/>
              <w:bidi w:val="0"/>
              <w:adjustRightInd/>
              <w:snapToGrid/>
              <w:spacing w:after="0" w:line="360" w:lineRule="auto"/>
              <w:ind w:firstLine="480"/>
              <w:textAlignment w:val="auto"/>
              <w:rPr>
                <w:color w:val="auto"/>
              </w:rPr>
            </w:pPr>
            <w:r>
              <w:rPr>
                <w:color w:val="auto"/>
              </w:rPr>
              <w:t>式中：</w:t>
            </w:r>
          </w:p>
          <w:p>
            <w:pPr>
              <w:pStyle w:val="5"/>
              <w:keepNext w:val="0"/>
              <w:keepLines w:val="0"/>
              <w:pageBreakBefore w:val="0"/>
              <w:widowControl w:val="0"/>
              <w:kinsoku/>
              <w:wordWrap/>
              <w:overflowPunct/>
              <w:topLinePunct w:val="0"/>
              <w:autoSpaceDE/>
              <w:autoSpaceDN/>
              <w:bidi w:val="0"/>
              <w:adjustRightInd/>
              <w:snapToGrid/>
              <w:spacing w:after="0" w:line="360" w:lineRule="auto"/>
              <w:ind w:firstLine="480"/>
              <w:textAlignment w:val="auto"/>
              <w:rPr>
                <w:color w:val="auto"/>
              </w:rPr>
            </w:pPr>
            <w:r>
              <w:rPr>
                <w:color w:val="auto"/>
              </w:rPr>
              <w:t>L</w:t>
            </w:r>
            <w:r>
              <w:rPr>
                <w:color w:val="auto"/>
                <w:vertAlign w:val="subscript"/>
              </w:rPr>
              <w:t>pe</w:t>
            </w:r>
            <w:r>
              <w:rPr>
                <w:color w:val="auto"/>
              </w:rPr>
              <w:t>——叠加后总声级，dB(A)；</w:t>
            </w:r>
          </w:p>
          <w:p>
            <w:pPr>
              <w:pStyle w:val="5"/>
              <w:keepNext w:val="0"/>
              <w:keepLines w:val="0"/>
              <w:pageBreakBefore w:val="0"/>
              <w:widowControl w:val="0"/>
              <w:kinsoku/>
              <w:wordWrap/>
              <w:overflowPunct/>
              <w:topLinePunct w:val="0"/>
              <w:autoSpaceDE/>
              <w:autoSpaceDN/>
              <w:bidi w:val="0"/>
              <w:adjustRightInd/>
              <w:snapToGrid/>
              <w:spacing w:after="0" w:line="360" w:lineRule="auto"/>
              <w:ind w:firstLine="480"/>
              <w:textAlignment w:val="auto"/>
              <w:rPr>
                <w:color w:val="auto"/>
              </w:rPr>
            </w:pPr>
            <w:r>
              <w:rPr>
                <w:color w:val="auto"/>
              </w:rPr>
              <w:t>L</w:t>
            </w:r>
            <w:r>
              <w:rPr>
                <w:color w:val="auto"/>
                <w:vertAlign w:val="subscript"/>
              </w:rPr>
              <w:t>pi</w:t>
            </w:r>
            <w:r>
              <w:rPr>
                <w:color w:val="auto"/>
              </w:rPr>
              <w:t>——i 声源至基准预测点的声级，dB(A)；</w:t>
            </w:r>
          </w:p>
          <w:p>
            <w:pPr>
              <w:pStyle w:val="5"/>
              <w:keepNext w:val="0"/>
              <w:keepLines w:val="0"/>
              <w:pageBreakBefore w:val="0"/>
              <w:widowControl w:val="0"/>
              <w:kinsoku/>
              <w:wordWrap/>
              <w:overflowPunct/>
              <w:topLinePunct w:val="0"/>
              <w:autoSpaceDE/>
              <w:autoSpaceDN/>
              <w:bidi w:val="0"/>
              <w:adjustRightInd/>
              <w:snapToGrid/>
              <w:spacing w:after="0" w:line="360" w:lineRule="auto"/>
              <w:ind w:firstLine="480"/>
              <w:textAlignment w:val="auto"/>
              <w:rPr>
                <w:color w:val="auto"/>
              </w:rPr>
            </w:pPr>
            <w:r>
              <w:rPr>
                <w:color w:val="auto"/>
              </w:rPr>
              <w:t>n——噪声源数目。</w:t>
            </w:r>
          </w:p>
          <w:p>
            <w:pPr>
              <w:pStyle w:val="26"/>
              <w:keepNext w:val="0"/>
              <w:keepLines w:val="0"/>
              <w:pageBreakBefore w:val="0"/>
              <w:widowControl w:val="0"/>
              <w:kinsoku/>
              <w:wordWrap/>
              <w:overflowPunct/>
              <w:topLinePunct w:val="0"/>
              <w:autoSpaceDE w:val="0"/>
              <w:autoSpaceDN w:val="0"/>
              <w:bidi w:val="0"/>
              <w:adjustRightInd w:val="0"/>
              <w:snapToGrid w:val="0"/>
              <w:spacing w:line="360" w:lineRule="auto"/>
              <w:ind w:firstLine="210" w:firstLineChars="10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由上公式计算出本项目设备噪声预测结果见表</w:t>
            </w:r>
            <w:r>
              <w:rPr>
                <w:rFonts w:hint="eastAsia" w:ascii="Times New Roman" w:hAnsi="Times New Roman" w:eastAsia="宋体" w:cs="Times New Roman"/>
                <w:color w:val="auto"/>
                <w:kern w:val="2"/>
                <w:sz w:val="21"/>
                <w:szCs w:val="24"/>
                <w:lang w:val="en-US" w:eastAsia="zh-CN" w:bidi="ar-SA"/>
              </w:rPr>
              <w:t>4</w:t>
            </w:r>
            <w:r>
              <w:rPr>
                <w:rFonts w:hint="default" w:ascii="Times New Roman" w:hAnsi="Times New Roman" w:eastAsia="宋体" w:cs="Times New Roman"/>
                <w:color w:val="auto"/>
                <w:kern w:val="2"/>
                <w:sz w:val="21"/>
                <w:szCs w:val="24"/>
                <w:lang w:val="en-US" w:eastAsia="zh-CN" w:bidi="ar-SA"/>
              </w:rPr>
              <w:t>-</w:t>
            </w:r>
            <w:r>
              <w:rPr>
                <w:rFonts w:hint="eastAsia" w:ascii="Times New Roman" w:hAnsi="Times New Roman" w:eastAsia="宋体" w:cs="Times New Roman"/>
                <w:color w:val="auto"/>
                <w:kern w:val="2"/>
                <w:sz w:val="21"/>
                <w:szCs w:val="24"/>
                <w:lang w:val="en-US" w:eastAsia="zh-CN" w:bidi="ar-SA"/>
              </w:rPr>
              <w:t>11</w:t>
            </w:r>
            <w:r>
              <w:rPr>
                <w:rFonts w:hint="eastAsia" w:ascii="Times New Roman" w:hAnsi="Times New Roman" w:cs="Times New Roman"/>
                <w:color w:val="auto"/>
                <w:kern w:val="2"/>
                <w:sz w:val="21"/>
                <w:szCs w:val="24"/>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382" w:firstLineChars="200"/>
              <w:textAlignment w:val="auto"/>
              <w:rPr>
                <w:rFonts w:hint="eastAsia" w:ascii="宋体" w:hAnsi="宋体" w:eastAsia="宋体" w:cs="宋体"/>
                <w:b/>
                <w:bCs w:val="0"/>
                <w:color w:val="auto"/>
                <w:spacing w:val="-10"/>
                <w:szCs w:val="21"/>
              </w:rPr>
            </w:pPr>
            <w:r>
              <w:rPr>
                <w:rFonts w:hint="eastAsia" w:ascii="宋体" w:hAnsi="宋体" w:eastAsia="宋体" w:cs="宋体"/>
                <w:b/>
                <w:bCs w:val="0"/>
                <w:color w:val="auto"/>
                <w:spacing w:val="-10"/>
                <w:szCs w:val="21"/>
              </w:rPr>
              <w:t>（1）噪声源</w:t>
            </w:r>
          </w:p>
          <w:p>
            <w:pPr>
              <w:adjustRightInd w:val="0"/>
              <w:snapToGrid w:val="0"/>
              <w:spacing w:line="360" w:lineRule="auto"/>
              <w:ind w:firstLine="420" w:firstLineChars="200"/>
              <w:rPr>
                <w:bCs/>
                <w:color w:val="auto"/>
                <w:spacing w:val="-10"/>
                <w:szCs w:val="21"/>
              </w:rPr>
            </w:pPr>
            <w:r>
              <w:rPr>
                <w:color w:val="auto"/>
              </w:rPr>
              <w:t>本项目主要设备噪声源强详见下表。</w:t>
            </w:r>
          </w:p>
          <w:p>
            <w:pPr>
              <w:pStyle w:val="8"/>
              <w:ind w:firstLine="210"/>
              <w:rPr>
                <w:color w:val="auto"/>
                <w:sz w:val="21"/>
                <w:lang w:eastAsia="zh-CN"/>
              </w:rPr>
            </w:pPr>
            <w:r>
              <w:rPr>
                <w:color w:val="auto"/>
                <w:sz w:val="21"/>
              </w:rPr>
              <w:t>表4-</w:t>
            </w:r>
            <w:r>
              <w:rPr>
                <w:color w:val="auto"/>
                <w:sz w:val="21"/>
                <w:lang w:eastAsia="zh-CN"/>
              </w:rPr>
              <w:t>10</w:t>
            </w:r>
            <w:r>
              <w:rPr>
                <w:color w:val="auto"/>
                <w:sz w:val="21"/>
              </w:rPr>
              <w:t xml:space="preserve">  项目运营期噪声源情况</w:t>
            </w:r>
            <w:r>
              <w:rPr>
                <w:color w:val="auto"/>
                <w:sz w:val="21"/>
                <w:lang w:eastAsia="zh-CN"/>
              </w:rPr>
              <w:t xml:space="preserve">  单位：dB（A）</w:t>
            </w:r>
          </w:p>
          <w:tbl>
            <w:tblPr>
              <w:tblStyle w:val="20"/>
              <w:tblW w:w="74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043"/>
              <w:gridCol w:w="764"/>
              <w:gridCol w:w="886"/>
              <w:gridCol w:w="1009"/>
              <w:gridCol w:w="995"/>
              <w:gridCol w:w="819"/>
              <w:gridCol w:w="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59" w:type="pct"/>
                  <w:vMerge w:val="restar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噪声源名称</w:t>
                  </w:r>
                </w:p>
              </w:tc>
              <w:tc>
                <w:tcPr>
                  <w:tcW w:w="698" w:type="pct"/>
                  <w:vMerge w:val="restar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源强声压级（dB(A)）</w:t>
                  </w:r>
                </w:p>
              </w:tc>
              <w:tc>
                <w:tcPr>
                  <w:tcW w:w="511" w:type="pct"/>
                  <w:vMerge w:val="restar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布置</w:t>
                  </w:r>
                </w:p>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方式</w:t>
                  </w:r>
                </w:p>
              </w:tc>
              <w:tc>
                <w:tcPr>
                  <w:tcW w:w="593" w:type="pct"/>
                  <w:vMerge w:val="restar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排放</w:t>
                  </w:r>
                </w:p>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方式</w:t>
                  </w:r>
                </w:p>
              </w:tc>
              <w:tc>
                <w:tcPr>
                  <w:tcW w:w="1341" w:type="pct"/>
                  <w:gridSpan w:val="2"/>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隔声措施</w:t>
                  </w:r>
                </w:p>
              </w:tc>
              <w:tc>
                <w:tcPr>
                  <w:tcW w:w="548" w:type="pct"/>
                  <w:vMerge w:val="restar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隔声</w:t>
                  </w:r>
                </w:p>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措施</w:t>
                  </w:r>
                </w:p>
              </w:tc>
              <w:tc>
                <w:tcPr>
                  <w:tcW w:w="548" w:type="pct"/>
                  <w:vMerge w:val="restart"/>
                  <w:noWrap w:val="0"/>
                  <w:vAlign w:val="center"/>
                </w:tcPr>
                <w:p>
                  <w:pPr>
                    <w:pStyle w:val="45"/>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eastAsia="zh-CN"/>
                    </w:rPr>
                    <w:t>持续时间（</w:t>
                  </w:r>
                  <w:r>
                    <w:rPr>
                      <w:rFonts w:hint="eastAsia" w:ascii="Times New Roman" w:hAnsi="Times New Roman" w:cs="Times New Roman"/>
                      <w:color w:val="auto"/>
                      <w:sz w:val="18"/>
                      <w:szCs w:val="18"/>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759" w:type="pct"/>
                  <w:vMerge w:val="continue"/>
                  <w:noWrap w:val="0"/>
                  <w:vAlign w:val="center"/>
                </w:tcPr>
                <w:p>
                  <w:pPr>
                    <w:pStyle w:val="45"/>
                    <w:rPr>
                      <w:rFonts w:hint="default" w:ascii="Times New Roman" w:hAnsi="Times New Roman" w:eastAsia="宋体" w:cs="Times New Roman"/>
                      <w:color w:val="auto"/>
                      <w:sz w:val="18"/>
                      <w:szCs w:val="18"/>
                    </w:rPr>
                  </w:pPr>
                </w:p>
              </w:tc>
              <w:tc>
                <w:tcPr>
                  <w:tcW w:w="698" w:type="pct"/>
                  <w:vMerge w:val="continue"/>
                  <w:noWrap w:val="0"/>
                  <w:vAlign w:val="center"/>
                </w:tcPr>
                <w:p>
                  <w:pPr>
                    <w:pStyle w:val="45"/>
                    <w:rPr>
                      <w:rFonts w:hint="default" w:ascii="Times New Roman" w:hAnsi="Times New Roman" w:eastAsia="宋体" w:cs="Times New Roman"/>
                      <w:color w:val="auto"/>
                      <w:sz w:val="18"/>
                      <w:szCs w:val="18"/>
                    </w:rPr>
                  </w:pPr>
                </w:p>
              </w:tc>
              <w:tc>
                <w:tcPr>
                  <w:tcW w:w="511" w:type="pct"/>
                  <w:vMerge w:val="continue"/>
                  <w:noWrap w:val="0"/>
                  <w:vAlign w:val="center"/>
                </w:tcPr>
                <w:p>
                  <w:pPr>
                    <w:pStyle w:val="45"/>
                    <w:rPr>
                      <w:rFonts w:hint="default" w:ascii="Times New Roman" w:hAnsi="Times New Roman" w:eastAsia="宋体" w:cs="Times New Roman"/>
                      <w:color w:val="auto"/>
                      <w:sz w:val="18"/>
                      <w:szCs w:val="18"/>
                    </w:rPr>
                  </w:pPr>
                </w:p>
              </w:tc>
              <w:tc>
                <w:tcPr>
                  <w:tcW w:w="593" w:type="pct"/>
                  <w:vMerge w:val="continue"/>
                  <w:noWrap w:val="0"/>
                  <w:vAlign w:val="center"/>
                </w:tcPr>
                <w:p>
                  <w:pPr>
                    <w:pStyle w:val="45"/>
                    <w:rPr>
                      <w:rFonts w:hint="default" w:ascii="Times New Roman" w:hAnsi="Times New Roman" w:eastAsia="宋体" w:cs="Times New Roman"/>
                      <w:color w:val="auto"/>
                      <w:sz w:val="18"/>
                      <w:szCs w:val="18"/>
                    </w:rPr>
                  </w:pPr>
                </w:p>
              </w:tc>
              <w:tc>
                <w:tcPr>
                  <w:tcW w:w="675" w:type="pc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场房隔声</w:t>
                  </w:r>
                </w:p>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（dB(A)）</w:t>
                  </w:r>
                </w:p>
              </w:tc>
              <w:tc>
                <w:tcPr>
                  <w:tcW w:w="666" w:type="pc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减震隔声</w:t>
                  </w:r>
                </w:p>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（dB(A)）</w:t>
                  </w:r>
                </w:p>
              </w:tc>
              <w:tc>
                <w:tcPr>
                  <w:tcW w:w="548" w:type="pct"/>
                  <w:vMerge w:val="continue"/>
                  <w:noWrap w:val="0"/>
                  <w:vAlign w:val="center"/>
                </w:tcPr>
                <w:p>
                  <w:pPr>
                    <w:pStyle w:val="45"/>
                    <w:rPr>
                      <w:rFonts w:hint="default" w:ascii="Times New Roman" w:hAnsi="Times New Roman" w:eastAsia="宋体" w:cs="Times New Roman"/>
                      <w:color w:val="auto"/>
                      <w:sz w:val="18"/>
                      <w:szCs w:val="18"/>
                    </w:rPr>
                  </w:pPr>
                </w:p>
              </w:tc>
              <w:tc>
                <w:tcPr>
                  <w:tcW w:w="548" w:type="pct"/>
                  <w:vMerge w:val="continue"/>
                  <w:noWrap w:val="0"/>
                  <w:vAlign w:val="center"/>
                </w:tcPr>
                <w:p>
                  <w:pPr>
                    <w:pStyle w:val="45"/>
                    <w:rPr>
                      <w:rFonts w:hint="default"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pc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给料机</w:t>
                  </w:r>
                </w:p>
              </w:tc>
              <w:tc>
                <w:tcPr>
                  <w:tcW w:w="698" w:type="pc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85</w:t>
                  </w:r>
                </w:p>
              </w:tc>
              <w:tc>
                <w:tcPr>
                  <w:tcW w:w="511" w:type="pc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室内</w:t>
                  </w:r>
                </w:p>
              </w:tc>
              <w:tc>
                <w:tcPr>
                  <w:tcW w:w="593" w:type="pc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连续</w:t>
                  </w:r>
                </w:p>
              </w:tc>
              <w:tc>
                <w:tcPr>
                  <w:tcW w:w="675" w:type="pc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c>
                <w:tcPr>
                  <w:tcW w:w="666" w:type="pc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548" w:type="pc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72</w:t>
                  </w:r>
                </w:p>
              </w:tc>
              <w:tc>
                <w:tcPr>
                  <w:tcW w:w="548" w:type="pct"/>
                  <w:noWrap w:val="0"/>
                  <w:vAlign w:val="center"/>
                </w:tcPr>
                <w:p>
                  <w:pPr>
                    <w:pStyle w:val="45"/>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pc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颚式破碎机</w:t>
                  </w:r>
                </w:p>
              </w:tc>
              <w:tc>
                <w:tcPr>
                  <w:tcW w:w="698" w:type="pc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85</w:t>
                  </w:r>
                </w:p>
              </w:tc>
              <w:tc>
                <w:tcPr>
                  <w:tcW w:w="511" w:type="pc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室内</w:t>
                  </w:r>
                </w:p>
              </w:tc>
              <w:tc>
                <w:tcPr>
                  <w:tcW w:w="593" w:type="pc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连续</w:t>
                  </w:r>
                </w:p>
              </w:tc>
              <w:tc>
                <w:tcPr>
                  <w:tcW w:w="675" w:type="pc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c>
                <w:tcPr>
                  <w:tcW w:w="666" w:type="pc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548" w:type="pc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72</w:t>
                  </w:r>
                </w:p>
              </w:tc>
              <w:tc>
                <w:tcPr>
                  <w:tcW w:w="548" w:type="pct"/>
                  <w:noWrap w:val="0"/>
                  <w:vAlign w:val="center"/>
                </w:tcPr>
                <w:p>
                  <w:pPr>
                    <w:jc w:val="center"/>
                    <w:rPr>
                      <w:rFonts w:hint="default" w:ascii="Times New Roman" w:hAnsi="Times New Roman" w:eastAsia="宋体" w:cs="Times New Roman"/>
                      <w:color w:val="auto"/>
                      <w:sz w:val="18"/>
                      <w:szCs w:val="18"/>
                    </w:rPr>
                  </w:pPr>
                  <w:r>
                    <w:rPr>
                      <w:rFonts w:hint="eastAsia" w:ascii="Times New Roman" w:hAnsi="Times New Roman" w:cs="Times New Roman"/>
                      <w:color w:val="auto"/>
                      <w:sz w:val="18"/>
                      <w:szCs w:val="18"/>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pc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1#标准圆锥破碎机</w:t>
                  </w:r>
                </w:p>
              </w:tc>
              <w:tc>
                <w:tcPr>
                  <w:tcW w:w="698" w:type="pc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85</w:t>
                  </w:r>
                </w:p>
              </w:tc>
              <w:tc>
                <w:tcPr>
                  <w:tcW w:w="511" w:type="pc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室内</w:t>
                  </w:r>
                </w:p>
              </w:tc>
              <w:tc>
                <w:tcPr>
                  <w:tcW w:w="593" w:type="pc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连续</w:t>
                  </w:r>
                </w:p>
              </w:tc>
              <w:tc>
                <w:tcPr>
                  <w:tcW w:w="675" w:type="pc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c>
                <w:tcPr>
                  <w:tcW w:w="666" w:type="pc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548" w:type="pc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72</w:t>
                  </w:r>
                </w:p>
              </w:tc>
              <w:tc>
                <w:tcPr>
                  <w:tcW w:w="548" w:type="pct"/>
                  <w:noWrap w:val="0"/>
                  <w:vAlign w:val="center"/>
                </w:tcPr>
                <w:p>
                  <w:pPr>
                    <w:jc w:val="center"/>
                    <w:rPr>
                      <w:rFonts w:hint="default" w:ascii="Times New Roman" w:hAnsi="Times New Roman" w:eastAsia="宋体" w:cs="Times New Roman"/>
                      <w:color w:val="auto"/>
                      <w:sz w:val="18"/>
                      <w:szCs w:val="18"/>
                    </w:rPr>
                  </w:pPr>
                  <w:r>
                    <w:rPr>
                      <w:rFonts w:hint="eastAsia" w:ascii="Times New Roman" w:hAnsi="Times New Roman" w:cs="Times New Roman"/>
                      <w:color w:val="auto"/>
                      <w:sz w:val="18"/>
                      <w:szCs w:val="18"/>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pc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2#短头圆锥破碎机</w:t>
                  </w:r>
                </w:p>
              </w:tc>
              <w:tc>
                <w:tcPr>
                  <w:tcW w:w="698" w:type="pc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85</w:t>
                  </w:r>
                </w:p>
              </w:tc>
              <w:tc>
                <w:tcPr>
                  <w:tcW w:w="511" w:type="pc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室内</w:t>
                  </w:r>
                </w:p>
              </w:tc>
              <w:tc>
                <w:tcPr>
                  <w:tcW w:w="593" w:type="pc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连续</w:t>
                  </w:r>
                </w:p>
              </w:tc>
              <w:tc>
                <w:tcPr>
                  <w:tcW w:w="675" w:type="pc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c>
                <w:tcPr>
                  <w:tcW w:w="666" w:type="pc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548" w:type="pc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72</w:t>
                  </w:r>
                </w:p>
              </w:tc>
              <w:tc>
                <w:tcPr>
                  <w:tcW w:w="548" w:type="pct"/>
                  <w:noWrap w:val="0"/>
                  <w:vAlign w:val="center"/>
                </w:tcPr>
                <w:p>
                  <w:pPr>
                    <w:jc w:val="center"/>
                    <w:rPr>
                      <w:rFonts w:hint="default" w:ascii="Times New Roman" w:hAnsi="Times New Roman" w:eastAsia="宋体" w:cs="Times New Roman"/>
                      <w:color w:val="auto"/>
                      <w:sz w:val="18"/>
                      <w:szCs w:val="18"/>
                    </w:rPr>
                  </w:pPr>
                  <w:r>
                    <w:rPr>
                      <w:rFonts w:hint="eastAsia" w:ascii="Times New Roman" w:hAnsi="Times New Roman" w:cs="Times New Roman"/>
                      <w:color w:val="auto"/>
                      <w:sz w:val="18"/>
                      <w:szCs w:val="18"/>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pc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1#振动筛</w:t>
                  </w:r>
                </w:p>
              </w:tc>
              <w:tc>
                <w:tcPr>
                  <w:tcW w:w="698" w:type="pc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80</w:t>
                  </w:r>
                </w:p>
              </w:tc>
              <w:tc>
                <w:tcPr>
                  <w:tcW w:w="511" w:type="pc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室内</w:t>
                  </w:r>
                </w:p>
              </w:tc>
              <w:tc>
                <w:tcPr>
                  <w:tcW w:w="593" w:type="pc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连续</w:t>
                  </w:r>
                </w:p>
              </w:tc>
              <w:tc>
                <w:tcPr>
                  <w:tcW w:w="675" w:type="pc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c>
                <w:tcPr>
                  <w:tcW w:w="666" w:type="pc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548" w:type="pc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67</w:t>
                  </w:r>
                </w:p>
              </w:tc>
              <w:tc>
                <w:tcPr>
                  <w:tcW w:w="548" w:type="pct"/>
                  <w:noWrap w:val="0"/>
                  <w:vAlign w:val="center"/>
                </w:tcPr>
                <w:p>
                  <w:pPr>
                    <w:jc w:val="center"/>
                    <w:rPr>
                      <w:rFonts w:hint="default" w:ascii="Times New Roman" w:hAnsi="Times New Roman" w:eastAsia="宋体" w:cs="Times New Roman"/>
                      <w:color w:val="auto"/>
                      <w:sz w:val="18"/>
                      <w:szCs w:val="18"/>
                    </w:rPr>
                  </w:pPr>
                  <w:r>
                    <w:rPr>
                      <w:rFonts w:hint="eastAsia" w:ascii="Times New Roman" w:hAnsi="Times New Roman" w:cs="Times New Roman"/>
                      <w:color w:val="auto"/>
                      <w:sz w:val="18"/>
                      <w:szCs w:val="18"/>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pc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eastAsia="zh-CN"/>
                    </w:rPr>
                    <w:t>对辊机</w:t>
                  </w:r>
                </w:p>
              </w:tc>
              <w:tc>
                <w:tcPr>
                  <w:tcW w:w="698" w:type="pct"/>
                  <w:noWrap w:val="0"/>
                  <w:vAlign w:val="center"/>
                </w:tcPr>
                <w:p>
                  <w:pPr>
                    <w:pStyle w:val="45"/>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rPr>
                    <w:t>8</w:t>
                  </w:r>
                  <w:r>
                    <w:rPr>
                      <w:rFonts w:hint="default" w:ascii="Times New Roman" w:hAnsi="Times New Roman" w:eastAsia="宋体" w:cs="Times New Roman"/>
                      <w:color w:val="auto"/>
                      <w:sz w:val="18"/>
                      <w:szCs w:val="18"/>
                      <w:lang w:val="en-US" w:eastAsia="zh-CN"/>
                    </w:rPr>
                    <w:t>0</w:t>
                  </w:r>
                </w:p>
              </w:tc>
              <w:tc>
                <w:tcPr>
                  <w:tcW w:w="511" w:type="pc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室内</w:t>
                  </w:r>
                </w:p>
              </w:tc>
              <w:tc>
                <w:tcPr>
                  <w:tcW w:w="593" w:type="pc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连续</w:t>
                  </w:r>
                </w:p>
              </w:tc>
              <w:tc>
                <w:tcPr>
                  <w:tcW w:w="675" w:type="pc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c>
                <w:tcPr>
                  <w:tcW w:w="666" w:type="pc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548" w:type="pc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67</w:t>
                  </w:r>
                </w:p>
              </w:tc>
              <w:tc>
                <w:tcPr>
                  <w:tcW w:w="548" w:type="pct"/>
                  <w:noWrap w:val="0"/>
                  <w:vAlign w:val="center"/>
                </w:tcPr>
                <w:p>
                  <w:pPr>
                    <w:jc w:val="center"/>
                    <w:rPr>
                      <w:rFonts w:hint="default" w:ascii="Times New Roman" w:hAnsi="Times New Roman" w:eastAsia="宋体" w:cs="Times New Roman"/>
                      <w:color w:val="auto"/>
                      <w:sz w:val="18"/>
                      <w:szCs w:val="18"/>
                    </w:rPr>
                  </w:pPr>
                  <w:r>
                    <w:rPr>
                      <w:rFonts w:hint="eastAsia" w:ascii="Times New Roman" w:hAnsi="Times New Roman" w:cs="Times New Roman"/>
                      <w:color w:val="auto"/>
                      <w:sz w:val="18"/>
                      <w:szCs w:val="18"/>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pc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2#振动筛</w:t>
                  </w:r>
                </w:p>
              </w:tc>
              <w:tc>
                <w:tcPr>
                  <w:tcW w:w="698" w:type="pc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80</w:t>
                  </w:r>
                </w:p>
              </w:tc>
              <w:tc>
                <w:tcPr>
                  <w:tcW w:w="511" w:type="pc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室内</w:t>
                  </w:r>
                </w:p>
              </w:tc>
              <w:tc>
                <w:tcPr>
                  <w:tcW w:w="593" w:type="pc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连续</w:t>
                  </w:r>
                </w:p>
              </w:tc>
              <w:tc>
                <w:tcPr>
                  <w:tcW w:w="675" w:type="pc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c>
                <w:tcPr>
                  <w:tcW w:w="666" w:type="pc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548" w:type="pc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67</w:t>
                  </w:r>
                </w:p>
              </w:tc>
              <w:tc>
                <w:tcPr>
                  <w:tcW w:w="548" w:type="pct"/>
                  <w:noWrap w:val="0"/>
                  <w:vAlign w:val="center"/>
                </w:tcPr>
                <w:p>
                  <w:pPr>
                    <w:jc w:val="center"/>
                    <w:rPr>
                      <w:rFonts w:hint="default" w:ascii="Times New Roman" w:hAnsi="Times New Roman" w:eastAsia="宋体" w:cs="Times New Roman"/>
                      <w:color w:val="auto"/>
                      <w:sz w:val="18"/>
                      <w:szCs w:val="18"/>
                    </w:rPr>
                  </w:pPr>
                  <w:r>
                    <w:rPr>
                      <w:rFonts w:hint="eastAsia" w:ascii="Times New Roman" w:hAnsi="Times New Roman" w:cs="Times New Roman"/>
                      <w:color w:val="auto"/>
                      <w:sz w:val="18"/>
                      <w:szCs w:val="18"/>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pc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螺旋洗砂机</w:t>
                  </w:r>
                </w:p>
              </w:tc>
              <w:tc>
                <w:tcPr>
                  <w:tcW w:w="698" w:type="pc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80</w:t>
                  </w:r>
                </w:p>
              </w:tc>
              <w:tc>
                <w:tcPr>
                  <w:tcW w:w="511" w:type="pc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室内</w:t>
                  </w:r>
                </w:p>
              </w:tc>
              <w:tc>
                <w:tcPr>
                  <w:tcW w:w="593" w:type="pc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连续</w:t>
                  </w:r>
                </w:p>
              </w:tc>
              <w:tc>
                <w:tcPr>
                  <w:tcW w:w="675" w:type="pc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c>
                <w:tcPr>
                  <w:tcW w:w="666" w:type="pc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548" w:type="pc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67</w:t>
                  </w:r>
                </w:p>
              </w:tc>
              <w:tc>
                <w:tcPr>
                  <w:tcW w:w="548" w:type="pct"/>
                  <w:noWrap w:val="0"/>
                  <w:vAlign w:val="center"/>
                </w:tcPr>
                <w:p>
                  <w:pPr>
                    <w:jc w:val="center"/>
                    <w:rPr>
                      <w:rFonts w:hint="default" w:ascii="Times New Roman" w:hAnsi="Times New Roman" w:eastAsia="宋体" w:cs="Times New Roman"/>
                      <w:color w:val="auto"/>
                      <w:sz w:val="18"/>
                      <w:szCs w:val="18"/>
                    </w:rPr>
                  </w:pPr>
                  <w:r>
                    <w:rPr>
                      <w:rFonts w:hint="eastAsia" w:ascii="Times New Roman" w:hAnsi="Times New Roman" w:cs="Times New Roman"/>
                      <w:color w:val="auto"/>
                      <w:sz w:val="18"/>
                      <w:szCs w:val="18"/>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pc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皮带输送机</w:t>
                  </w:r>
                </w:p>
              </w:tc>
              <w:tc>
                <w:tcPr>
                  <w:tcW w:w="698" w:type="pc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70</w:t>
                  </w:r>
                </w:p>
              </w:tc>
              <w:tc>
                <w:tcPr>
                  <w:tcW w:w="511" w:type="pc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室内</w:t>
                  </w:r>
                </w:p>
              </w:tc>
              <w:tc>
                <w:tcPr>
                  <w:tcW w:w="593" w:type="pc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连续</w:t>
                  </w:r>
                </w:p>
              </w:tc>
              <w:tc>
                <w:tcPr>
                  <w:tcW w:w="675" w:type="pc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c>
                <w:tcPr>
                  <w:tcW w:w="666" w:type="pc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548" w:type="pc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57</w:t>
                  </w:r>
                </w:p>
              </w:tc>
              <w:tc>
                <w:tcPr>
                  <w:tcW w:w="548" w:type="pct"/>
                  <w:noWrap w:val="0"/>
                  <w:vAlign w:val="center"/>
                </w:tcPr>
                <w:p>
                  <w:pPr>
                    <w:jc w:val="center"/>
                    <w:rPr>
                      <w:rFonts w:hint="default" w:ascii="Times New Roman" w:hAnsi="Times New Roman" w:eastAsia="宋体" w:cs="Times New Roman"/>
                      <w:color w:val="auto"/>
                      <w:sz w:val="18"/>
                      <w:szCs w:val="18"/>
                    </w:rPr>
                  </w:pPr>
                  <w:r>
                    <w:rPr>
                      <w:rFonts w:hint="eastAsia" w:ascii="Times New Roman" w:hAnsi="Times New Roman" w:cs="Times New Roman"/>
                      <w:color w:val="auto"/>
                      <w:sz w:val="18"/>
                      <w:szCs w:val="18"/>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pc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叠加后噪声</w:t>
                  </w:r>
                </w:p>
              </w:tc>
              <w:tc>
                <w:tcPr>
                  <w:tcW w:w="698" w:type="pc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511" w:type="pc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593" w:type="pc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675" w:type="pc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666" w:type="pct"/>
                  <w:noWrap w:val="0"/>
                  <w:vAlign w:val="center"/>
                </w:tcPr>
                <w:p>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548" w:type="pct"/>
                  <w:noWrap w:val="0"/>
                  <w:vAlign w:val="center"/>
                </w:tcPr>
                <w:p>
                  <w:pPr>
                    <w:pStyle w:val="45"/>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b/>
                      <w:bCs/>
                      <w:color w:val="auto"/>
                      <w:sz w:val="18"/>
                      <w:szCs w:val="18"/>
                    </w:rPr>
                    <w:t>79.</w:t>
                  </w:r>
                  <w:r>
                    <w:rPr>
                      <w:rFonts w:hint="eastAsia" w:ascii="Times New Roman" w:hAnsi="Times New Roman" w:cs="Times New Roman"/>
                      <w:b/>
                      <w:bCs/>
                      <w:color w:val="auto"/>
                      <w:sz w:val="18"/>
                      <w:szCs w:val="18"/>
                      <w:lang w:val="en-US" w:eastAsia="zh-CN"/>
                    </w:rPr>
                    <w:t>24</w:t>
                  </w:r>
                </w:p>
              </w:tc>
              <w:tc>
                <w:tcPr>
                  <w:tcW w:w="548" w:type="pct"/>
                  <w:noWrap w:val="0"/>
                  <w:vAlign w:val="center"/>
                </w:tcPr>
                <w:p>
                  <w:pPr>
                    <w:pStyle w:val="45"/>
                    <w:rPr>
                      <w:rFonts w:hint="default" w:ascii="Times New Roman" w:hAnsi="Times New Roman" w:eastAsia="宋体" w:cs="Times New Roman"/>
                      <w:b/>
                      <w:bCs/>
                      <w:color w:val="auto"/>
                      <w:sz w:val="18"/>
                      <w:szCs w:val="18"/>
                      <w:lang w:val="en-US" w:eastAsia="zh-CN"/>
                    </w:rPr>
                  </w:pPr>
                  <w:r>
                    <w:rPr>
                      <w:rFonts w:hint="eastAsia" w:ascii="Times New Roman" w:hAnsi="Times New Roman" w:cs="Times New Roman"/>
                      <w:b/>
                      <w:bCs/>
                      <w:color w:val="auto"/>
                      <w:sz w:val="18"/>
                      <w:szCs w:val="18"/>
                      <w:lang w:val="en-US" w:eastAsia="zh-CN"/>
                    </w:rPr>
                    <w:t>/</w:t>
                  </w:r>
                </w:p>
              </w:tc>
            </w:tr>
          </w:tbl>
          <w:p>
            <w:pPr>
              <w:adjustRightInd w:val="0"/>
              <w:snapToGrid w:val="0"/>
              <w:rPr>
                <w:bCs/>
                <w:color w:val="auto"/>
                <w:spacing w:val="-10"/>
                <w:szCs w:val="21"/>
              </w:rPr>
            </w:pPr>
          </w:p>
          <w:p>
            <w:pPr>
              <w:pStyle w:val="8"/>
              <w:ind w:firstLine="210"/>
              <w:rPr>
                <w:color w:val="auto"/>
                <w:sz w:val="21"/>
              </w:rPr>
            </w:pPr>
            <w:r>
              <w:rPr>
                <w:color w:val="auto"/>
                <w:sz w:val="21"/>
              </w:rPr>
              <w:t>表</w:t>
            </w:r>
            <w:r>
              <w:rPr>
                <w:color w:val="auto"/>
                <w:sz w:val="21"/>
                <w:lang w:eastAsia="zh-CN"/>
              </w:rPr>
              <w:t>4-11</w:t>
            </w:r>
            <w:r>
              <w:rPr>
                <w:color w:val="auto"/>
                <w:sz w:val="21"/>
              </w:rPr>
              <w:t xml:space="preserve">  项目环境噪声预测结果及评价表   单位：LeqdB（A）</w:t>
            </w:r>
          </w:p>
          <w:tbl>
            <w:tblPr>
              <w:tblStyle w:val="20"/>
              <w:tblW w:w="4798" w:type="pct"/>
              <w:tblInd w:w="1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1798"/>
              <w:gridCol w:w="1310"/>
              <w:gridCol w:w="1310"/>
              <w:gridCol w:w="1310"/>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 w:type="pct"/>
                  <w:vAlign w:val="center"/>
                </w:tcPr>
                <w:p>
                  <w:pPr>
                    <w:pStyle w:val="45"/>
                    <w:rPr>
                      <w:color w:val="auto"/>
                      <w:sz w:val="18"/>
                      <w:szCs w:val="21"/>
                    </w:rPr>
                  </w:pPr>
                  <w:r>
                    <w:rPr>
                      <w:color w:val="auto"/>
                      <w:sz w:val="18"/>
                      <w:szCs w:val="21"/>
                    </w:rPr>
                    <w:t>序号</w:t>
                  </w:r>
                </w:p>
              </w:tc>
              <w:tc>
                <w:tcPr>
                  <w:tcW w:w="1181" w:type="pct"/>
                  <w:vAlign w:val="center"/>
                </w:tcPr>
                <w:p>
                  <w:pPr>
                    <w:pStyle w:val="45"/>
                    <w:rPr>
                      <w:color w:val="auto"/>
                      <w:sz w:val="18"/>
                      <w:szCs w:val="21"/>
                    </w:rPr>
                  </w:pPr>
                  <w:r>
                    <w:rPr>
                      <w:color w:val="auto"/>
                      <w:sz w:val="18"/>
                      <w:szCs w:val="21"/>
                    </w:rPr>
                    <w:t>预测点</w:t>
                  </w:r>
                </w:p>
              </w:tc>
              <w:tc>
                <w:tcPr>
                  <w:tcW w:w="860" w:type="pct"/>
                  <w:vAlign w:val="center"/>
                </w:tcPr>
                <w:p>
                  <w:pPr>
                    <w:pStyle w:val="45"/>
                    <w:rPr>
                      <w:color w:val="auto"/>
                      <w:sz w:val="18"/>
                      <w:szCs w:val="21"/>
                    </w:rPr>
                  </w:pPr>
                  <w:r>
                    <w:rPr>
                      <w:color w:val="auto"/>
                      <w:sz w:val="18"/>
                      <w:szCs w:val="21"/>
                    </w:rPr>
                    <w:t>距厂界距离</w:t>
                  </w:r>
                </w:p>
              </w:tc>
              <w:tc>
                <w:tcPr>
                  <w:tcW w:w="860" w:type="pct"/>
                  <w:vAlign w:val="center"/>
                </w:tcPr>
                <w:p>
                  <w:pPr>
                    <w:pStyle w:val="45"/>
                    <w:rPr>
                      <w:color w:val="auto"/>
                      <w:sz w:val="18"/>
                      <w:szCs w:val="21"/>
                    </w:rPr>
                  </w:pPr>
                  <w:r>
                    <w:rPr>
                      <w:color w:val="auto"/>
                      <w:sz w:val="18"/>
                      <w:szCs w:val="21"/>
                    </w:rPr>
                    <w:t>预测值</w:t>
                  </w:r>
                </w:p>
              </w:tc>
              <w:tc>
                <w:tcPr>
                  <w:tcW w:w="860" w:type="pct"/>
                  <w:vAlign w:val="center"/>
                </w:tcPr>
                <w:p>
                  <w:pPr>
                    <w:pStyle w:val="45"/>
                    <w:rPr>
                      <w:color w:val="auto"/>
                      <w:sz w:val="18"/>
                      <w:szCs w:val="21"/>
                    </w:rPr>
                  </w:pPr>
                  <w:r>
                    <w:rPr>
                      <w:color w:val="auto"/>
                      <w:sz w:val="18"/>
                      <w:szCs w:val="21"/>
                    </w:rPr>
                    <w:t>标准值</w:t>
                  </w:r>
                </w:p>
              </w:tc>
              <w:tc>
                <w:tcPr>
                  <w:tcW w:w="735" w:type="pct"/>
                  <w:vAlign w:val="center"/>
                </w:tcPr>
                <w:p>
                  <w:pPr>
                    <w:pStyle w:val="45"/>
                    <w:rPr>
                      <w:color w:val="auto"/>
                      <w:sz w:val="18"/>
                      <w:szCs w:val="21"/>
                    </w:rPr>
                  </w:pPr>
                  <w:r>
                    <w:rPr>
                      <w:color w:val="auto"/>
                      <w:sz w:val="18"/>
                      <w:szCs w:val="21"/>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 w:type="pct"/>
                  <w:vAlign w:val="center"/>
                </w:tcPr>
                <w:p>
                  <w:pPr>
                    <w:pStyle w:val="45"/>
                    <w:rPr>
                      <w:color w:val="auto"/>
                      <w:sz w:val="18"/>
                      <w:szCs w:val="21"/>
                    </w:rPr>
                  </w:pPr>
                  <w:r>
                    <w:rPr>
                      <w:color w:val="auto"/>
                      <w:sz w:val="18"/>
                      <w:szCs w:val="21"/>
                    </w:rPr>
                    <w:t>1#</w:t>
                  </w:r>
                </w:p>
              </w:tc>
              <w:tc>
                <w:tcPr>
                  <w:tcW w:w="1181" w:type="pct"/>
                  <w:vAlign w:val="center"/>
                </w:tcPr>
                <w:p>
                  <w:pPr>
                    <w:pStyle w:val="45"/>
                    <w:rPr>
                      <w:color w:val="auto"/>
                      <w:sz w:val="18"/>
                      <w:szCs w:val="21"/>
                    </w:rPr>
                  </w:pPr>
                  <w:r>
                    <w:rPr>
                      <w:color w:val="auto"/>
                      <w:sz w:val="18"/>
                      <w:szCs w:val="21"/>
                    </w:rPr>
                    <w:t>项目东侧厂界</w:t>
                  </w:r>
                </w:p>
              </w:tc>
              <w:tc>
                <w:tcPr>
                  <w:tcW w:w="860" w:type="pct"/>
                  <w:vAlign w:val="center"/>
                </w:tcPr>
                <w:p>
                  <w:pPr>
                    <w:pStyle w:val="45"/>
                    <w:rPr>
                      <w:color w:val="auto"/>
                      <w:sz w:val="18"/>
                      <w:szCs w:val="21"/>
                      <w:lang w:eastAsia="zh-CN"/>
                    </w:rPr>
                  </w:pPr>
                  <w:r>
                    <w:rPr>
                      <w:rFonts w:hint="eastAsia"/>
                      <w:color w:val="auto"/>
                      <w:sz w:val="18"/>
                      <w:szCs w:val="21"/>
                      <w:lang w:val="en-US" w:eastAsia="zh-CN"/>
                    </w:rPr>
                    <w:t>60</w:t>
                  </w:r>
                  <w:r>
                    <w:rPr>
                      <w:color w:val="auto"/>
                      <w:sz w:val="18"/>
                      <w:szCs w:val="21"/>
                      <w:lang w:eastAsia="zh-CN"/>
                    </w:rPr>
                    <w:t>m</w:t>
                  </w:r>
                </w:p>
              </w:tc>
              <w:tc>
                <w:tcPr>
                  <w:tcW w:w="860" w:type="pct"/>
                  <w:vAlign w:val="center"/>
                </w:tcPr>
                <w:p>
                  <w:pPr>
                    <w:pStyle w:val="45"/>
                    <w:rPr>
                      <w:rFonts w:hint="default"/>
                      <w:color w:val="auto"/>
                      <w:sz w:val="18"/>
                      <w:szCs w:val="21"/>
                      <w:lang w:val="en-US" w:eastAsia="zh-CN"/>
                    </w:rPr>
                  </w:pPr>
                  <w:r>
                    <w:rPr>
                      <w:rFonts w:hint="eastAsia"/>
                      <w:color w:val="auto"/>
                      <w:sz w:val="18"/>
                      <w:szCs w:val="21"/>
                      <w:lang w:val="en-US" w:eastAsia="zh-CN"/>
                    </w:rPr>
                    <w:t>43.7</w:t>
                  </w:r>
                </w:p>
              </w:tc>
              <w:tc>
                <w:tcPr>
                  <w:tcW w:w="860" w:type="pct"/>
                  <w:vAlign w:val="center"/>
                </w:tcPr>
                <w:p>
                  <w:pPr>
                    <w:pStyle w:val="45"/>
                    <w:rPr>
                      <w:color w:val="auto"/>
                      <w:sz w:val="18"/>
                      <w:szCs w:val="21"/>
                    </w:rPr>
                  </w:pPr>
                  <w:r>
                    <w:rPr>
                      <w:color w:val="auto"/>
                      <w:sz w:val="18"/>
                      <w:szCs w:val="21"/>
                    </w:rPr>
                    <w:t>60</w:t>
                  </w:r>
                </w:p>
              </w:tc>
              <w:tc>
                <w:tcPr>
                  <w:tcW w:w="735" w:type="pct"/>
                  <w:vAlign w:val="center"/>
                </w:tcPr>
                <w:p>
                  <w:pPr>
                    <w:pStyle w:val="45"/>
                    <w:rPr>
                      <w:color w:val="auto"/>
                      <w:sz w:val="18"/>
                      <w:szCs w:val="21"/>
                      <w:lang w:eastAsia="zh-CN"/>
                    </w:rPr>
                  </w:pPr>
                  <w:r>
                    <w:rPr>
                      <w:color w:val="auto"/>
                      <w:sz w:val="18"/>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 w:type="pct"/>
                  <w:vAlign w:val="center"/>
                </w:tcPr>
                <w:p>
                  <w:pPr>
                    <w:pStyle w:val="45"/>
                    <w:rPr>
                      <w:color w:val="auto"/>
                      <w:sz w:val="18"/>
                      <w:szCs w:val="21"/>
                    </w:rPr>
                  </w:pPr>
                  <w:r>
                    <w:rPr>
                      <w:color w:val="auto"/>
                      <w:sz w:val="18"/>
                      <w:szCs w:val="21"/>
                    </w:rPr>
                    <w:t>2#</w:t>
                  </w:r>
                </w:p>
              </w:tc>
              <w:tc>
                <w:tcPr>
                  <w:tcW w:w="1181" w:type="pct"/>
                  <w:vAlign w:val="center"/>
                </w:tcPr>
                <w:p>
                  <w:pPr>
                    <w:pStyle w:val="45"/>
                    <w:rPr>
                      <w:color w:val="auto"/>
                      <w:sz w:val="18"/>
                      <w:szCs w:val="21"/>
                    </w:rPr>
                  </w:pPr>
                  <w:r>
                    <w:rPr>
                      <w:color w:val="auto"/>
                      <w:sz w:val="18"/>
                      <w:szCs w:val="21"/>
                    </w:rPr>
                    <w:t>项目南侧厂界</w:t>
                  </w:r>
                </w:p>
              </w:tc>
              <w:tc>
                <w:tcPr>
                  <w:tcW w:w="860" w:type="pct"/>
                  <w:vAlign w:val="center"/>
                </w:tcPr>
                <w:p>
                  <w:pPr>
                    <w:pStyle w:val="45"/>
                    <w:rPr>
                      <w:color w:val="auto"/>
                      <w:sz w:val="18"/>
                      <w:szCs w:val="21"/>
                      <w:lang w:eastAsia="zh-CN"/>
                    </w:rPr>
                  </w:pPr>
                  <w:r>
                    <w:rPr>
                      <w:rFonts w:hint="eastAsia"/>
                      <w:color w:val="auto"/>
                      <w:sz w:val="18"/>
                      <w:szCs w:val="21"/>
                      <w:lang w:val="en-US" w:eastAsia="zh-CN"/>
                    </w:rPr>
                    <w:t>16</w:t>
                  </w:r>
                  <w:r>
                    <w:rPr>
                      <w:color w:val="auto"/>
                      <w:sz w:val="18"/>
                      <w:szCs w:val="21"/>
                      <w:lang w:eastAsia="zh-CN"/>
                    </w:rPr>
                    <w:t>m</w:t>
                  </w:r>
                </w:p>
              </w:tc>
              <w:tc>
                <w:tcPr>
                  <w:tcW w:w="860" w:type="pct"/>
                  <w:vAlign w:val="center"/>
                </w:tcPr>
                <w:p>
                  <w:pPr>
                    <w:pStyle w:val="45"/>
                    <w:rPr>
                      <w:rFonts w:hint="default"/>
                      <w:color w:val="auto"/>
                      <w:sz w:val="18"/>
                      <w:szCs w:val="21"/>
                      <w:lang w:val="en-US" w:eastAsia="zh-CN"/>
                    </w:rPr>
                  </w:pPr>
                  <w:r>
                    <w:rPr>
                      <w:rFonts w:hint="eastAsia"/>
                      <w:color w:val="auto"/>
                      <w:sz w:val="18"/>
                      <w:szCs w:val="21"/>
                      <w:lang w:val="en-US" w:eastAsia="zh-CN"/>
                    </w:rPr>
                    <w:t>55.2</w:t>
                  </w:r>
                </w:p>
              </w:tc>
              <w:tc>
                <w:tcPr>
                  <w:tcW w:w="860" w:type="pct"/>
                  <w:vAlign w:val="center"/>
                </w:tcPr>
                <w:p>
                  <w:pPr>
                    <w:pStyle w:val="45"/>
                    <w:rPr>
                      <w:color w:val="auto"/>
                      <w:sz w:val="18"/>
                      <w:szCs w:val="21"/>
                    </w:rPr>
                  </w:pPr>
                  <w:r>
                    <w:rPr>
                      <w:color w:val="auto"/>
                      <w:sz w:val="18"/>
                      <w:szCs w:val="21"/>
                    </w:rPr>
                    <w:t>60</w:t>
                  </w:r>
                </w:p>
              </w:tc>
              <w:tc>
                <w:tcPr>
                  <w:tcW w:w="735" w:type="pct"/>
                  <w:vAlign w:val="center"/>
                </w:tcPr>
                <w:p>
                  <w:pPr>
                    <w:pStyle w:val="45"/>
                    <w:rPr>
                      <w:color w:val="auto"/>
                      <w:sz w:val="18"/>
                      <w:szCs w:val="21"/>
                      <w:lang w:eastAsia="zh-CN"/>
                    </w:rPr>
                  </w:pPr>
                  <w:r>
                    <w:rPr>
                      <w:color w:val="auto"/>
                      <w:sz w:val="18"/>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 w:type="pct"/>
                  <w:vAlign w:val="center"/>
                </w:tcPr>
                <w:p>
                  <w:pPr>
                    <w:pStyle w:val="45"/>
                    <w:rPr>
                      <w:color w:val="auto"/>
                      <w:sz w:val="18"/>
                      <w:szCs w:val="21"/>
                    </w:rPr>
                  </w:pPr>
                  <w:r>
                    <w:rPr>
                      <w:color w:val="auto"/>
                      <w:sz w:val="18"/>
                      <w:szCs w:val="21"/>
                    </w:rPr>
                    <w:t>3#</w:t>
                  </w:r>
                </w:p>
              </w:tc>
              <w:tc>
                <w:tcPr>
                  <w:tcW w:w="1181" w:type="pct"/>
                  <w:vAlign w:val="center"/>
                </w:tcPr>
                <w:p>
                  <w:pPr>
                    <w:pStyle w:val="45"/>
                    <w:rPr>
                      <w:color w:val="auto"/>
                      <w:sz w:val="18"/>
                      <w:szCs w:val="21"/>
                    </w:rPr>
                  </w:pPr>
                  <w:r>
                    <w:rPr>
                      <w:color w:val="auto"/>
                      <w:sz w:val="18"/>
                      <w:szCs w:val="21"/>
                    </w:rPr>
                    <w:t>项目西侧厂界</w:t>
                  </w:r>
                </w:p>
              </w:tc>
              <w:tc>
                <w:tcPr>
                  <w:tcW w:w="860" w:type="pct"/>
                  <w:vAlign w:val="center"/>
                </w:tcPr>
                <w:p>
                  <w:pPr>
                    <w:pStyle w:val="45"/>
                    <w:rPr>
                      <w:color w:val="auto"/>
                      <w:sz w:val="18"/>
                      <w:szCs w:val="21"/>
                      <w:lang w:eastAsia="zh-CN"/>
                    </w:rPr>
                  </w:pPr>
                  <w:r>
                    <w:rPr>
                      <w:rFonts w:hint="eastAsia"/>
                      <w:color w:val="auto"/>
                      <w:sz w:val="18"/>
                      <w:szCs w:val="21"/>
                      <w:lang w:val="en-US" w:eastAsia="zh-CN"/>
                    </w:rPr>
                    <w:t>16</w:t>
                  </w:r>
                  <w:r>
                    <w:rPr>
                      <w:color w:val="auto"/>
                      <w:sz w:val="18"/>
                      <w:szCs w:val="21"/>
                      <w:lang w:eastAsia="zh-CN"/>
                    </w:rPr>
                    <w:t>m</w:t>
                  </w:r>
                </w:p>
              </w:tc>
              <w:tc>
                <w:tcPr>
                  <w:tcW w:w="860" w:type="pct"/>
                  <w:vAlign w:val="center"/>
                </w:tcPr>
                <w:p>
                  <w:pPr>
                    <w:pStyle w:val="45"/>
                    <w:rPr>
                      <w:rFonts w:hint="default"/>
                      <w:color w:val="auto"/>
                      <w:sz w:val="18"/>
                      <w:szCs w:val="21"/>
                      <w:lang w:val="en-US" w:eastAsia="zh-CN"/>
                    </w:rPr>
                  </w:pPr>
                  <w:r>
                    <w:rPr>
                      <w:rFonts w:hint="eastAsia"/>
                      <w:color w:val="auto"/>
                      <w:sz w:val="18"/>
                      <w:szCs w:val="21"/>
                      <w:lang w:val="en-US" w:eastAsia="zh-CN"/>
                    </w:rPr>
                    <w:t>55.2</w:t>
                  </w:r>
                </w:p>
              </w:tc>
              <w:tc>
                <w:tcPr>
                  <w:tcW w:w="860" w:type="pct"/>
                  <w:vAlign w:val="center"/>
                </w:tcPr>
                <w:p>
                  <w:pPr>
                    <w:pStyle w:val="45"/>
                    <w:rPr>
                      <w:color w:val="auto"/>
                      <w:sz w:val="18"/>
                      <w:szCs w:val="21"/>
                    </w:rPr>
                  </w:pPr>
                  <w:r>
                    <w:rPr>
                      <w:color w:val="auto"/>
                      <w:sz w:val="18"/>
                      <w:szCs w:val="21"/>
                    </w:rPr>
                    <w:t>60</w:t>
                  </w:r>
                </w:p>
              </w:tc>
              <w:tc>
                <w:tcPr>
                  <w:tcW w:w="735" w:type="pct"/>
                  <w:vAlign w:val="center"/>
                </w:tcPr>
                <w:p>
                  <w:pPr>
                    <w:pStyle w:val="45"/>
                    <w:rPr>
                      <w:color w:val="auto"/>
                      <w:sz w:val="18"/>
                      <w:szCs w:val="21"/>
                      <w:lang w:eastAsia="zh-CN"/>
                    </w:rPr>
                  </w:pPr>
                  <w:r>
                    <w:rPr>
                      <w:color w:val="auto"/>
                      <w:sz w:val="18"/>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 w:type="pct"/>
                  <w:vAlign w:val="center"/>
                </w:tcPr>
                <w:p>
                  <w:pPr>
                    <w:pStyle w:val="45"/>
                    <w:rPr>
                      <w:color w:val="auto"/>
                      <w:sz w:val="18"/>
                      <w:szCs w:val="21"/>
                    </w:rPr>
                  </w:pPr>
                  <w:r>
                    <w:rPr>
                      <w:color w:val="auto"/>
                      <w:sz w:val="18"/>
                      <w:szCs w:val="21"/>
                    </w:rPr>
                    <w:t>4#</w:t>
                  </w:r>
                </w:p>
              </w:tc>
              <w:tc>
                <w:tcPr>
                  <w:tcW w:w="1181" w:type="pct"/>
                  <w:vAlign w:val="center"/>
                </w:tcPr>
                <w:p>
                  <w:pPr>
                    <w:pStyle w:val="45"/>
                    <w:rPr>
                      <w:color w:val="auto"/>
                      <w:sz w:val="18"/>
                      <w:szCs w:val="21"/>
                    </w:rPr>
                  </w:pPr>
                  <w:r>
                    <w:rPr>
                      <w:color w:val="auto"/>
                      <w:sz w:val="18"/>
                      <w:szCs w:val="21"/>
                    </w:rPr>
                    <w:t>项目北侧厂界</w:t>
                  </w:r>
                </w:p>
              </w:tc>
              <w:tc>
                <w:tcPr>
                  <w:tcW w:w="860" w:type="pct"/>
                  <w:vAlign w:val="center"/>
                </w:tcPr>
                <w:p>
                  <w:pPr>
                    <w:pStyle w:val="45"/>
                    <w:rPr>
                      <w:color w:val="auto"/>
                      <w:sz w:val="18"/>
                      <w:szCs w:val="21"/>
                      <w:lang w:eastAsia="zh-CN"/>
                    </w:rPr>
                  </w:pPr>
                  <w:r>
                    <w:rPr>
                      <w:rFonts w:hint="eastAsia"/>
                      <w:color w:val="auto"/>
                      <w:sz w:val="18"/>
                      <w:szCs w:val="21"/>
                      <w:lang w:val="en-US" w:eastAsia="zh-CN"/>
                    </w:rPr>
                    <w:t>12</w:t>
                  </w:r>
                  <w:r>
                    <w:rPr>
                      <w:color w:val="auto"/>
                      <w:sz w:val="18"/>
                      <w:szCs w:val="21"/>
                      <w:lang w:eastAsia="zh-CN"/>
                    </w:rPr>
                    <w:t>m</w:t>
                  </w:r>
                </w:p>
              </w:tc>
              <w:tc>
                <w:tcPr>
                  <w:tcW w:w="860" w:type="pct"/>
                  <w:vAlign w:val="center"/>
                </w:tcPr>
                <w:p>
                  <w:pPr>
                    <w:pStyle w:val="45"/>
                    <w:rPr>
                      <w:rFonts w:hint="default"/>
                      <w:color w:val="auto"/>
                      <w:sz w:val="18"/>
                      <w:szCs w:val="21"/>
                      <w:lang w:val="en-US" w:eastAsia="zh-CN"/>
                    </w:rPr>
                  </w:pPr>
                  <w:r>
                    <w:rPr>
                      <w:rFonts w:hint="eastAsia"/>
                      <w:color w:val="auto"/>
                      <w:sz w:val="18"/>
                      <w:szCs w:val="21"/>
                      <w:lang w:val="en-US" w:eastAsia="zh-CN"/>
                    </w:rPr>
                    <w:t>57.7</w:t>
                  </w:r>
                </w:p>
              </w:tc>
              <w:tc>
                <w:tcPr>
                  <w:tcW w:w="860" w:type="pct"/>
                  <w:vAlign w:val="center"/>
                </w:tcPr>
                <w:p>
                  <w:pPr>
                    <w:pStyle w:val="45"/>
                    <w:rPr>
                      <w:color w:val="auto"/>
                      <w:sz w:val="18"/>
                      <w:szCs w:val="21"/>
                    </w:rPr>
                  </w:pPr>
                  <w:r>
                    <w:rPr>
                      <w:color w:val="auto"/>
                      <w:sz w:val="18"/>
                      <w:szCs w:val="21"/>
                    </w:rPr>
                    <w:t>60</w:t>
                  </w:r>
                </w:p>
              </w:tc>
              <w:tc>
                <w:tcPr>
                  <w:tcW w:w="735" w:type="pct"/>
                  <w:vAlign w:val="center"/>
                </w:tcPr>
                <w:p>
                  <w:pPr>
                    <w:pStyle w:val="45"/>
                    <w:rPr>
                      <w:color w:val="auto"/>
                      <w:sz w:val="18"/>
                      <w:szCs w:val="21"/>
                      <w:lang w:eastAsia="zh-CN"/>
                    </w:rPr>
                  </w:pPr>
                  <w:r>
                    <w:rPr>
                      <w:color w:val="auto"/>
                      <w:sz w:val="18"/>
                      <w:szCs w:val="21"/>
                      <w:lang w:eastAsia="zh-CN"/>
                    </w:rPr>
                    <w:t>达标</w:t>
                  </w:r>
                </w:p>
              </w:tc>
            </w:tr>
          </w:tbl>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22" w:firstLineChars="200"/>
              <w:textAlignment w:val="auto"/>
              <w:rPr>
                <w:bCs/>
                <w:color w:val="auto"/>
                <w:spacing w:val="0"/>
                <w:sz w:val="21"/>
                <w:szCs w:val="21"/>
              </w:rPr>
            </w:pPr>
            <w:r>
              <w:rPr>
                <w:b/>
                <w:bCs w:val="0"/>
                <w:color w:val="auto"/>
                <w:spacing w:val="0"/>
                <w:sz w:val="21"/>
                <w:szCs w:val="21"/>
              </w:rPr>
              <w:t>（2）厂界和环境保护目标达标情况分析</w:t>
            </w:r>
          </w:p>
          <w:p>
            <w:pPr>
              <w:pStyle w:val="5"/>
              <w:keepNext w:val="0"/>
              <w:keepLines w:val="0"/>
              <w:pageBreakBefore w:val="0"/>
              <w:widowControl w:val="0"/>
              <w:kinsoku/>
              <w:wordWrap/>
              <w:overflowPunct/>
              <w:topLinePunct w:val="0"/>
              <w:autoSpaceDE/>
              <w:autoSpaceDN/>
              <w:bidi w:val="0"/>
              <w:adjustRightInd/>
              <w:snapToGrid w:val="0"/>
              <w:spacing w:after="0" w:line="360" w:lineRule="auto"/>
              <w:ind w:firstLine="480"/>
              <w:textAlignment w:val="auto"/>
              <w:rPr>
                <w:color w:val="auto"/>
                <w:sz w:val="21"/>
              </w:rPr>
            </w:pPr>
            <w:r>
              <w:rPr>
                <w:rFonts w:hint="eastAsia"/>
                <w:color w:val="auto"/>
                <w:sz w:val="21"/>
              </w:rPr>
              <w:t>由于本项目仅昼间生产，夜间不生产，由上表可知，</w:t>
            </w:r>
            <w:r>
              <w:rPr>
                <w:color w:val="auto"/>
                <w:sz w:val="21"/>
              </w:rPr>
              <w:t>项目场界四周昼间噪声排放值均能满足《工业企业场界环境噪声排放标准》（GB12348-2008）2类标准[昼间：60dB(A)、夜间50 dB(A)]。且本项目评价范围内居民点较少，无居民集中区，</w:t>
            </w:r>
            <w:r>
              <w:rPr>
                <w:rFonts w:hint="eastAsia"/>
                <w:color w:val="auto"/>
                <w:sz w:val="21"/>
              </w:rPr>
              <w:t>厂界达标。</w:t>
            </w:r>
            <w:r>
              <w:rPr>
                <w:color w:val="auto"/>
                <w:sz w:val="21"/>
              </w:rPr>
              <w:t>因此本项目无需设置声环境防护距离，本项目生产设备噪声对环境影响较小。</w:t>
            </w:r>
          </w:p>
          <w:p>
            <w:pPr>
              <w:adjustRightInd w:val="0"/>
              <w:snapToGrid w:val="0"/>
              <w:spacing w:line="360" w:lineRule="auto"/>
              <w:ind w:firstLine="422" w:firstLineChars="200"/>
              <w:rPr>
                <w:b/>
                <w:bCs w:val="0"/>
                <w:color w:val="auto"/>
                <w:spacing w:val="0"/>
                <w:sz w:val="21"/>
                <w:szCs w:val="21"/>
              </w:rPr>
            </w:pPr>
            <w:r>
              <w:rPr>
                <w:b/>
                <w:bCs w:val="0"/>
                <w:color w:val="auto"/>
                <w:spacing w:val="0"/>
                <w:sz w:val="21"/>
                <w:szCs w:val="21"/>
              </w:rPr>
              <w:t>（3）监测要求</w:t>
            </w:r>
          </w:p>
          <w:p>
            <w:pPr>
              <w:adjustRightInd w:val="0"/>
              <w:snapToGrid w:val="0"/>
              <w:spacing w:line="360" w:lineRule="auto"/>
              <w:ind w:firstLine="420" w:firstLineChars="200"/>
              <w:rPr>
                <w:bCs/>
                <w:color w:val="auto"/>
                <w:spacing w:val="0"/>
                <w:sz w:val="21"/>
                <w:szCs w:val="21"/>
              </w:rPr>
            </w:pPr>
            <w:r>
              <w:rPr>
                <w:bCs/>
                <w:color w:val="auto"/>
                <w:spacing w:val="0"/>
                <w:sz w:val="21"/>
                <w:szCs w:val="21"/>
              </w:rPr>
              <w:t>本项目噪声监测要求详见下表。</w:t>
            </w:r>
          </w:p>
          <w:p>
            <w:pPr>
              <w:pStyle w:val="8"/>
              <w:ind w:firstLine="210"/>
              <w:rPr>
                <w:color w:val="auto"/>
                <w:sz w:val="21"/>
                <w:lang w:eastAsia="zh-CN"/>
              </w:rPr>
            </w:pPr>
            <w:r>
              <w:rPr>
                <w:color w:val="auto"/>
                <w:sz w:val="21"/>
              </w:rPr>
              <w:t>表4-</w:t>
            </w:r>
            <w:r>
              <w:rPr>
                <w:color w:val="auto"/>
                <w:sz w:val="21"/>
                <w:lang w:eastAsia="zh-CN"/>
              </w:rPr>
              <w:t>12</w:t>
            </w:r>
            <w:r>
              <w:rPr>
                <w:color w:val="auto"/>
                <w:sz w:val="21"/>
              </w:rPr>
              <w:t xml:space="preserve">  </w:t>
            </w:r>
            <w:r>
              <w:rPr>
                <w:color w:val="auto"/>
                <w:sz w:val="21"/>
                <w:lang w:eastAsia="zh-CN"/>
              </w:rPr>
              <w:t>噪声</w:t>
            </w:r>
            <w:r>
              <w:rPr>
                <w:color w:val="auto"/>
                <w:sz w:val="21"/>
              </w:rPr>
              <w:t>监测要求</w:t>
            </w:r>
            <w:r>
              <w:rPr>
                <w:color w:val="auto"/>
                <w:sz w:val="21"/>
                <w:lang w:eastAsia="zh-CN"/>
              </w:rPr>
              <w:t>一览表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
              <w:gridCol w:w="1667"/>
              <w:gridCol w:w="1722"/>
              <w:gridCol w:w="3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5" w:type="pct"/>
                  <w:shd w:val="clear" w:color="auto" w:fill="auto"/>
                  <w:vAlign w:val="center"/>
                </w:tcPr>
                <w:p>
                  <w:pPr>
                    <w:adjustRightInd w:val="0"/>
                    <w:snapToGrid w:val="0"/>
                    <w:jc w:val="center"/>
                    <w:rPr>
                      <w:bCs/>
                      <w:color w:val="auto"/>
                      <w:spacing w:val="0"/>
                      <w:sz w:val="18"/>
                      <w:szCs w:val="18"/>
                      <w:u w:val="none"/>
                    </w:rPr>
                  </w:pPr>
                  <w:r>
                    <w:rPr>
                      <w:bCs/>
                      <w:color w:val="auto"/>
                      <w:spacing w:val="0"/>
                      <w:sz w:val="18"/>
                      <w:szCs w:val="18"/>
                      <w:u w:val="none"/>
                    </w:rPr>
                    <w:t>监测因子</w:t>
                  </w:r>
                </w:p>
              </w:tc>
              <w:tc>
                <w:tcPr>
                  <w:tcW w:w="1051" w:type="pct"/>
                  <w:shd w:val="clear" w:color="auto" w:fill="auto"/>
                  <w:vAlign w:val="center"/>
                </w:tcPr>
                <w:p>
                  <w:pPr>
                    <w:adjustRightInd w:val="0"/>
                    <w:snapToGrid w:val="0"/>
                    <w:jc w:val="center"/>
                    <w:rPr>
                      <w:bCs/>
                      <w:color w:val="auto"/>
                      <w:spacing w:val="0"/>
                      <w:sz w:val="18"/>
                      <w:szCs w:val="18"/>
                      <w:u w:val="none"/>
                    </w:rPr>
                  </w:pPr>
                  <w:r>
                    <w:rPr>
                      <w:bCs/>
                      <w:color w:val="auto"/>
                      <w:spacing w:val="0"/>
                      <w:sz w:val="18"/>
                      <w:szCs w:val="18"/>
                      <w:u w:val="none"/>
                    </w:rPr>
                    <w:t>监测点位</w:t>
                  </w:r>
                </w:p>
              </w:tc>
              <w:tc>
                <w:tcPr>
                  <w:tcW w:w="1086" w:type="pct"/>
                  <w:shd w:val="clear" w:color="auto" w:fill="auto"/>
                  <w:vAlign w:val="center"/>
                </w:tcPr>
                <w:p>
                  <w:pPr>
                    <w:adjustRightInd w:val="0"/>
                    <w:snapToGrid w:val="0"/>
                    <w:jc w:val="center"/>
                    <w:rPr>
                      <w:bCs/>
                      <w:color w:val="auto"/>
                      <w:spacing w:val="0"/>
                      <w:sz w:val="18"/>
                      <w:szCs w:val="18"/>
                      <w:u w:val="none"/>
                    </w:rPr>
                  </w:pPr>
                  <w:r>
                    <w:rPr>
                      <w:bCs/>
                      <w:color w:val="auto"/>
                      <w:spacing w:val="0"/>
                      <w:sz w:val="18"/>
                      <w:szCs w:val="18"/>
                      <w:u w:val="none"/>
                    </w:rPr>
                    <w:t>监测频次</w:t>
                  </w:r>
                </w:p>
              </w:tc>
              <w:tc>
                <w:tcPr>
                  <w:tcW w:w="2269" w:type="pct"/>
                  <w:shd w:val="clear" w:color="auto" w:fill="auto"/>
                  <w:vAlign w:val="center"/>
                </w:tcPr>
                <w:p>
                  <w:pPr>
                    <w:adjustRightInd w:val="0"/>
                    <w:snapToGrid w:val="0"/>
                    <w:jc w:val="center"/>
                    <w:rPr>
                      <w:bCs/>
                      <w:color w:val="auto"/>
                      <w:spacing w:val="0"/>
                      <w:sz w:val="18"/>
                      <w:szCs w:val="18"/>
                      <w:u w:val="none"/>
                    </w:rPr>
                  </w:pPr>
                  <w:r>
                    <w:rPr>
                      <w:bCs/>
                      <w:color w:val="auto"/>
                      <w:spacing w:val="0"/>
                      <w:sz w:val="18"/>
                      <w:szCs w:val="18"/>
                      <w:u w:val="none"/>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5" w:type="pct"/>
                  <w:shd w:val="clear" w:color="auto" w:fill="auto"/>
                  <w:vAlign w:val="center"/>
                </w:tcPr>
                <w:p>
                  <w:pPr>
                    <w:adjustRightInd w:val="0"/>
                    <w:snapToGrid w:val="0"/>
                    <w:jc w:val="center"/>
                    <w:rPr>
                      <w:bCs/>
                      <w:color w:val="auto"/>
                      <w:spacing w:val="0"/>
                      <w:sz w:val="18"/>
                      <w:szCs w:val="18"/>
                      <w:u w:val="none"/>
                    </w:rPr>
                  </w:pPr>
                  <w:r>
                    <w:rPr>
                      <w:color w:val="auto"/>
                      <w:spacing w:val="0"/>
                      <w:sz w:val="18"/>
                      <w:szCs w:val="18"/>
                      <w:u w:val="none"/>
                    </w:rPr>
                    <w:t>Lep（A）</w:t>
                  </w:r>
                </w:p>
              </w:tc>
              <w:tc>
                <w:tcPr>
                  <w:tcW w:w="1051" w:type="pct"/>
                  <w:shd w:val="clear" w:color="auto" w:fill="auto"/>
                  <w:vAlign w:val="center"/>
                </w:tcPr>
                <w:p>
                  <w:pPr>
                    <w:jc w:val="center"/>
                    <w:rPr>
                      <w:color w:val="auto"/>
                      <w:spacing w:val="0"/>
                      <w:sz w:val="18"/>
                      <w:szCs w:val="18"/>
                      <w:u w:val="none"/>
                    </w:rPr>
                  </w:pPr>
                  <w:r>
                    <w:rPr>
                      <w:color w:val="auto"/>
                      <w:spacing w:val="0"/>
                      <w:sz w:val="18"/>
                      <w:szCs w:val="18"/>
                      <w:u w:val="none"/>
                    </w:rPr>
                    <w:t>厂区边界外1m处</w:t>
                  </w:r>
                </w:p>
              </w:tc>
              <w:tc>
                <w:tcPr>
                  <w:tcW w:w="1086" w:type="pct"/>
                  <w:shd w:val="clear" w:color="auto" w:fill="auto"/>
                  <w:vAlign w:val="center"/>
                </w:tcPr>
                <w:p>
                  <w:pPr>
                    <w:jc w:val="center"/>
                    <w:rPr>
                      <w:color w:val="auto"/>
                      <w:spacing w:val="0"/>
                      <w:sz w:val="18"/>
                      <w:szCs w:val="18"/>
                      <w:u w:val="none"/>
                    </w:rPr>
                  </w:pPr>
                  <w:r>
                    <w:rPr>
                      <w:color w:val="auto"/>
                      <w:spacing w:val="0"/>
                      <w:sz w:val="18"/>
                      <w:szCs w:val="18"/>
                      <w:u w:val="none"/>
                    </w:rPr>
                    <w:t>每</w:t>
                  </w:r>
                  <w:r>
                    <w:rPr>
                      <w:rFonts w:hint="eastAsia"/>
                      <w:color w:val="auto"/>
                      <w:spacing w:val="0"/>
                      <w:sz w:val="18"/>
                      <w:szCs w:val="18"/>
                      <w:u w:val="none"/>
                      <w:lang w:eastAsia="zh-CN"/>
                    </w:rPr>
                    <w:t>个季度</w:t>
                  </w:r>
                  <w:r>
                    <w:rPr>
                      <w:color w:val="auto"/>
                      <w:spacing w:val="0"/>
                      <w:sz w:val="18"/>
                      <w:szCs w:val="18"/>
                      <w:u w:val="none"/>
                    </w:rPr>
                    <w:t>一次</w:t>
                  </w:r>
                </w:p>
              </w:tc>
              <w:tc>
                <w:tcPr>
                  <w:tcW w:w="2269" w:type="pct"/>
                  <w:shd w:val="clear" w:color="auto" w:fill="auto"/>
                  <w:vAlign w:val="center"/>
                </w:tcPr>
                <w:p>
                  <w:pPr>
                    <w:jc w:val="center"/>
                    <w:rPr>
                      <w:color w:val="auto"/>
                      <w:spacing w:val="0"/>
                      <w:sz w:val="18"/>
                      <w:szCs w:val="18"/>
                      <w:u w:val="none"/>
                    </w:rPr>
                  </w:pPr>
                  <w:r>
                    <w:rPr>
                      <w:color w:val="auto"/>
                      <w:spacing w:val="0"/>
                      <w:sz w:val="18"/>
                      <w:szCs w:val="18"/>
                      <w:u w:val="none"/>
                    </w:rPr>
                    <w:t>《工业企业厂界环境噪声排放标准》（GB12348-2008）中2类标准</w:t>
                  </w:r>
                </w:p>
              </w:tc>
            </w:tr>
          </w:tbl>
          <w:p>
            <w:pPr>
              <w:adjustRightInd w:val="0"/>
              <w:snapToGrid w:val="0"/>
              <w:rPr>
                <w:bCs/>
                <w:color w:val="auto"/>
                <w:spacing w:val="-10"/>
                <w:szCs w:val="21"/>
              </w:rPr>
            </w:pPr>
          </w:p>
          <w:p>
            <w:pPr>
              <w:adjustRightInd w:val="0"/>
              <w:snapToGrid w:val="0"/>
              <w:spacing w:line="360" w:lineRule="auto"/>
              <w:rPr>
                <w:b/>
                <w:bCs/>
                <w:color w:val="auto"/>
                <w:spacing w:val="0"/>
                <w:sz w:val="21"/>
                <w:szCs w:val="21"/>
              </w:rPr>
            </w:pPr>
            <w:r>
              <w:rPr>
                <w:b/>
                <w:bCs/>
                <w:color w:val="auto"/>
                <w:spacing w:val="0"/>
                <w:sz w:val="21"/>
                <w:szCs w:val="21"/>
              </w:rPr>
              <w:t>4、固体废物</w:t>
            </w:r>
          </w:p>
          <w:p>
            <w:pPr>
              <w:pStyle w:val="5"/>
              <w:ind w:firstLine="480"/>
              <w:rPr>
                <w:color w:val="auto"/>
              </w:rPr>
            </w:pPr>
            <w:r>
              <w:rPr>
                <w:color w:val="auto"/>
              </w:rPr>
              <w:t>本项目固体废物主要为职工生活垃圾、沉淀污泥及生产车间散落粉尘。</w:t>
            </w:r>
          </w:p>
          <w:p>
            <w:pPr>
              <w:adjustRightInd w:val="0"/>
              <w:snapToGrid w:val="0"/>
              <w:spacing w:line="360" w:lineRule="auto"/>
              <w:ind w:firstLine="380" w:firstLineChars="200"/>
              <w:rPr>
                <w:bCs/>
                <w:color w:val="auto"/>
                <w:spacing w:val="-10"/>
                <w:szCs w:val="21"/>
              </w:rPr>
            </w:pPr>
            <w:r>
              <w:rPr>
                <w:bCs/>
                <w:color w:val="auto"/>
                <w:spacing w:val="-10"/>
                <w:szCs w:val="21"/>
              </w:rPr>
              <w:t>（1）生活垃圾</w:t>
            </w:r>
          </w:p>
          <w:p>
            <w:pPr>
              <w:adjustRightInd w:val="0"/>
              <w:snapToGrid w:val="0"/>
              <w:spacing w:line="360" w:lineRule="auto"/>
              <w:ind w:firstLine="420" w:firstLineChars="200"/>
              <w:rPr>
                <w:bCs/>
                <w:color w:val="auto"/>
                <w:spacing w:val="0"/>
                <w:sz w:val="21"/>
                <w:szCs w:val="21"/>
              </w:rPr>
            </w:pPr>
            <w:r>
              <w:rPr>
                <w:bCs/>
                <w:color w:val="auto"/>
                <w:spacing w:val="0"/>
                <w:sz w:val="21"/>
                <w:szCs w:val="21"/>
              </w:rPr>
              <w:t>本项目员工20人，人均生活垃圾按</w:t>
            </w:r>
            <w:r>
              <w:rPr>
                <w:rFonts w:hint="eastAsia"/>
                <w:bCs/>
                <w:color w:val="auto"/>
                <w:spacing w:val="0"/>
                <w:sz w:val="21"/>
                <w:szCs w:val="21"/>
                <w:lang w:val="en-US" w:eastAsia="zh-CN"/>
              </w:rPr>
              <w:t>0.5</w:t>
            </w:r>
            <w:r>
              <w:rPr>
                <w:bCs/>
                <w:color w:val="auto"/>
                <w:spacing w:val="0"/>
                <w:sz w:val="21"/>
                <w:szCs w:val="21"/>
              </w:rPr>
              <w:t>kg/人·d计，则人员生活垃圾产生量约为</w:t>
            </w:r>
            <w:r>
              <w:rPr>
                <w:rFonts w:hint="eastAsia"/>
                <w:bCs/>
                <w:color w:val="auto"/>
                <w:spacing w:val="0"/>
                <w:sz w:val="21"/>
                <w:szCs w:val="21"/>
                <w:lang w:val="en-US" w:eastAsia="zh-CN"/>
              </w:rPr>
              <w:t>3</w:t>
            </w:r>
            <w:r>
              <w:rPr>
                <w:bCs/>
                <w:color w:val="auto"/>
                <w:spacing w:val="0"/>
                <w:sz w:val="21"/>
                <w:szCs w:val="21"/>
              </w:rPr>
              <w:t>t/a。生活垃圾集中收集后交由环卫部门统一收集集中处理。</w:t>
            </w:r>
          </w:p>
          <w:p>
            <w:pPr>
              <w:adjustRightInd w:val="0"/>
              <w:snapToGrid w:val="0"/>
              <w:spacing w:line="360" w:lineRule="auto"/>
              <w:ind w:firstLine="380" w:firstLineChars="200"/>
              <w:rPr>
                <w:rFonts w:hint="eastAsia"/>
                <w:bCs/>
                <w:color w:val="auto"/>
                <w:spacing w:val="-10"/>
                <w:szCs w:val="21"/>
              </w:rPr>
            </w:pPr>
            <w:r>
              <w:rPr>
                <w:rFonts w:hint="eastAsia"/>
                <w:bCs/>
                <w:color w:val="auto"/>
                <w:spacing w:val="-10"/>
                <w:szCs w:val="21"/>
              </w:rPr>
              <w:t>（2）沉淀污泥</w:t>
            </w:r>
          </w:p>
          <w:p>
            <w:pPr>
              <w:adjustRightInd w:val="0"/>
              <w:snapToGrid w:val="0"/>
              <w:spacing w:line="360" w:lineRule="auto"/>
              <w:ind w:firstLine="420" w:firstLineChars="200"/>
              <w:rPr>
                <w:rFonts w:hint="eastAsia"/>
                <w:bCs/>
                <w:color w:val="auto"/>
                <w:spacing w:val="0"/>
                <w:sz w:val="21"/>
                <w:szCs w:val="21"/>
              </w:rPr>
            </w:pPr>
            <w:r>
              <w:rPr>
                <w:bCs/>
                <w:color w:val="auto"/>
                <w:spacing w:val="0"/>
                <w:sz w:val="21"/>
                <w:szCs w:val="21"/>
              </w:rPr>
              <w:t>本项目原料中</w:t>
            </w:r>
            <w:r>
              <w:rPr>
                <w:rFonts w:hint="eastAsia"/>
                <w:bCs/>
                <w:color w:val="auto"/>
                <w:spacing w:val="0"/>
                <w:sz w:val="21"/>
                <w:szCs w:val="21"/>
                <w:lang w:eastAsia="zh-CN"/>
              </w:rPr>
              <w:t>采用洗砂工艺的原料</w:t>
            </w:r>
            <w:r>
              <w:rPr>
                <w:bCs/>
                <w:color w:val="auto"/>
                <w:spacing w:val="0"/>
                <w:sz w:val="21"/>
                <w:szCs w:val="21"/>
              </w:rPr>
              <w:t>用量为10</w:t>
            </w:r>
            <w:r>
              <w:rPr>
                <w:rFonts w:hint="eastAsia"/>
                <w:bCs/>
                <w:color w:val="auto"/>
                <w:spacing w:val="0"/>
                <w:sz w:val="21"/>
                <w:szCs w:val="21"/>
                <w:lang w:val="en-US" w:eastAsia="zh-CN"/>
              </w:rPr>
              <w:t>005</w:t>
            </w:r>
            <w:r>
              <w:rPr>
                <w:bCs/>
                <w:color w:val="auto"/>
                <w:spacing w:val="0"/>
                <w:sz w:val="21"/>
                <w:szCs w:val="21"/>
              </w:rPr>
              <w:t>t/a，</w:t>
            </w:r>
            <w:r>
              <w:rPr>
                <w:rFonts w:hint="eastAsia"/>
                <w:bCs/>
                <w:color w:val="auto"/>
                <w:spacing w:val="0"/>
                <w:sz w:val="21"/>
                <w:szCs w:val="21"/>
                <w:lang w:eastAsia="zh-CN"/>
              </w:rPr>
              <w:t>根据业主提供资料，产生的污泥量约为废石用量的</w:t>
            </w:r>
            <w:r>
              <w:rPr>
                <w:rFonts w:hint="eastAsia"/>
                <w:bCs/>
                <w:color w:val="auto"/>
                <w:spacing w:val="0"/>
                <w:sz w:val="21"/>
                <w:szCs w:val="21"/>
                <w:lang w:val="en-US" w:eastAsia="zh-CN"/>
              </w:rPr>
              <w:t>10%，</w:t>
            </w:r>
            <w:r>
              <w:rPr>
                <w:bCs/>
                <w:color w:val="auto"/>
                <w:spacing w:val="0"/>
                <w:sz w:val="21"/>
                <w:szCs w:val="21"/>
              </w:rPr>
              <w:t>即污泥量约为</w:t>
            </w:r>
            <w:r>
              <w:rPr>
                <w:rFonts w:hint="eastAsia"/>
                <w:bCs/>
                <w:color w:val="auto"/>
                <w:spacing w:val="0"/>
                <w:sz w:val="21"/>
                <w:szCs w:val="21"/>
                <w:lang w:val="en-US" w:eastAsia="zh-CN"/>
              </w:rPr>
              <w:t>1万</w:t>
            </w:r>
            <w:r>
              <w:rPr>
                <w:bCs/>
                <w:color w:val="auto"/>
                <w:spacing w:val="0"/>
                <w:sz w:val="21"/>
                <w:szCs w:val="21"/>
              </w:rPr>
              <w:t>t/a。本项目设置污泥暂存堆场及</w:t>
            </w:r>
            <w:r>
              <w:rPr>
                <w:rFonts w:hint="eastAsia"/>
                <w:bCs/>
                <w:color w:val="auto"/>
                <w:spacing w:val="0"/>
                <w:sz w:val="21"/>
                <w:szCs w:val="21"/>
              </w:rPr>
              <w:t>板</w:t>
            </w:r>
            <w:r>
              <w:rPr>
                <w:bCs/>
                <w:color w:val="auto"/>
                <w:spacing w:val="0"/>
                <w:sz w:val="21"/>
                <w:szCs w:val="21"/>
              </w:rPr>
              <w:t>式污泥压滤机，</w:t>
            </w:r>
            <w:r>
              <w:rPr>
                <w:rFonts w:hint="eastAsia"/>
                <w:bCs/>
                <w:color w:val="auto"/>
                <w:spacing w:val="0"/>
                <w:sz w:val="21"/>
                <w:szCs w:val="21"/>
                <w:lang w:eastAsia="zh-CN"/>
              </w:rPr>
              <w:t>污泥</w:t>
            </w:r>
            <w:r>
              <w:rPr>
                <w:rFonts w:hint="eastAsia"/>
                <w:bCs/>
                <w:color w:val="auto"/>
                <w:spacing w:val="0"/>
                <w:sz w:val="21"/>
                <w:szCs w:val="21"/>
              </w:rPr>
              <w:t>压滤后的污泥含水率为</w:t>
            </w:r>
            <w:r>
              <w:rPr>
                <w:rFonts w:hint="eastAsia"/>
                <w:bCs/>
                <w:color w:val="auto"/>
                <w:spacing w:val="0"/>
                <w:sz w:val="21"/>
                <w:szCs w:val="21"/>
                <w:lang w:val="en-US" w:eastAsia="zh-CN"/>
              </w:rPr>
              <w:t>3</w:t>
            </w:r>
            <w:r>
              <w:rPr>
                <w:rFonts w:hint="eastAsia"/>
                <w:bCs/>
                <w:color w:val="auto"/>
                <w:spacing w:val="0"/>
                <w:sz w:val="21"/>
                <w:szCs w:val="21"/>
              </w:rPr>
              <w:t>0%，</w:t>
            </w:r>
            <w:r>
              <w:rPr>
                <w:rFonts w:hint="eastAsia"/>
                <w:bCs/>
                <w:color w:val="auto"/>
                <w:spacing w:val="0"/>
                <w:sz w:val="21"/>
                <w:szCs w:val="21"/>
                <w:lang w:eastAsia="zh-CN"/>
              </w:rPr>
              <w:t>压滤后的泥饼放置压滤机下的堆场，堆场设置为</w:t>
            </w:r>
            <w:r>
              <w:rPr>
                <w:rFonts w:hint="eastAsia"/>
                <w:bCs/>
                <w:color w:val="auto"/>
                <w:spacing w:val="0"/>
                <w:sz w:val="21"/>
                <w:szCs w:val="21"/>
                <w:lang w:val="en-US" w:eastAsia="zh-CN"/>
              </w:rPr>
              <w:t>10*5*4（长*宽*高）三个间隔，达到一定量后</w:t>
            </w:r>
            <w:r>
              <w:rPr>
                <w:bCs/>
                <w:color w:val="auto"/>
                <w:spacing w:val="0"/>
                <w:sz w:val="21"/>
                <w:szCs w:val="21"/>
              </w:rPr>
              <w:t>出售至砖厂用作生产原料，资源化利用。</w:t>
            </w:r>
          </w:p>
          <w:p>
            <w:pPr>
              <w:adjustRightInd w:val="0"/>
              <w:snapToGrid w:val="0"/>
              <w:spacing w:line="360" w:lineRule="auto"/>
              <w:ind w:firstLine="420" w:firstLineChars="200"/>
              <w:rPr>
                <w:bCs/>
                <w:color w:val="auto"/>
                <w:spacing w:val="0"/>
                <w:sz w:val="21"/>
                <w:szCs w:val="21"/>
              </w:rPr>
            </w:pPr>
            <w:r>
              <w:rPr>
                <w:bCs/>
                <w:color w:val="auto"/>
                <w:spacing w:val="0"/>
                <w:sz w:val="21"/>
                <w:szCs w:val="21"/>
              </w:rPr>
              <w:t>（3）生产车间散落粉尘</w:t>
            </w:r>
          </w:p>
          <w:p>
            <w:pPr>
              <w:pStyle w:val="5"/>
              <w:keepNext w:val="0"/>
              <w:keepLines w:val="0"/>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Times New Roman" w:hAnsi="Times New Roman" w:eastAsia="宋体" w:cs="Times New Roman"/>
                <w:bCs/>
                <w:color w:val="auto"/>
                <w:spacing w:val="0"/>
                <w:kern w:val="2"/>
                <w:sz w:val="21"/>
                <w:szCs w:val="21"/>
                <w:lang w:val="en-US" w:eastAsia="zh-CN" w:bidi="ar-SA"/>
              </w:rPr>
            </w:pPr>
            <w:r>
              <w:rPr>
                <w:rFonts w:hint="eastAsia" w:ascii="Times New Roman" w:hAnsi="Times New Roman" w:eastAsia="宋体" w:cs="Times New Roman"/>
                <w:bCs/>
                <w:color w:val="auto"/>
                <w:spacing w:val="0"/>
                <w:kern w:val="2"/>
                <w:sz w:val="21"/>
                <w:szCs w:val="21"/>
                <w:lang w:val="en-US" w:eastAsia="zh-CN" w:bidi="ar-SA"/>
              </w:rPr>
              <w:t>本项目在厂区内自然沉降收集的粉尘约产生粉尘量的80%。本项目破碎过程产生的粉尘约1</w:t>
            </w:r>
            <w:r>
              <w:rPr>
                <w:rFonts w:hint="eastAsia" w:cs="Times New Roman"/>
                <w:bCs/>
                <w:color w:val="auto"/>
                <w:spacing w:val="0"/>
                <w:kern w:val="2"/>
                <w:sz w:val="21"/>
                <w:szCs w:val="21"/>
                <w:lang w:val="en-US" w:eastAsia="zh-CN" w:bidi="ar-SA"/>
              </w:rPr>
              <w:t>0</w:t>
            </w:r>
            <w:r>
              <w:rPr>
                <w:rFonts w:hint="eastAsia" w:ascii="Times New Roman" w:hAnsi="Times New Roman" w:eastAsia="宋体" w:cs="Times New Roman"/>
                <w:bCs/>
                <w:color w:val="auto"/>
                <w:spacing w:val="0"/>
                <w:kern w:val="2"/>
                <w:sz w:val="21"/>
                <w:szCs w:val="21"/>
                <w:lang w:val="en-US" w:eastAsia="zh-CN" w:bidi="ar-SA"/>
              </w:rPr>
              <w:t>t/a，则厂区内沉降的粉尘约</w:t>
            </w:r>
            <w:r>
              <w:rPr>
                <w:rFonts w:hint="eastAsia" w:cs="Times New Roman"/>
                <w:bCs/>
                <w:color w:val="auto"/>
                <w:spacing w:val="0"/>
                <w:kern w:val="2"/>
                <w:sz w:val="21"/>
                <w:szCs w:val="21"/>
                <w:lang w:val="en-US" w:eastAsia="zh-CN" w:bidi="ar-SA"/>
              </w:rPr>
              <w:t>8</w:t>
            </w:r>
            <w:r>
              <w:rPr>
                <w:rFonts w:hint="eastAsia" w:ascii="Times New Roman" w:hAnsi="Times New Roman" w:eastAsia="宋体" w:cs="Times New Roman"/>
                <w:bCs/>
                <w:color w:val="auto"/>
                <w:spacing w:val="0"/>
                <w:kern w:val="2"/>
                <w:sz w:val="21"/>
                <w:szCs w:val="21"/>
                <w:lang w:val="en-US" w:eastAsia="zh-CN" w:bidi="ar-SA"/>
              </w:rPr>
              <w:t>t/a，集中收集后作为产品外售给陶瓷厂作为生产原料。</w:t>
            </w:r>
          </w:p>
          <w:p>
            <w:pPr>
              <w:adjustRightInd w:val="0"/>
              <w:snapToGrid w:val="0"/>
              <w:spacing w:line="360" w:lineRule="auto"/>
              <w:ind w:firstLine="420" w:firstLineChars="200"/>
              <w:rPr>
                <w:rFonts w:hint="eastAsia"/>
                <w:bCs/>
                <w:color w:val="auto"/>
                <w:spacing w:val="0"/>
                <w:sz w:val="21"/>
                <w:szCs w:val="21"/>
                <w:lang w:val="en-US" w:eastAsia="zh-CN"/>
              </w:rPr>
            </w:pPr>
            <w:r>
              <w:rPr>
                <w:rFonts w:hint="eastAsia"/>
                <w:bCs/>
                <w:color w:val="auto"/>
                <w:spacing w:val="0"/>
                <w:sz w:val="21"/>
                <w:szCs w:val="21"/>
                <w:lang w:val="en-US" w:eastAsia="zh-CN"/>
              </w:rPr>
              <w:t>（4）危险废物</w:t>
            </w:r>
          </w:p>
          <w:p>
            <w:pPr>
              <w:pStyle w:val="5"/>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Times New Roman" w:hAnsi="Times New Roman" w:eastAsia="宋体" w:cs="Times New Roman"/>
                <w:bCs/>
                <w:color w:val="auto"/>
                <w:spacing w:val="0"/>
                <w:kern w:val="2"/>
                <w:sz w:val="21"/>
                <w:szCs w:val="21"/>
                <w:lang w:val="en-US" w:eastAsia="zh-CN" w:bidi="ar-SA"/>
              </w:rPr>
            </w:pPr>
            <w:r>
              <w:rPr>
                <w:rFonts w:hint="eastAsia" w:ascii="Times New Roman" w:hAnsi="Times New Roman" w:eastAsia="宋体" w:cs="Times New Roman"/>
                <w:bCs/>
                <w:color w:val="auto"/>
                <w:spacing w:val="0"/>
                <w:kern w:val="2"/>
                <w:sz w:val="21"/>
                <w:szCs w:val="21"/>
                <w:lang w:val="en-US" w:eastAsia="zh-CN" w:bidi="ar-SA"/>
              </w:rPr>
              <w:t>项目运营期危险废物主要为</w:t>
            </w:r>
            <w:r>
              <w:rPr>
                <w:rFonts w:hint="eastAsia" w:cs="Times New Roman"/>
                <w:bCs/>
                <w:color w:val="auto"/>
                <w:spacing w:val="0"/>
                <w:kern w:val="2"/>
                <w:sz w:val="21"/>
                <w:szCs w:val="21"/>
                <w:lang w:val="en-US" w:eastAsia="zh-CN" w:bidi="ar-SA"/>
              </w:rPr>
              <w:t>设备维护检修后产生的</w:t>
            </w:r>
            <w:r>
              <w:rPr>
                <w:rFonts w:hint="eastAsia" w:ascii="Times New Roman" w:hAnsi="Times New Roman" w:eastAsia="宋体" w:cs="Times New Roman"/>
                <w:bCs/>
                <w:color w:val="auto"/>
                <w:spacing w:val="0"/>
                <w:kern w:val="2"/>
                <w:sz w:val="21"/>
                <w:szCs w:val="21"/>
                <w:lang w:val="en-US" w:eastAsia="zh-CN" w:bidi="ar-SA"/>
              </w:rPr>
              <w:t>废润滑油、废润滑油桶等。厂内产生的危险废物约0.02t/a，</w:t>
            </w:r>
            <w:r>
              <w:rPr>
                <w:rFonts w:hint="eastAsia" w:cs="Times New Roman"/>
                <w:bCs/>
                <w:color w:val="auto"/>
                <w:spacing w:val="0"/>
                <w:kern w:val="2"/>
                <w:sz w:val="21"/>
                <w:szCs w:val="21"/>
                <w:lang w:val="en-US" w:eastAsia="zh-CN" w:bidi="ar-SA"/>
              </w:rPr>
              <w:t>检修完成后由检修公司一并带走，检修公司交由</w:t>
            </w:r>
            <w:r>
              <w:rPr>
                <w:rFonts w:hint="eastAsia" w:ascii="Times New Roman" w:hAnsi="Times New Roman" w:eastAsia="宋体" w:cs="Times New Roman"/>
                <w:bCs/>
                <w:color w:val="auto"/>
                <w:spacing w:val="0"/>
                <w:kern w:val="2"/>
                <w:sz w:val="21"/>
                <w:szCs w:val="21"/>
                <w:lang w:val="en-US" w:eastAsia="zh-CN" w:bidi="ar-SA"/>
              </w:rPr>
              <w:t>有资质单位处置。</w:t>
            </w:r>
          </w:p>
          <w:p>
            <w:pPr>
              <w:adjustRightInd w:val="0"/>
              <w:snapToGrid w:val="0"/>
              <w:spacing w:line="360" w:lineRule="auto"/>
              <w:ind w:firstLine="420" w:firstLineChars="200"/>
              <w:rPr>
                <w:bCs/>
                <w:color w:val="auto"/>
                <w:spacing w:val="0"/>
                <w:sz w:val="21"/>
                <w:szCs w:val="21"/>
              </w:rPr>
            </w:pPr>
            <w:r>
              <w:rPr>
                <w:bCs/>
                <w:color w:val="auto"/>
                <w:spacing w:val="0"/>
                <w:sz w:val="21"/>
                <w:szCs w:val="21"/>
              </w:rPr>
              <w:t>具体产排污情况、储存场所管理要求详见下表。</w:t>
            </w:r>
          </w:p>
          <w:p>
            <w:pPr>
              <w:pStyle w:val="8"/>
              <w:jc w:val="center"/>
              <w:rPr>
                <w:bCs/>
                <w:color w:val="auto"/>
                <w:spacing w:val="-10"/>
                <w:szCs w:val="21"/>
                <w:lang w:val="en-US" w:eastAsia="zh-CN"/>
              </w:rPr>
            </w:pPr>
            <w:r>
              <w:rPr>
                <w:color w:val="auto"/>
                <w:sz w:val="21"/>
              </w:rPr>
              <w:t>表4-</w:t>
            </w:r>
            <w:r>
              <w:rPr>
                <w:color w:val="auto"/>
                <w:sz w:val="21"/>
                <w:lang w:eastAsia="zh-CN"/>
              </w:rPr>
              <w:t>13</w:t>
            </w:r>
            <w:r>
              <w:rPr>
                <w:color w:val="auto"/>
                <w:sz w:val="21"/>
              </w:rPr>
              <w:t xml:space="preserve">  本项目固体废物产排污情况汇总表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3"/>
              <w:gridCol w:w="678"/>
              <w:gridCol w:w="981"/>
              <w:gridCol w:w="969"/>
              <w:gridCol w:w="641"/>
              <w:gridCol w:w="641"/>
              <w:gridCol w:w="668"/>
              <w:gridCol w:w="682"/>
              <w:gridCol w:w="1268"/>
              <w:gridCol w:w="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3" w:type="dxa"/>
                  <w:shd w:val="clear" w:color="auto" w:fill="auto"/>
                  <w:vAlign w:val="center"/>
                </w:tcPr>
                <w:p>
                  <w:pPr>
                    <w:adjustRightInd w:val="0"/>
                    <w:snapToGrid w:val="0"/>
                    <w:jc w:val="center"/>
                    <w:rPr>
                      <w:b/>
                      <w:bCs w:val="0"/>
                      <w:color w:val="auto"/>
                      <w:spacing w:val="0"/>
                      <w:sz w:val="18"/>
                      <w:szCs w:val="18"/>
                      <w:u w:val="none"/>
                    </w:rPr>
                  </w:pPr>
                  <w:r>
                    <w:rPr>
                      <w:b/>
                      <w:bCs w:val="0"/>
                      <w:color w:val="auto"/>
                      <w:spacing w:val="0"/>
                      <w:sz w:val="18"/>
                      <w:szCs w:val="18"/>
                      <w:u w:val="none"/>
                    </w:rPr>
                    <w:t>产生环节</w:t>
                  </w:r>
                </w:p>
              </w:tc>
              <w:tc>
                <w:tcPr>
                  <w:tcW w:w="678" w:type="dxa"/>
                  <w:shd w:val="clear" w:color="auto" w:fill="auto"/>
                  <w:vAlign w:val="center"/>
                </w:tcPr>
                <w:p>
                  <w:pPr>
                    <w:adjustRightInd w:val="0"/>
                    <w:snapToGrid w:val="0"/>
                    <w:jc w:val="center"/>
                    <w:rPr>
                      <w:b/>
                      <w:bCs w:val="0"/>
                      <w:color w:val="auto"/>
                      <w:spacing w:val="0"/>
                      <w:sz w:val="18"/>
                      <w:szCs w:val="18"/>
                      <w:u w:val="none"/>
                    </w:rPr>
                  </w:pPr>
                  <w:r>
                    <w:rPr>
                      <w:b/>
                      <w:bCs w:val="0"/>
                      <w:color w:val="auto"/>
                      <w:spacing w:val="0"/>
                      <w:sz w:val="18"/>
                      <w:szCs w:val="18"/>
                      <w:u w:val="none"/>
                    </w:rPr>
                    <w:t>名称</w:t>
                  </w:r>
                </w:p>
              </w:tc>
              <w:tc>
                <w:tcPr>
                  <w:tcW w:w="981" w:type="dxa"/>
                  <w:shd w:val="clear" w:color="auto" w:fill="auto"/>
                  <w:vAlign w:val="center"/>
                </w:tcPr>
                <w:p>
                  <w:pPr>
                    <w:adjustRightInd w:val="0"/>
                    <w:snapToGrid w:val="0"/>
                    <w:jc w:val="center"/>
                    <w:rPr>
                      <w:b/>
                      <w:bCs w:val="0"/>
                      <w:color w:val="auto"/>
                      <w:spacing w:val="0"/>
                      <w:sz w:val="18"/>
                      <w:szCs w:val="18"/>
                      <w:u w:val="none"/>
                    </w:rPr>
                  </w:pPr>
                  <w:r>
                    <w:rPr>
                      <w:b/>
                      <w:bCs w:val="0"/>
                      <w:color w:val="auto"/>
                      <w:spacing w:val="0"/>
                      <w:sz w:val="18"/>
                      <w:szCs w:val="18"/>
                      <w:u w:val="none"/>
                    </w:rPr>
                    <w:t>属性</w:t>
                  </w:r>
                </w:p>
              </w:tc>
              <w:tc>
                <w:tcPr>
                  <w:tcW w:w="969" w:type="dxa"/>
                  <w:shd w:val="clear" w:color="auto" w:fill="auto"/>
                  <w:vAlign w:val="center"/>
                </w:tcPr>
                <w:p>
                  <w:pPr>
                    <w:adjustRightInd w:val="0"/>
                    <w:snapToGrid w:val="0"/>
                    <w:jc w:val="center"/>
                    <w:rPr>
                      <w:b/>
                      <w:bCs w:val="0"/>
                      <w:color w:val="auto"/>
                      <w:spacing w:val="0"/>
                      <w:sz w:val="18"/>
                      <w:szCs w:val="18"/>
                      <w:u w:val="none"/>
                    </w:rPr>
                  </w:pPr>
                  <w:r>
                    <w:rPr>
                      <w:b/>
                      <w:bCs w:val="0"/>
                      <w:color w:val="auto"/>
                      <w:spacing w:val="0"/>
                      <w:sz w:val="18"/>
                      <w:szCs w:val="18"/>
                      <w:u w:val="none"/>
                    </w:rPr>
                    <w:t>主要有毒有害物质名称</w:t>
                  </w:r>
                </w:p>
              </w:tc>
              <w:tc>
                <w:tcPr>
                  <w:tcW w:w="641" w:type="dxa"/>
                  <w:shd w:val="clear" w:color="auto" w:fill="auto"/>
                  <w:vAlign w:val="center"/>
                </w:tcPr>
                <w:p>
                  <w:pPr>
                    <w:adjustRightInd w:val="0"/>
                    <w:snapToGrid w:val="0"/>
                    <w:jc w:val="center"/>
                    <w:rPr>
                      <w:b/>
                      <w:bCs w:val="0"/>
                      <w:color w:val="auto"/>
                      <w:spacing w:val="0"/>
                      <w:sz w:val="18"/>
                      <w:szCs w:val="18"/>
                      <w:u w:val="none"/>
                    </w:rPr>
                  </w:pPr>
                  <w:r>
                    <w:rPr>
                      <w:b/>
                      <w:bCs w:val="0"/>
                      <w:color w:val="auto"/>
                      <w:spacing w:val="0"/>
                      <w:sz w:val="18"/>
                      <w:szCs w:val="18"/>
                      <w:u w:val="none"/>
                    </w:rPr>
                    <w:t>物理性状</w:t>
                  </w:r>
                </w:p>
              </w:tc>
              <w:tc>
                <w:tcPr>
                  <w:tcW w:w="641" w:type="dxa"/>
                  <w:shd w:val="clear" w:color="auto" w:fill="auto"/>
                  <w:vAlign w:val="center"/>
                </w:tcPr>
                <w:p>
                  <w:pPr>
                    <w:adjustRightInd w:val="0"/>
                    <w:snapToGrid w:val="0"/>
                    <w:jc w:val="center"/>
                    <w:rPr>
                      <w:b/>
                      <w:bCs w:val="0"/>
                      <w:color w:val="auto"/>
                      <w:spacing w:val="0"/>
                      <w:sz w:val="18"/>
                      <w:szCs w:val="18"/>
                      <w:u w:val="none"/>
                    </w:rPr>
                  </w:pPr>
                  <w:r>
                    <w:rPr>
                      <w:b/>
                      <w:bCs w:val="0"/>
                      <w:color w:val="auto"/>
                      <w:spacing w:val="0"/>
                      <w:sz w:val="18"/>
                      <w:szCs w:val="18"/>
                      <w:u w:val="none"/>
                    </w:rPr>
                    <w:t>环境危险特性</w:t>
                  </w:r>
                </w:p>
              </w:tc>
              <w:tc>
                <w:tcPr>
                  <w:tcW w:w="668" w:type="dxa"/>
                  <w:shd w:val="clear" w:color="auto" w:fill="auto"/>
                  <w:vAlign w:val="center"/>
                </w:tcPr>
                <w:p>
                  <w:pPr>
                    <w:adjustRightInd w:val="0"/>
                    <w:snapToGrid w:val="0"/>
                    <w:jc w:val="center"/>
                    <w:rPr>
                      <w:b/>
                      <w:bCs w:val="0"/>
                      <w:color w:val="auto"/>
                      <w:spacing w:val="0"/>
                      <w:sz w:val="18"/>
                      <w:szCs w:val="18"/>
                      <w:u w:val="none"/>
                    </w:rPr>
                  </w:pPr>
                  <w:r>
                    <w:rPr>
                      <w:b/>
                      <w:bCs w:val="0"/>
                      <w:color w:val="auto"/>
                      <w:spacing w:val="0"/>
                      <w:sz w:val="18"/>
                      <w:szCs w:val="18"/>
                      <w:u w:val="none"/>
                    </w:rPr>
                    <w:t>年度产生量t/a</w:t>
                  </w:r>
                </w:p>
              </w:tc>
              <w:tc>
                <w:tcPr>
                  <w:tcW w:w="682" w:type="dxa"/>
                  <w:shd w:val="clear" w:color="auto" w:fill="auto"/>
                  <w:vAlign w:val="center"/>
                </w:tcPr>
                <w:p>
                  <w:pPr>
                    <w:adjustRightInd w:val="0"/>
                    <w:snapToGrid w:val="0"/>
                    <w:jc w:val="center"/>
                    <w:rPr>
                      <w:b/>
                      <w:bCs w:val="0"/>
                      <w:color w:val="auto"/>
                      <w:spacing w:val="0"/>
                      <w:sz w:val="18"/>
                      <w:szCs w:val="18"/>
                      <w:u w:val="none"/>
                    </w:rPr>
                  </w:pPr>
                  <w:r>
                    <w:rPr>
                      <w:b/>
                      <w:bCs w:val="0"/>
                      <w:color w:val="auto"/>
                      <w:spacing w:val="0"/>
                      <w:sz w:val="18"/>
                      <w:szCs w:val="18"/>
                      <w:u w:val="none"/>
                    </w:rPr>
                    <w:t>贮存方式</w:t>
                  </w:r>
                </w:p>
              </w:tc>
              <w:tc>
                <w:tcPr>
                  <w:tcW w:w="1268" w:type="dxa"/>
                  <w:shd w:val="clear" w:color="auto" w:fill="auto"/>
                  <w:vAlign w:val="center"/>
                </w:tcPr>
                <w:p>
                  <w:pPr>
                    <w:adjustRightInd w:val="0"/>
                    <w:snapToGrid w:val="0"/>
                    <w:jc w:val="center"/>
                    <w:rPr>
                      <w:b/>
                      <w:bCs w:val="0"/>
                      <w:color w:val="auto"/>
                      <w:spacing w:val="0"/>
                      <w:sz w:val="18"/>
                      <w:szCs w:val="18"/>
                      <w:u w:val="none"/>
                    </w:rPr>
                  </w:pPr>
                  <w:r>
                    <w:rPr>
                      <w:b/>
                      <w:bCs w:val="0"/>
                      <w:color w:val="auto"/>
                      <w:spacing w:val="0"/>
                      <w:sz w:val="18"/>
                      <w:szCs w:val="18"/>
                      <w:u w:val="none"/>
                    </w:rPr>
                    <w:t>利用处置方式和去向</w:t>
                  </w:r>
                </w:p>
              </w:tc>
              <w:tc>
                <w:tcPr>
                  <w:tcW w:w="639" w:type="dxa"/>
                  <w:shd w:val="clear" w:color="auto" w:fill="auto"/>
                  <w:vAlign w:val="center"/>
                </w:tcPr>
                <w:p>
                  <w:pPr>
                    <w:adjustRightInd w:val="0"/>
                    <w:snapToGrid w:val="0"/>
                    <w:jc w:val="center"/>
                    <w:rPr>
                      <w:b/>
                      <w:bCs w:val="0"/>
                      <w:color w:val="auto"/>
                      <w:spacing w:val="0"/>
                      <w:sz w:val="18"/>
                      <w:szCs w:val="18"/>
                      <w:u w:val="none"/>
                    </w:rPr>
                  </w:pPr>
                  <w:r>
                    <w:rPr>
                      <w:b/>
                      <w:bCs w:val="0"/>
                      <w:color w:val="auto"/>
                      <w:spacing w:val="0"/>
                      <w:sz w:val="18"/>
                      <w:szCs w:val="18"/>
                      <w:u w:val="none"/>
                    </w:rPr>
                    <w:t>利用或处置量t/a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exact"/>
              </w:trPr>
              <w:tc>
                <w:tcPr>
                  <w:tcW w:w="593" w:type="dxa"/>
                  <w:shd w:val="clear" w:color="auto" w:fill="auto"/>
                  <w:vAlign w:val="center"/>
                </w:tcPr>
                <w:p>
                  <w:pPr>
                    <w:adjustRightInd w:val="0"/>
                    <w:snapToGrid w:val="0"/>
                    <w:jc w:val="center"/>
                    <w:rPr>
                      <w:bCs/>
                      <w:color w:val="auto"/>
                      <w:spacing w:val="0"/>
                      <w:sz w:val="18"/>
                      <w:szCs w:val="18"/>
                      <w:u w:val="none"/>
                    </w:rPr>
                  </w:pPr>
                  <w:r>
                    <w:rPr>
                      <w:bCs/>
                      <w:color w:val="auto"/>
                      <w:spacing w:val="0"/>
                      <w:sz w:val="18"/>
                      <w:szCs w:val="18"/>
                      <w:u w:val="none"/>
                    </w:rPr>
                    <w:t>员工生活</w:t>
                  </w:r>
                </w:p>
              </w:tc>
              <w:tc>
                <w:tcPr>
                  <w:tcW w:w="678" w:type="dxa"/>
                  <w:shd w:val="clear" w:color="auto" w:fill="auto"/>
                  <w:vAlign w:val="center"/>
                </w:tcPr>
                <w:p>
                  <w:pPr>
                    <w:adjustRightInd w:val="0"/>
                    <w:snapToGrid w:val="0"/>
                    <w:jc w:val="center"/>
                    <w:rPr>
                      <w:bCs/>
                      <w:color w:val="auto"/>
                      <w:spacing w:val="0"/>
                      <w:sz w:val="18"/>
                      <w:szCs w:val="18"/>
                      <w:u w:val="none"/>
                    </w:rPr>
                  </w:pPr>
                  <w:r>
                    <w:rPr>
                      <w:rFonts w:hint="eastAsia"/>
                      <w:bCs/>
                      <w:color w:val="auto"/>
                      <w:spacing w:val="0"/>
                      <w:sz w:val="18"/>
                      <w:szCs w:val="18"/>
                      <w:u w:val="none"/>
                      <w:lang w:eastAsia="zh-CN"/>
                    </w:rPr>
                    <w:t>员工</w:t>
                  </w:r>
                  <w:r>
                    <w:rPr>
                      <w:bCs/>
                      <w:color w:val="auto"/>
                      <w:spacing w:val="0"/>
                      <w:sz w:val="18"/>
                      <w:szCs w:val="18"/>
                      <w:u w:val="none"/>
                    </w:rPr>
                    <w:t>生活垃圾</w:t>
                  </w:r>
                </w:p>
              </w:tc>
              <w:tc>
                <w:tcPr>
                  <w:tcW w:w="981" w:type="dxa"/>
                  <w:shd w:val="clear" w:color="auto" w:fill="auto"/>
                  <w:vAlign w:val="center"/>
                </w:tcPr>
                <w:p>
                  <w:pPr>
                    <w:adjustRightInd w:val="0"/>
                    <w:snapToGrid w:val="0"/>
                    <w:jc w:val="center"/>
                    <w:rPr>
                      <w:rFonts w:hint="eastAsia" w:eastAsia="宋体"/>
                      <w:bCs/>
                      <w:color w:val="auto"/>
                      <w:spacing w:val="0"/>
                      <w:sz w:val="18"/>
                      <w:szCs w:val="18"/>
                      <w:u w:val="none"/>
                      <w:lang w:eastAsia="zh-CN"/>
                    </w:rPr>
                  </w:pPr>
                  <w:r>
                    <w:rPr>
                      <w:rFonts w:hint="eastAsia"/>
                      <w:bCs/>
                      <w:color w:val="auto"/>
                      <w:spacing w:val="0"/>
                      <w:sz w:val="18"/>
                      <w:szCs w:val="18"/>
                      <w:u w:val="none"/>
                      <w:lang w:eastAsia="zh-CN"/>
                    </w:rPr>
                    <w:t>生活垃圾</w:t>
                  </w:r>
                </w:p>
              </w:tc>
              <w:tc>
                <w:tcPr>
                  <w:tcW w:w="969" w:type="dxa"/>
                  <w:shd w:val="clear" w:color="auto" w:fill="auto"/>
                  <w:vAlign w:val="center"/>
                </w:tcPr>
                <w:p>
                  <w:pPr>
                    <w:adjustRightInd w:val="0"/>
                    <w:snapToGrid w:val="0"/>
                    <w:jc w:val="center"/>
                    <w:rPr>
                      <w:bCs/>
                      <w:color w:val="auto"/>
                      <w:spacing w:val="0"/>
                      <w:sz w:val="18"/>
                      <w:szCs w:val="18"/>
                      <w:u w:val="none"/>
                    </w:rPr>
                  </w:pPr>
                  <w:r>
                    <w:rPr>
                      <w:bCs/>
                      <w:color w:val="auto"/>
                      <w:spacing w:val="0"/>
                      <w:sz w:val="18"/>
                      <w:szCs w:val="18"/>
                      <w:u w:val="none"/>
                    </w:rPr>
                    <w:t>/</w:t>
                  </w:r>
                </w:p>
              </w:tc>
              <w:tc>
                <w:tcPr>
                  <w:tcW w:w="641" w:type="dxa"/>
                  <w:shd w:val="clear" w:color="auto" w:fill="auto"/>
                  <w:vAlign w:val="center"/>
                </w:tcPr>
                <w:p>
                  <w:pPr>
                    <w:adjustRightInd w:val="0"/>
                    <w:snapToGrid w:val="0"/>
                    <w:jc w:val="center"/>
                    <w:rPr>
                      <w:rFonts w:hint="eastAsia" w:eastAsia="宋体"/>
                      <w:bCs/>
                      <w:color w:val="auto"/>
                      <w:spacing w:val="0"/>
                      <w:sz w:val="18"/>
                      <w:szCs w:val="18"/>
                      <w:u w:val="none"/>
                      <w:lang w:eastAsia="zh-CN"/>
                    </w:rPr>
                  </w:pPr>
                  <w:r>
                    <w:rPr>
                      <w:rFonts w:hint="eastAsia"/>
                      <w:bCs/>
                      <w:color w:val="auto"/>
                      <w:spacing w:val="0"/>
                      <w:sz w:val="18"/>
                      <w:szCs w:val="18"/>
                      <w:u w:val="none"/>
                      <w:lang w:eastAsia="zh-CN"/>
                    </w:rPr>
                    <w:t>固体</w:t>
                  </w:r>
                </w:p>
              </w:tc>
              <w:tc>
                <w:tcPr>
                  <w:tcW w:w="641" w:type="dxa"/>
                  <w:shd w:val="clear" w:color="auto" w:fill="auto"/>
                  <w:vAlign w:val="center"/>
                </w:tcPr>
                <w:p>
                  <w:pPr>
                    <w:adjustRightInd w:val="0"/>
                    <w:snapToGrid w:val="0"/>
                    <w:jc w:val="center"/>
                    <w:rPr>
                      <w:bCs/>
                      <w:color w:val="auto"/>
                      <w:spacing w:val="0"/>
                      <w:sz w:val="18"/>
                      <w:szCs w:val="18"/>
                      <w:u w:val="none"/>
                    </w:rPr>
                  </w:pPr>
                  <w:r>
                    <w:rPr>
                      <w:bCs/>
                      <w:color w:val="auto"/>
                      <w:spacing w:val="0"/>
                      <w:sz w:val="18"/>
                      <w:szCs w:val="18"/>
                      <w:u w:val="none"/>
                    </w:rPr>
                    <w:t>/</w:t>
                  </w:r>
                </w:p>
              </w:tc>
              <w:tc>
                <w:tcPr>
                  <w:tcW w:w="668" w:type="dxa"/>
                  <w:shd w:val="clear" w:color="auto" w:fill="auto"/>
                  <w:vAlign w:val="center"/>
                </w:tcPr>
                <w:p>
                  <w:pPr>
                    <w:adjustRightInd w:val="0"/>
                    <w:snapToGrid w:val="0"/>
                    <w:jc w:val="center"/>
                    <w:rPr>
                      <w:rFonts w:hint="eastAsia" w:eastAsia="宋体"/>
                      <w:bCs/>
                      <w:color w:val="auto"/>
                      <w:spacing w:val="0"/>
                      <w:sz w:val="18"/>
                      <w:szCs w:val="18"/>
                      <w:u w:val="none"/>
                      <w:lang w:eastAsia="zh-CN"/>
                    </w:rPr>
                  </w:pPr>
                  <w:r>
                    <w:rPr>
                      <w:rFonts w:hint="eastAsia"/>
                      <w:bCs/>
                      <w:color w:val="auto"/>
                      <w:spacing w:val="0"/>
                      <w:sz w:val="18"/>
                      <w:szCs w:val="18"/>
                      <w:u w:val="none"/>
                      <w:lang w:val="en-US" w:eastAsia="zh-CN"/>
                    </w:rPr>
                    <w:t>3</w:t>
                  </w:r>
                </w:p>
              </w:tc>
              <w:tc>
                <w:tcPr>
                  <w:tcW w:w="682" w:type="dxa"/>
                  <w:shd w:val="clear" w:color="auto" w:fill="auto"/>
                  <w:vAlign w:val="center"/>
                </w:tcPr>
                <w:p>
                  <w:pPr>
                    <w:adjustRightInd w:val="0"/>
                    <w:snapToGrid w:val="0"/>
                    <w:jc w:val="center"/>
                    <w:rPr>
                      <w:bCs/>
                      <w:color w:val="auto"/>
                      <w:spacing w:val="0"/>
                      <w:sz w:val="18"/>
                      <w:szCs w:val="18"/>
                      <w:u w:val="none"/>
                    </w:rPr>
                  </w:pPr>
                  <w:r>
                    <w:rPr>
                      <w:bCs/>
                      <w:color w:val="auto"/>
                      <w:spacing w:val="0"/>
                      <w:sz w:val="18"/>
                      <w:szCs w:val="18"/>
                      <w:u w:val="none"/>
                    </w:rPr>
                    <w:t>垃圾桶</w:t>
                  </w:r>
                </w:p>
              </w:tc>
              <w:tc>
                <w:tcPr>
                  <w:tcW w:w="1268" w:type="dxa"/>
                  <w:shd w:val="clear" w:color="auto" w:fill="auto"/>
                  <w:vAlign w:val="center"/>
                </w:tcPr>
                <w:p>
                  <w:pPr>
                    <w:adjustRightInd w:val="0"/>
                    <w:snapToGrid w:val="0"/>
                    <w:jc w:val="center"/>
                    <w:rPr>
                      <w:bCs/>
                      <w:color w:val="auto"/>
                      <w:spacing w:val="0"/>
                      <w:sz w:val="18"/>
                      <w:szCs w:val="18"/>
                      <w:u w:val="none"/>
                    </w:rPr>
                  </w:pPr>
                  <w:r>
                    <w:rPr>
                      <w:bCs/>
                      <w:color w:val="auto"/>
                      <w:spacing w:val="0"/>
                      <w:sz w:val="18"/>
                      <w:szCs w:val="18"/>
                      <w:u w:val="none"/>
                    </w:rPr>
                    <w:t>环卫部门统一清运至垃圾填埋场</w:t>
                  </w:r>
                </w:p>
              </w:tc>
              <w:tc>
                <w:tcPr>
                  <w:tcW w:w="639" w:type="dxa"/>
                  <w:shd w:val="clear" w:color="auto" w:fill="auto"/>
                  <w:vAlign w:val="center"/>
                </w:tcPr>
                <w:p>
                  <w:pPr>
                    <w:adjustRightInd w:val="0"/>
                    <w:snapToGrid w:val="0"/>
                    <w:jc w:val="center"/>
                    <w:rPr>
                      <w:rFonts w:hint="eastAsia" w:eastAsia="宋体"/>
                      <w:bCs/>
                      <w:color w:val="auto"/>
                      <w:spacing w:val="0"/>
                      <w:sz w:val="18"/>
                      <w:szCs w:val="18"/>
                      <w:u w:val="none"/>
                      <w:lang w:eastAsia="zh-CN"/>
                    </w:rPr>
                  </w:pPr>
                  <w:r>
                    <w:rPr>
                      <w:rFonts w:hint="eastAsia"/>
                      <w:bCs/>
                      <w:color w:val="auto"/>
                      <w:spacing w:val="0"/>
                      <w:sz w:val="18"/>
                      <w:szCs w:val="18"/>
                      <w:u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exact"/>
              </w:trPr>
              <w:tc>
                <w:tcPr>
                  <w:tcW w:w="593" w:type="dxa"/>
                  <w:shd w:val="clear" w:color="auto" w:fill="auto"/>
                  <w:vAlign w:val="center"/>
                </w:tcPr>
                <w:p>
                  <w:pPr>
                    <w:adjustRightInd w:val="0"/>
                    <w:snapToGrid w:val="0"/>
                    <w:jc w:val="center"/>
                    <w:rPr>
                      <w:rFonts w:hint="eastAsia" w:eastAsia="宋体"/>
                      <w:bCs/>
                      <w:color w:val="auto"/>
                      <w:spacing w:val="0"/>
                      <w:sz w:val="18"/>
                      <w:szCs w:val="18"/>
                      <w:u w:val="none"/>
                      <w:lang w:val="en-US" w:eastAsia="zh-CN"/>
                    </w:rPr>
                  </w:pPr>
                  <w:r>
                    <w:rPr>
                      <w:rFonts w:hint="eastAsia"/>
                      <w:bCs/>
                      <w:color w:val="auto"/>
                      <w:spacing w:val="0"/>
                      <w:sz w:val="18"/>
                      <w:szCs w:val="18"/>
                      <w:u w:val="none"/>
                      <w:lang w:val="en-US" w:eastAsia="zh-CN"/>
                    </w:rPr>
                    <w:t>压滤</w:t>
                  </w:r>
                </w:p>
              </w:tc>
              <w:tc>
                <w:tcPr>
                  <w:tcW w:w="678" w:type="dxa"/>
                  <w:shd w:val="clear" w:color="auto" w:fill="auto"/>
                  <w:vAlign w:val="center"/>
                </w:tcPr>
                <w:p>
                  <w:pPr>
                    <w:adjustRightInd w:val="0"/>
                    <w:snapToGrid w:val="0"/>
                    <w:jc w:val="center"/>
                    <w:rPr>
                      <w:bCs/>
                      <w:color w:val="auto"/>
                      <w:spacing w:val="0"/>
                      <w:sz w:val="18"/>
                      <w:szCs w:val="18"/>
                      <w:u w:val="none"/>
                    </w:rPr>
                  </w:pPr>
                  <w:r>
                    <w:rPr>
                      <w:bCs/>
                      <w:color w:val="auto"/>
                      <w:spacing w:val="0"/>
                      <w:sz w:val="18"/>
                      <w:szCs w:val="18"/>
                      <w:u w:val="none"/>
                    </w:rPr>
                    <w:t>沉泥</w:t>
                  </w:r>
                </w:p>
              </w:tc>
              <w:tc>
                <w:tcPr>
                  <w:tcW w:w="981" w:type="dxa"/>
                  <w:shd w:val="clear" w:color="auto" w:fill="auto"/>
                  <w:vAlign w:val="center"/>
                </w:tcPr>
                <w:p>
                  <w:pPr>
                    <w:adjustRightInd w:val="0"/>
                    <w:snapToGrid w:val="0"/>
                    <w:jc w:val="center"/>
                    <w:rPr>
                      <w:bCs/>
                      <w:color w:val="auto"/>
                      <w:spacing w:val="0"/>
                      <w:sz w:val="18"/>
                      <w:szCs w:val="18"/>
                      <w:u w:val="none"/>
                    </w:rPr>
                  </w:pPr>
                  <w:r>
                    <w:rPr>
                      <w:bCs/>
                      <w:color w:val="auto"/>
                      <w:spacing w:val="0"/>
                      <w:sz w:val="18"/>
                      <w:szCs w:val="18"/>
                      <w:u w:val="none"/>
                    </w:rPr>
                    <w:t>一般固废</w:t>
                  </w:r>
                </w:p>
              </w:tc>
              <w:tc>
                <w:tcPr>
                  <w:tcW w:w="969" w:type="dxa"/>
                  <w:shd w:val="clear" w:color="auto" w:fill="auto"/>
                  <w:vAlign w:val="center"/>
                </w:tcPr>
                <w:p>
                  <w:pPr>
                    <w:adjustRightInd w:val="0"/>
                    <w:snapToGrid w:val="0"/>
                    <w:jc w:val="center"/>
                    <w:rPr>
                      <w:bCs/>
                      <w:color w:val="auto"/>
                      <w:spacing w:val="0"/>
                      <w:sz w:val="18"/>
                      <w:szCs w:val="18"/>
                      <w:u w:val="none"/>
                    </w:rPr>
                  </w:pPr>
                  <w:r>
                    <w:rPr>
                      <w:bCs/>
                      <w:color w:val="auto"/>
                      <w:spacing w:val="0"/>
                      <w:sz w:val="18"/>
                      <w:szCs w:val="18"/>
                      <w:u w:val="none"/>
                    </w:rPr>
                    <w:t>/</w:t>
                  </w:r>
                </w:p>
              </w:tc>
              <w:tc>
                <w:tcPr>
                  <w:tcW w:w="641" w:type="dxa"/>
                  <w:shd w:val="clear" w:color="auto" w:fill="auto"/>
                  <w:vAlign w:val="center"/>
                </w:tcPr>
                <w:p>
                  <w:pPr>
                    <w:adjustRightInd w:val="0"/>
                    <w:snapToGrid w:val="0"/>
                    <w:jc w:val="center"/>
                    <w:rPr>
                      <w:rFonts w:hint="eastAsia" w:eastAsia="宋体"/>
                      <w:bCs/>
                      <w:color w:val="auto"/>
                      <w:spacing w:val="0"/>
                      <w:sz w:val="18"/>
                      <w:szCs w:val="18"/>
                      <w:u w:val="none"/>
                      <w:lang w:eastAsia="zh-CN"/>
                    </w:rPr>
                  </w:pPr>
                  <w:r>
                    <w:rPr>
                      <w:rFonts w:hint="eastAsia"/>
                      <w:bCs/>
                      <w:color w:val="auto"/>
                      <w:spacing w:val="0"/>
                      <w:sz w:val="18"/>
                      <w:szCs w:val="18"/>
                      <w:u w:val="none"/>
                      <w:lang w:eastAsia="zh-CN"/>
                    </w:rPr>
                    <w:t>固体</w:t>
                  </w:r>
                </w:p>
              </w:tc>
              <w:tc>
                <w:tcPr>
                  <w:tcW w:w="641" w:type="dxa"/>
                  <w:shd w:val="clear" w:color="auto" w:fill="auto"/>
                  <w:vAlign w:val="center"/>
                </w:tcPr>
                <w:p>
                  <w:pPr>
                    <w:adjustRightInd w:val="0"/>
                    <w:snapToGrid w:val="0"/>
                    <w:jc w:val="center"/>
                    <w:rPr>
                      <w:bCs/>
                      <w:color w:val="auto"/>
                      <w:spacing w:val="0"/>
                      <w:sz w:val="18"/>
                      <w:szCs w:val="18"/>
                      <w:u w:val="none"/>
                    </w:rPr>
                  </w:pPr>
                  <w:r>
                    <w:rPr>
                      <w:bCs/>
                      <w:color w:val="auto"/>
                      <w:spacing w:val="0"/>
                      <w:sz w:val="18"/>
                      <w:szCs w:val="18"/>
                      <w:u w:val="none"/>
                    </w:rPr>
                    <w:t>/</w:t>
                  </w:r>
                </w:p>
              </w:tc>
              <w:tc>
                <w:tcPr>
                  <w:tcW w:w="668" w:type="dxa"/>
                  <w:shd w:val="clear" w:color="auto" w:fill="auto"/>
                  <w:vAlign w:val="center"/>
                </w:tcPr>
                <w:p>
                  <w:pPr>
                    <w:adjustRightInd w:val="0"/>
                    <w:snapToGrid w:val="0"/>
                    <w:jc w:val="center"/>
                    <w:rPr>
                      <w:rFonts w:hint="default"/>
                      <w:bCs/>
                      <w:color w:val="auto"/>
                      <w:spacing w:val="0"/>
                      <w:sz w:val="18"/>
                      <w:szCs w:val="18"/>
                      <w:u w:val="none"/>
                      <w:lang w:val="en-US" w:eastAsia="zh-CN"/>
                    </w:rPr>
                  </w:pPr>
                  <w:r>
                    <w:rPr>
                      <w:rFonts w:hint="eastAsia"/>
                      <w:bCs/>
                      <w:color w:val="auto"/>
                      <w:spacing w:val="0"/>
                      <w:sz w:val="18"/>
                      <w:szCs w:val="18"/>
                      <w:u w:val="none"/>
                      <w:lang w:val="en-US" w:eastAsia="zh-CN"/>
                    </w:rPr>
                    <w:t>20000</w:t>
                  </w:r>
                </w:p>
              </w:tc>
              <w:tc>
                <w:tcPr>
                  <w:tcW w:w="682" w:type="dxa"/>
                  <w:shd w:val="clear" w:color="auto" w:fill="auto"/>
                  <w:vAlign w:val="center"/>
                </w:tcPr>
                <w:p>
                  <w:pPr>
                    <w:adjustRightInd w:val="0"/>
                    <w:snapToGrid w:val="0"/>
                    <w:jc w:val="center"/>
                    <w:rPr>
                      <w:rFonts w:hint="eastAsia" w:eastAsia="宋体"/>
                      <w:bCs/>
                      <w:color w:val="auto"/>
                      <w:spacing w:val="0"/>
                      <w:sz w:val="18"/>
                      <w:szCs w:val="18"/>
                      <w:u w:val="none"/>
                      <w:lang w:eastAsia="zh-CN"/>
                    </w:rPr>
                  </w:pPr>
                  <w:r>
                    <w:rPr>
                      <w:rFonts w:hint="eastAsia"/>
                      <w:bCs/>
                      <w:color w:val="auto"/>
                      <w:spacing w:val="0"/>
                      <w:sz w:val="18"/>
                      <w:szCs w:val="18"/>
                      <w:u w:val="none"/>
                      <w:lang w:eastAsia="zh-CN"/>
                    </w:rPr>
                    <w:t>堆存</w:t>
                  </w:r>
                </w:p>
              </w:tc>
              <w:tc>
                <w:tcPr>
                  <w:tcW w:w="126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105" w:leftChars="-50"/>
                    <w:jc w:val="center"/>
                    <w:textAlignment w:val="auto"/>
                    <w:rPr>
                      <w:bCs/>
                      <w:color w:val="auto"/>
                      <w:spacing w:val="0"/>
                      <w:sz w:val="18"/>
                      <w:szCs w:val="18"/>
                      <w:u w:val="none"/>
                    </w:rPr>
                  </w:pPr>
                  <w:r>
                    <w:rPr>
                      <w:bCs/>
                      <w:color w:val="auto"/>
                      <w:spacing w:val="0"/>
                      <w:sz w:val="18"/>
                      <w:szCs w:val="18"/>
                      <w:u w:val="none"/>
                    </w:rPr>
                    <w:t>沉泥经压滤机及干化处理后出售给陶瓷厂用作原料</w:t>
                  </w:r>
                </w:p>
              </w:tc>
              <w:tc>
                <w:tcPr>
                  <w:tcW w:w="63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105" w:leftChars="-50"/>
                    <w:jc w:val="center"/>
                    <w:textAlignment w:val="auto"/>
                    <w:rPr>
                      <w:rFonts w:hint="default"/>
                      <w:bCs/>
                      <w:color w:val="auto"/>
                      <w:spacing w:val="0"/>
                      <w:sz w:val="18"/>
                      <w:szCs w:val="18"/>
                      <w:u w:val="none"/>
                      <w:lang w:val="en-US" w:eastAsia="zh-CN"/>
                    </w:rPr>
                  </w:pPr>
                  <w:r>
                    <w:rPr>
                      <w:rFonts w:hint="eastAsia"/>
                      <w:bCs/>
                      <w:color w:val="auto"/>
                      <w:spacing w:val="0"/>
                      <w:sz w:val="18"/>
                      <w:szCs w:val="18"/>
                      <w:u w:val="none"/>
                      <w:lang w:val="en-US" w:eastAsia="zh-CN"/>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exact"/>
              </w:trPr>
              <w:tc>
                <w:tcPr>
                  <w:tcW w:w="593" w:type="dxa"/>
                  <w:shd w:val="clear" w:color="auto" w:fill="auto"/>
                  <w:vAlign w:val="center"/>
                </w:tcPr>
                <w:p>
                  <w:pPr>
                    <w:adjustRightInd w:val="0"/>
                    <w:snapToGrid w:val="0"/>
                    <w:jc w:val="center"/>
                    <w:rPr>
                      <w:bCs/>
                      <w:color w:val="auto"/>
                      <w:spacing w:val="0"/>
                      <w:sz w:val="18"/>
                      <w:szCs w:val="18"/>
                      <w:u w:val="none"/>
                    </w:rPr>
                  </w:pPr>
                  <w:r>
                    <w:rPr>
                      <w:bCs/>
                      <w:color w:val="auto"/>
                      <w:spacing w:val="0"/>
                      <w:sz w:val="18"/>
                      <w:szCs w:val="18"/>
                      <w:u w:val="none"/>
                    </w:rPr>
                    <w:t>地面清扫</w:t>
                  </w:r>
                </w:p>
              </w:tc>
              <w:tc>
                <w:tcPr>
                  <w:tcW w:w="678" w:type="dxa"/>
                  <w:shd w:val="clear" w:color="auto" w:fill="auto"/>
                  <w:vAlign w:val="center"/>
                </w:tcPr>
                <w:p>
                  <w:pPr>
                    <w:adjustRightInd w:val="0"/>
                    <w:snapToGrid w:val="0"/>
                    <w:jc w:val="center"/>
                    <w:rPr>
                      <w:bCs/>
                      <w:color w:val="auto"/>
                      <w:spacing w:val="0"/>
                      <w:sz w:val="18"/>
                      <w:szCs w:val="18"/>
                      <w:u w:val="none"/>
                    </w:rPr>
                  </w:pPr>
                  <w:r>
                    <w:rPr>
                      <w:bCs/>
                      <w:color w:val="auto"/>
                      <w:spacing w:val="0"/>
                      <w:sz w:val="18"/>
                      <w:szCs w:val="18"/>
                      <w:u w:val="none"/>
                    </w:rPr>
                    <w:t>收尘灰</w:t>
                  </w:r>
                </w:p>
              </w:tc>
              <w:tc>
                <w:tcPr>
                  <w:tcW w:w="981" w:type="dxa"/>
                  <w:shd w:val="clear" w:color="auto" w:fill="auto"/>
                  <w:vAlign w:val="center"/>
                </w:tcPr>
                <w:p>
                  <w:pPr>
                    <w:adjustRightInd w:val="0"/>
                    <w:snapToGrid w:val="0"/>
                    <w:jc w:val="center"/>
                    <w:rPr>
                      <w:bCs/>
                      <w:color w:val="auto"/>
                      <w:spacing w:val="0"/>
                      <w:sz w:val="18"/>
                      <w:szCs w:val="18"/>
                      <w:u w:val="none"/>
                    </w:rPr>
                  </w:pPr>
                  <w:r>
                    <w:rPr>
                      <w:bCs/>
                      <w:color w:val="auto"/>
                      <w:spacing w:val="0"/>
                      <w:sz w:val="18"/>
                      <w:szCs w:val="18"/>
                      <w:u w:val="none"/>
                    </w:rPr>
                    <w:t>一般固废</w:t>
                  </w:r>
                </w:p>
              </w:tc>
              <w:tc>
                <w:tcPr>
                  <w:tcW w:w="969" w:type="dxa"/>
                  <w:shd w:val="clear" w:color="auto" w:fill="auto"/>
                  <w:vAlign w:val="center"/>
                </w:tcPr>
                <w:p>
                  <w:pPr>
                    <w:adjustRightInd w:val="0"/>
                    <w:snapToGrid w:val="0"/>
                    <w:jc w:val="center"/>
                    <w:rPr>
                      <w:bCs/>
                      <w:color w:val="auto"/>
                      <w:spacing w:val="0"/>
                      <w:sz w:val="18"/>
                      <w:szCs w:val="18"/>
                      <w:u w:val="none"/>
                    </w:rPr>
                  </w:pPr>
                  <w:r>
                    <w:rPr>
                      <w:bCs/>
                      <w:color w:val="auto"/>
                      <w:spacing w:val="0"/>
                      <w:sz w:val="18"/>
                      <w:szCs w:val="18"/>
                      <w:u w:val="none"/>
                    </w:rPr>
                    <w:t>/</w:t>
                  </w:r>
                </w:p>
              </w:tc>
              <w:tc>
                <w:tcPr>
                  <w:tcW w:w="641" w:type="dxa"/>
                  <w:shd w:val="clear" w:color="auto" w:fill="auto"/>
                  <w:vAlign w:val="center"/>
                </w:tcPr>
                <w:p>
                  <w:pPr>
                    <w:adjustRightInd w:val="0"/>
                    <w:snapToGrid w:val="0"/>
                    <w:jc w:val="center"/>
                    <w:rPr>
                      <w:rFonts w:hint="eastAsia" w:eastAsia="宋体"/>
                      <w:bCs/>
                      <w:color w:val="auto"/>
                      <w:spacing w:val="0"/>
                      <w:sz w:val="18"/>
                      <w:szCs w:val="18"/>
                      <w:u w:val="none"/>
                      <w:lang w:eastAsia="zh-CN"/>
                    </w:rPr>
                  </w:pPr>
                  <w:r>
                    <w:rPr>
                      <w:rFonts w:hint="eastAsia"/>
                      <w:bCs/>
                      <w:color w:val="auto"/>
                      <w:spacing w:val="0"/>
                      <w:sz w:val="18"/>
                      <w:szCs w:val="18"/>
                      <w:u w:val="none"/>
                      <w:lang w:eastAsia="zh-CN"/>
                    </w:rPr>
                    <w:t>固体</w:t>
                  </w:r>
                </w:p>
              </w:tc>
              <w:tc>
                <w:tcPr>
                  <w:tcW w:w="641" w:type="dxa"/>
                  <w:shd w:val="clear" w:color="auto" w:fill="auto"/>
                  <w:vAlign w:val="center"/>
                </w:tcPr>
                <w:p>
                  <w:pPr>
                    <w:adjustRightInd w:val="0"/>
                    <w:snapToGrid w:val="0"/>
                    <w:jc w:val="center"/>
                    <w:rPr>
                      <w:bCs/>
                      <w:color w:val="auto"/>
                      <w:spacing w:val="0"/>
                      <w:sz w:val="18"/>
                      <w:szCs w:val="18"/>
                      <w:u w:val="none"/>
                    </w:rPr>
                  </w:pPr>
                  <w:r>
                    <w:rPr>
                      <w:bCs/>
                      <w:color w:val="auto"/>
                      <w:spacing w:val="0"/>
                      <w:sz w:val="18"/>
                      <w:szCs w:val="18"/>
                      <w:u w:val="none"/>
                    </w:rPr>
                    <w:t>/</w:t>
                  </w:r>
                </w:p>
              </w:tc>
              <w:tc>
                <w:tcPr>
                  <w:tcW w:w="668" w:type="dxa"/>
                  <w:shd w:val="clear" w:color="auto" w:fill="auto"/>
                  <w:vAlign w:val="center"/>
                </w:tcPr>
                <w:p>
                  <w:pPr>
                    <w:adjustRightInd w:val="0"/>
                    <w:snapToGrid w:val="0"/>
                    <w:jc w:val="center"/>
                    <w:rPr>
                      <w:rFonts w:hint="default" w:eastAsia="宋体"/>
                      <w:bCs/>
                      <w:color w:val="auto"/>
                      <w:spacing w:val="0"/>
                      <w:sz w:val="18"/>
                      <w:szCs w:val="18"/>
                      <w:u w:val="none"/>
                      <w:lang w:val="en-US" w:eastAsia="zh-CN"/>
                    </w:rPr>
                  </w:pPr>
                  <w:r>
                    <w:rPr>
                      <w:rFonts w:hint="eastAsia"/>
                      <w:bCs/>
                      <w:color w:val="auto"/>
                      <w:spacing w:val="0"/>
                      <w:sz w:val="18"/>
                      <w:szCs w:val="18"/>
                      <w:u w:val="none"/>
                      <w:lang w:val="en-US" w:eastAsia="zh-CN"/>
                    </w:rPr>
                    <w:t>8</w:t>
                  </w:r>
                </w:p>
              </w:tc>
              <w:tc>
                <w:tcPr>
                  <w:tcW w:w="682" w:type="dxa"/>
                  <w:shd w:val="clear" w:color="auto" w:fill="auto"/>
                  <w:vAlign w:val="center"/>
                </w:tcPr>
                <w:p>
                  <w:pPr>
                    <w:adjustRightInd w:val="0"/>
                    <w:snapToGrid w:val="0"/>
                    <w:jc w:val="center"/>
                    <w:rPr>
                      <w:rFonts w:hint="eastAsia" w:eastAsia="宋体"/>
                      <w:bCs/>
                      <w:color w:val="auto"/>
                      <w:spacing w:val="0"/>
                      <w:sz w:val="18"/>
                      <w:szCs w:val="18"/>
                      <w:u w:val="none"/>
                      <w:lang w:eastAsia="zh-CN"/>
                    </w:rPr>
                  </w:pPr>
                  <w:r>
                    <w:rPr>
                      <w:rFonts w:hint="eastAsia"/>
                      <w:bCs/>
                      <w:color w:val="auto"/>
                      <w:spacing w:val="0"/>
                      <w:sz w:val="18"/>
                      <w:szCs w:val="18"/>
                      <w:u w:val="none"/>
                      <w:lang w:eastAsia="zh-CN"/>
                    </w:rPr>
                    <w:t>堆存</w:t>
                  </w:r>
                </w:p>
              </w:tc>
              <w:tc>
                <w:tcPr>
                  <w:tcW w:w="1268" w:type="dxa"/>
                  <w:shd w:val="clear" w:color="auto" w:fill="auto"/>
                  <w:vAlign w:val="center"/>
                </w:tcPr>
                <w:p>
                  <w:pPr>
                    <w:adjustRightInd w:val="0"/>
                    <w:snapToGrid w:val="0"/>
                    <w:jc w:val="center"/>
                    <w:rPr>
                      <w:bCs/>
                      <w:color w:val="auto"/>
                      <w:spacing w:val="0"/>
                      <w:sz w:val="18"/>
                      <w:szCs w:val="18"/>
                      <w:u w:val="none"/>
                    </w:rPr>
                  </w:pPr>
                  <w:r>
                    <w:rPr>
                      <w:bCs/>
                      <w:color w:val="auto"/>
                      <w:spacing w:val="0"/>
                      <w:sz w:val="18"/>
                      <w:szCs w:val="18"/>
                      <w:u w:val="none"/>
                    </w:rPr>
                    <w:t>作为产品外售</w:t>
                  </w:r>
                </w:p>
              </w:tc>
              <w:tc>
                <w:tcPr>
                  <w:tcW w:w="639" w:type="dxa"/>
                  <w:shd w:val="clear" w:color="auto" w:fill="auto"/>
                  <w:vAlign w:val="center"/>
                </w:tcPr>
                <w:p>
                  <w:pPr>
                    <w:adjustRightInd w:val="0"/>
                    <w:snapToGrid w:val="0"/>
                    <w:jc w:val="center"/>
                    <w:rPr>
                      <w:rFonts w:hint="default" w:eastAsia="宋体"/>
                      <w:bCs/>
                      <w:color w:val="auto"/>
                      <w:spacing w:val="0"/>
                      <w:sz w:val="18"/>
                      <w:szCs w:val="18"/>
                      <w:u w:val="none"/>
                      <w:lang w:val="en-US" w:eastAsia="zh-CN"/>
                    </w:rPr>
                  </w:pPr>
                  <w:r>
                    <w:rPr>
                      <w:rFonts w:hint="eastAsia"/>
                      <w:bCs/>
                      <w:color w:val="auto"/>
                      <w:spacing w:val="0"/>
                      <w:sz w:val="18"/>
                      <w:szCs w:val="18"/>
                      <w:u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exact"/>
              </w:trPr>
              <w:tc>
                <w:tcPr>
                  <w:tcW w:w="593" w:type="dxa"/>
                  <w:shd w:val="clear" w:color="auto" w:fill="auto"/>
                  <w:vAlign w:val="center"/>
                </w:tcPr>
                <w:p>
                  <w:pPr>
                    <w:adjustRightInd w:val="0"/>
                    <w:snapToGrid w:val="0"/>
                    <w:jc w:val="center"/>
                    <w:rPr>
                      <w:rFonts w:hint="eastAsia" w:eastAsia="宋体"/>
                      <w:bCs/>
                      <w:color w:val="auto"/>
                      <w:spacing w:val="0"/>
                      <w:sz w:val="18"/>
                      <w:szCs w:val="18"/>
                      <w:u w:val="none"/>
                      <w:lang w:eastAsia="zh-CN"/>
                    </w:rPr>
                  </w:pPr>
                  <w:r>
                    <w:rPr>
                      <w:rFonts w:hint="eastAsia"/>
                      <w:bCs/>
                      <w:color w:val="auto"/>
                      <w:spacing w:val="0"/>
                      <w:sz w:val="18"/>
                      <w:szCs w:val="18"/>
                      <w:u w:val="none"/>
                      <w:lang w:eastAsia="zh-CN"/>
                    </w:rPr>
                    <w:t>设备检修</w:t>
                  </w:r>
                </w:p>
              </w:tc>
              <w:tc>
                <w:tcPr>
                  <w:tcW w:w="678" w:type="dxa"/>
                  <w:shd w:val="clear" w:color="auto" w:fill="auto"/>
                  <w:vAlign w:val="center"/>
                </w:tcPr>
                <w:p>
                  <w:pPr>
                    <w:adjustRightInd w:val="0"/>
                    <w:snapToGrid w:val="0"/>
                    <w:jc w:val="center"/>
                    <w:rPr>
                      <w:rFonts w:hint="eastAsia" w:eastAsia="宋体"/>
                      <w:bCs/>
                      <w:color w:val="auto"/>
                      <w:spacing w:val="0"/>
                      <w:sz w:val="18"/>
                      <w:szCs w:val="18"/>
                      <w:u w:val="none"/>
                      <w:lang w:eastAsia="zh-CN"/>
                    </w:rPr>
                  </w:pPr>
                  <w:r>
                    <w:rPr>
                      <w:rFonts w:hint="eastAsia"/>
                      <w:bCs/>
                      <w:color w:val="auto"/>
                      <w:spacing w:val="0"/>
                      <w:sz w:val="18"/>
                      <w:szCs w:val="18"/>
                      <w:u w:val="none"/>
                      <w:lang w:eastAsia="zh-CN"/>
                    </w:rPr>
                    <w:t>废润滑油及油桶</w:t>
                  </w:r>
                </w:p>
              </w:tc>
              <w:tc>
                <w:tcPr>
                  <w:tcW w:w="98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84" w:leftChars="-40"/>
                    <w:jc w:val="center"/>
                    <w:textAlignment w:val="auto"/>
                    <w:rPr>
                      <w:rFonts w:hint="eastAsia" w:eastAsia="宋体"/>
                      <w:bCs/>
                      <w:color w:val="auto"/>
                      <w:spacing w:val="0"/>
                      <w:sz w:val="18"/>
                      <w:szCs w:val="18"/>
                      <w:u w:val="none"/>
                      <w:lang w:eastAsia="zh-CN"/>
                    </w:rPr>
                  </w:pPr>
                  <w:r>
                    <w:rPr>
                      <w:rFonts w:hint="eastAsia"/>
                      <w:bCs/>
                      <w:color w:val="auto"/>
                      <w:spacing w:val="0"/>
                      <w:sz w:val="18"/>
                      <w:szCs w:val="18"/>
                      <w:u w:val="none"/>
                      <w:lang w:eastAsia="zh-CN"/>
                    </w:rPr>
                    <w:t>危险废物危废代码：900-249-08</w:t>
                  </w:r>
                </w:p>
              </w:tc>
              <w:tc>
                <w:tcPr>
                  <w:tcW w:w="96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84" w:leftChars="-40"/>
                    <w:jc w:val="center"/>
                    <w:textAlignment w:val="auto"/>
                    <w:rPr>
                      <w:rFonts w:hint="eastAsia" w:eastAsia="宋体"/>
                      <w:bCs/>
                      <w:color w:val="auto"/>
                      <w:spacing w:val="0"/>
                      <w:sz w:val="18"/>
                      <w:szCs w:val="18"/>
                      <w:u w:val="none"/>
                      <w:lang w:eastAsia="zh-CN"/>
                    </w:rPr>
                  </w:pPr>
                  <w:r>
                    <w:rPr>
                      <w:rFonts w:hint="eastAsia"/>
                      <w:bCs/>
                      <w:color w:val="auto"/>
                      <w:spacing w:val="0"/>
                      <w:sz w:val="18"/>
                      <w:szCs w:val="18"/>
                      <w:u w:val="none"/>
                      <w:lang w:eastAsia="zh-CN"/>
                    </w:rPr>
                    <w:t>烷烃、多环芳烃、烯烃、苯系物、酚类</w:t>
                  </w:r>
                </w:p>
              </w:tc>
              <w:tc>
                <w:tcPr>
                  <w:tcW w:w="641" w:type="dxa"/>
                  <w:shd w:val="clear" w:color="auto" w:fill="auto"/>
                  <w:vAlign w:val="center"/>
                </w:tcPr>
                <w:p>
                  <w:pPr>
                    <w:adjustRightInd w:val="0"/>
                    <w:snapToGrid w:val="0"/>
                    <w:jc w:val="center"/>
                    <w:rPr>
                      <w:rFonts w:hint="eastAsia" w:eastAsia="宋体"/>
                      <w:bCs/>
                      <w:color w:val="auto"/>
                      <w:spacing w:val="0"/>
                      <w:sz w:val="18"/>
                      <w:szCs w:val="18"/>
                      <w:u w:val="none"/>
                      <w:lang w:eastAsia="zh-CN"/>
                    </w:rPr>
                  </w:pPr>
                  <w:r>
                    <w:rPr>
                      <w:rFonts w:hint="eastAsia"/>
                      <w:bCs/>
                      <w:color w:val="auto"/>
                      <w:spacing w:val="0"/>
                      <w:sz w:val="18"/>
                      <w:szCs w:val="18"/>
                      <w:u w:val="none"/>
                      <w:lang w:eastAsia="zh-CN"/>
                    </w:rPr>
                    <w:t>液体</w:t>
                  </w:r>
                </w:p>
              </w:tc>
              <w:tc>
                <w:tcPr>
                  <w:tcW w:w="64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105" w:leftChars="-50"/>
                    <w:jc w:val="center"/>
                    <w:textAlignment w:val="auto"/>
                    <w:rPr>
                      <w:rFonts w:hint="eastAsia" w:eastAsia="宋体"/>
                      <w:bCs/>
                      <w:color w:val="auto"/>
                      <w:spacing w:val="0"/>
                      <w:sz w:val="18"/>
                      <w:szCs w:val="18"/>
                      <w:u w:val="none"/>
                      <w:lang w:eastAsia="zh-CN"/>
                    </w:rPr>
                  </w:pPr>
                  <w:r>
                    <w:rPr>
                      <w:rFonts w:hint="eastAsia"/>
                      <w:bCs/>
                      <w:color w:val="auto"/>
                      <w:spacing w:val="0"/>
                      <w:sz w:val="18"/>
                      <w:szCs w:val="18"/>
                      <w:u w:val="none"/>
                      <w:lang w:eastAsia="zh-CN"/>
                    </w:rPr>
                    <w:t>毒性、易燃</w:t>
                  </w:r>
                </w:p>
              </w:tc>
              <w:tc>
                <w:tcPr>
                  <w:tcW w:w="668" w:type="dxa"/>
                  <w:shd w:val="clear" w:color="auto" w:fill="auto"/>
                  <w:vAlign w:val="center"/>
                </w:tcPr>
                <w:p>
                  <w:pPr>
                    <w:adjustRightInd w:val="0"/>
                    <w:snapToGrid w:val="0"/>
                    <w:jc w:val="center"/>
                    <w:rPr>
                      <w:rFonts w:hint="default" w:eastAsia="宋体"/>
                      <w:bCs/>
                      <w:color w:val="auto"/>
                      <w:spacing w:val="0"/>
                      <w:sz w:val="18"/>
                      <w:szCs w:val="18"/>
                      <w:u w:val="none"/>
                      <w:lang w:val="en-US" w:eastAsia="zh-CN"/>
                    </w:rPr>
                  </w:pPr>
                  <w:r>
                    <w:rPr>
                      <w:rFonts w:hint="eastAsia"/>
                      <w:bCs/>
                      <w:color w:val="auto"/>
                      <w:spacing w:val="0"/>
                      <w:sz w:val="18"/>
                      <w:szCs w:val="18"/>
                      <w:u w:val="none"/>
                      <w:lang w:val="en-US" w:eastAsia="zh-CN"/>
                    </w:rPr>
                    <w:t>0.02</w:t>
                  </w:r>
                </w:p>
              </w:tc>
              <w:tc>
                <w:tcPr>
                  <w:tcW w:w="682" w:type="dxa"/>
                  <w:shd w:val="clear" w:color="auto" w:fill="auto"/>
                  <w:vAlign w:val="center"/>
                </w:tcPr>
                <w:p>
                  <w:pPr>
                    <w:adjustRightInd w:val="0"/>
                    <w:snapToGrid w:val="0"/>
                    <w:jc w:val="center"/>
                    <w:rPr>
                      <w:rFonts w:hint="eastAsia" w:eastAsia="宋体"/>
                      <w:bCs/>
                      <w:color w:val="auto"/>
                      <w:spacing w:val="0"/>
                      <w:sz w:val="18"/>
                      <w:szCs w:val="18"/>
                      <w:u w:val="none"/>
                      <w:lang w:eastAsia="zh-CN"/>
                    </w:rPr>
                  </w:pPr>
                  <w:r>
                    <w:rPr>
                      <w:rFonts w:hint="eastAsia"/>
                      <w:bCs/>
                      <w:color w:val="auto"/>
                      <w:spacing w:val="0"/>
                      <w:sz w:val="18"/>
                      <w:szCs w:val="18"/>
                      <w:u w:val="none"/>
                      <w:lang w:eastAsia="zh-CN"/>
                    </w:rPr>
                    <w:t>不存留</w:t>
                  </w:r>
                </w:p>
              </w:tc>
              <w:tc>
                <w:tcPr>
                  <w:tcW w:w="1268" w:type="dxa"/>
                  <w:shd w:val="clear" w:color="auto" w:fill="auto"/>
                  <w:vAlign w:val="center"/>
                </w:tcPr>
                <w:p>
                  <w:pPr>
                    <w:adjustRightInd w:val="0"/>
                    <w:snapToGrid w:val="0"/>
                    <w:jc w:val="center"/>
                    <w:rPr>
                      <w:rFonts w:hint="eastAsia" w:eastAsia="宋体"/>
                      <w:bCs/>
                      <w:color w:val="auto"/>
                      <w:spacing w:val="0"/>
                      <w:sz w:val="18"/>
                      <w:szCs w:val="18"/>
                      <w:u w:val="none"/>
                      <w:lang w:val="en-US" w:eastAsia="zh-CN"/>
                    </w:rPr>
                  </w:pPr>
                  <w:r>
                    <w:rPr>
                      <w:rFonts w:hint="eastAsia"/>
                      <w:bCs/>
                      <w:color w:val="auto"/>
                      <w:spacing w:val="0"/>
                      <w:sz w:val="18"/>
                      <w:szCs w:val="18"/>
                      <w:u w:val="none"/>
                      <w:lang w:val="en-US" w:eastAsia="zh-CN"/>
                    </w:rPr>
                    <w:t>维修公司代收，交由有资质单位处置</w:t>
                  </w:r>
                </w:p>
              </w:tc>
              <w:tc>
                <w:tcPr>
                  <w:tcW w:w="639" w:type="dxa"/>
                  <w:shd w:val="clear" w:color="auto" w:fill="auto"/>
                  <w:vAlign w:val="center"/>
                </w:tcPr>
                <w:p>
                  <w:pPr>
                    <w:adjustRightInd w:val="0"/>
                    <w:snapToGrid w:val="0"/>
                    <w:jc w:val="center"/>
                    <w:rPr>
                      <w:rFonts w:hint="default" w:eastAsia="宋体"/>
                      <w:bCs/>
                      <w:color w:val="auto"/>
                      <w:spacing w:val="0"/>
                      <w:sz w:val="18"/>
                      <w:szCs w:val="18"/>
                      <w:u w:val="none"/>
                      <w:lang w:val="en-US" w:eastAsia="zh-CN"/>
                    </w:rPr>
                  </w:pPr>
                  <w:r>
                    <w:rPr>
                      <w:rFonts w:hint="eastAsia"/>
                      <w:bCs/>
                      <w:color w:val="auto"/>
                      <w:spacing w:val="0"/>
                      <w:sz w:val="18"/>
                      <w:szCs w:val="18"/>
                      <w:u w:val="none"/>
                      <w:lang w:val="en-US" w:eastAsia="zh-CN"/>
                    </w:rPr>
                    <w:t>0.02</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after="157" w:afterLines="50" w:line="360" w:lineRule="auto"/>
              <w:textAlignment w:val="auto"/>
              <w:rPr>
                <w:rFonts w:hint="eastAsia"/>
                <w:b/>
                <w:bCs/>
                <w:color w:val="auto"/>
                <w:spacing w:val="0"/>
                <w:sz w:val="21"/>
                <w:szCs w:val="21"/>
                <w:lang w:val="en-US" w:eastAsia="zh-CN"/>
              </w:rPr>
            </w:pPr>
            <w:r>
              <w:rPr>
                <w:rFonts w:hint="eastAsia"/>
                <w:b/>
                <w:bCs/>
                <w:color w:val="auto"/>
                <w:spacing w:val="-10"/>
                <w:szCs w:val="21"/>
                <w:lang w:val="en-US" w:eastAsia="zh-CN"/>
              </w:rPr>
              <w:t>5</w:t>
            </w:r>
            <w:r>
              <w:rPr>
                <w:rFonts w:hint="eastAsia"/>
                <w:b/>
                <w:bCs/>
                <w:color w:val="auto"/>
                <w:spacing w:val="0"/>
                <w:sz w:val="21"/>
                <w:szCs w:val="21"/>
                <w:lang w:val="en-US" w:eastAsia="zh-CN"/>
              </w:rPr>
              <w:t>、地下水</w:t>
            </w: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20" w:firstLineChars="200"/>
              <w:textAlignment w:val="auto"/>
              <w:rPr>
                <w:rFonts w:hint="eastAsia" w:ascii="Times New Roman" w:hAnsi="Times New Roman" w:eastAsia="宋体" w:cs="Times New Roman"/>
                <w:bCs/>
                <w:color w:val="auto"/>
                <w:spacing w:val="0"/>
                <w:kern w:val="0"/>
                <w:sz w:val="21"/>
                <w:szCs w:val="21"/>
                <w:lang w:val="en-US" w:eastAsia="zh-CN" w:bidi="ar-SA"/>
              </w:rPr>
            </w:pPr>
            <w:r>
              <w:rPr>
                <w:rFonts w:hint="eastAsia" w:ascii="Times New Roman" w:hAnsi="Times New Roman" w:eastAsia="宋体" w:cs="Times New Roman"/>
                <w:bCs/>
                <w:color w:val="auto"/>
                <w:spacing w:val="0"/>
                <w:kern w:val="0"/>
                <w:sz w:val="21"/>
                <w:szCs w:val="21"/>
                <w:lang w:val="en-US" w:eastAsia="zh-CN" w:bidi="ar-SA"/>
              </w:rPr>
              <w:t>本项目地下水污染源主要为洗砂废水收集沉淀池，洗砂废水泄露通过防渗层和包气带后垂直下渗污染地下水。本项目生产车间满足《环境影响评价技术导则 地下水》表7中地下水污染防渗分区参照表一般防渗要求；洗砂废水沉淀池满足《环境影响评价技术导则 地下水》表7中地下水污染防渗分区参照表重点防渗要求。</w:t>
            </w: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20" w:firstLineChars="200"/>
              <w:textAlignment w:val="auto"/>
              <w:rPr>
                <w:rFonts w:hint="default" w:ascii="Times New Roman" w:hAnsi="Times New Roman" w:eastAsia="宋体" w:cs="Times New Roman"/>
                <w:bCs/>
                <w:color w:val="auto"/>
                <w:spacing w:val="0"/>
                <w:kern w:val="0"/>
                <w:sz w:val="21"/>
                <w:szCs w:val="21"/>
                <w:lang w:val="en-US" w:eastAsia="zh-CN" w:bidi="ar-SA"/>
              </w:rPr>
            </w:pPr>
            <w:r>
              <w:rPr>
                <w:rFonts w:hint="eastAsia" w:ascii="Times New Roman" w:hAnsi="Times New Roman" w:eastAsia="宋体" w:cs="Times New Roman"/>
                <w:bCs/>
                <w:color w:val="auto"/>
                <w:spacing w:val="0"/>
                <w:kern w:val="0"/>
                <w:sz w:val="21"/>
                <w:szCs w:val="21"/>
                <w:lang w:val="en-US" w:eastAsia="zh-CN" w:bidi="ar-SA"/>
              </w:rPr>
              <w:t>在采取以上措施后，本项目对周围地下水环境影响较小。</w:t>
            </w:r>
          </w:p>
          <w:p>
            <w:pPr>
              <w:adjustRightInd w:val="0"/>
              <w:snapToGrid w:val="0"/>
              <w:spacing w:line="360" w:lineRule="auto"/>
              <w:rPr>
                <w:b/>
                <w:bCs/>
                <w:color w:val="auto"/>
                <w:spacing w:val="0"/>
                <w:sz w:val="21"/>
                <w:szCs w:val="21"/>
              </w:rPr>
            </w:pPr>
            <w:r>
              <w:rPr>
                <w:rFonts w:hint="eastAsia"/>
                <w:b/>
                <w:bCs/>
                <w:color w:val="auto"/>
                <w:spacing w:val="0"/>
                <w:sz w:val="21"/>
                <w:szCs w:val="21"/>
                <w:lang w:val="en-US" w:eastAsia="zh-CN"/>
              </w:rPr>
              <w:t>6</w:t>
            </w:r>
            <w:r>
              <w:rPr>
                <w:b/>
                <w:bCs/>
                <w:color w:val="auto"/>
                <w:spacing w:val="0"/>
                <w:sz w:val="21"/>
                <w:szCs w:val="21"/>
              </w:rPr>
              <w:t>、环境风险</w:t>
            </w:r>
          </w:p>
          <w:p>
            <w:pPr>
              <w:pStyle w:val="5"/>
              <w:pageBreakBefore w:val="0"/>
              <w:kinsoku/>
              <w:wordWrap/>
              <w:overflowPunct/>
              <w:topLinePunct w:val="0"/>
              <w:autoSpaceDE/>
              <w:autoSpaceDN/>
              <w:bidi w:val="0"/>
              <w:snapToGrid w:val="0"/>
              <w:spacing w:before="0"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环境风险是指突发性事故对环境（或健康）的危害程度。建设项目环境风险评价,主要是对建设项目建设和运行期间发生的可预测突发性事件或事故（一般不包括人为破坏及自然灾害）引起有毒有害、易燃易爆等物质泄漏，或突发事件产生的新的有毒有害物质，所造成的对人身安全与环境的影响和损害，进行评估，提出防范、应急与减缓措施，以使建设项目事故率、损失和环境影响达到可接受水平。</w:t>
            </w:r>
          </w:p>
          <w:p>
            <w:pPr>
              <w:pStyle w:val="5"/>
              <w:pageBreakBefore w:val="0"/>
              <w:kinsoku/>
              <w:wordWrap/>
              <w:overflowPunct/>
              <w:topLinePunct w:val="0"/>
              <w:autoSpaceDE/>
              <w:autoSpaceDN/>
              <w:bidi w:val="0"/>
              <w:snapToGrid w:val="0"/>
              <w:spacing w:before="0"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本项目生产废水含有大量SS，泄漏后进入水体会影响水质，污染环境。生产设施风险识别项目生产过程中潜在的危险主要为泄露风险，本次环评针对本项目的特点及可能发生的潜在事故进行风险分析与评价。</w:t>
            </w:r>
          </w:p>
          <w:p>
            <w:pPr>
              <w:pStyle w:val="4"/>
              <w:pageBreakBefore w:val="0"/>
              <w:kinsoku/>
              <w:wordWrap/>
              <w:overflowPunct/>
              <w:topLinePunct w:val="0"/>
              <w:autoSpaceDE/>
              <w:autoSpaceDN/>
              <w:bidi w:val="0"/>
              <w:snapToGrid w:val="0"/>
              <w:spacing w:before="0"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评价等级判定</w:t>
            </w:r>
          </w:p>
          <w:p>
            <w:pPr>
              <w:pStyle w:val="5"/>
              <w:pageBreakBefore w:val="0"/>
              <w:kinsoku/>
              <w:wordWrap/>
              <w:overflowPunct/>
              <w:topLinePunct w:val="0"/>
              <w:autoSpaceDE/>
              <w:autoSpaceDN/>
              <w:bidi w:val="0"/>
              <w:snapToGrid w:val="0"/>
              <w:spacing w:before="0"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依据《建设项目环境风险评价技术导则》(HJ/T169-2018)，环境风险评价工作等级划分为一级、二级、三级。根据建设项目涉及的物质及工艺系统危险性和所在地的环境敏感性确定环境风险潜势，按照表1确定评价工作等级。风险潜势为Ⅳ及以上，进行一级评价；风险潜势为Ⅲ，进行二级评价；风险潜势为Ⅱ，进行三级评价；风险潜势为Ⅰ，可开展简单分析。</w:t>
            </w:r>
          </w:p>
          <w:p>
            <w:pPr>
              <w:pStyle w:val="5"/>
              <w:pageBreakBefore w:val="0"/>
              <w:kinsoku/>
              <w:wordWrap/>
              <w:overflowPunct/>
              <w:topLinePunct w:val="0"/>
              <w:autoSpaceDE/>
              <w:autoSpaceDN/>
              <w:bidi w:val="0"/>
              <w:snapToGrid w:val="0"/>
              <w:spacing w:before="0"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根据项目工程分析，本项目使用或贮存中不涉及危险化学品，项目所在地不属于特殊保护区域、生态敏感及脆弱区及社会关注区。对照《建设项目环境风险评价技术导则》（HJ/T169-2018）附录B.1突发环境事件风险物质及临界量，本项目使用或贮存中不涉及危险化学品，Q＜1；Q＜1时，该项目环境风险潜势为I，因此本项目的风险评价等级低于三级，可开展简单分析。</w:t>
            </w:r>
          </w:p>
          <w:p>
            <w:pPr>
              <w:pStyle w:val="4"/>
              <w:pageBreakBefore w:val="0"/>
              <w:kinsoku/>
              <w:wordWrap/>
              <w:overflowPunct/>
              <w:topLinePunct w:val="0"/>
              <w:autoSpaceDE/>
              <w:autoSpaceDN/>
              <w:bidi w:val="0"/>
              <w:snapToGrid w:val="0"/>
              <w:spacing w:before="0"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风险分析</w:t>
            </w:r>
          </w:p>
          <w:p>
            <w:pPr>
              <w:pStyle w:val="5"/>
              <w:pageBreakBefore w:val="0"/>
              <w:kinsoku/>
              <w:wordWrap/>
              <w:overflowPunct/>
              <w:topLinePunct w:val="0"/>
              <w:autoSpaceDE/>
              <w:autoSpaceDN/>
              <w:bidi w:val="0"/>
              <w:snapToGrid w:val="0"/>
              <w:spacing w:before="0" w:after="0" w:line="360" w:lineRule="auto"/>
              <w:ind w:firstLine="480"/>
              <w:textAlignment w:val="auto"/>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本项目生产废水含有大量SS，泄漏后进入水体会影响水质，污染环境。生产设施风险识别项目生产过程中潜在的危险主要为泄露风险，对周围环境产生影响，项目生产设施风险识别表</w:t>
            </w:r>
            <w:r>
              <w:rPr>
                <w:rFonts w:hint="eastAsia" w:ascii="宋体" w:hAnsi="宋体" w:eastAsia="宋体" w:cs="宋体"/>
                <w:color w:val="auto"/>
                <w:kern w:val="2"/>
                <w:sz w:val="21"/>
                <w:szCs w:val="21"/>
                <w:lang w:val="en-US" w:eastAsia="zh-CN"/>
              </w:rPr>
              <w:t>4-14</w:t>
            </w:r>
            <w:r>
              <w:rPr>
                <w:rFonts w:hint="eastAsia" w:ascii="宋体" w:hAnsi="宋体" w:eastAsia="宋体" w:cs="宋体"/>
                <w:color w:val="auto"/>
                <w:kern w:val="2"/>
                <w:sz w:val="21"/>
                <w:szCs w:val="21"/>
              </w:rPr>
              <w:t>。</w:t>
            </w:r>
          </w:p>
          <w:p>
            <w:pPr>
              <w:pStyle w:val="8"/>
              <w:pageBreakBefore w:val="0"/>
              <w:kinsoku/>
              <w:wordWrap/>
              <w:overflowPunct/>
              <w:topLinePunct w:val="0"/>
              <w:autoSpaceDE/>
              <w:autoSpaceDN/>
              <w:bidi w:val="0"/>
              <w:snapToGrid w:val="0"/>
              <w:spacing w:line="360" w:lineRule="auto"/>
              <w:ind w:firstLine="4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表</w:t>
            </w:r>
            <w:r>
              <w:rPr>
                <w:rFonts w:hint="eastAsia" w:ascii="宋体" w:hAnsi="宋体" w:eastAsia="宋体" w:cs="宋体"/>
                <w:color w:val="auto"/>
                <w:sz w:val="21"/>
                <w:szCs w:val="21"/>
                <w:lang w:val="en-US" w:eastAsia="zh-CN"/>
              </w:rPr>
              <w:t>4-14</w:t>
            </w:r>
            <w:r>
              <w:rPr>
                <w:rFonts w:hint="eastAsia" w:ascii="宋体" w:hAnsi="宋体" w:eastAsia="宋体" w:cs="宋体"/>
                <w:color w:val="auto"/>
                <w:sz w:val="21"/>
                <w:szCs w:val="21"/>
              </w:rPr>
              <w:t>项目生产设施风险识别</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9"/>
              <w:gridCol w:w="1441"/>
              <w:gridCol w:w="1441"/>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7" w:type="pct"/>
                  <w:noWrap w:val="0"/>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909" w:type="pct"/>
                  <w:noWrap w:val="0"/>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生产场所</w:t>
                  </w:r>
                </w:p>
              </w:tc>
              <w:tc>
                <w:tcPr>
                  <w:tcW w:w="909" w:type="pct"/>
                  <w:noWrap w:val="0"/>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主要危险</w:t>
                  </w:r>
                </w:p>
              </w:tc>
              <w:tc>
                <w:tcPr>
                  <w:tcW w:w="2615" w:type="pct"/>
                  <w:noWrap w:val="0"/>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可能原因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7" w:type="pct"/>
                  <w:noWrap w:val="0"/>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909" w:type="pct"/>
                  <w:noWrap w:val="0"/>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沉泥池</w:t>
                  </w:r>
                </w:p>
              </w:tc>
              <w:tc>
                <w:tcPr>
                  <w:tcW w:w="909" w:type="pct"/>
                  <w:noWrap w:val="0"/>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泄漏</w:t>
                  </w:r>
                </w:p>
              </w:tc>
              <w:tc>
                <w:tcPr>
                  <w:tcW w:w="2615" w:type="pct"/>
                  <w:noWrap w:val="0"/>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沉泥池</w:t>
                  </w:r>
                  <w:r>
                    <w:rPr>
                      <w:rFonts w:hint="eastAsia" w:ascii="宋体" w:hAnsi="宋体" w:eastAsia="宋体" w:cs="宋体"/>
                      <w:color w:val="auto"/>
                      <w:sz w:val="21"/>
                      <w:szCs w:val="21"/>
                    </w:rPr>
                    <w:t>破损或管道破损导致泄漏</w:t>
                  </w:r>
                </w:p>
              </w:tc>
            </w:tr>
          </w:tbl>
          <w:p>
            <w:pPr>
              <w:pStyle w:val="4"/>
              <w:pageBreakBefore w:val="0"/>
              <w:kinsoku/>
              <w:wordWrap/>
              <w:overflowPunct/>
              <w:topLinePunct w:val="0"/>
              <w:autoSpaceDE/>
              <w:autoSpaceDN/>
              <w:bidi w:val="0"/>
              <w:snapToGrid w:val="0"/>
              <w:spacing w:before="0"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风险控制与管理</w:t>
            </w:r>
          </w:p>
          <w:p>
            <w:pPr>
              <w:pStyle w:val="5"/>
              <w:pageBreakBefore w:val="0"/>
              <w:kinsoku/>
              <w:wordWrap/>
              <w:overflowPunct/>
              <w:topLinePunct w:val="0"/>
              <w:autoSpaceDE/>
              <w:autoSpaceDN/>
              <w:bidi w:val="0"/>
              <w:snapToGrid w:val="0"/>
              <w:spacing w:before="0"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建设单位应加强运营期风险防范，落实各项风险防范措施，防治风险事故的发生，加强生产系统和环保设备维护和管理，严格按照《突发环境事件应急管理办法》建立环境风险事故应急预案，储备风险救助物资并组织演练，杜绝环境风险事故发生。</w:t>
            </w:r>
          </w:p>
          <w:p>
            <w:pPr>
              <w:pStyle w:val="4"/>
              <w:pageBreakBefore w:val="0"/>
              <w:kinsoku/>
              <w:wordWrap/>
              <w:overflowPunct/>
              <w:topLinePunct w:val="0"/>
              <w:autoSpaceDE/>
              <w:autoSpaceDN/>
              <w:bidi w:val="0"/>
              <w:snapToGrid w:val="0"/>
              <w:spacing w:before="0"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风险事故防范措施</w:t>
            </w:r>
          </w:p>
          <w:p>
            <w:pPr>
              <w:pStyle w:val="5"/>
              <w:pageBreakBefore w:val="0"/>
              <w:kinsoku/>
              <w:wordWrap/>
              <w:overflowPunct/>
              <w:topLinePunct w:val="0"/>
              <w:autoSpaceDE/>
              <w:autoSpaceDN/>
              <w:bidi w:val="0"/>
              <w:snapToGrid w:val="0"/>
              <w:spacing w:before="0"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根据表</w:t>
            </w:r>
            <w:r>
              <w:rPr>
                <w:rFonts w:hint="eastAsia" w:ascii="宋体" w:hAnsi="宋体" w:cs="宋体"/>
                <w:color w:val="auto"/>
                <w:sz w:val="21"/>
                <w:szCs w:val="21"/>
                <w:lang w:val="en-US" w:eastAsia="zh-CN"/>
              </w:rPr>
              <w:t>4</w:t>
            </w:r>
            <w:r>
              <w:rPr>
                <w:rFonts w:hint="eastAsia" w:ascii="宋体" w:hAnsi="宋体" w:eastAsia="宋体" w:cs="宋体"/>
                <w:color w:val="auto"/>
                <w:sz w:val="21"/>
                <w:szCs w:val="21"/>
              </w:rPr>
              <w:t>-1</w:t>
            </w:r>
            <w:r>
              <w:rPr>
                <w:rFonts w:hint="eastAsia" w:ascii="宋体" w:hAnsi="宋体" w:cs="宋体"/>
                <w:color w:val="auto"/>
                <w:sz w:val="21"/>
                <w:szCs w:val="21"/>
                <w:lang w:val="en-US" w:eastAsia="zh-CN"/>
              </w:rPr>
              <w:t>4</w:t>
            </w:r>
            <w:r>
              <w:rPr>
                <w:rFonts w:hint="eastAsia" w:ascii="宋体" w:hAnsi="宋体" w:eastAsia="宋体" w:cs="宋体"/>
                <w:color w:val="auto"/>
                <w:sz w:val="21"/>
                <w:szCs w:val="21"/>
              </w:rPr>
              <w:t>可知，项目泄漏的发生原因为</w:t>
            </w:r>
            <w:r>
              <w:rPr>
                <w:rFonts w:hint="eastAsia" w:ascii="宋体" w:hAnsi="宋体" w:eastAsia="宋体" w:cs="宋体"/>
                <w:color w:val="auto"/>
                <w:sz w:val="21"/>
                <w:szCs w:val="21"/>
                <w:lang w:eastAsia="zh-CN"/>
              </w:rPr>
              <w:t>沉泥池</w:t>
            </w:r>
            <w:r>
              <w:rPr>
                <w:rFonts w:hint="eastAsia" w:ascii="宋体" w:hAnsi="宋体" w:eastAsia="宋体" w:cs="宋体"/>
                <w:color w:val="auto"/>
                <w:sz w:val="21"/>
                <w:szCs w:val="21"/>
              </w:rPr>
              <w:t>破损或管道破损。这将导致生产废水漏出或泄漏，生产废水进入水体后会影响水质。建设方应采取对应的预防措施，减少泄漏事故发生概率，措施如下：</w:t>
            </w:r>
          </w:p>
          <w:p>
            <w:pPr>
              <w:pStyle w:val="5"/>
              <w:pageBreakBefore w:val="0"/>
              <w:kinsoku/>
              <w:wordWrap/>
              <w:overflowPunct/>
              <w:topLinePunct w:val="0"/>
              <w:autoSpaceDE/>
              <w:autoSpaceDN/>
              <w:bidi w:val="0"/>
              <w:snapToGrid w:val="0"/>
              <w:spacing w:before="0"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①本项目做好硬化地面，加强日常检查，防止污水的泄漏</w:t>
            </w:r>
            <w:r>
              <w:rPr>
                <w:rFonts w:hint="eastAsia" w:ascii="宋体" w:hAnsi="宋体" w:eastAsia="宋体" w:cs="宋体"/>
                <w:color w:val="auto"/>
                <w:sz w:val="21"/>
                <w:szCs w:val="21"/>
                <w:lang w:eastAsia="zh-CN"/>
              </w:rPr>
              <w:t>渗透</w:t>
            </w:r>
            <w:r>
              <w:rPr>
                <w:rFonts w:hint="eastAsia" w:ascii="宋体" w:hAnsi="宋体" w:eastAsia="宋体" w:cs="宋体"/>
                <w:color w:val="auto"/>
                <w:sz w:val="21"/>
                <w:szCs w:val="21"/>
              </w:rPr>
              <w:t>。</w:t>
            </w:r>
          </w:p>
          <w:p>
            <w:pPr>
              <w:pStyle w:val="5"/>
              <w:pageBreakBefore w:val="0"/>
              <w:kinsoku/>
              <w:wordWrap/>
              <w:overflowPunct/>
              <w:topLinePunct w:val="0"/>
              <w:autoSpaceDE/>
              <w:autoSpaceDN/>
              <w:bidi w:val="0"/>
              <w:snapToGrid w:val="0"/>
              <w:spacing w:before="0"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②做好</w:t>
            </w:r>
            <w:r>
              <w:rPr>
                <w:rFonts w:hint="eastAsia" w:ascii="宋体" w:hAnsi="宋体" w:eastAsia="宋体" w:cs="宋体"/>
                <w:color w:val="auto"/>
                <w:sz w:val="21"/>
                <w:szCs w:val="21"/>
                <w:lang w:eastAsia="zh-CN"/>
              </w:rPr>
              <w:t>沉泥池周边</w:t>
            </w:r>
            <w:r>
              <w:rPr>
                <w:rFonts w:hint="eastAsia" w:ascii="宋体" w:hAnsi="宋体" w:eastAsia="宋体" w:cs="宋体"/>
                <w:color w:val="auto"/>
                <w:sz w:val="21"/>
                <w:szCs w:val="21"/>
              </w:rPr>
              <w:t>的防渗防漏措施，避免水土流失。</w:t>
            </w:r>
          </w:p>
          <w:p>
            <w:pPr>
              <w:pStyle w:val="5"/>
              <w:pageBreakBefore w:val="0"/>
              <w:kinsoku/>
              <w:wordWrap/>
              <w:overflowPunct/>
              <w:topLinePunct w:val="0"/>
              <w:autoSpaceDE/>
              <w:autoSpaceDN/>
              <w:bidi w:val="0"/>
              <w:snapToGrid w:val="0"/>
              <w:spacing w:before="0"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③加强日常监测与管理，避免生产废水外流，杜绝废水非正常排放。</w:t>
            </w:r>
          </w:p>
          <w:p>
            <w:pPr>
              <w:pStyle w:val="5"/>
              <w:pageBreakBefore w:val="0"/>
              <w:kinsoku/>
              <w:wordWrap/>
              <w:overflowPunct/>
              <w:topLinePunct w:val="0"/>
              <w:autoSpaceDE/>
              <w:autoSpaceDN/>
              <w:bidi w:val="0"/>
              <w:snapToGrid w:val="0"/>
              <w:spacing w:before="0"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④建立日常保管、使用制度，要严订管理与操作章程，设立安全环保机构，专人负责。对员工加强培训，进行必要的安全消防教育，熟练掌握消防设施的使用。在使用前做好个人防护，对劳动防护用品和器具检查，做到万无一失才能使用。</w:t>
            </w:r>
          </w:p>
          <w:p>
            <w:pPr>
              <w:pStyle w:val="5"/>
              <w:pageBreakBefore w:val="0"/>
              <w:kinsoku/>
              <w:wordWrap/>
              <w:overflowPunct/>
              <w:topLinePunct w:val="0"/>
              <w:autoSpaceDE/>
              <w:autoSpaceDN/>
              <w:bidi w:val="0"/>
              <w:snapToGrid w:val="0"/>
              <w:spacing w:before="0"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综上所述，在采取以上措施后，可以有效降低本项目泄漏发生概率，可最大限度地减少发生的环境风险。</w:t>
            </w:r>
          </w:p>
          <w:p>
            <w:pPr>
              <w:pStyle w:val="4"/>
              <w:pageBreakBefore w:val="0"/>
              <w:kinsoku/>
              <w:wordWrap/>
              <w:overflowPunct/>
              <w:topLinePunct w:val="0"/>
              <w:autoSpaceDE/>
              <w:autoSpaceDN/>
              <w:bidi w:val="0"/>
              <w:snapToGrid w:val="0"/>
              <w:spacing w:before="0"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事故应急预案</w:t>
            </w:r>
          </w:p>
          <w:p>
            <w:pPr>
              <w:pStyle w:val="5"/>
              <w:pageBreakBefore w:val="0"/>
              <w:kinsoku/>
              <w:wordWrap/>
              <w:overflowPunct/>
              <w:topLinePunct w:val="0"/>
              <w:autoSpaceDE/>
              <w:autoSpaceDN/>
              <w:bidi w:val="0"/>
              <w:snapToGrid w:val="0"/>
              <w:spacing w:before="0"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建设项目应急预案主要内容见表</w:t>
            </w:r>
            <w:r>
              <w:rPr>
                <w:rFonts w:hint="eastAsia" w:ascii="宋体" w:hAnsi="宋体" w:eastAsia="宋体" w:cs="宋体"/>
                <w:color w:val="auto"/>
                <w:sz w:val="21"/>
                <w:szCs w:val="21"/>
                <w:lang w:val="en-US" w:eastAsia="zh-CN"/>
              </w:rPr>
              <w:t>4-15</w:t>
            </w:r>
            <w:r>
              <w:rPr>
                <w:rFonts w:hint="eastAsia" w:ascii="宋体" w:hAnsi="宋体" w:eastAsia="宋体" w:cs="宋体"/>
                <w:color w:val="auto"/>
                <w:sz w:val="21"/>
                <w:szCs w:val="21"/>
              </w:rPr>
              <w:t>。</w:t>
            </w:r>
          </w:p>
          <w:p>
            <w:pPr>
              <w:pStyle w:val="8"/>
              <w:pageBreakBefore w:val="0"/>
              <w:kinsoku/>
              <w:wordWrap/>
              <w:overflowPunct/>
              <w:topLinePunct w:val="0"/>
              <w:autoSpaceDE/>
              <w:autoSpaceDN/>
              <w:bidi w:val="0"/>
              <w:snapToGrid w:val="0"/>
              <w:spacing w:line="360" w:lineRule="auto"/>
              <w:ind w:firstLine="4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表</w:t>
            </w:r>
            <w:r>
              <w:rPr>
                <w:rFonts w:hint="eastAsia" w:ascii="宋体" w:hAnsi="宋体" w:eastAsia="宋体" w:cs="宋体"/>
                <w:color w:val="auto"/>
                <w:sz w:val="21"/>
                <w:szCs w:val="21"/>
                <w:lang w:val="en-US" w:eastAsia="zh-CN"/>
              </w:rPr>
              <w:t>4-15</w:t>
            </w:r>
            <w:r>
              <w:rPr>
                <w:rFonts w:hint="eastAsia" w:ascii="宋体" w:hAnsi="宋体" w:eastAsia="宋体" w:cs="宋体"/>
                <w:color w:val="auto"/>
                <w:sz w:val="21"/>
                <w:szCs w:val="21"/>
              </w:rPr>
              <w:t xml:space="preserve">  应急预案内容</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
              <w:gridCol w:w="2318"/>
              <w:gridCol w:w="4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blHeader/>
                <w:jc w:val="center"/>
              </w:trPr>
              <w:tc>
                <w:tcPr>
                  <w:tcW w:w="580" w:type="dxa"/>
                  <w:noWrap w:val="0"/>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序号</w:t>
                  </w:r>
                </w:p>
              </w:tc>
              <w:tc>
                <w:tcPr>
                  <w:tcW w:w="2318" w:type="dxa"/>
                  <w:noWrap w:val="0"/>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项目</w:t>
                  </w:r>
                </w:p>
              </w:tc>
              <w:tc>
                <w:tcPr>
                  <w:tcW w:w="4721" w:type="dxa"/>
                  <w:noWrap w:val="0"/>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580" w:type="dxa"/>
                  <w:noWrap w:val="0"/>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w:t>
                  </w:r>
                </w:p>
              </w:tc>
              <w:tc>
                <w:tcPr>
                  <w:tcW w:w="2318" w:type="dxa"/>
                  <w:noWrap w:val="0"/>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应急计划区</w:t>
                  </w:r>
                </w:p>
              </w:tc>
              <w:tc>
                <w:tcPr>
                  <w:tcW w:w="4721" w:type="dxa"/>
                  <w:noWrap w:val="0"/>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危险目标：仓库、危险固废暂存间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580" w:type="dxa"/>
                  <w:noWrap w:val="0"/>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w:t>
                  </w:r>
                </w:p>
              </w:tc>
              <w:tc>
                <w:tcPr>
                  <w:tcW w:w="2318" w:type="dxa"/>
                  <w:noWrap w:val="0"/>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应急组织机构、人员</w:t>
                  </w:r>
                </w:p>
              </w:tc>
              <w:tc>
                <w:tcPr>
                  <w:tcW w:w="4721" w:type="dxa"/>
                  <w:noWrap w:val="0"/>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工厂、地区应急组织机构、人员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580" w:type="dxa"/>
                  <w:noWrap w:val="0"/>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w:t>
                  </w:r>
                </w:p>
              </w:tc>
              <w:tc>
                <w:tcPr>
                  <w:tcW w:w="2318" w:type="dxa"/>
                  <w:noWrap w:val="0"/>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预案分级响应条件</w:t>
                  </w:r>
                </w:p>
              </w:tc>
              <w:tc>
                <w:tcPr>
                  <w:tcW w:w="4721" w:type="dxa"/>
                  <w:noWrap w:val="0"/>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规定预案的级别及分级响应程序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580" w:type="dxa"/>
                  <w:noWrap w:val="0"/>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w:t>
                  </w:r>
                </w:p>
              </w:tc>
              <w:tc>
                <w:tcPr>
                  <w:tcW w:w="2318" w:type="dxa"/>
                  <w:noWrap w:val="0"/>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应急救援保障</w:t>
                  </w:r>
                </w:p>
              </w:tc>
              <w:tc>
                <w:tcPr>
                  <w:tcW w:w="4721" w:type="dxa"/>
                  <w:noWrap w:val="0"/>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应急设施、设备与器材等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580" w:type="dxa"/>
                  <w:noWrap w:val="0"/>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2318" w:type="dxa"/>
                  <w:noWrap w:val="0"/>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报警、通讯联络方式</w:t>
                  </w:r>
                </w:p>
              </w:tc>
              <w:tc>
                <w:tcPr>
                  <w:tcW w:w="4721" w:type="dxa"/>
                  <w:noWrap w:val="0"/>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规定应急状态下的报警通讯方式、通知方式和交通保障、管制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580" w:type="dxa"/>
                  <w:noWrap w:val="0"/>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6</w:t>
                  </w:r>
                </w:p>
              </w:tc>
              <w:tc>
                <w:tcPr>
                  <w:tcW w:w="2318" w:type="dxa"/>
                  <w:noWrap w:val="0"/>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应急环境监测、抢险、</w:t>
                  </w:r>
                </w:p>
                <w:p>
                  <w:pPr>
                    <w:pStyle w:val="45"/>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救援及控制措施</w:t>
                  </w:r>
                </w:p>
              </w:tc>
              <w:tc>
                <w:tcPr>
                  <w:tcW w:w="4721" w:type="dxa"/>
                  <w:noWrap w:val="0"/>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由专业队伍负责对事故现场进行侦察监测，对事故性质、参数与后果进行评估，为指挥部门提供决策依据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580" w:type="dxa"/>
                  <w:noWrap w:val="0"/>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2318" w:type="dxa"/>
                  <w:noWrap w:val="0"/>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应急检测、防护措施、清除泄漏措施和器材</w:t>
                  </w:r>
                </w:p>
              </w:tc>
              <w:tc>
                <w:tcPr>
                  <w:tcW w:w="4721" w:type="dxa"/>
                  <w:noWrap w:val="0"/>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事故现场、邻近区域、控制防火区域，控制和清除污染措施及相应设备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580" w:type="dxa"/>
                  <w:noWrap w:val="0"/>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8</w:t>
                  </w:r>
                </w:p>
              </w:tc>
              <w:tc>
                <w:tcPr>
                  <w:tcW w:w="2318" w:type="dxa"/>
                  <w:noWrap w:val="0"/>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人员紧急撤离、疏散，应急剂量控制、撤离组织计划</w:t>
                  </w:r>
                </w:p>
              </w:tc>
              <w:tc>
                <w:tcPr>
                  <w:tcW w:w="4721" w:type="dxa"/>
                  <w:noWrap w:val="0"/>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事故现场、工厂邻近区、受事故影响的区域人员及公众对毒物应急剂量控制规定，撤离组织计划及救护，医疗救护与公众健康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580" w:type="dxa"/>
                  <w:noWrap w:val="0"/>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9</w:t>
                  </w:r>
                </w:p>
              </w:tc>
              <w:tc>
                <w:tcPr>
                  <w:tcW w:w="2318" w:type="dxa"/>
                  <w:noWrap w:val="0"/>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事故应急救援关闭程序与恢复措施</w:t>
                  </w:r>
                </w:p>
              </w:tc>
              <w:tc>
                <w:tcPr>
                  <w:tcW w:w="4721" w:type="dxa"/>
                  <w:noWrap w:val="0"/>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规定应急状态终止程序故现场善后处理，恢复措施邻近区域解除事故警戒及善后恢复措施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580" w:type="dxa"/>
                  <w:noWrap w:val="0"/>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10</w:t>
                  </w:r>
                </w:p>
              </w:tc>
              <w:tc>
                <w:tcPr>
                  <w:tcW w:w="2318" w:type="dxa"/>
                  <w:noWrap w:val="0"/>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应急培训计划</w:t>
                  </w:r>
                </w:p>
              </w:tc>
              <w:tc>
                <w:tcPr>
                  <w:tcW w:w="4721" w:type="dxa"/>
                  <w:noWrap w:val="0"/>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应急计划制定后，平时安排人员培训与演练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580" w:type="dxa"/>
                  <w:noWrap w:val="0"/>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11</w:t>
                  </w:r>
                </w:p>
              </w:tc>
              <w:tc>
                <w:tcPr>
                  <w:tcW w:w="2318" w:type="dxa"/>
                  <w:noWrap w:val="0"/>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公众教育和信息</w:t>
                  </w:r>
                </w:p>
              </w:tc>
              <w:tc>
                <w:tcPr>
                  <w:tcW w:w="4721" w:type="dxa"/>
                  <w:noWrap w:val="0"/>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对工厂邻近地区开展公众教育、培训和发布有关信息</w:t>
                  </w:r>
                </w:p>
              </w:tc>
            </w:tr>
          </w:tbl>
          <w:p>
            <w:pPr>
              <w:pStyle w:val="5"/>
              <w:pageBreakBefore w:val="0"/>
              <w:kinsoku/>
              <w:wordWrap/>
              <w:overflowPunct/>
              <w:topLinePunct w:val="0"/>
              <w:autoSpaceDE/>
              <w:autoSpaceDN/>
              <w:bidi w:val="0"/>
              <w:snapToGrid w:val="0"/>
              <w:spacing w:before="0"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经分析，本项目的事故发生频率为极小概率事件，最大可信事故为废气处理设施发生故障引发的废气超标排放。当废气正常排放时候污染物地面浓度以及占标率明显增加，因此项目废气治理设施必须经常进行维修和检查，购置备用设备，确保设备运行过程中能够正常运行，杜绝事故发生。</w:t>
            </w:r>
          </w:p>
          <w:p>
            <w:pPr>
              <w:adjustRightInd w:val="0"/>
              <w:snapToGrid w:val="0"/>
              <w:rPr>
                <w:bCs/>
                <w:color w:val="auto"/>
                <w:spacing w:val="-10"/>
                <w:szCs w:val="21"/>
              </w:rPr>
            </w:pPr>
          </w:p>
          <w:p>
            <w:pPr>
              <w:adjustRightInd w:val="0"/>
              <w:snapToGrid w:val="0"/>
              <w:rPr>
                <w:bCs/>
                <w:color w:val="auto"/>
                <w:spacing w:val="-10"/>
                <w:szCs w:val="21"/>
              </w:rPr>
            </w:pPr>
          </w:p>
        </w:tc>
      </w:tr>
    </w:tbl>
    <w:p>
      <w:pPr>
        <w:adjustRightInd w:val="0"/>
        <w:snapToGrid w:val="0"/>
        <w:spacing w:line="360" w:lineRule="auto"/>
        <w:rPr>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18"/>
        <w:jc w:val="center"/>
        <w:outlineLvl w:val="0"/>
        <w:rPr>
          <w:rFonts w:ascii="Times New Roman" w:hAnsi="Times New Roman" w:eastAsia="黑体"/>
          <w:snapToGrid w:val="0"/>
          <w:color w:val="auto"/>
          <w:sz w:val="30"/>
          <w:szCs w:val="30"/>
        </w:rPr>
      </w:pPr>
      <w:bookmarkStart w:id="13" w:name="_Toc71360647"/>
      <w:r>
        <w:rPr>
          <w:rFonts w:ascii="Times New Roman" w:hAnsi="Times New Roman" w:eastAsia="黑体"/>
          <w:snapToGrid w:val="0"/>
          <w:color w:val="auto"/>
          <w:sz w:val="30"/>
          <w:szCs w:val="30"/>
        </w:rPr>
        <w:t>五、</w:t>
      </w:r>
      <w:bookmarkStart w:id="14" w:name="_Hlk54167917"/>
      <w:r>
        <w:rPr>
          <w:rFonts w:ascii="Times New Roman" w:hAnsi="Times New Roman" w:eastAsia="黑体"/>
          <w:snapToGrid w:val="0"/>
          <w:color w:val="auto"/>
          <w:sz w:val="30"/>
          <w:szCs w:val="30"/>
        </w:rPr>
        <w:t>环境保护措施监督检查清单</w:t>
      </w:r>
      <w:bookmarkEnd w:id="13"/>
      <w:bookmarkEnd w:id="14"/>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54"/>
        <w:gridCol w:w="1559"/>
        <w:gridCol w:w="1276"/>
        <w:gridCol w:w="2126"/>
        <w:gridCol w:w="25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54" w:type="dxa"/>
            <w:tcBorders>
              <w:tl2br w:val="single" w:color="auto" w:sz="4" w:space="0"/>
            </w:tcBorders>
          </w:tcPr>
          <w:p>
            <w:pPr>
              <w:adjustRightInd w:val="0"/>
              <w:snapToGrid w:val="0"/>
              <w:jc w:val="right"/>
              <w:rPr>
                <w:color w:val="auto"/>
                <w:spacing w:val="0"/>
                <w:sz w:val="21"/>
                <w:szCs w:val="21"/>
              </w:rPr>
            </w:pPr>
            <w:r>
              <w:rPr>
                <w:color w:val="auto"/>
                <w:spacing w:val="0"/>
                <w:sz w:val="21"/>
                <w:szCs w:val="21"/>
              </w:rPr>
              <w:t>内容</w:t>
            </w:r>
          </w:p>
          <w:p>
            <w:pPr>
              <w:adjustRightInd w:val="0"/>
              <w:snapToGrid w:val="0"/>
              <w:rPr>
                <w:color w:val="auto"/>
                <w:spacing w:val="0"/>
                <w:sz w:val="21"/>
                <w:szCs w:val="21"/>
              </w:rPr>
            </w:pPr>
            <w:r>
              <w:rPr>
                <w:color w:val="auto"/>
                <w:spacing w:val="0"/>
                <w:sz w:val="21"/>
                <w:szCs w:val="21"/>
              </w:rPr>
              <w:t>要素</w:t>
            </w:r>
          </w:p>
        </w:tc>
        <w:tc>
          <w:tcPr>
            <w:tcW w:w="1559" w:type="dxa"/>
            <w:vAlign w:val="center"/>
          </w:tcPr>
          <w:p>
            <w:pPr>
              <w:adjustRightInd w:val="0"/>
              <w:snapToGrid w:val="0"/>
              <w:jc w:val="center"/>
              <w:rPr>
                <w:color w:val="auto"/>
                <w:spacing w:val="0"/>
                <w:sz w:val="21"/>
                <w:szCs w:val="21"/>
              </w:rPr>
            </w:pPr>
            <w:r>
              <w:rPr>
                <w:color w:val="auto"/>
                <w:spacing w:val="0"/>
                <w:sz w:val="21"/>
                <w:szCs w:val="21"/>
              </w:rPr>
              <w:t>排放口(编号、名称)/污染源</w:t>
            </w:r>
          </w:p>
        </w:tc>
        <w:tc>
          <w:tcPr>
            <w:tcW w:w="1276" w:type="dxa"/>
            <w:vAlign w:val="center"/>
          </w:tcPr>
          <w:p>
            <w:pPr>
              <w:adjustRightInd w:val="0"/>
              <w:snapToGrid w:val="0"/>
              <w:jc w:val="center"/>
              <w:rPr>
                <w:color w:val="auto"/>
                <w:spacing w:val="0"/>
                <w:sz w:val="21"/>
                <w:szCs w:val="21"/>
              </w:rPr>
            </w:pPr>
            <w:r>
              <w:rPr>
                <w:color w:val="auto"/>
                <w:spacing w:val="0"/>
                <w:sz w:val="21"/>
                <w:szCs w:val="21"/>
              </w:rPr>
              <w:t>污染物项目</w:t>
            </w:r>
          </w:p>
        </w:tc>
        <w:tc>
          <w:tcPr>
            <w:tcW w:w="2126" w:type="dxa"/>
            <w:vAlign w:val="center"/>
          </w:tcPr>
          <w:p>
            <w:pPr>
              <w:adjustRightInd w:val="0"/>
              <w:snapToGrid w:val="0"/>
              <w:jc w:val="center"/>
              <w:rPr>
                <w:color w:val="auto"/>
                <w:spacing w:val="0"/>
                <w:sz w:val="21"/>
                <w:szCs w:val="21"/>
              </w:rPr>
            </w:pPr>
            <w:r>
              <w:rPr>
                <w:color w:val="auto"/>
                <w:spacing w:val="0"/>
                <w:sz w:val="21"/>
                <w:szCs w:val="21"/>
              </w:rPr>
              <w:t>环境保护措施</w:t>
            </w:r>
          </w:p>
        </w:tc>
        <w:tc>
          <w:tcPr>
            <w:tcW w:w="2585" w:type="dxa"/>
            <w:vAlign w:val="center"/>
          </w:tcPr>
          <w:p>
            <w:pPr>
              <w:adjustRightInd w:val="0"/>
              <w:snapToGrid w:val="0"/>
              <w:jc w:val="center"/>
              <w:rPr>
                <w:color w:val="auto"/>
                <w:spacing w:val="0"/>
                <w:sz w:val="21"/>
                <w:szCs w:val="21"/>
              </w:rPr>
            </w:pPr>
            <w:r>
              <w:rPr>
                <w:color w:val="auto"/>
                <w:spacing w:val="0"/>
                <w:sz w:val="21"/>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54" w:type="dxa"/>
            <w:vMerge w:val="restart"/>
            <w:vAlign w:val="center"/>
          </w:tcPr>
          <w:p>
            <w:pPr>
              <w:adjustRightInd w:val="0"/>
              <w:snapToGrid w:val="0"/>
              <w:jc w:val="center"/>
              <w:rPr>
                <w:color w:val="auto"/>
                <w:spacing w:val="0"/>
                <w:sz w:val="21"/>
                <w:szCs w:val="21"/>
              </w:rPr>
            </w:pPr>
            <w:r>
              <w:rPr>
                <w:color w:val="auto"/>
                <w:spacing w:val="0"/>
                <w:sz w:val="21"/>
                <w:szCs w:val="21"/>
              </w:rPr>
              <w:t>大气环境</w:t>
            </w:r>
          </w:p>
        </w:tc>
        <w:tc>
          <w:tcPr>
            <w:tcW w:w="1559" w:type="dxa"/>
            <w:vAlign w:val="center"/>
          </w:tcPr>
          <w:p>
            <w:pPr>
              <w:pStyle w:val="45"/>
              <w:rPr>
                <w:color w:val="auto"/>
                <w:spacing w:val="0"/>
                <w:sz w:val="21"/>
                <w:szCs w:val="21"/>
              </w:rPr>
            </w:pPr>
            <w:r>
              <w:rPr>
                <w:color w:val="auto"/>
                <w:spacing w:val="0"/>
                <w:sz w:val="21"/>
                <w:szCs w:val="21"/>
                <w:u w:val="none"/>
              </w:rPr>
              <w:t>生产</w:t>
            </w:r>
            <w:r>
              <w:rPr>
                <w:rFonts w:hint="eastAsia"/>
                <w:color w:val="auto"/>
                <w:spacing w:val="0"/>
                <w:sz w:val="21"/>
                <w:szCs w:val="21"/>
                <w:u w:val="none"/>
                <w:lang w:eastAsia="zh-CN"/>
              </w:rPr>
              <w:t>加工区</w:t>
            </w:r>
            <w:r>
              <w:rPr>
                <w:color w:val="auto"/>
                <w:spacing w:val="0"/>
                <w:sz w:val="21"/>
                <w:szCs w:val="21"/>
                <w:u w:val="none"/>
              </w:rPr>
              <w:t>粉尘</w:t>
            </w:r>
          </w:p>
        </w:tc>
        <w:tc>
          <w:tcPr>
            <w:tcW w:w="1276" w:type="dxa"/>
            <w:vAlign w:val="center"/>
          </w:tcPr>
          <w:p>
            <w:pPr>
              <w:adjustRightInd w:val="0"/>
              <w:snapToGrid w:val="0"/>
              <w:jc w:val="center"/>
              <w:rPr>
                <w:color w:val="auto"/>
                <w:spacing w:val="0"/>
                <w:sz w:val="21"/>
                <w:szCs w:val="21"/>
              </w:rPr>
            </w:pPr>
            <w:r>
              <w:rPr>
                <w:color w:val="auto"/>
                <w:spacing w:val="0"/>
                <w:sz w:val="21"/>
                <w:szCs w:val="21"/>
              </w:rPr>
              <w:t>颗粒物</w:t>
            </w:r>
          </w:p>
        </w:tc>
        <w:tc>
          <w:tcPr>
            <w:tcW w:w="2126" w:type="dxa"/>
            <w:vAlign w:val="center"/>
          </w:tcPr>
          <w:p>
            <w:pPr>
              <w:pStyle w:val="45"/>
              <w:rPr>
                <w:color w:val="auto"/>
                <w:spacing w:val="0"/>
                <w:sz w:val="21"/>
                <w:szCs w:val="21"/>
              </w:rPr>
            </w:pPr>
            <w:r>
              <w:rPr>
                <w:color w:val="auto"/>
                <w:spacing w:val="0"/>
                <w:sz w:val="21"/>
                <w:szCs w:val="21"/>
                <w:u w:val="none"/>
              </w:rPr>
              <w:t>破碎、筛分工段采用喷淋除尘；全封闭的生产加工区；</w:t>
            </w:r>
            <w:r>
              <w:rPr>
                <w:rFonts w:hint="eastAsia"/>
                <w:color w:val="auto"/>
                <w:spacing w:val="0"/>
                <w:sz w:val="21"/>
                <w:szCs w:val="21"/>
                <w:u w:val="none"/>
                <w:lang w:eastAsia="zh-CN"/>
              </w:rPr>
              <w:t>皮带廊运输</w:t>
            </w:r>
          </w:p>
        </w:tc>
        <w:tc>
          <w:tcPr>
            <w:tcW w:w="2585" w:type="dxa"/>
            <w:vMerge w:val="restart"/>
            <w:vAlign w:val="center"/>
          </w:tcPr>
          <w:p>
            <w:pPr>
              <w:adjustRightInd w:val="0"/>
              <w:snapToGrid w:val="0"/>
              <w:jc w:val="center"/>
              <w:rPr>
                <w:color w:val="auto"/>
                <w:spacing w:val="0"/>
                <w:sz w:val="21"/>
                <w:szCs w:val="21"/>
                <w:u w:val="none"/>
              </w:rPr>
            </w:pPr>
            <w:r>
              <w:rPr>
                <w:color w:val="auto"/>
                <w:spacing w:val="0"/>
                <w:sz w:val="21"/>
                <w:szCs w:val="21"/>
                <w:u w:val="none"/>
              </w:rPr>
              <w:t>《大气污染物综合排放标准》(GB16297-1996)无组织排放浓度限值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54" w:type="dxa"/>
            <w:vMerge w:val="continue"/>
            <w:vAlign w:val="center"/>
          </w:tcPr>
          <w:p>
            <w:pPr>
              <w:adjustRightInd w:val="0"/>
              <w:snapToGrid w:val="0"/>
              <w:jc w:val="center"/>
              <w:rPr>
                <w:color w:val="auto"/>
                <w:spacing w:val="0"/>
                <w:sz w:val="21"/>
                <w:szCs w:val="21"/>
              </w:rPr>
            </w:pPr>
          </w:p>
        </w:tc>
        <w:tc>
          <w:tcPr>
            <w:tcW w:w="1559" w:type="dxa"/>
            <w:vAlign w:val="center"/>
          </w:tcPr>
          <w:p>
            <w:pPr>
              <w:pStyle w:val="45"/>
              <w:rPr>
                <w:color w:val="auto"/>
                <w:spacing w:val="0"/>
                <w:sz w:val="21"/>
                <w:szCs w:val="21"/>
              </w:rPr>
            </w:pPr>
            <w:r>
              <w:rPr>
                <w:rFonts w:hint="eastAsia"/>
                <w:color w:val="auto"/>
                <w:spacing w:val="0"/>
                <w:sz w:val="21"/>
                <w:szCs w:val="21"/>
                <w:u w:val="none"/>
                <w:lang w:val="en-US" w:eastAsia="zh-CN"/>
              </w:rPr>
              <w:t>原料堆场粉尘</w:t>
            </w:r>
          </w:p>
        </w:tc>
        <w:tc>
          <w:tcPr>
            <w:tcW w:w="1276" w:type="dxa"/>
            <w:vAlign w:val="center"/>
          </w:tcPr>
          <w:p>
            <w:pPr>
              <w:adjustRightInd w:val="0"/>
              <w:snapToGrid w:val="0"/>
              <w:jc w:val="center"/>
              <w:rPr>
                <w:color w:val="auto"/>
                <w:spacing w:val="0"/>
                <w:sz w:val="21"/>
                <w:szCs w:val="21"/>
              </w:rPr>
            </w:pPr>
            <w:r>
              <w:rPr>
                <w:color w:val="auto"/>
                <w:spacing w:val="0"/>
                <w:sz w:val="21"/>
                <w:szCs w:val="21"/>
              </w:rPr>
              <w:t>颗粒物</w:t>
            </w:r>
          </w:p>
        </w:tc>
        <w:tc>
          <w:tcPr>
            <w:tcW w:w="2126" w:type="dxa"/>
            <w:vAlign w:val="center"/>
          </w:tcPr>
          <w:p>
            <w:pPr>
              <w:pStyle w:val="45"/>
              <w:rPr>
                <w:color w:val="auto"/>
                <w:spacing w:val="0"/>
                <w:sz w:val="21"/>
                <w:szCs w:val="21"/>
              </w:rPr>
            </w:pPr>
            <w:r>
              <w:rPr>
                <w:color w:val="auto"/>
                <w:spacing w:val="0"/>
                <w:sz w:val="21"/>
                <w:szCs w:val="21"/>
                <w:u w:val="none"/>
              </w:rPr>
              <w:t>三面封闭带顶棚</w:t>
            </w:r>
            <w:r>
              <w:rPr>
                <w:rFonts w:hint="eastAsia"/>
                <w:color w:val="auto"/>
                <w:spacing w:val="0"/>
                <w:sz w:val="21"/>
                <w:szCs w:val="21"/>
                <w:u w:val="none"/>
              </w:rPr>
              <w:t>的堆场</w:t>
            </w:r>
            <w:r>
              <w:rPr>
                <w:color w:val="auto"/>
                <w:spacing w:val="0"/>
                <w:sz w:val="21"/>
                <w:szCs w:val="21"/>
                <w:u w:val="none"/>
              </w:rPr>
              <w:t>，喷淋洒水</w:t>
            </w:r>
          </w:p>
        </w:tc>
        <w:tc>
          <w:tcPr>
            <w:tcW w:w="2585" w:type="dxa"/>
            <w:vMerge w:val="continue"/>
            <w:vAlign w:val="center"/>
          </w:tcPr>
          <w:p>
            <w:pPr>
              <w:adjustRightInd w:val="0"/>
              <w:snapToGrid w:val="0"/>
              <w:jc w:val="center"/>
              <w:rPr>
                <w:color w:val="auto"/>
                <w:spacing w:val="0"/>
                <w:sz w:val="21"/>
                <w:szCs w:val="21"/>
                <w:u w:val="singl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54" w:type="dxa"/>
            <w:vMerge w:val="continue"/>
            <w:vAlign w:val="center"/>
          </w:tcPr>
          <w:p>
            <w:pPr>
              <w:adjustRightInd w:val="0"/>
              <w:snapToGrid w:val="0"/>
              <w:jc w:val="center"/>
              <w:rPr>
                <w:color w:val="auto"/>
                <w:spacing w:val="0"/>
                <w:sz w:val="21"/>
                <w:szCs w:val="21"/>
              </w:rPr>
            </w:pPr>
          </w:p>
        </w:tc>
        <w:tc>
          <w:tcPr>
            <w:tcW w:w="1559" w:type="dxa"/>
            <w:vAlign w:val="center"/>
          </w:tcPr>
          <w:p>
            <w:pPr>
              <w:pStyle w:val="45"/>
              <w:jc w:val="both"/>
              <w:rPr>
                <w:rFonts w:hint="eastAsia" w:eastAsia="宋体"/>
                <w:color w:val="auto"/>
                <w:spacing w:val="0"/>
                <w:sz w:val="21"/>
                <w:szCs w:val="21"/>
                <w:u w:val="none"/>
                <w:lang w:val="en-US" w:eastAsia="zh-CN"/>
              </w:rPr>
            </w:pPr>
            <w:r>
              <w:rPr>
                <w:rFonts w:hint="eastAsia"/>
                <w:color w:val="auto"/>
                <w:spacing w:val="0"/>
                <w:sz w:val="21"/>
                <w:szCs w:val="21"/>
                <w:u w:val="none"/>
                <w:lang w:eastAsia="zh-CN"/>
              </w:rPr>
              <w:t>成品堆场</w:t>
            </w:r>
            <w:r>
              <w:rPr>
                <w:color w:val="auto"/>
                <w:spacing w:val="0"/>
                <w:sz w:val="21"/>
                <w:szCs w:val="21"/>
                <w:u w:val="none"/>
              </w:rPr>
              <w:t>粉尘</w:t>
            </w:r>
          </w:p>
        </w:tc>
        <w:tc>
          <w:tcPr>
            <w:tcW w:w="1276" w:type="dxa"/>
            <w:vAlign w:val="center"/>
          </w:tcPr>
          <w:p>
            <w:pPr>
              <w:adjustRightInd w:val="0"/>
              <w:snapToGrid w:val="0"/>
              <w:jc w:val="center"/>
              <w:rPr>
                <w:color w:val="auto"/>
                <w:spacing w:val="0"/>
                <w:sz w:val="21"/>
                <w:szCs w:val="21"/>
              </w:rPr>
            </w:pPr>
            <w:r>
              <w:rPr>
                <w:color w:val="auto"/>
                <w:spacing w:val="0"/>
                <w:sz w:val="21"/>
                <w:szCs w:val="21"/>
              </w:rPr>
              <w:t>颗粒物</w:t>
            </w:r>
          </w:p>
        </w:tc>
        <w:tc>
          <w:tcPr>
            <w:tcW w:w="2126" w:type="dxa"/>
            <w:vAlign w:val="center"/>
          </w:tcPr>
          <w:p>
            <w:pPr>
              <w:pStyle w:val="45"/>
              <w:rPr>
                <w:color w:val="auto"/>
                <w:spacing w:val="0"/>
                <w:sz w:val="21"/>
                <w:szCs w:val="21"/>
                <w:u w:val="none"/>
              </w:rPr>
            </w:pPr>
            <w:r>
              <w:rPr>
                <w:color w:val="auto"/>
                <w:spacing w:val="0"/>
                <w:sz w:val="21"/>
                <w:szCs w:val="21"/>
                <w:u w:val="none"/>
              </w:rPr>
              <w:t>三面封闭带顶棚</w:t>
            </w:r>
            <w:r>
              <w:rPr>
                <w:rFonts w:hint="eastAsia"/>
                <w:color w:val="auto"/>
                <w:spacing w:val="0"/>
                <w:sz w:val="21"/>
                <w:szCs w:val="21"/>
                <w:u w:val="none"/>
              </w:rPr>
              <w:t>的堆场</w:t>
            </w:r>
            <w:r>
              <w:rPr>
                <w:color w:val="auto"/>
                <w:spacing w:val="0"/>
                <w:sz w:val="21"/>
                <w:szCs w:val="21"/>
                <w:u w:val="none"/>
              </w:rPr>
              <w:t>，喷淋洒水</w:t>
            </w:r>
          </w:p>
        </w:tc>
        <w:tc>
          <w:tcPr>
            <w:tcW w:w="2585" w:type="dxa"/>
            <w:vMerge w:val="continue"/>
            <w:vAlign w:val="center"/>
          </w:tcPr>
          <w:p>
            <w:pPr>
              <w:adjustRightInd w:val="0"/>
              <w:snapToGrid w:val="0"/>
              <w:jc w:val="center"/>
              <w:rPr>
                <w:color w:val="auto"/>
                <w:spacing w:val="0"/>
                <w:sz w:val="21"/>
                <w:szCs w:val="21"/>
                <w:u w:val="singl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54" w:type="dxa"/>
            <w:vMerge w:val="continue"/>
            <w:vAlign w:val="center"/>
          </w:tcPr>
          <w:p>
            <w:pPr>
              <w:adjustRightInd w:val="0"/>
              <w:snapToGrid w:val="0"/>
              <w:jc w:val="center"/>
              <w:rPr>
                <w:color w:val="auto"/>
                <w:spacing w:val="0"/>
                <w:sz w:val="21"/>
                <w:szCs w:val="21"/>
              </w:rPr>
            </w:pPr>
          </w:p>
        </w:tc>
        <w:tc>
          <w:tcPr>
            <w:tcW w:w="1559" w:type="dxa"/>
            <w:vAlign w:val="center"/>
          </w:tcPr>
          <w:p>
            <w:pPr>
              <w:pStyle w:val="45"/>
              <w:rPr>
                <w:color w:val="auto"/>
                <w:spacing w:val="0"/>
                <w:sz w:val="21"/>
                <w:szCs w:val="21"/>
              </w:rPr>
            </w:pPr>
            <w:r>
              <w:rPr>
                <w:color w:val="auto"/>
                <w:spacing w:val="0"/>
                <w:sz w:val="21"/>
                <w:szCs w:val="21"/>
                <w:u w:val="none"/>
              </w:rPr>
              <w:t>道路扬尘</w:t>
            </w:r>
          </w:p>
        </w:tc>
        <w:tc>
          <w:tcPr>
            <w:tcW w:w="1276" w:type="dxa"/>
            <w:vAlign w:val="center"/>
          </w:tcPr>
          <w:p>
            <w:pPr>
              <w:adjustRightInd w:val="0"/>
              <w:snapToGrid w:val="0"/>
              <w:jc w:val="center"/>
              <w:rPr>
                <w:color w:val="auto"/>
                <w:spacing w:val="0"/>
                <w:sz w:val="21"/>
                <w:szCs w:val="21"/>
              </w:rPr>
            </w:pPr>
            <w:r>
              <w:rPr>
                <w:color w:val="auto"/>
                <w:spacing w:val="0"/>
                <w:sz w:val="21"/>
                <w:szCs w:val="21"/>
              </w:rPr>
              <w:t>颗粒物</w:t>
            </w:r>
          </w:p>
        </w:tc>
        <w:tc>
          <w:tcPr>
            <w:tcW w:w="2126" w:type="dxa"/>
            <w:vAlign w:val="center"/>
          </w:tcPr>
          <w:p>
            <w:pPr>
              <w:pStyle w:val="45"/>
              <w:rPr>
                <w:color w:val="auto"/>
                <w:spacing w:val="0"/>
                <w:sz w:val="21"/>
                <w:szCs w:val="21"/>
              </w:rPr>
            </w:pPr>
            <w:r>
              <w:rPr>
                <w:color w:val="auto"/>
                <w:spacing w:val="0"/>
                <w:sz w:val="21"/>
                <w:szCs w:val="21"/>
                <w:u w:val="none"/>
              </w:rPr>
              <w:t>车辆加盖篷布、洒水抑尘、清扫道路</w:t>
            </w:r>
          </w:p>
        </w:tc>
        <w:tc>
          <w:tcPr>
            <w:tcW w:w="2585" w:type="dxa"/>
            <w:vMerge w:val="continue"/>
            <w:vAlign w:val="center"/>
          </w:tcPr>
          <w:p>
            <w:pPr>
              <w:adjustRightInd w:val="0"/>
              <w:snapToGrid w:val="0"/>
              <w:jc w:val="center"/>
              <w:rPr>
                <w:color w:val="auto"/>
                <w:spacing w:val="0"/>
                <w:sz w:val="21"/>
                <w:szCs w:val="21"/>
                <w:u w:val="singl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54" w:type="dxa"/>
            <w:vMerge w:val="restart"/>
            <w:vAlign w:val="center"/>
          </w:tcPr>
          <w:p>
            <w:pPr>
              <w:adjustRightInd w:val="0"/>
              <w:snapToGrid w:val="0"/>
              <w:jc w:val="center"/>
              <w:rPr>
                <w:color w:val="auto"/>
                <w:spacing w:val="0"/>
                <w:sz w:val="21"/>
                <w:szCs w:val="21"/>
              </w:rPr>
            </w:pPr>
            <w:r>
              <w:rPr>
                <w:color w:val="auto"/>
                <w:spacing w:val="0"/>
                <w:sz w:val="21"/>
                <w:szCs w:val="21"/>
              </w:rPr>
              <w:t>地表水环境</w:t>
            </w:r>
          </w:p>
        </w:tc>
        <w:tc>
          <w:tcPr>
            <w:tcW w:w="1559" w:type="dxa"/>
            <w:vAlign w:val="center"/>
          </w:tcPr>
          <w:p>
            <w:pPr>
              <w:adjustRightInd w:val="0"/>
              <w:snapToGrid w:val="0"/>
              <w:jc w:val="center"/>
              <w:rPr>
                <w:color w:val="auto"/>
                <w:spacing w:val="0"/>
                <w:sz w:val="21"/>
                <w:szCs w:val="21"/>
              </w:rPr>
            </w:pPr>
            <w:r>
              <w:rPr>
                <w:color w:val="auto"/>
                <w:spacing w:val="0"/>
                <w:sz w:val="21"/>
                <w:szCs w:val="21"/>
              </w:rPr>
              <w:t>生活污水</w:t>
            </w:r>
          </w:p>
        </w:tc>
        <w:tc>
          <w:tcPr>
            <w:tcW w:w="1276" w:type="dxa"/>
            <w:vAlign w:val="center"/>
          </w:tcPr>
          <w:p>
            <w:pPr>
              <w:adjustRightInd w:val="0"/>
              <w:snapToGrid w:val="0"/>
              <w:jc w:val="center"/>
              <w:rPr>
                <w:color w:val="auto"/>
                <w:spacing w:val="0"/>
                <w:sz w:val="21"/>
                <w:szCs w:val="21"/>
              </w:rPr>
            </w:pPr>
            <w:r>
              <w:rPr>
                <w:color w:val="auto"/>
                <w:spacing w:val="0"/>
                <w:sz w:val="21"/>
                <w:szCs w:val="21"/>
              </w:rPr>
              <w:t>COD、BOD</w:t>
            </w:r>
            <w:r>
              <w:rPr>
                <w:color w:val="auto"/>
                <w:spacing w:val="0"/>
                <w:sz w:val="21"/>
                <w:szCs w:val="21"/>
                <w:vertAlign w:val="subscript"/>
              </w:rPr>
              <w:t>5</w:t>
            </w:r>
            <w:r>
              <w:rPr>
                <w:color w:val="auto"/>
                <w:spacing w:val="0"/>
                <w:sz w:val="21"/>
                <w:szCs w:val="21"/>
              </w:rPr>
              <w:t>、SS、NH</w:t>
            </w:r>
            <w:r>
              <w:rPr>
                <w:color w:val="auto"/>
                <w:spacing w:val="0"/>
                <w:sz w:val="21"/>
                <w:szCs w:val="21"/>
                <w:vertAlign w:val="subscript"/>
              </w:rPr>
              <w:t>3</w:t>
            </w:r>
            <w:r>
              <w:rPr>
                <w:color w:val="auto"/>
                <w:spacing w:val="0"/>
                <w:sz w:val="21"/>
                <w:szCs w:val="21"/>
              </w:rPr>
              <w:t>-N</w:t>
            </w:r>
          </w:p>
        </w:tc>
        <w:tc>
          <w:tcPr>
            <w:tcW w:w="2126" w:type="dxa"/>
            <w:vAlign w:val="center"/>
          </w:tcPr>
          <w:p>
            <w:pPr>
              <w:adjustRightInd w:val="0"/>
              <w:snapToGrid w:val="0"/>
              <w:jc w:val="center"/>
              <w:rPr>
                <w:rFonts w:hint="eastAsia" w:eastAsia="宋体"/>
                <w:color w:val="auto"/>
                <w:spacing w:val="0"/>
                <w:sz w:val="21"/>
                <w:szCs w:val="21"/>
                <w:lang w:eastAsia="zh-CN"/>
              </w:rPr>
            </w:pPr>
            <w:r>
              <w:rPr>
                <w:color w:val="auto"/>
                <w:spacing w:val="0"/>
                <w:sz w:val="21"/>
                <w:szCs w:val="21"/>
              </w:rPr>
              <w:t>化粪池预处理后用于</w:t>
            </w:r>
            <w:r>
              <w:rPr>
                <w:rFonts w:hint="eastAsia"/>
                <w:color w:val="auto"/>
                <w:spacing w:val="0"/>
                <w:sz w:val="21"/>
                <w:szCs w:val="21"/>
                <w:lang w:eastAsia="zh-CN"/>
              </w:rPr>
              <w:t>附近农田农肥</w:t>
            </w:r>
          </w:p>
        </w:tc>
        <w:tc>
          <w:tcPr>
            <w:tcW w:w="2585" w:type="dxa"/>
            <w:vAlign w:val="center"/>
          </w:tcPr>
          <w:p>
            <w:pPr>
              <w:adjustRightInd w:val="0"/>
              <w:snapToGrid w:val="0"/>
              <w:jc w:val="center"/>
              <w:rPr>
                <w:color w:val="auto"/>
                <w:spacing w:val="0"/>
                <w:sz w:val="21"/>
                <w:szCs w:val="21"/>
              </w:rPr>
            </w:pPr>
            <w:r>
              <w:rPr>
                <w:color w:val="auto"/>
                <w:spacing w:val="0"/>
                <w:sz w:val="21"/>
                <w:szCs w:val="21"/>
                <w:u w:val="none"/>
              </w:rPr>
              <w:t>用作农肥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54" w:type="dxa"/>
            <w:vMerge w:val="continue"/>
            <w:vAlign w:val="center"/>
          </w:tcPr>
          <w:p>
            <w:pPr>
              <w:adjustRightInd w:val="0"/>
              <w:snapToGrid w:val="0"/>
              <w:jc w:val="center"/>
              <w:rPr>
                <w:color w:val="auto"/>
                <w:spacing w:val="0"/>
                <w:sz w:val="21"/>
                <w:szCs w:val="21"/>
              </w:rPr>
            </w:pPr>
          </w:p>
        </w:tc>
        <w:tc>
          <w:tcPr>
            <w:tcW w:w="1559" w:type="dxa"/>
            <w:vAlign w:val="center"/>
          </w:tcPr>
          <w:p>
            <w:pPr>
              <w:pStyle w:val="45"/>
              <w:rPr>
                <w:rFonts w:ascii="Times New Roman" w:hAnsi="Times New Roman" w:eastAsia="宋体" w:cs="Times New Roman"/>
                <w:color w:val="auto"/>
                <w:spacing w:val="0"/>
                <w:kern w:val="0"/>
                <w:sz w:val="21"/>
                <w:szCs w:val="21"/>
                <w:u w:val="none"/>
                <w:lang w:val="zh-CN" w:eastAsia="zh-CN" w:bidi="ar-SA"/>
              </w:rPr>
            </w:pPr>
            <w:r>
              <w:rPr>
                <w:color w:val="auto"/>
                <w:spacing w:val="0"/>
                <w:sz w:val="21"/>
                <w:szCs w:val="21"/>
                <w:u w:val="none"/>
              </w:rPr>
              <w:t>初期雨水</w:t>
            </w:r>
          </w:p>
        </w:tc>
        <w:tc>
          <w:tcPr>
            <w:tcW w:w="1276" w:type="dxa"/>
            <w:vAlign w:val="center"/>
          </w:tcPr>
          <w:p>
            <w:pPr>
              <w:pStyle w:val="45"/>
              <w:rPr>
                <w:rFonts w:ascii="Times New Roman" w:hAnsi="Times New Roman" w:eastAsia="宋体" w:cs="Times New Roman"/>
                <w:color w:val="auto"/>
                <w:spacing w:val="0"/>
                <w:kern w:val="0"/>
                <w:sz w:val="21"/>
                <w:szCs w:val="21"/>
                <w:u w:val="none"/>
                <w:lang w:val="zh-CN" w:eastAsia="zh-CN" w:bidi="ar-SA"/>
              </w:rPr>
            </w:pPr>
            <w:r>
              <w:rPr>
                <w:color w:val="auto"/>
                <w:spacing w:val="0"/>
                <w:sz w:val="21"/>
                <w:szCs w:val="21"/>
              </w:rPr>
              <w:t>SS</w:t>
            </w:r>
          </w:p>
        </w:tc>
        <w:tc>
          <w:tcPr>
            <w:tcW w:w="2126" w:type="dxa"/>
            <w:vAlign w:val="center"/>
          </w:tcPr>
          <w:p>
            <w:pPr>
              <w:pStyle w:val="45"/>
              <w:rPr>
                <w:rFonts w:ascii="Times New Roman" w:hAnsi="Times New Roman" w:eastAsia="宋体" w:cs="Times New Roman"/>
                <w:color w:val="auto"/>
                <w:spacing w:val="0"/>
                <w:kern w:val="0"/>
                <w:sz w:val="21"/>
                <w:szCs w:val="21"/>
                <w:u w:val="none"/>
                <w:lang w:val="zh-CN" w:eastAsia="zh-CN" w:bidi="ar-SA"/>
              </w:rPr>
            </w:pPr>
            <w:r>
              <w:rPr>
                <w:color w:val="auto"/>
                <w:spacing w:val="0"/>
                <w:sz w:val="21"/>
                <w:szCs w:val="21"/>
                <w:u w:val="none"/>
              </w:rPr>
              <w:t>初期雨水</w:t>
            </w:r>
            <w:r>
              <w:rPr>
                <w:rFonts w:hint="eastAsia"/>
                <w:color w:val="auto"/>
                <w:spacing w:val="0"/>
                <w:sz w:val="21"/>
                <w:szCs w:val="21"/>
                <w:u w:val="none"/>
                <w:lang w:eastAsia="zh-CN"/>
              </w:rPr>
              <w:t>收集</w:t>
            </w:r>
            <w:r>
              <w:rPr>
                <w:color w:val="auto"/>
                <w:spacing w:val="0"/>
                <w:sz w:val="21"/>
                <w:szCs w:val="21"/>
                <w:u w:val="none"/>
              </w:rPr>
              <w:t>池</w:t>
            </w:r>
            <w:r>
              <w:rPr>
                <w:rFonts w:hint="eastAsia"/>
                <w:color w:val="auto"/>
                <w:spacing w:val="0"/>
                <w:sz w:val="21"/>
                <w:szCs w:val="21"/>
                <w:u w:val="none"/>
                <w:lang w:eastAsia="zh-CN"/>
              </w:rPr>
              <w:t>收集后经沉淀为清水后回用</w:t>
            </w:r>
          </w:p>
        </w:tc>
        <w:tc>
          <w:tcPr>
            <w:tcW w:w="2585" w:type="dxa"/>
            <w:vAlign w:val="center"/>
          </w:tcPr>
          <w:p>
            <w:pPr>
              <w:adjustRightInd w:val="0"/>
              <w:snapToGrid w:val="0"/>
              <w:jc w:val="center"/>
              <w:rPr>
                <w:rFonts w:hint="eastAsia" w:eastAsia="宋体"/>
                <w:color w:val="auto"/>
                <w:spacing w:val="0"/>
                <w:sz w:val="21"/>
                <w:szCs w:val="21"/>
                <w:lang w:eastAsia="zh-CN"/>
              </w:rPr>
            </w:pPr>
            <w:r>
              <w:rPr>
                <w:rFonts w:hint="eastAsia"/>
                <w:color w:val="auto"/>
                <w:spacing w:val="0"/>
                <w:sz w:val="21"/>
                <w:szCs w:val="21"/>
                <w:lang w:eastAsia="zh-CN"/>
              </w:rPr>
              <w:t>综合利用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54" w:type="dxa"/>
            <w:vMerge w:val="continue"/>
            <w:vAlign w:val="center"/>
          </w:tcPr>
          <w:p>
            <w:pPr>
              <w:adjustRightInd w:val="0"/>
              <w:snapToGrid w:val="0"/>
              <w:jc w:val="center"/>
              <w:rPr>
                <w:color w:val="auto"/>
                <w:spacing w:val="0"/>
                <w:sz w:val="21"/>
                <w:szCs w:val="21"/>
              </w:rPr>
            </w:pPr>
          </w:p>
        </w:tc>
        <w:tc>
          <w:tcPr>
            <w:tcW w:w="1559" w:type="dxa"/>
            <w:vAlign w:val="center"/>
          </w:tcPr>
          <w:p>
            <w:pPr>
              <w:pStyle w:val="45"/>
              <w:rPr>
                <w:rFonts w:hint="eastAsia" w:eastAsia="宋体"/>
                <w:color w:val="auto"/>
                <w:spacing w:val="0"/>
                <w:sz w:val="21"/>
                <w:szCs w:val="21"/>
                <w:u w:val="none"/>
                <w:lang w:eastAsia="zh-CN"/>
              </w:rPr>
            </w:pPr>
            <w:r>
              <w:rPr>
                <w:rFonts w:hint="eastAsia"/>
                <w:color w:val="auto"/>
                <w:spacing w:val="0"/>
                <w:sz w:val="21"/>
                <w:szCs w:val="21"/>
                <w:u w:val="none"/>
                <w:lang w:eastAsia="zh-CN"/>
              </w:rPr>
              <w:t>生产废水</w:t>
            </w:r>
          </w:p>
        </w:tc>
        <w:tc>
          <w:tcPr>
            <w:tcW w:w="1276" w:type="dxa"/>
            <w:vAlign w:val="center"/>
          </w:tcPr>
          <w:p>
            <w:pPr>
              <w:pStyle w:val="45"/>
              <w:rPr>
                <w:rFonts w:hint="default" w:eastAsia="宋体"/>
                <w:color w:val="auto"/>
                <w:spacing w:val="0"/>
                <w:sz w:val="21"/>
                <w:szCs w:val="21"/>
                <w:lang w:val="en-US" w:eastAsia="zh-CN"/>
              </w:rPr>
            </w:pPr>
            <w:r>
              <w:rPr>
                <w:rFonts w:hint="eastAsia"/>
                <w:color w:val="auto"/>
                <w:spacing w:val="0"/>
                <w:sz w:val="21"/>
                <w:szCs w:val="21"/>
                <w:lang w:val="en-US" w:eastAsia="zh-CN"/>
              </w:rPr>
              <w:t>SS</w:t>
            </w:r>
          </w:p>
        </w:tc>
        <w:tc>
          <w:tcPr>
            <w:tcW w:w="2126" w:type="dxa"/>
            <w:vAlign w:val="center"/>
          </w:tcPr>
          <w:p>
            <w:pPr>
              <w:pStyle w:val="45"/>
              <w:rPr>
                <w:rFonts w:hint="default" w:eastAsia="宋体"/>
                <w:color w:val="auto"/>
                <w:spacing w:val="0"/>
                <w:sz w:val="21"/>
                <w:szCs w:val="21"/>
                <w:u w:val="none"/>
                <w:lang w:val="en-US" w:eastAsia="zh-CN"/>
              </w:rPr>
            </w:pPr>
            <w:r>
              <w:rPr>
                <w:rFonts w:hint="eastAsia"/>
                <w:color w:val="auto"/>
                <w:spacing w:val="0"/>
                <w:sz w:val="21"/>
                <w:szCs w:val="21"/>
                <w:u w:val="none"/>
                <w:lang w:val="en-US" w:eastAsia="zh-CN"/>
              </w:rPr>
              <w:t>沉淀池收集，通过浓缩絮凝沉淀后压滤，产生清水回用</w:t>
            </w:r>
          </w:p>
        </w:tc>
        <w:tc>
          <w:tcPr>
            <w:tcW w:w="2585" w:type="dxa"/>
            <w:vAlign w:val="center"/>
          </w:tcPr>
          <w:p>
            <w:pPr>
              <w:adjustRightInd w:val="0"/>
              <w:snapToGrid w:val="0"/>
              <w:jc w:val="center"/>
              <w:rPr>
                <w:rFonts w:hint="eastAsia"/>
                <w:color w:val="auto"/>
                <w:spacing w:val="0"/>
                <w:sz w:val="21"/>
                <w:szCs w:val="21"/>
                <w:lang w:eastAsia="zh-CN"/>
              </w:rPr>
            </w:pPr>
            <w:r>
              <w:rPr>
                <w:rFonts w:hint="eastAsia"/>
                <w:color w:val="auto"/>
                <w:spacing w:val="0"/>
                <w:sz w:val="21"/>
                <w:szCs w:val="21"/>
                <w:lang w:eastAsia="zh-CN"/>
              </w:rPr>
              <w:t>综合利用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54" w:type="dxa"/>
            <w:vAlign w:val="center"/>
          </w:tcPr>
          <w:p>
            <w:pPr>
              <w:adjustRightInd w:val="0"/>
              <w:snapToGrid w:val="0"/>
              <w:jc w:val="center"/>
              <w:rPr>
                <w:color w:val="auto"/>
                <w:spacing w:val="0"/>
                <w:sz w:val="21"/>
                <w:szCs w:val="21"/>
              </w:rPr>
            </w:pPr>
            <w:r>
              <w:rPr>
                <w:color w:val="auto"/>
                <w:spacing w:val="0"/>
                <w:sz w:val="21"/>
                <w:szCs w:val="21"/>
              </w:rPr>
              <w:t>声环境</w:t>
            </w:r>
          </w:p>
        </w:tc>
        <w:tc>
          <w:tcPr>
            <w:tcW w:w="1559" w:type="dxa"/>
            <w:vAlign w:val="center"/>
          </w:tcPr>
          <w:p>
            <w:pPr>
              <w:pStyle w:val="45"/>
              <w:rPr>
                <w:rFonts w:ascii="Times New Roman" w:hAnsi="Times New Roman" w:eastAsia="宋体" w:cs="Times New Roman"/>
                <w:color w:val="auto"/>
                <w:spacing w:val="0"/>
                <w:kern w:val="0"/>
                <w:sz w:val="21"/>
                <w:szCs w:val="21"/>
                <w:u w:val="none"/>
                <w:lang w:val="zh-CN" w:eastAsia="zh-CN" w:bidi="ar-SA"/>
              </w:rPr>
            </w:pPr>
            <w:r>
              <w:rPr>
                <w:rFonts w:hint="eastAsia" w:cs="Times New Roman"/>
                <w:color w:val="auto"/>
                <w:spacing w:val="0"/>
                <w:kern w:val="0"/>
                <w:sz w:val="21"/>
                <w:szCs w:val="21"/>
                <w:u w:val="none"/>
                <w:lang w:val="zh-CN" w:eastAsia="zh-CN" w:bidi="ar-SA"/>
              </w:rPr>
              <w:t>生产设备</w:t>
            </w:r>
          </w:p>
        </w:tc>
        <w:tc>
          <w:tcPr>
            <w:tcW w:w="1276" w:type="dxa"/>
            <w:vAlign w:val="center"/>
          </w:tcPr>
          <w:p>
            <w:pPr>
              <w:pStyle w:val="45"/>
              <w:rPr>
                <w:rFonts w:hint="eastAsia" w:ascii="Times New Roman" w:hAnsi="Times New Roman" w:eastAsia="宋体" w:cs="Times New Roman"/>
                <w:color w:val="auto"/>
                <w:spacing w:val="0"/>
                <w:kern w:val="0"/>
                <w:sz w:val="21"/>
                <w:szCs w:val="21"/>
                <w:u w:val="none"/>
                <w:lang w:val="zh-CN" w:eastAsia="zh-CN" w:bidi="ar-SA"/>
              </w:rPr>
            </w:pPr>
            <w:r>
              <w:rPr>
                <w:rFonts w:hint="eastAsia" w:cs="Times New Roman"/>
                <w:color w:val="auto"/>
                <w:spacing w:val="0"/>
                <w:kern w:val="0"/>
                <w:sz w:val="21"/>
                <w:szCs w:val="21"/>
                <w:u w:val="none"/>
                <w:lang w:val="zh-CN" w:eastAsia="zh-CN" w:bidi="ar-SA"/>
              </w:rPr>
              <w:t>噪声</w:t>
            </w:r>
          </w:p>
        </w:tc>
        <w:tc>
          <w:tcPr>
            <w:tcW w:w="2126" w:type="dxa"/>
            <w:vAlign w:val="center"/>
          </w:tcPr>
          <w:p>
            <w:pPr>
              <w:pStyle w:val="45"/>
              <w:rPr>
                <w:rFonts w:ascii="Times New Roman" w:hAnsi="Times New Roman" w:eastAsia="宋体" w:cs="Times New Roman"/>
                <w:color w:val="auto"/>
                <w:spacing w:val="0"/>
                <w:kern w:val="0"/>
                <w:sz w:val="21"/>
                <w:szCs w:val="21"/>
                <w:u w:val="none"/>
                <w:lang w:val="zh-CN" w:eastAsia="zh-CN" w:bidi="ar-SA"/>
              </w:rPr>
            </w:pPr>
            <w:r>
              <w:rPr>
                <w:rFonts w:hint="eastAsia" w:cs="Times New Roman"/>
                <w:color w:val="auto"/>
                <w:spacing w:val="0"/>
                <w:kern w:val="0"/>
                <w:sz w:val="21"/>
                <w:szCs w:val="21"/>
                <w:u w:val="none"/>
                <w:lang w:val="zh-CN" w:eastAsia="zh-CN" w:bidi="ar-SA"/>
              </w:rPr>
              <w:t>厂房隔声、设备减震、距离衰减、设备维修保养</w:t>
            </w:r>
          </w:p>
        </w:tc>
        <w:tc>
          <w:tcPr>
            <w:tcW w:w="2585" w:type="dxa"/>
            <w:vAlign w:val="center"/>
          </w:tcPr>
          <w:p>
            <w:pPr>
              <w:adjustRightInd w:val="0"/>
              <w:snapToGrid w:val="0"/>
              <w:jc w:val="center"/>
              <w:rPr>
                <w:color w:val="auto"/>
                <w:spacing w:val="0"/>
                <w:sz w:val="21"/>
                <w:szCs w:val="21"/>
              </w:rPr>
            </w:pPr>
            <w:r>
              <w:rPr>
                <w:color w:val="auto"/>
                <w:spacing w:val="0"/>
                <w:sz w:val="21"/>
                <w:szCs w:val="21"/>
              </w:rPr>
              <w:t>《工业企业厂界环境噪声排放标准》GB12348-2008中的2类标准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54" w:type="dxa"/>
            <w:vAlign w:val="center"/>
          </w:tcPr>
          <w:p>
            <w:pPr>
              <w:adjustRightInd w:val="0"/>
              <w:snapToGrid w:val="0"/>
              <w:jc w:val="center"/>
              <w:rPr>
                <w:color w:val="auto"/>
                <w:spacing w:val="0"/>
                <w:sz w:val="21"/>
                <w:szCs w:val="21"/>
              </w:rPr>
            </w:pPr>
            <w:r>
              <w:rPr>
                <w:color w:val="auto"/>
                <w:spacing w:val="0"/>
                <w:sz w:val="21"/>
                <w:szCs w:val="21"/>
              </w:rPr>
              <w:t>电磁辐射</w:t>
            </w:r>
          </w:p>
        </w:tc>
        <w:tc>
          <w:tcPr>
            <w:tcW w:w="1559" w:type="dxa"/>
            <w:vAlign w:val="center"/>
          </w:tcPr>
          <w:p>
            <w:pPr>
              <w:adjustRightInd w:val="0"/>
              <w:snapToGrid w:val="0"/>
              <w:jc w:val="center"/>
              <w:rPr>
                <w:color w:val="auto"/>
                <w:spacing w:val="0"/>
                <w:sz w:val="21"/>
                <w:szCs w:val="21"/>
              </w:rPr>
            </w:pPr>
            <w:r>
              <w:rPr>
                <w:color w:val="auto"/>
                <w:spacing w:val="0"/>
                <w:sz w:val="21"/>
                <w:szCs w:val="21"/>
              </w:rPr>
              <w:t>/</w:t>
            </w:r>
          </w:p>
        </w:tc>
        <w:tc>
          <w:tcPr>
            <w:tcW w:w="1276" w:type="dxa"/>
            <w:vAlign w:val="center"/>
          </w:tcPr>
          <w:p>
            <w:pPr>
              <w:adjustRightInd w:val="0"/>
              <w:snapToGrid w:val="0"/>
              <w:jc w:val="center"/>
              <w:rPr>
                <w:color w:val="auto"/>
                <w:spacing w:val="0"/>
                <w:sz w:val="21"/>
                <w:szCs w:val="21"/>
              </w:rPr>
            </w:pPr>
            <w:r>
              <w:rPr>
                <w:color w:val="auto"/>
                <w:spacing w:val="0"/>
                <w:sz w:val="21"/>
                <w:szCs w:val="21"/>
              </w:rPr>
              <w:t>/</w:t>
            </w:r>
          </w:p>
        </w:tc>
        <w:tc>
          <w:tcPr>
            <w:tcW w:w="2126" w:type="dxa"/>
            <w:vAlign w:val="center"/>
          </w:tcPr>
          <w:p>
            <w:pPr>
              <w:adjustRightInd w:val="0"/>
              <w:snapToGrid w:val="0"/>
              <w:jc w:val="center"/>
              <w:rPr>
                <w:color w:val="auto"/>
                <w:spacing w:val="0"/>
                <w:sz w:val="21"/>
                <w:szCs w:val="21"/>
              </w:rPr>
            </w:pPr>
            <w:r>
              <w:rPr>
                <w:color w:val="auto"/>
                <w:spacing w:val="0"/>
                <w:sz w:val="21"/>
                <w:szCs w:val="21"/>
              </w:rPr>
              <w:t>/</w:t>
            </w:r>
          </w:p>
        </w:tc>
        <w:tc>
          <w:tcPr>
            <w:tcW w:w="2585" w:type="dxa"/>
            <w:vAlign w:val="center"/>
          </w:tcPr>
          <w:p>
            <w:pPr>
              <w:adjustRightInd w:val="0"/>
              <w:snapToGrid w:val="0"/>
              <w:jc w:val="center"/>
              <w:rPr>
                <w:color w:val="auto"/>
                <w:spacing w:val="0"/>
                <w:sz w:val="21"/>
                <w:szCs w:val="21"/>
              </w:rPr>
            </w:pPr>
            <w:r>
              <w:rPr>
                <w:color w:val="auto"/>
                <w:spacing w:val="0"/>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8" w:hRule="atLeast"/>
          <w:jc w:val="center"/>
        </w:trPr>
        <w:tc>
          <w:tcPr>
            <w:tcW w:w="1254" w:type="dxa"/>
            <w:vAlign w:val="center"/>
          </w:tcPr>
          <w:p>
            <w:pPr>
              <w:adjustRightInd w:val="0"/>
              <w:snapToGrid w:val="0"/>
              <w:jc w:val="center"/>
              <w:rPr>
                <w:color w:val="auto"/>
                <w:spacing w:val="0"/>
                <w:sz w:val="21"/>
                <w:szCs w:val="21"/>
              </w:rPr>
            </w:pPr>
            <w:r>
              <w:rPr>
                <w:color w:val="auto"/>
                <w:spacing w:val="0"/>
                <w:sz w:val="21"/>
                <w:szCs w:val="21"/>
              </w:rPr>
              <w:t>固体废物</w:t>
            </w:r>
          </w:p>
        </w:tc>
        <w:tc>
          <w:tcPr>
            <w:tcW w:w="7546" w:type="dxa"/>
            <w:gridSpan w:val="4"/>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eastAsia" w:eastAsia="宋体"/>
                <w:color w:val="auto"/>
                <w:spacing w:val="0"/>
                <w:sz w:val="21"/>
                <w:szCs w:val="21"/>
                <w:lang w:eastAsia="zh-CN"/>
              </w:rPr>
            </w:pPr>
            <w:r>
              <w:rPr>
                <w:rFonts w:hint="eastAsia"/>
                <w:color w:val="auto"/>
                <w:spacing w:val="0"/>
                <w:sz w:val="21"/>
                <w:szCs w:val="21"/>
                <w:lang w:val="en-US" w:eastAsia="zh-CN"/>
              </w:rPr>
              <w:t>1.</w:t>
            </w:r>
            <w:r>
              <w:rPr>
                <w:color w:val="auto"/>
                <w:spacing w:val="0"/>
                <w:sz w:val="21"/>
                <w:szCs w:val="21"/>
              </w:rPr>
              <w:t>生活垃圾集中收集后交由环卫部门统一收集集中处理</w:t>
            </w:r>
            <w:r>
              <w:rPr>
                <w:rFonts w:hint="eastAsia"/>
                <w:color w:val="auto"/>
                <w:spacing w:val="0"/>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eastAsia"/>
                <w:color w:val="auto"/>
                <w:spacing w:val="0"/>
                <w:sz w:val="21"/>
                <w:szCs w:val="21"/>
                <w:lang w:eastAsia="zh-CN"/>
              </w:rPr>
            </w:pPr>
            <w:r>
              <w:rPr>
                <w:rFonts w:hint="eastAsia"/>
                <w:color w:val="auto"/>
                <w:spacing w:val="0"/>
                <w:sz w:val="21"/>
                <w:szCs w:val="21"/>
                <w:u w:val="none"/>
                <w:lang w:val="en-US" w:eastAsia="zh-CN"/>
              </w:rPr>
              <w:t>2.</w:t>
            </w:r>
            <w:r>
              <w:rPr>
                <w:color w:val="auto"/>
                <w:spacing w:val="0"/>
                <w:sz w:val="21"/>
                <w:szCs w:val="21"/>
                <w:u w:val="none"/>
              </w:rPr>
              <w:t>生产车间收集粉尘</w:t>
            </w:r>
            <w:r>
              <w:rPr>
                <w:color w:val="auto"/>
                <w:spacing w:val="0"/>
                <w:sz w:val="21"/>
                <w:szCs w:val="21"/>
              </w:rPr>
              <w:t>收集后用作产品外售</w:t>
            </w:r>
            <w:r>
              <w:rPr>
                <w:rFonts w:hint="eastAsia"/>
                <w:color w:val="auto"/>
                <w:spacing w:val="0"/>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eastAsia"/>
                <w:color w:val="auto"/>
                <w:spacing w:val="0"/>
                <w:sz w:val="21"/>
                <w:szCs w:val="21"/>
                <w:u w:val="none"/>
                <w:lang w:eastAsia="zh-CN"/>
              </w:rPr>
            </w:pPr>
            <w:r>
              <w:rPr>
                <w:rFonts w:hint="eastAsia"/>
                <w:color w:val="auto"/>
                <w:spacing w:val="0"/>
                <w:sz w:val="21"/>
                <w:szCs w:val="21"/>
                <w:u w:val="none"/>
                <w:lang w:val="en-US" w:eastAsia="zh-CN"/>
              </w:rPr>
              <w:t>3.</w:t>
            </w:r>
            <w:r>
              <w:rPr>
                <w:rFonts w:hint="eastAsia"/>
                <w:color w:val="auto"/>
                <w:spacing w:val="0"/>
                <w:sz w:val="21"/>
                <w:szCs w:val="21"/>
                <w:u w:val="none"/>
                <w:lang w:eastAsia="zh-CN"/>
              </w:rPr>
              <w:t>沉淀污泥通过板</w:t>
            </w:r>
            <w:r>
              <w:rPr>
                <w:color w:val="auto"/>
                <w:spacing w:val="0"/>
                <w:sz w:val="21"/>
                <w:szCs w:val="21"/>
                <w:u w:val="none"/>
              </w:rPr>
              <w:t>式污泥压滤机压滤</w:t>
            </w:r>
            <w:r>
              <w:rPr>
                <w:rFonts w:hint="eastAsia"/>
                <w:color w:val="auto"/>
                <w:spacing w:val="0"/>
                <w:sz w:val="21"/>
                <w:szCs w:val="21"/>
                <w:u w:val="none"/>
                <w:lang w:eastAsia="zh-CN"/>
              </w:rPr>
              <w:t>形成泥饼</w:t>
            </w:r>
            <w:r>
              <w:rPr>
                <w:color w:val="auto"/>
                <w:spacing w:val="0"/>
                <w:sz w:val="21"/>
                <w:szCs w:val="21"/>
                <w:u w:val="none"/>
              </w:rPr>
              <w:t>后交由制砖厂用作生产原料</w:t>
            </w:r>
            <w:r>
              <w:rPr>
                <w:rFonts w:hint="eastAsia"/>
                <w:color w:val="auto"/>
                <w:spacing w:val="0"/>
                <w:sz w:val="21"/>
                <w:szCs w:val="21"/>
                <w:u w:val="none"/>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color w:val="auto"/>
                <w:spacing w:val="0"/>
                <w:sz w:val="21"/>
                <w:szCs w:val="21"/>
              </w:rPr>
            </w:pPr>
            <w:r>
              <w:rPr>
                <w:rFonts w:hint="eastAsia"/>
                <w:color w:val="auto"/>
                <w:spacing w:val="0"/>
                <w:sz w:val="21"/>
                <w:szCs w:val="21"/>
                <w:u w:val="none"/>
                <w:lang w:val="en-US" w:eastAsia="zh-CN"/>
              </w:rPr>
              <w:t>4.</w:t>
            </w:r>
            <w:r>
              <w:rPr>
                <w:rFonts w:hint="eastAsia"/>
                <w:color w:val="auto"/>
                <w:spacing w:val="0"/>
                <w:sz w:val="21"/>
                <w:szCs w:val="21"/>
                <w:u w:val="none"/>
                <w:lang w:eastAsia="zh-CN"/>
              </w:rPr>
              <w:t>废润滑油及润滑油桶由维修公司代收，交由有相关处理资质公司处置</w:t>
            </w:r>
            <w:r>
              <w:rPr>
                <w:color w:val="auto"/>
                <w:spacing w:val="0"/>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1" w:hRule="atLeast"/>
          <w:jc w:val="center"/>
        </w:trPr>
        <w:tc>
          <w:tcPr>
            <w:tcW w:w="1254" w:type="dxa"/>
            <w:vAlign w:val="center"/>
          </w:tcPr>
          <w:p>
            <w:pPr>
              <w:adjustRightInd w:val="0"/>
              <w:snapToGrid w:val="0"/>
              <w:jc w:val="center"/>
              <w:rPr>
                <w:color w:val="auto"/>
                <w:spacing w:val="0"/>
                <w:sz w:val="21"/>
                <w:szCs w:val="21"/>
              </w:rPr>
            </w:pPr>
            <w:r>
              <w:rPr>
                <w:color w:val="auto"/>
                <w:spacing w:val="0"/>
                <w:sz w:val="21"/>
                <w:szCs w:val="21"/>
              </w:rPr>
              <w:t>土壤及地下水污染防治措施</w:t>
            </w:r>
          </w:p>
        </w:tc>
        <w:tc>
          <w:tcPr>
            <w:tcW w:w="7546" w:type="dxa"/>
            <w:gridSpan w:val="4"/>
            <w:vAlign w:val="center"/>
          </w:tcPr>
          <w:p>
            <w:pPr>
              <w:keepNext w:val="0"/>
              <w:keepLines w:val="0"/>
              <w:widowControl/>
              <w:suppressLineNumbers w:val="0"/>
              <w:jc w:val="left"/>
              <w:rPr>
                <w:color w:val="auto"/>
                <w:spacing w:val="0"/>
                <w:sz w:val="21"/>
                <w:szCs w:val="21"/>
              </w:rPr>
            </w:pPr>
            <w:r>
              <w:rPr>
                <w:rFonts w:hint="eastAsia" w:ascii="宋体" w:hAnsi="宋体" w:eastAsia="宋体" w:cs="宋体"/>
                <w:color w:val="auto"/>
                <w:spacing w:val="0"/>
                <w:kern w:val="0"/>
                <w:sz w:val="21"/>
                <w:szCs w:val="21"/>
                <w:lang w:val="en-US" w:eastAsia="zh-CN" w:bidi="ar"/>
              </w:rPr>
              <w:t>沉淀池和清水池内壁采用混凝土整体浇筑，</w:t>
            </w:r>
            <w:r>
              <w:rPr>
                <w:rFonts w:hint="eastAsia" w:ascii="宋体" w:hAnsi="宋体" w:cs="宋体"/>
                <w:color w:val="auto"/>
                <w:spacing w:val="0"/>
                <w:kern w:val="0"/>
                <w:sz w:val="21"/>
                <w:szCs w:val="21"/>
                <w:lang w:val="en-US" w:eastAsia="zh-CN" w:bidi="ar"/>
              </w:rPr>
              <w:t>生产车间及原料、产品堆场地面硬化。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54" w:type="dxa"/>
            <w:vAlign w:val="center"/>
          </w:tcPr>
          <w:p>
            <w:pPr>
              <w:adjustRightInd w:val="0"/>
              <w:snapToGrid w:val="0"/>
              <w:jc w:val="center"/>
              <w:rPr>
                <w:color w:val="auto"/>
                <w:spacing w:val="0"/>
                <w:sz w:val="21"/>
                <w:szCs w:val="21"/>
              </w:rPr>
            </w:pPr>
            <w:r>
              <w:rPr>
                <w:color w:val="auto"/>
                <w:spacing w:val="0"/>
                <w:sz w:val="21"/>
                <w:szCs w:val="21"/>
              </w:rPr>
              <w:t>生态保护措施</w:t>
            </w:r>
          </w:p>
        </w:tc>
        <w:tc>
          <w:tcPr>
            <w:tcW w:w="7546" w:type="dxa"/>
            <w:gridSpan w:val="4"/>
            <w:vAlign w:val="center"/>
          </w:tcPr>
          <w:p>
            <w:pPr>
              <w:adjustRightInd w:val="0"/>
              <w:snapToGrid w:val="0"/>
              <w:jc w:val="center"/>
              <w:rPr>
                <w:color w:val="auto"/>
                <w:spacing w:val="0"/>
                <w:sz w:val="21"/>
                <w:szCs w:val="21"/>
              </w:rPr>
            </w:pPr>
            <w:r>
              <w:rPr>
                <w:color w:val="auto"/>
                <w:spacing w:val="0"/>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254"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auto"/>
                <w:spacing w:val="0"/>
                <w:sz w:val="21"/>
                <w:szCs w:val="21"/>
              </w:rPr>
            </w:pPr>
            <w:r>
              <w:rPr>
                <w:color w:val="auto"/>
                <w:spacing w:val="0"/>
                <w:sz w:val="21"/>
                <w:szCs w:val="21"/>
              </w:rPr>
              <w:t>环境风险</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auto"/>
                <w:spacing w:val="0"/>
                <w:sz w:val="21"/>
                <w:szCs w:val="21"/>
              </w:rPr>
            </w:pPr>
            <w:r>
              <w:rPr>
                <w:color w:val="auto"/>
                <w:spacing w:val="0"/>
                <w:sz w:val="21"/>
                <w:szCs w:val="21"/>
              </w:rPr>
              <w:t>防范措施</w:t>
            </w:r>
          </w:p>
        </w:tc>
        <w:tc>
          <w:tcPr>
            <w:tcW w:w="7546"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spacing w:val="0"/>
                <w:sz w:val="21"/>
                <w:szCs w:val="21"/>
              </w:rPr>
            </w:pPr>
            <w:r>
              <w:rPr>
                <w:rFonts w:hint="eastAsia"/>
                <w:color w:val="auto"/>
                <w:spacing w:val="0"/>
                <w:sz w:val="21"/>
                <w:szCs w:val="21"/>
                <w:lang w:val="en-US" w:eastAsia="zh-CN"/>
              </w:rPr>
              <w:t>1.</w:t>
            </w:r>
            <w:r>
              <w:rPr>
                <w:color w:val="auto"/>
                <w:spacing w:val="0"/>
                <w:sz w:val="21"/>
                <w:szCs w:val="21"/>
              </w:rPr>
              <w:t>火灾风险防范措施：消除和控制明火源、防止电气火花。</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bCs/>
                <w:color w:val="auto"/>
                <w:spacing w:val="0"/>
                <w:sz w:val="21"/>
                <w:szCs w:val="21"/>
              </w:rPr>
            </w:pPr>
            <w:r>
              <w:rPr>
                <w:rFonts w:hint="eastAsia"/>
                <w:color w:val="auto"/>
                <w:spacing w:val="0"/>
                <w:sz w:val="21"/>
                <w:szCs w:val="21"/>
                <w:lang w:val="en-US" w:eastAsia="zh-CN"/>
              </w:rPr>
              <w:t>2.</w:t>
            </w:r>
            <w:r>
              <w:rPr>
                <w:color w:val="auto"/>
                <w:spacing w:val="0"/>
                <w:sz w:val="21"/>
                <w:szCs w:val="21"/>
              </w:rPr>
              <w:t>环境风险应急措施：</w:t>
            </w:r>
            <w:r>
              <w:rPr>
                <w:bCs/>
                <w:color w:val="auto"/>
                <w:spacing w:val="0"/>
                <w:sz w:val="21"/>
                <w:szCs w:val="21"/>
              </w:rPr>
              <w:t>配备足量的灭火器及消防设施，企业在该项目生产和安全管理中要密切注意事故易发部位，做好运行监督检查与维护保养，防患于未然设置三级防控措施，确保灭火时产生的废水可完全被收集，不会通过地表径流污染地表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254"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auto"/>
                <w:spacing w:val="0"/>
                <w:sz w:val="21"/>
                <w:szCs w:val="21"/>
              </w:rPr>
            </w:pPr>
            <w:r>
              <w:rPr>
                <w:color w:val="auto"/>
                <w:spacing w:val="0"/>
                <w:sz w:val="21"/>
                <w:szCs w:val="21"/>
              </w:rPr>
              <w:t>其他环境</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auto"/>
                <w:spacing w:val="0"/>
                <w:sz w:val="21"/>
                <w:szCs w:val="21"/>
              </w:rPr>
            </w:pPr>
            <w:r>
              <w:rPr>
                <w:color w:val="auto"/>
                <w:spacing w:val="0"/>
                <w:sz w:val="21"/>
                <w:szCs w:val="21"/>
              </w:rPr>
              <w:t>管理要求</w:t>
            </w:r>
          </w:p>
        </w:tc>
        <w:tc>
          <w:tcPr>
            <w:tcW w:w="7546"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spacing w:val="0"/>
                <w:sz w:val="21"/>
                <w:szCs w:val="21"/>
              </w:rPr>
            </w:pPr>
            <w:r>
              <w:rPr>
                <w:rFonts w:hint="eastAsia"/>
                <w:color w:val="auto"/>
                <w:spacing w:val="0"/>
                <w:sz w:val="21"/>
                <w:szCs w:val="21"/>
                <w:lang w:val="en-US" w:eastAsia="zh-CN"/>
              </w:rPr>
              <w:t>1.</w:t>
            </w:r>
            <w:r>
              <w:rPr>
                <w:color w:val="auto"/>
                <w:spacing w:val="0"/>
                <w:sz w:val="21"/>
                <w:szCs w:val="21"/>
              </w:rPr>
              <w:t>项目应按生态环境部门的要求加强对企业的环境管理，要建立健全企业的环保监督、管理制度。</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spacing w:val="0"/>
                <w:sz w:val="21"/>
                <w:szCs w:val="21"/>
              </w:rPr>
            </w:pPr>
            <w:r>
              <w:rPr>
                <w:rFonts w:hint="eastAsia"/>
                <w:color w:val="auto"/>
                <w:spacing w:val="0"/>
                <w:sz w:val="21"/>
                <w:szCs w:val="21"/>
                <w:lang w:val="en-US" w:eastAsia="zh-CN"/>
              </w:rPr>
              <w:t>2.</w:t>
            </w:r>
            <w:r>
              <w:rPr>
                <w:color w:val="auto"/>
                <w:spacing w:val="0"/>
                <w:sz w:val="21"/>
                <w:szCs w:val="21"/>
              </w:rPr>
              <w:t>环保管理制度：排污定期报告制度，要定期向当地环保部门报告污染治理设施运行情况、污染物排放情况以及污染事故、污染纠纷情况。</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spacing w:val="0"/>
                <w:sz w:val="21"/>
                <w:szCs w:val="21"/>
              </w:rPr>
            </w:pPr>
            <w:r>
              <w:rPr>
                <w:rFonts w:hint="eastAsia"/>
                <w:color w:val="auto"/>
                <w:spacing w:val="0"/>
                <w:sz w:val="21"/>
                <w:szCs w:val="21"/>
                <w:lang w:val="en-US" w:eastAsia="zh-CN"/>
              </w:rPr>
              <w:t>3.</w:t>
            </w:r>
            <w:r>
              <w:rPr>
                <w:color w:val="auto"/>
                <w:spacing w:val="0"/>
                <w:sz w:val="21"/>
                <w:szCs w:val="21"/>
              </w:rPr>
              <w:t>环境管理措施：企业应有负责人分管厂内的环保工作，设立环保专门机构，配备专职人员负责具体工作，以保证各项污染防治设施的正常运行。经常对厂内劳动人员进行环境保护的教育和管理，使每一员工都有环保意识及危害意识，自觉节约用水、用电。对固体废弃物能自觉纳入相应的收集系统内，不乱排、乱倒。</w:t>
            </w:r>
          </w:p>
        </w:tc>
      </w:tr>
    </w:tbl>
    <w:p>
      <w:pPr>
        <w:pStyle w:val="18"/>
        <w:jc w:val="center"/>
        <w:outlineLvl w:val="0"/>
        <w:rPr>
          <w:rFonts w:ascii="Times New Roman" w:hAnsi="Times New Roman" w:eastAsia="黑体"/>
          <w:snapToGrid w:val="0"/>
          <w:color w:val="auto"/>
          <w:sz w:val="30"/>
          <w:szCs w:val="30"/>
        </w:rPr>
      </w:pPr>
      <w:r>
        <w:rPr>
          <w:rFonts w:ascii="Times New Roman" w:hAnsi="Times New Roman"/>
          <w:snapToGrid w:val="0"/>
          <w:color w:val="auto"/>
        </w:rPr>
        <w:br w:type="page"/>
      </w:r>
      <w:bookmarkStart w:id="15" w:name="_Toc71360648"/>
      <w:r>
        <w:rPr>
          <w:rFonts w:ascii="Times New Roman" w:hAnsi="Times New Roman" w:eastAsia="黑体"/>
          <w:snapToGrid w:val="0"/>
          <w:color w:val="auto"/>
          <w:sz w:val="30"/>
          <w:szCs w:val="30"/>
        </w:rPr>
        <w:t>六、结论</w:t>
      </w:r>
      <w:bookmarkEnd w:id="15"/>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pPr>
              <w:spacing w:line="360" w:lineRule="auto"/>
              <w:ind w:firstLine="380" w:firstLineChars="200"/>
              <w:rPr>
                <w:bCs/>
                <w:color w:val="auto"/>
                <w:spacing w:val="-10"/>
                <w:szCs w:val="21"/>
              </w:rPr>
            </w:pP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color w:val="auto"/>
                <w:sz w:val="24"/>
              </w:rPr>
            </w:pPr>
            <w:r>
              <w:rPr>
                <w:bCs/>
                <w:color w:val="auto"/>
                <w:spacing w:val="0"/>
                <w:sz w:val="21"/>
                <w:szCs w:val="21"/>
              </w:rPr>
              <w:t>经综合分析，</w:t>
            </w:r>
            <w:r>
              <w:rPr>
                <w:rFonts w:hint="eastAsia"/>
                <w:bCs/>
                <w:color w:val="auto"/>
                <w:spacing w:val="0"/>
                <w:sz w:val="21"/>
                <w:szCs w:val="21"/>
                <w:lang w:eastAsia="zh-CN"/>
              </w:rPr>
              <w:t>衡阳铭峰陶瓷原料经营有限公司年产机制砂10万吨、陶瓷原料10万吨建设项目</w:t>
            </w:r>
            <w:r>
              <w:rPr>
                <w:bCs/>
                <w:color w:val="auto"/>
                <w:spacing w:val="0"/>
                <w:sz w:val="21"/>
                <w:szCs w:val="21"/>
              </w:rPr>
              <w:t>符合国家产业政策和土地利用规划要求，选址可行，总平面布置合理。在认真落实报告表提出的各项环保措施的前提下，污染物可做到达标排放，固废可得到妥善利用，噪声不会出现扰民现象，项目建设及运营对周边环境的影响可满足环境功能区划的要求，从环境保护角度而言，项目建设可行。</w:t>
            </w:r>
          </w:p>
        </w:tc>
      </w:tr>
    </w:tbl>
    <w:p>
      <w:pPr>
        <w:rPr>
          <w:color w:val="auto"/>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18"/>
        <w:adjustRightInd w:val="0"/>
        <w:snapToGrid w:val="0"/>
        <w:spacing w:before="0" w:beforeAutospacing="0" w:after="0" w:afterAutospacing="0" w:line="648" w:lineRule="auto"/>
        <w:outlineLvl w:val="0"/>
        <w:rPr>
          <w:rFonts w:ascii="Times New Roman" w:hAnsi="Times New Roman" w:eastAsia="黑体"/>
          <w:snapToGrid w:val="0"/>
          <w:color w:val="auto"/>
          <w:sz w:val="32"/>
          <w:szCs w:val="32"/>
        </w:rPr>
      </w:pPr>
      <w:bookmarkStart w:id="16" w:name="_Toc71360649"/>
      <w:r>
        <w:rPr>
          <w:rFonts w:ascii="Times New Roman" w:hAnsi="Times New Roman" w:eastAsia="黑体"/>
          <w:snapToGrid w:val="0"/>
          <w:color w:val="auto"/>
          <w:sz w:val="32"/>
          <w:szCs w:val="32"/>
        </w:rPr>
        <w:t>附表</w:t>
      </w:r>
      <w:bookmarkEnd w:id="16"/>
      <w:bookmarkStart w:id="17" w:name="_Toc71360650"/>
    </w:p>
    <w:p>
      <w:pPr>
        <w:pStyle w:val="18"/>
        <w:adjustRightInd w:val="0"/>
        <w:snapToGrid w:val="0"/>
        <w:spacing w:before="0" w:beforeAutospacing="0" w:after="0" w:afterAutospacing="0" w:line="648" w:lineRule="auto"/>
        <w:jc w:val="center"/>
        <w:outlineLvl w:val="0"/>
        <w:rPr>
          <w:rFonts w:ascii="Times New Roman" w:hAnsi="Times New Roman" w:eastAsia="方正小标宋_GBK"/>
          <w:snapToGrid w:val="0"/>
          <w:color w:val="auto"/>
          <w:sz w:val="38"/>
          <w:szCs w:val="38"/>
        </w:rPr>
      </w:pPr>
      <w:r>
        <w:rPr>
          <w:rFonts w:ascii="Times New Roman" w:hAnsi="Times New Roman" w:eastAsia="方正小标宋_GBK"/>
          <w:snapToGrid w:val="0"/>
          <w:color w:val="auto"/>
          <w:sz w:val="38"/>
          <w:szCs w:val="38"/>
        </w:rPr>
        <w:t>建设项目污染物排放量汇总表</w:t>
      </w:r>
      <w:bookmarkEnd w:id="17"/>
    </w:p>
    <w:tbl>
      <w:tblPr>
        <w:tblStyle w:val="20"/>
        <w:tblW w:w="1378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76"/>
        <w:gridCol w:w="1529"/>
        <w:gridCol w:w="1701"/>
        <w:gridCol w:w="1276"/>
        <w:gridCol w:w="1701"/>
        <w:gridCol w:w="1559"/>
        <w:gridCol w:w="1761"/>
        <w:gridCol w:w="1783"/>
        <w:gridCol w:w="10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76" w:type="dxa"/>
            <w:tcBorders>
              <w:tl2br w:val="nil"/>
              <w:tr2bl w:val="nil"/>
            </w:tcBorders>
            <w:tcMar>
              <w:left w:w="28" w:type="dxa"/>
              <w:right w:w="28" w:type="dxa"/>
            </w:tcMar>
            <w:vAlign w:val="center"/>
          </w:tcPr>
          <w:p>
            <w:pPr>
              <w:pStyle w:val="35"/>
              <w:spacing w:beforeLines="0" w:afterLines="0" w:line="240" w:lineRule="auto"/>
              <w:jc w:val="right"/>
              <w:rPr>
                <w:rFonts w:ascii="Times New Roman" w:eastAsia="黑体"/>
                <w:snapToGrid w:val="0"/>
                <w:color w:val="auto"/>
                <w:spacing w:val="-6"/>
                <w:kern w:val="21"/>
                <w:szCs w:val="21"/>
              </w:rPr>
            </w:pPr>
            <w:r>
              <w:rPr>
                <w:rFonts w:ascii="Times New Roman" w:eastAsia="黑体"/>
                <w:snapToGrid w:val="0"/>
                <w:color w:val="auto"/>
                <w:spacing w:val="-6"/>
                <w:kern w:val="21"/>
                <w:szCs w:val="21"/>
              </w:rPr>
              <w:t>项目</w:t>
            </w:r>
          </w:p>
          <w:p>
            <w:pPr>
              <w:pStyle w:val="35"/>
              <w:spacing w:beforeLines="0" w:afterLines="0" w:line="240" w:lineRule="auto"/>
              <w:jc w:val="left"/>
              <w:rPr>
                <w:rFonts w:ascii="Times New Roman" w:eastAsia="黑体"/>
                <w:snapToGrid w:val="0"/>
                <w:color w:val="auto"/>
                <w:spacing w:val="-6"/>
                <w:kern w:val="21"/>
                <w:szCs w:val="21"/>
              </w:rPr>
            </w:pPr>
            <w:r>
              <w:rPr>
                <w:rFonts w:ascii="Times New Roman" w:eastAsia="黑体"/>
                <w:snapToGrid w:val="0"/>
                <w:color w:val="auto"/>
                <w:spacing w:val="-6"/>
                <w:kern w:val="21"/>
                <w:szCs w:val="21"/>
              </w:rPr>
              <w:t>分类</w:t>
            </w:r>
          </w:p>
        </w:tc>
        <w:tc>
          <w:tcPr>
            <w:tcW w:w="1529" w:type="dxa"/>
            <w:tcBorders>
              <w:tl2br w:val="nil"/>
              <w:tr2bl w:val="nil"/>
            </w:tcBorders>
            <w:tcMar>
              <w:left w:w="28" w:type="dxa"/>
              <w:right w:w="28" w:type="dxa"/>
            </w:tcMar>
            <w:vAlign w:val="center"/>
          </w:tcPr>
          <w:p>
            <w:pPr>
              <w:pStyle w:val="35"/>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污染物名称</w:t>
            </w:r>
          </w:p>
        </w:tc>
        <w:tc>
          <w:tcPr>
            <w:tcW w:w="1701" w:type="dxa"/>
            <w:tcBorders>
              <w:tl2br w:val="nil"/>
              <w:tr2bl w:val="nil"/>
            </w:tcBorders>
            <w:tcMar>
              <w:left w:w="28" w:type="dxa"/>
              <w:right w:w="28" w:type="dxa"/>
            </w:tcMar>
            <w:vAlign w:val="center"/>
          </w:tcPr>
          <w:p>
            <w:pPr>
              <w:pStyle w:val="35"/>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现有工程</w:t>
            </w:r>
          </w:p>
          <w:p>
            <w:pPr>
              <w:pStyle w:val="35"/>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排放量（固体废物产生量）</w:t>
            </w: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1 \* GB3 \* MERGEFORMAT </w:instrText>
            </w:r>
            <w:r>
              <w:rPr>
                <w:rFonts w:ascii="Times New Roman" w:eastAsia="黑体"/>
                <w:snapToGrid w:val="0"/>
                <w:color w:val="auto"/>
                <w:spacing w:val="-6"/>
                <w:kern w:val="21"/>
                <w:szCs w:val="21"/>
              </w:rPr>
              <w:fldChar w:fldCharType="separate"/>
            </w:r>
            <w:r>
              <w:rPr>
                <w:rFonts w:hint="eastAsia" w:hAnsi="宋体" w:cs="宋体"/>
                <w:color w:val="auto"/>
                <w:kern w:val="2"/>
                <w:szCs w:val="21"/>
              </w:rPr>
              <w:t>①</w:t>
            </w:r>
            <w:r>
              <w:rPr>
                <w:rFonts w:ascii="Times New Roman" w:eastAsia="黑体"/>
                <w:snapToGrid w:val="0"/>
                <w:color w:val="auto"/>
                <w:spacing w:val="-6"/>
                <w:kern w:val="21"/>
                <w:szCs w:val="21"/>
              </w:rPr>
              <w:fldChar w:fldCharType="end"/>
            </w:r>
          </w:p>
        </w:tc>
        <w:tc>
          <w:tcPr>
            <w:tcW w:w="1276" w:type="dxa"/>
            <w:tcBorders>
              <w:tl2br w:val="nil"/>
              <w:tr2bl w:val="nil"/>
            </w:tcBorders>
            <w:tcMar>
              <w:left w:w="28" w:type="dxa"/>
              <w:right w:w="28" w:type="dxa"/>
            </w:tcMar>
            <w:vAlign w:val="center"/>
          </w:tcPr>
          <w:p>
            <w:pPr>
              <w:pStyle w:val="35"/>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现有工程</w:t>
            </w:r>
          </w:p>
          <w:p>
            <w:pPr>
              <w:pStyle w:val="35"/>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许可排放量</w:t>
            </w:r>
          </w:p>
          <w:p>
            <w:pPr>
              <w:pStyle w:val="35"/>
              <w:spacing w:beforeLines="0" w:afterLines="0"/>
              <w:rPr>
                <w:rFonts w:ascii="Times New Roman" w:eastAsia="黑体"/>
                <w:snapToGrid w:val="0"/>
                <w:color w:val="auto"/>
                <w:spacing w:val="-6"/>
                <w:kern w:val="21"/>
                <w:szCs w:val="21"/>
              </w:rPr>
            </w:pP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2 \* GB3 \* MERGEFORMAT </w:instrText>
            </w:r>
            <w:r>
              <w:rPr>
                <w:rFonts w:ascii="Times New Roman" w:eastAsia="黑体"/>
                <w:snapToGrid w:val="0"/>
                <w:color w:val="auto"/>
                <w:spacing w:val="-6"/>
                <w:kern w:val="21"/>
                <w:szCs w:val="21"/>
              </w:rPr>
              <w:fldChar w:fldCharType="separate"/>
            </w:r>
            <w:r>
              <w:rPr>
                <w:rFonts w:hint="eastAsia" w:hAnsi="宋体" w:cs="宋体"/>
                <w:snapToGrid w:val="0"/>
                <w:color w:val="auto"/>
                <w:spacing w:val="-6"/>
                <w:kern w:val="21"/>
                <w:szCs w:val="21"/>
              </w:rPr>
              <w:t>②</w:t>
            </w:r>
            <w:r>
              <w:rPr>
                <w:rFonts w:ascii="Times New Roman" w:eastAsia="黑体"/>
                <w:snapToGrid w:val="0"/>
                <w:color w:val="auto"/>
                <w:spacing w:val="-6"/>
                <w:kern w:val="21"/>
                <w:szCs w:val="21"/>
              </w:rPr>
              <w:fldChar w:fldCharType="end"/>
            </w:r>
          </w:p>
        </w:tc>
        <w:tc>
          <w:tcPr>
            <w:tcW w:w="1701" w:type="dxa"/>
            <w:tcBorders>
              <w:tl2br w:val="nil"/>
              <w:tr2bl w:val="nil"/>
            </w:tcBorders>
            <w:tcMar>
              <w:left w:w="28" w:type="dxa"/>
              <w:right w:w="28" w:type="dxa"/>
            </w:tcMar>
            <w:vAlign w:val="center"/>
          </w:tcPr>
          <w:p>
            <w:pPr>
              <w:pStyle w:val="35"/>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在建工程</w:t>
            </w:r>
          </w:p>
          <w:p>
            <w:pPr>
              <w:pStyle w:val="35"/>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排放量（固体废物产生量）</w:t>
            </w: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3 \* GB3 \* MERGEFORMAT </w:instrText>
            </w:r>
            <w:r>
              <w:rPr>
                <w:rFonts w:ascii="Times New Roman" w:eastAsia="黑体"/>
                <w:snapToGrid w:val="0"/>
                <w:color w:val="auto"/>
                <w:spacing w:val="-6"/>
                <w:kern w:val="21"/>
                <w:szCs w:val="21"/>
              </w:rPr>
              <w:fldChar w:fldCharType="separate"/>
            </w:r>
            <w:r>
              <w:rPr>
                <w:rFonts w:hint="eastAsia" w:hAnsi="宋体" w:cs="宋体"/>
                <w:color w:val="auto"/>
                <w:kern w:val="2"/>
                <w:szCs w:val="21"/>
              </w:rPr>
              <w:t>③</w:t>
            </w:r>
            <w:r>
              <w:rPr>
                <w:rFonts w:ascii="Times New Roman" w:eastAsia="黑体"/>
                <w:snapToGrid w:val="0"/>
                <w:color w:val="auto"/>
                <w:spacing w:val="-6"/>
                <w:kern w:val="21"/>
                <w:szCs w:val="21"/>
              </w:rPr>
              <w:fldChar w:fldCharType="end"/>
            </w:r>
          </w:p>
        </w:tc>
        <w:tc>
          <w:tcPr>
            <w:tcW w:w="1559" w:type="dxa"/>
            <w:tcBorders>
              <w:tl2br w:val="nil"/>
              <w:tr2bl w:val="nil"/>
            </w:tcBorders>
            <w:tcMar>
              <w:left w:w="28" w:type="dxa"/>
              <w:right w:w="28" w:type="dxa"/>
            </w:tcMar>
            <w:vAlign w:val="center"/>
          </w:tcPr>
          <w:p>
            <w:pPr>
              <w:pStyle w:val="35"/>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本项目</w:t>
            </w:r>
          </w:p>
          <w:p>
            <w:pPr>
              <w:pStyle w:val="35"/>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排放量（固体废物产生量）</w:t>
            </w: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4 \* GB3 \* MERGEFORMAT </w:instrText>
            </w:r>
            <w:r>
              <w:rPr>
                <w:rFonts w:ascii="Times New Roman" w:eastAsia="黑体"/>
                <w:snapToGrid w:val="0"/>
                <w:color w:val="auto"/>
                <w:spacing w:val="-6"/>
                <w:kern w:val="21"/>
                <w:szCs w:val="21"/>
              </w:rPr>
              <w:fldChar w:fldCharType="separate"/>
            </w:r>
            <w:r>
              <w:rPr>
                <w:rFonts w:hint="eastAsia" w:hAnsi="宋体" w:cs="宋体"/>
                <w:color w:val="auto"/>
                <w:kern w:val="2"/>
                <w:szCs w:val="21"/>
              </w:rPr>
              <w:t>④</w:t>
            </w:r>
            <w:r>
              <w:rPr>
                <w:rFonts w:ascii="Times New Roman" w:eastAsia="黑体"/>
                <w:snapToGrid w:val="0"/>
                <w:color w:val="auto"/>
                <w:spacing w:val="-6"/>
                <w:kern w:val="21"/>
                <w:szCs w:val="21"/>
              </w:rPr>
              <w:fldChar w:fldCharType="end"/>
            </w:r>
          </w:p>
        </w:tc>
        <w:tc>
          <w:tcPr>
            <w:tcW w:w="1761" w:type="dxa"/>
            <w:tcBorders>
              <w:tl2br w:val="nil"/>
              <w:tr2bl w:val="nil"/>
            </w:tcBorders>
            <w:tcMar>
              <w:left w:w="28" w:type="dxa"/>
              <w:right w:w="28" w:type="dxa"/>
            </w:tcMar>
            <w:vAlign w:val="center"/>
          </w:tcPr>
          <w:p>
            <w:pPr>
              <w:pStyle w:val="35"/>
              <w:spacing w:beforeLines="0" w:afterLines="0" w:line="240" w:lineRule="auto"/>
              <w:rPr>
                <w:rFonts w:ascii="Times New Roman" w:eastAsia="黑体"/>
                <w:snapToGrid w:val="0"/>
                <w:color w:val="auto"/>
                <w:spacing w:val="-16"/>
                <w:kern w:val="21"/>
                <w:szCs w:val="21"/>
              </w:rPr>
            </w:pPr>
            <w:r>
              <w:rPr>
                <w:rFonts w:ascii="Times New Roman" w:eastAsia="黑体"/>
                <w:snapToGrid w:val="0"/>
                <w:color w:val="auto"/>
                <w:spacing w:val="-16"/>
                <w:kern w:val="21"/>
                <w:szCs w:val="21"/>
              </w:rPr>
              <w:t>以新带老削减量</w:t>
            </w:r>
          </w:p>
          <w:p>
            <w:pPr>
              <w:pStyle w:val="35"/>
              <w:spacing w:beforeLines="0" w:afterLines="0" w:line="240" w:lineRule="auto"/>
              <w:rPr>
                <w:rFonts w:ascii="Times New Roman" w:eastAsia="黑体"/>
                <w:snapToGrid w:val="0"/>
                <w:color w:val="auto"/>
                <w:spacing w:val="-16"/>
                <w:kern w:val="21"/>
                <w:szCs w:val="21"/>
              </w:rPr>
            </w:pPr>
            <w:r>
              <w:rPr>
                <w:rFonts w:ascii="Times New Roman" w:eastAsia="黑体"/>
                <w:snapToGrid w:val="0"/>
                <w:color w:val="auto"/>
                <w:spacing w:val="-16"/>
                <w:kern w:val="21"/>
                <w:szCs w:val="21"/>
              </w:rPr>
              <w:t>（新建项目不填）</w:t>
            </w:r>
            <w:r>
              <w:rPr>
                <w:rFonts w:ascii="Times New Roman" w:eastAsia="黑体"/>
                <w:snapToGrid w:val="0"/>
                <w:color w:val="auto"/>
                <w:spacing w:val="-16"/>
                <w:kern w:val="21"/>
                <w:szCs w:val="21"/>
              </w:rPr>
              <w:fldChar w:fldCharType="begin"/>
            </w:r>
            <w:r>
              <w:rPr>
                <w:rFonts w:ascii="Times New Roman" w:eastAsia="黑体"/>
                <w:snapToGrid w:val="0"/>
                <w:color w:val="auto"/>
                <w:spacing w:val="-16"/>
                <w:kern w:val="21"/>
                <w:szCs w:val="21"/>
              </w:rPr>
              <w:instrText xml:space="preserve"> = 5 \* GB3 \* MERGEFORMAT </w:instrText>
            </w:r>
            <w:r>
              <w:rPr>
                <w:rFonts w:ascii="Times New Roman" w:eastAsia="黑体"/>
                <w:snapToGrid w:val="0"/>
                <w:color w:val="auto"/>
                <w:spacing w:val="-16"/>
                <w:kern w:val="21"/>
                <w:szCs w:val="21"/>
              </w:rPr>
              <w:fldChar w:fldCharType="separate"/>
            </w:r>
            <w:r>
              <w:rPr>
                <w:rFonts w:hint="eastAsia" w:hAnsi="宋体" w:cs="宋体"/>
                <w:color w:val="auto"/>
                <w:kern w:val="2"/>
                <w:szCs w:val="21"/>
              </w:rPr>
              <w:t>⑤</w:t>
            </w:r>
            <w:r>
              <w:rPr>
                <w:rFonts w:ascii="Times New Roman" w:eastAsia="黑体"/>
                <w:snapToGrid w:val="0"/>
                <w:color w:val="auto"/>
                <w:spacing w:val="-16"/>
                <w:kern w:val="21"/>
                <w:szCs w:val="21"/>
              </w:rPr>
              <w:fldChar w:fldCharType="end"/>
            </w:r>
          </w:p>
        </w:tc>
        <w:tc>
          <w:tcPr>
            <w:tcW w:w="1783" w:type="dxa"/>
            <w:tcBorders>
              <w:tl2br w:val="nil"/>
              <w:tr2bl w:val="nil"/>
            </w:tcBorders>
            <w:tcMar>
              <w:left w:w="28" w:type="dxa"/>
              <w:right w:w="28" w:type="dxa"/>
            </w:tcMar>
            <w:vAlign w:val="center"/>
          </w:tcPr>
          <w:p>
            <w:pPr>
              <w:pStyle w:val="35"/>
              <w:spacing w:beforeLines="0" w:afterLines="0" w:line="240" w:lineRule="auto"/>
              <w:rPr>
                <w:rFonts w:ascii="Times New Roman" w:eastAsia="黑体"/>
                <w:snapToGrid w:val="0"/>
                <w:color w:val="auto"/>
                <w:spacing w:val="-16"/>
                <w:kern w:val="21"/>
                <w:szCs w:val="21"/>
              </w:rPr>
            </w:pPr>
            <w:r>
              <w:rPr>
                <w:rFonts w:ascii="Times New Roman" w:eastAsia="黑体"/>
                <w:snapToGrid w:val="0"/>
                <w:color w:val="auto"/>
                <w:spacing w:val="-16"/>
                <w:kern w:val="21"/>
                <w:szCs w:val="21"/>
              </w:rPr>
              <w:t>本项目建成后</w:t>
            </w:r>
          </w:p>
          <w:p>
            <w:pPr>
              <w:pStyle w:val="35"/>
              <w:spacing w:beforeLines="0" w:afterLines="0" w:line="240" w:lineRule="auto"/>
              <w:rPr>
                <w:rFonts w:ascii="Times New Roman" w:eastAsia="黑体"/>
                <w:snapToGrid w:val="0"/>
                <w:color w:val="auto"/>
                <w:spacing w:val="-16"/>
                <w:kern w:val="21"/>
                <w:szCs w:val="21"/>
              </w:rPr>
            </w:pPr>
            <w:r>
              <w:rPr>
                <w:rFonts w:ascii="Times New Roman" w:eastAsia="黑体"/>
                <w:snapToGrid w:val="0"/>
                <w:color w:val="auto"/>
                <w:spacing w:val="-16"/>
                <w:kern w:val="21"/>
                <w:szCs w:val="21"/>
              </w:rPr>
              <w:t>全厂排放量（固体废物产生量）</w:t>
            </w:r>
            <w:r>
              <w:rPr>
                <w:rFonts w:ascii="Times New Roman" w:eastAsia="黑体"/>
                <w:snapToGrid w:val="0"/>
                <w:color w:val="auto"/>
                <w:spacing w:val="-16"/>
                <w:kern w:val="21"/>
                <w:szCs w:val="21"/>
              </w:rPr>
              <w:fldChar w:fldCharType="begin"/>
            </w:r>
            <w:r>
              <w:rPr>
                <w:rFonts w:ascii="Times New Roman" w:eastAsia="黑体"/>
                <w:snapToGrid w:val="0"/>
                <w:color w:val="auto"/>
                <w:spacing w:val="-16"/>
                <w:kern w:val="21"/>
                <w:szCs w:val="21"/>
              </w:rPr>
              <w:instrText xml:space="preserve"> = 6 \* GB3 \* MERGEFORMAT </w:instrText>
            </w:r>
            <w:r>
              <w:rPr>
                <w:rFonts w:ascii="Times New Roman" w:eastAsia="黑体"/>
                <w:snapToGrid w:val="0"/>
                <w:color w:val="auto"/>
                <w:spacing w:val="-16"/>
                <w:kern w:val="21"/>
                <w:szCs w:val="21"/>
              </w:rPr>
              <w:fldChar w:fldCharType="separate"/>
            </w:r>
            <w:r>
              <w:rPr>
                <w:rFonts w:hint="eastAsia" w:hAnsi="宋体" w:cs="宋体"/>
                <w:color w:val="auto"/>
                <w:kern w:val="2"/>
                <w:szCs w:val="21"/>
              </w:rPr>
              <w:t>⑥</w:t>
            </w:r>
            <w:r>
              <w:rPr>
                <w:rFonts w:ascii="Times New Roman" w:eastAsia="黑体"/>
                <w:snapToGrid w:val="0"/>
                <w:color w:val="auto"/>
                <w:spacing w:val="-16"/>
                <w:kern w:val="21"/>
                <w:szCs w:val="21"/>
              </w:rPr>
              <w:fldChar w:fldCharType="end"/>
            </w:r>
          </w:p>
        </w:tc>
        <w:tc>
          <w:tcPr>
            <w:tcW w:w="1002" w:type="dxa"/>
            <w:tcBorders>
              <w:tl2br w:val="nil"/>
              <w:tr2bl w:val="nil"/>
            </w:tcBorders>
            <w:tcMar>
              <w:left w:w="28" w:type="dxa"/>
              <w:right w:w="28" w:type="dxa"/>
            </w:tcMar>
            <w:vAlign w:val="center"/>
          </w:tcPr>
          <w:p>
            <w:pPr>
              <w:pStyle w:val="35"/>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变化量</w:t>
            </w:r>
          </w:p>
          <w:p>
            <w:pPr>
              <w:pStyle w:val="35"/>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7 \* GB3 \* MERGEFORMAT </w:instrText>
            </w:r>
            <w:r>
              <w:rPr>
                <w:rFonts w:ascii="Times New Roman" w:eastAsia="黑体"/>
                <w:snapToGrid w:val="0"/>
                <w:color w:val="auto"/>
                <w:spacing w:val="-6"/>
                <w:kern w:val="21"/>
                <w:szCs w:val="21"/>
              </w:rPr>
              <w:fldChar w:fldCharType="separate"/>
            </w:r>
            <w:r>
              <w:rPr>
                <w:rFonts w:hint="eastAsia" w:hAnsi="宋体" w:cs="宋体"/>
                <w:color w:val="auto"/>
                <w:kern w:val="2"/>
                <w:szCs w:val="21"/>
              </w:rPr>
              <w:t>⑦</w:t>
            </w:r>
            <w:r>
              <w:rPr>
                <w:rFonts w:ascii="Times New Roman" w:eastAsia="黑体"/>
                <w:snapToGrid w:val="0"/>
                <w:color w:val="auto"/>
                <w:spacing w:val="-6"/>
                <w:kern w:val="21"/>
                <w:szCs w:val="21"/>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476" w:type="dxa"/>
            <w:tcBorders>
              <w:tl2br w:val="nil"/>
              <w:tr2bl w:val="nil"/>
            </w:tcBorders>
            <w:vAlign w:val="center"/>
          </w:tcPr>
          <w:p>
            <w:pPr>
              <w:pStyle w:val="35"/>
              <w:spacing w:beforeLines="0" w:afterLines="0" w:line="240" w:lineRule="auto"/>
              <w:rPr>
                <w:rFonts w:ascii="Times New Roman"/>
                <w:snapToGrid w:val="0"/>
                <w:color w:val="auto"/>
                <w:kern w:val="21"/>
                <w:szCs w:val="21"/>
              </w:rPr>
            </w:pPr>
            <w:r>
              <w:rPr>
                <w:rFonts w:ascii="Times New Roman"/>
                <w:snapToGrid w:val="0"/>
                <w:color w:val="auto"/>
                <w:kern w:val="21"/>
                <w:szCs w:val="21"/>
              </w:rPr>
              <w:t>废气</w:t>
            </w:r>
          </w:p>
        </w:tc>
        <w:tc>
          <w:tcPr>
            <w:tcW w:w="1529" w:type="dxa"/>
            <w:tcBorders>
              <w:tl2br w:val="nil"/>
              <w:tr2bl w:val="nil"/>
            </w:tcBorders>
            <w:vAlign w:val="center"/>
          </w:tcPr>
          <w:p>
            <w:pPr>
              <w:pStyle w:val="35"/>
              <w:spacing w:beforeLines="0" w:afterLines="0" w:line="240" w:lineRule="auto"/>
              <w:rPr>
                <w:rFonts w:hint="default" w:ascii="Times New Roman" w:eastAsia="宋体"/>
                <w:snapToGrid w:val="0"/>
                <w:color w:val="auto"/>
                <w:kern w:val="21"/>
                <w:szCs w:val="21"/>
                <w:lang w:val="en-US" w:eastAsia="zh-CN"/>
              </w:rPr>
            </w:pPr>
            <w:r>
              <w:rPr>
                <w:rFonts w:ascii="Times New Roman"/>
                <w:snapToGrid w:val="0"/>
                <w:color w:val="auto"/>
                <w:kern w:val="21"/>
                <w:szCs w:val="21"/>
              </w:rPr>
              <w:t>颗粒物</w:t>
            </w:r>
            <w:r>
              <w:rPr>
                <w:rFonts w:hint="eastAsia" w:ascii="Times New Roman"/>
                <w:snapToGrid w:val="0"/>
                <w:color w:val="auto"/>
                <w:kern w:val="21"/>
                <w:szCs w:val="21"/>
                <w:lang w:eastAsia="zh-CN"/>
              </w:rPr>
              <w:t>（</w:t>
            </w:r>
            <w:r>
              <w:rPr>
                <w:rFonts w:hint="default" w:ascii="Times New Roman" w:hAnsi="Times New Roman" w:eastAsia="宋体" w:cs="Times New Roman"/>
                <w:snapToGrid w:val="0"/>
                <w:color w:val="auto"/>
                <w:kern w:val="21"/>
                <w:szCs w:val="21"/>
                <w:lang w:val="en-US" w:eastAsia="zh-CN"/>
              </w:rPr>
              <w:t>t/a</w:t>
            </w:r>
            <w:r>
              <w:rPr>
                <w:rFonts w:hint="eastAsia" w:ascii="Times New Roman"/>
                <w:snapToGrid w:val="0"/>
                <w:color w:val="auto"/>
                <w:kern w:val="21"/>
                <w:szCs w:val="21"/>
                <w:lang w:eastAsia="zh-CN"/>
              </w:rPr>
              <w:t>）</w:t>
            </w:r>
          </w:p>
        </w:tc>
        <w:tc>
          <w:tcPr>
            <w:tcW w:w="1701" w:type="dxa"/>
            <w:tcBorders>
              <w:tl2br w:val="nil"/>
              <w:tr2bl w:val="nil"/>
            </w:tcBorders>
            <w:vAlign w:val="center"/>
          </w:tcPr>
          <w:p>
            <w:pPr>
              <w:pStyle w:val="35"/>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276" w:type="dxa"/>
            <w:tcBorders>
              <w:tl2br w:val="nil"/>
              <w:tr2bl w:val="nil"/>
            </w:tcBorders>
            <w:vAlign w:val="center"/>
          </w:tcPr>
          <w:p>
            <w:pPr>
              <w:pStyle w:val="35"/>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701" w:type="dxa"/>
            <w:tcBorders>
              <w:tl2br w:val="nil"/>
              <w:tr2bl w:val="nil"/>
            </w:tcBorders>
            <w:vAlign w:val="center"/>
          </w:tcPr>
          <w:p>
            <w:pPr>
              <w:pStyle w:val="35"/>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559" w:type="dxa"/>
            <w:tcBorders>
              <w:tl2br w:val="nil"/>
              <w:tr2bl w:val="nil"/>
            </w:tcBorders>
            <w:vAlign w:val="center"/>
          </w:tcPr>
          <w:p>
            <w:pPr>
              <w:pStyle w:val="35"/>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1.089</w:t>
            </w:r>
          </w:p>
        </w:tc>
        <w:tc>
          <w:tcPr>
            <w:tcW w:w="1761" w:type="dxa"/>
            <w:tcBorders>
              <w:tl2br w:val="nil"/>
              <w:tr2bl w:val="nil"/>
            </w:tcBorders>
            <w:vAlign w:val="center"/>
          </w:tcPr>
          <w:p>
            <w:pPr>
              <w:pStyle w:val="35"/>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783" w:type="dxa"/>
            <w:tcBorders>
              <w:tl2br w:val="nil"/>
              <w:tr2bl w:val="nil"/>
            </w:tcBorders>
            <w:vAlign w:val="center"/>
          </w:tcPr>
          <w:p>
            <w:pPr>
              <w:pStyle w:val="35"/>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1.089</w:t>
            </w:r>
          </w:p>
        </w:tc>
        <w:tc>
          <w:tcPr>
            <w:tcW w:w="1002" w:type="dxa"/>
            <w:tcBorders>
              <w:tl2br w:val="nil"/>
              <w:tr2bl w:val="nil"/>
            </w:tcBorders>
            <w:vAlign w:val="center"/>
          </w:tcPr>
          <w:p>
            <w:pPr>
              <w:pStyle w:val="35"/>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+1.089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76" w:type="dxa"/>
            <w:tcBorders>
              <w:tl2br w:val="nil"/>
              <w:tr2bl w:val="nil"/>
            </w:tcBorders>
            <w:vAlign w:val="center"/>
          </w:tcPr>
          <w:p>
            <w:pPr>
              <w:pStyle w:val="35"/>
              <w:spacing w:beforeLines="0" w:afterLines="0" w:line="240" w:lineRule="auto"/>
              <w:rPr>
                <w:rFonts w:ascii="Times New Roman"/>
                <w:snapToGrid w:val="0"/>
                <w:color w:val="auto"/>
                <w:kern w:val="21"/>
                <w:szCs w:val="21"/>
              </w:rPr>
            </w:pPr>
            <w:r>
              <w:rPr>
                <w:rFonts w:ascii="Times New Roman"/>
                <w:snapToGrid w:val="0"/>
                <w:color w:val="auto"/>
                <w:kern w:val="21"/>
                <w:szCs w:val="21"/>
              </w:rPr>
              <w:t>废水</w:t>
            </w:r>
          </w:p>
        </w:tc>
        <w:tc>
          <w:tcPr>
            <w:tcW w:w="1529" w:type="dxa"/>
            <w:tcBorders>
              <w:tl2br w:val="nil"/>
              <w:tr2bl w:val="nil"/>
            </w:tcBorders>
            <w:vAlign w:val="center"/>
          </w:tcPr>
          <w:p>
            <w:pPr>
              <w:pStyle w:val="35"/>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701" w:type="dxa"/>
            <w:tcBorders>
              <w:tl2br w:val="nil"/>
              <w:tr2bl w:val="nil"/>
            </w:tcBorders>
            <w:vAlign w:val="center"/>
          </w:tcPr>
          <w:p>
            <w:pPr>
              <w:pStyle w:val="35"/>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276" w:type="dxa"/>
            <w:tcBorders>
              <w:tl2br w:val="nil"/>
              <w:tr2bl w:val="nil"/>
            </w:tcBorders>
            <w:vAlign w:val="center"/>
          </w:tcPr>
          <w:p>
            <w:pPr>
              <w:pStyle w:val="35"/>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701" w:type="dxa"/>
            <w:tcBorders>
              <w:tl2br w:val="nil"/>
              <w:tr2bl w:val="nil"/>
            </w:tcBorders>
            <w:vAlign w:val="center"/>
          </w:tcPr>
          <w:p>
            <w:pPr>
              <w:pStyle w:val="35"/>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559" w:type="dxa"/>
            <w:tcBorders>
              <w:tl2br w:val="nil"/>
              <w:tr2bl w:val="nil"/>
            </w:tcBorders>
            <w:vAlign w:val="center"/>
          </w:tcPr>
          <w:p>
            <w:pPr>
              <w:pStyle w:val="35"/>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761" w:type="dxa"/>
            <w:tcBorders>
              <w:tl2br w:val="nil"/>
              <w:tr2bl w:val="nil"/>
            </w:tcBorders>
            <w:vAlign w:val="center"/>
          </w:tcPr>
          <w:p>
            <w:pPr>
              <w:pStyle w:val="35"/>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783" w:type="dxa"/>
            <w:tcBorders>
              <w:tl2br w:val="nil"/>
              <w:tr2bl w:val="nil"/>
            </w:tcBorders>
            <w:vAlign w:val="center"/>
          </w:tcPr>
          <w:p>
            <w:pPr>
              <w:pStyle w:val="35"/>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002" w:type="dxa"/>
            <w:tcBorders>
              <w:tl2br w:val="nil"/>
              <w:tr2bl w:val="nil"/>
            </w:tcBorders>
            <w:vAlign w:val="center"/>
          </w:tcPr>
          <w:p>
            <w:pPr>
              <w:pStyle w:val="35"/>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76" w:type="dxa"/>
            <w:vMerge w:val="restart"/>
            <w:tcBorders>
              <w:tl2br w:val="nil"/>
              <w:tr2bl w:val="nil"/>
            </w:tcBorders>
            <w:vAlign w:val="center"/>
          </w:tcPr>
          <w:p>
            <w:pPr>
              <w:pStyle w:val="35"/>
              <w:spacing w:beforeLines="0" w:afterLines="0" w:line="240" w:lineRule="auto"/>
              <w:rPr>
                <w:rFonts w:ascii="Times New Roman"/>
                <w:snapToGrid w:val="0"/>
                <w:color w:val="auto"/>
                <w:kern w:val="21"/>
                <w:szCs w:val="21"/>
              </w:rPr>
            </w:pPr>
            <w:r>
              <w:rPr>
                <w:rFonts w:ascii="Times New Roman"/>
                <w:snapToGrid w:val="0"/>
                <w:color w:val="auto"/>
                <w:kern w:val="21"/>
                <w:szCs w:val="21"/>
              </w:rPr>
              <w:t>一般工业</w:t>
            </w:r>
          </w:p>
          <w:p>
            <w:pPr>
              <w:pStyle w:val="35"/>
              <w:spacing w:beforeLines="0" w:afterLines="0" w:line="240" w:lineRule="auto"/>
              <w:rPr>
                <w:rFonts w:ascii="Times New Roman"/>
                <w:snapToGrid w:val="0"/>
                <w:color w:val="auto"/>
                <w:kern w:val="21"/>
                <w:szCs w:val="21"/>
              </w:rPr>
            </w:pPr>
            <w:r>
              <w:rPr>
                <w:rFonts w:ascii="Times New Roman"/>
                <w:snapToGrid w:val="0"/>
                <w:color w:val="auto"/>
                <w:kern w:val="21"/>
                <w:szCs w:val="21"/>
              </w:rPr>
              <w:t>固体废物</w:t>
            </w:r>
          </w:p>
        </w:tc>
        <w:tc>
          <w:tcPr>
            <w:tcW w:w="1529" w:type="dxa"/>
            <w:tcBorders>
              <w:tl2br w:val="nil"/>
              <w:tr2bl w:val="nil"/>
            </w:tcBorders>
            <w:vAlign w:val="center"/>
          </w:tcPr>
          <w:p>
            <w:pPr>
              <w:pStyle w:val="35"/>
              <w:spacing w:beforeLines="0" w:afterLines="0" w:line="240" w:lineRule="auto"/>
              <w:rPr>
                <w:rFonts w:hint="eastAsia" w:ascii="Times New Roman" w:eastAsia="宋体"/>
                <w:snapToGrid w:val="0"/>
                <w:color w:val="auto"/>
                <w:kern w:val="21"/>
                <w:szCs w:val="21"/>
                <w:lang w:eastAsia="zh-CN"/>
              </w:rPr>
            </w:pPr>
            <w:r>
              <w:rPr>
                <w:rFonts w:hint="eastAsia" w:ascii="Times New Roman"/>
                <w:snapToGrid w:val="0"/>
                <w:color w:val="auto"/>
                <w:kern w:val="21"/>
                <w:szCs w:val="21"/>
                <w:lang w:eastAsia="zh-CN"/>
              </w:rPr>
              <w:t>压滤泥饼（</w:t>
            </w:r>
            <w:r>
              <w:rPr>
                <w:rFonts w:hint="default" w:ascii="Times New Roman" w:hAnsi="Times New Roman" w:eastAsia="宋体" w:cs="Times New Roman"/>
                <w:snapToGrid w:val="0"/>
                <w:color w:val="auto"/>
                <w:kern w:val="21"/>
                <w:szCs w:val="21"/>
                <w:lang w:val="en-US" w:eastAsia="zh-CN"/>
              </w:rPr>
              <w:t>t/a</w:t>
            </w:r>
            <w:r>
              <w:rPr>
                <w:rFonts w:hint="eastAsia" w:ascii="Times New Roman"/>
                <w:snapToGrid w:val="0"/>
                <w:color w:val="auto"/>
                <w:kern w:val="21"/>
                <w:szCs w:val="21"/>
                <w:lang w:eastAsia="zh-CN"/>
              </w:rPr>
              <w:t>）</w:t>
            </w:r>
          </w:p>
        </w:tc>
        <w:tc>
          <w:tcPr>
            <w:tcW w:w="1701" w:type="dxa"/>
            <w:tcBorders>
              <w:tl2br w:val="nil"/>
              <w:tr2bl w:val="nil"/>
            </w:tcBorders>
            <w:vAlign w:val="center"/>
          </w:tcPr>
          <w:p>
            <w:pPr>
              <w:pStyle w:val="35"/>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276" w:type="dxa"/>
            <w:tcBorders>
              <w:tl2br w:val="nil"/>
              <w:tr2bl w:val="nil"/>
            </w:tcBorders>
            <w:vAlign w:val="center"/>
          </w:tcPr>
          <w:p>
            <w:pPr>
              <w:pStyle w:val="35"/>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701" w:type="dxa"/>
            <w:tcBorders>
              <w:tl2br w:val="nil"/>
              <w:tr2bl w:val="nil"/>
            </w:tcBorders>
            <w:vAlign w:val="center"/>
          </w:tcPr>
          <w:p>
            <w:pPr>
              <w:pStyle w:val="35"/>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559" w:type="dxa"/>
            <w:tcBorders>
              <w:tl2br w:val="nil"/>
              <w:tr2bl w:val="nil"/>
            </w:tcBorders>
            <w:vAlign w:val="center"/>
          </w:tcPr>
          <w:p>
            <w:pPr>
              <w:adjustRightInd w:val="0"/>
              <w:snapToGrid w:val="0"/>
              <w:jc w:val="center"/>
              <w:rPr>
                <w:rFonts w:hint="default" w:eastAsia="宋体"/>
                <w:bCs/>
                <w:color w:val="auto"/>
                <w:spacing w:val="-10"/>
                <w:szCs w:val="21"/>
                <w:lang w:val="en-US" w:eastAsia="zh-CN"/>
              </w:rPr>
            </w:pPr>
            <w:r>
              <w:rPr>
                <w:rFonts w:hint="eastAsia"/>
                <w:bCs/>
                <w:color w:val="auto"/>
                <w:spacing w:val="-10"/>
                <w:szCs w:val="21"/>
                <w:lang w:val="en-US" w:eastAsia="zh-CN"/>
              </w:rPr>
              <w:t>20000</w:t>
            </w:r>
          </w:p>
        </w:tc>
        <w:tc>
          <w:tcPr>
            <w:tcW w:w="1761" w:type="dxa"/>
            <w:tcBorders>
              <w:tl2br w:val="nil"/>
              <w:tr2bl w:val="nil"/>
            </w:tcBorders>
            <w:vAlign w:val="center"/>
          </w:tcPr>
          <w:p>
            <w:pPr>
              <w:pStyle w:val="35"/>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783" w:type="dxa"/>
            <w:tcBorders>
              <w:tl2br w:val="nil"/>
              <w:tr2bl w:val="nil"/>
            </w:tcBorders>
            <w:vAlign w:val="center"/>
          </w:tcPr>
          <w:p>
            <w:pPr>
              <w:adjustRightInd w:val="0"/>
              <w:snapToGrid w:val="0"/>
              <w:jc w:val="center"/>
              <w:rPr>
                <w:rFonts w:hint="default" w:eastAsia="宋体"/>
                <w:bCs/>
                <w:color w:val="auto"/>
                <w:spacing w:val="-10"/>
                <w:szCs w:val="21"/>
                <w:lang w:val="en-US" w:eastAsia="zh-CN"/>
              </w:rPr>
            </w:pPr>
            <w:r>
              <w:rPr>
                <w:rFonts w:hint="eastAsia"/>
                <w:bCs/>
                <w:color w:val="auto"/>
                <w:spacing w:val="-10"/>
                <w:szCs w:val="21"/>
                <w:lang w:val="en-US" w:eastAsia="zh-CN"/>
              </w:rPr>
              <w:t>20000</w:t>
            </w:r>
          </w:p>
        </w:tc>
        <w:tc>
          <w:tcPr>
            <w:tcW w:w="1002" w:type="dxa"/>
            <w:tcBorders>
              <w:tl2br w:val="nil"/>
              <w:tr2bl w:val="nil"/>
            </w:tcBorders>
            <w:vAlign w:val="center"/>
          </w:tcPr>
          <w:p>
            <w:pPr>
              <w:adjustRightInd w:val="0"/>
              <w:snapToGrid w:val="0"/>
              <w:jc w:val="center"/>
              <w:rPr>
                <w:rFonts w:hint="default" w:eastAsia="宋体"/>
                <w:bCs/>
                <w:color w:val="auto"/>
                <w:spacing w:val="-10"/>
                <w:szCs w:val="21"/>
                <w:lang w:val="en-US" w:eastAsia="zh-CN"/>
              </w:rPr>
            </w:pPr>
            <w:r>
              <w:rPr>
                <w:rFonts w:hint="eastAsia"/>
                <w:bCs/>
                <w:color w:val="auto"/>
                <w:spacing w:val="-10"/>
                <w:szCs w:val="21"/>
                <w:lang w:val="en-US" w:eastAsia="zh-CN"/>
              </w:rPr>
              <w:t>+20000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76" w:type="dxa"/>
            <w:vMerge w:val="continue"/>
            <w:tcBorders>
              <w:tl2br w:val="nil"/>
              <w:tr2bl w:val="nil"/>
            </w:tcBorders>
            <w:vAlign w:val="center"/>
          </w:tcPr>
          <w:p>
            <w:pPr>
              <w:pStyle w:val="35"/>
              <w:spacing w:beforeLines="0" w:afterLines="0" w:line="240" w:lineRule="auto"/>
              <w:rPr>
                <w:rFonts w:ascii="Times New Roman"/>
                <w:snapToGrid w:val="0"/>
                <w:color w:val="auto"/>
                <w:kern w:val="21"/>
                <w:szCs w:val="21"/>
              </w:rPr>
            </w:pPr>
          </w:p>
        </w:tc>
        <w:tc>
          <w:tcPr>
            <w:tcW w:w="1529" w:type="dxa"/>
            <w:tcBorders>
              <w:tl2br w:val="nil"/>
              <w:tr2bl w:val="nil"/>
            </w:tcBorders>
            <w:vAlign w:val="center"/>
          </w:tcPr>
          <w:p>
            <w:pPr>
              <w:pStyle w:val="35"/>
              <w:spacing w:beforeLines="0" w:afterLines="0" w:line="240" w:lineRule="auto"/>
              <w:rPr>
                <w:rFonts w:hint="eastAsia" w:ascii="Times New Roman" w:eastAsia="宋体"/>
                <w:snapToGrid w:val="0"/>
                <w:color w:val="auto"/>
                <w:kern w:val="21"/>
                <w:szCs w:val="21"/>
                <w:lang w:eastAsia="zh-CN"/>
              </w:rPr>
            </w:pPr>
            <w:r>
              <w:rPr>
                <w:rFonts w:hint="eastAsia" w:ascii="Times New Roman"/>
                <w:snapToGrid w:val="0"/>
                <w:color w:val="auto"/>
                <w:kern w:val="21"/>
                <w:szCs w:val="21"/>
                <w:lang w:eastAsia="zh-CN"/>
              </w:rPr>
              <w:t>收尘灰（</w:t>
            </w:r>
            <w:r>
              <w:rPr>
                <w:rFonts w:hint="default" w:ascii="Times New Roman" w:hAnsi="Times New Roman" w:eastAsia="宋体" w:cs="Times New Roman"/>
                <w:snapToGrid w:val="0"/>
                <w:color w:val="auto"/>
                <w:kern w:val="21"/>
                <w:szCs w:val="21"/>
                <w:lang w:val="en-US" w:eastAsia="zh-CN"/>
              </w:rPr>
              <w:t>t/a</w:t>
            </w:r>
            <w:r>
              <w:rPr>
                <w:rFonts w:hint="eastAsia" w:ascii="Times New Roman"/>
                <w:snapToGrid w:val="0"/>
                <w:color w:val="auto"/>
                <w:kern w:val="21"/>
                <w:szCs w:val="21"/>
                <w:lang w:eastAsia="zh-CN"/>
              </w:rPr>
              <w:t>）</w:t>
            </w:r>
          </w:p>
        </w:tc>
        <w:tc>
          <w:tcPr>
            <w:tcW w:w="1701" w:type="dxa"/>
            <w:tcBorders>
              <w:tl2br w:val="nil"/>
              <w:tr2bl w:val="nil"/>
            </w:tcBorders>
            <w:vAlign w:val="center"/>
          </w:tcPr>
          <w:p>
            <w:pPr>
              <w:pStyle w:val="35"/>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276" w:type="dxa"/>
            <w:tcBorders>
              <w:tl2br w:val="nil"/>
              <w:tr2bl w:val="nil"/>
            </w:tcBorders>
            <w:vAlign w:val="center"/>
          </w:tcPr>
          <w:p>
            <w:pPr>
              <w:pStyle w:val="35"/>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701" w:type="dxa"/>
            <w:tcBorders>
              <w:tl2br w:val="nil"/>
              <w:tr2bl w:val="nil"/>
            </w:tcBorders>
            <w:vAlign w:val="center"/>
          </w:tcPr>
          <w:p>
            <w:pPr>
              <w:pStyle w:val="35"/>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559" w:type="dxa"/>
            <w:tcBorders>
              <w:tl2br w:val="nil"/>
              <w:tr2bl w:val="nil"/>
            </w:tcBorders>
            <w:vAlign w:val="center"/>
          </w:tcPr>
          <w:p>
            <w:pPr>
              <w:adjustRightInd w:val="0"/>
              <w:snapToGrid w:val="0"/>
              <w:jc w:val="center"/>
              <w:rPr>
                <w:rFonts w:hint="default" w:eastAsia="宋体"/>
                <w:bCs/>
                <w:color w:val="auto"/>
                <w:spacing w:val="-10"/>
                <w:szCs w:val="21"/>
                <w:lang w:val="en-US" w:eastAsia="zh-CN"/>
              </w:rPr>
            </w:pPr>
            <w:r>
              <w:rPr>
                <w:rFonts w:hint="eastAsia"/>
                <w:bCs/>
                <w:color w:val="auto"/>
                <w:spacing w:val="-10"/>
                <w:szCs w:val="21"/>
                <w:lang w:val="en-US" w:eastAsia="zh-CN"/>
              </w:rPr>
              <w:t>8</w:t>
            </w:r>
          </w:p>
        </w:tc>
        <w:tc>
          <w:tcPr>
            <w:tcW w:w="1761" w:type="dxa"/>
            <w:tcBorders>
              <w:tl2br w:val="nil"/>
              <w:tr2bl w:val="nil"/>
            </w:tcBorders>
            <w:vAlign w:val="center"/>
          </w:tcPr>
          <w:p>
            <w:pPr>
              <w:pStyle w:val="35"/>
              <w:spacing w:beforeLines="0" w:afterLines="0" w:line="240" w:lineRule="auto"/>
              <w:rPr>
                <w:rFonts w:ascii="Times New Roman"/>
                <w:snapToGrid w:val="0"/>
                <w:color w:val="auto"/>
                <w:kern w:val="21"/>
                <w:szCs w:val="21"/>
              </w:rPr>
            </w:pPr>
          </w:p>
        </w:tc>
        <w:tc>
          <w:tcPr>
            <w:tcW w:w="1783" w:type="dxa"/>
            <w:tcBorders>
              <w:tl2br w:val="nil"/>
              <w:tr2bl w:val="nil"/>
            </w:tcBorders>
            <w:vAlign w:val="center"/>
          </w:tcPr>
          <w:p>
            <w:pPr>
              <w:adjustRightInd w:val="0"/>
              <w:snapToGrid w:val="0"/>
              <w:jc w:val="center"/>
              <w:rPr>
                <w:rFonts w:hint="default" w:eastAsia="宋体"/>
                <w:bCs/>
                <w:color w:val="auto"/>
                <w:spacing w:val="-10"/>
                <w:szCs w:val="21"/>
                <w:lang w:val="en-US" w:eastAsia="zh-CN"/>
              </w:rPr>
            </w:pPr>
            <w:r>
              <w:rPr>
                <w:rFonts w:hint="eastAsia"/>
                <w:bCs/>
                <w:color w:val="auto"/>
                <w:spacing w:val="-10"/>
                <w:szCs w:val="21"/>
                <w:lang w:val="en-US" w:eastAsia="zh-CN"/>
              </w:rPr>
              <w:t>8</w:t>
            </w:r>
          </w:p>
        </w:tc>
        <w:tc>
          <w:tcPr>
            <w:tcW w:w="1002" w:type="dxa"/>
            <w:tcBorders>
              <w:tl2br w:val="nil"/>
              <w:tr2bl w:val="nil"/>
            </w:tcBorders>
            <w:vAlign w:val="center"/>
          </w:tcPr>
          <w:p>
            <w:pPr>
              <w:adjustRightInd w:val="0"/>
              <w:snapToGrid w:val="0"/>
              <w:jc w:val="center"/>
              <w:rPr>
                <w:rFonts w:hint="default" w:eastAsia="宋体"/>
                <w:bCs/>
                <w:color w:val="auto"/>
                <w:spacing w:val="-10"/>
                <w:szCs w:val="21"/>
                <w:lang w:val="en-US" w:eastAsia="zh-CN"/>
              </w:rPr>
            </w:pPr>
            <w:r>
              <w:rPr>
                <w:rFonts w:hint="eastAsia"/>
                <w:bCs/>
                <w:color w:val="auto"/>
                <w:spacing w:val="-10"/>
                <w:szCs w:val="21"/>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76" w:type="dxa"/>
            <w:tcBorders>
              <w:tl2br w:val="nil"/>
              <w:tr2bl w:val="nil"/>
            </w:tcBorders>
            <w:vAlign w:val="center"/>
          </w:tcPr>
          <w:p>
            <w:pPr>
              <w:pStyle w:val="35"/>
              <w:spacing w:beforeLines="0" w:afterLines="0" w:line="240" w:lineRule="auto"/>
              <w:rPr>
                <w:rFonts w:ascii="Times New Roman"/>
                <w:snapToGrid w:val="0"/>
                <w:color w:val="auto"/>
                <w:kern w:val="21"/>
                <w:szCs w:val="21"/>
              </w:rPr>
            </w:pPr>
            <w:r>
              <w:rPr>
                <w:rFonts w:ascii="Times New Roman"/>
                <w:snapToGrid w:val="0"/>
                <w:color w:val="auto"/>
                <w:kern w:val="21"/>
                <w:szCs w:val="21"/>
              </w:rPr>
              <w:t>危险废物</w:t>
            </w:r>
          </w:p>
        </w:tc>
        <w:tc>
          <w:tcPr>
            <w:tcW w:w="1529" w:type="dxa"/>
            <w:tcBorders>
              <w:tl2br w:val="nil"/>
              <w:tr2bl w:val="nil"/>
            </w:tcBorders>
            <w:vAlign w:val="center"/>
          </w:tcPr>
          <w:p>
            <w:pPr>
              <w:pStyle w:val="35"/>
              <w:spacing w:beforeLines="0" w:afterLines="0" w:line="240" w:lineRule="auto"/>
              <w:rPr>
                <w:rFonts w:hint="eastAsia" w:ascii="Times New Roman" w:eastAsia="宋体"/>
                <w:snapToGrid w:val="0"/>
                <w:color w:val="auto"/>
                <w:kern w:val="21"/>
                <w:szCs w:val="21"/>
                <w:lang w:eastAsia="zh-CN"/>
              </w:rPr>
            </w:pPr>
            <w:r>
              <w:rPr>
                <w:rFonts w:hint="eastAsia" w:ascii="Times New Roman"/>
                <w:snapToGrid w:val="0"/>
                <w:color w:val="auto"/>
                <w:kern w:val="21"/>
                <w:szCs w:val="21"/>
                <w:lang w:eastAsia="zh-CN"/>
              </w:rPr>
              <w:t>废润滑油及润滑油桶（</w:t>
            </w:r>
            <w:r>
              <w:rPr>
                <w:rFonts w:hint="default" w:ascii="Times New Roman" w:hAnsi="Times New Roman" w:eastAsia="宋体" w:cs="Times New Roman"/>
                <w:snapToGrid w:val="0"/>
                <w:color w:val="auto"/>
                <w:kern w:val="21"/>
                <w:szCs w:val="21"/>
                <w:lang w:val="en-US" w:eastAsia="zh-CN"/>
              </w:rPr>
              <w:t>t/a</w:t>
            </w:r>
            <w:r>
              <w:rPr>
                <w:rFonts w:hint="eastAsia" w:ascii="Times New Roman"/>
                <w:snapToGrid w:val="0"/>
                <w:color w:val="auto"/>
                <w:kern w:val="21"/>
                <w:szCs w:val="21"/>
                <w:lang w:eastAsia="zh-CN"/>
              </w:rPr>
              <w:t>）</w:t>
            </w:r>
          </w:p>
        </w:tc>
        <w:tc>
          <w:tcPr>
            <w:tcW w:w="1701" w:type="dxa"/>
            <w:tcBorders>
              <w:tl2br w:val="nil"/>
              <w:tr2bl w:val="nil"/>
            </w:tcBorders>
            <w:vAlign w:val="center"/>
          </w:tcPr>
          <w:p>
            <w:pPr>
              <w:pStyle w:val="35"/>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276" w:type="dxa"/>
            <w:tcBorders>
              <w:tl2br w:val="nil"/>
              <w:tr2bl w:val="nil"/>
            </w:tcBorders>
            <w:vAlign w:val="center"/>
          </w:tcPr>
          <w:p>
            <w:pPr>
              <w:pStyle w:val="35"/>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701" w:type="dxa"/>
            <w:tcBorders>
              <w:tl2br w:val="nil"/>
              <w:tr2bl w:val="nil"/>
            </w:tcBorders>
            <w:vAlign w:val="center"/>
          </w:tcPr>
          <w:p>
            <w:pPr>
              <w:pStyle w:val="35"/>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559" w:type="dxa"/>
            <w:tcBorders>
              <w:tl2br w:val="nil"/>
              <w:tr2bl w:val="nil"/>
            </w:tcBorders>
            <w:vAlign w:val="center"/>
          </w:tcPr>
          <w:p>
            <w:pPr>
              <w:pStyle w:val="35"/>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0.02</w:t>
            </w:r>
          </w:p>
        </w:tc>
        <w:tc>
          <w:tcPr>
            <w:tcW w:w="1761" w:type="dxa"/>
            <w:tcBorders>
              <w:tl2br w:val="nil"/>
              <w:tr2bl w:val="nil"/>
            </w:tcBorders>
            <w:vAlign w:val="center"/>
          </w:tcPr>
          <w:p>
            <w:pPr>
              <w:pStyle w:val="35"/>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783" w:type="dxa"/>
            <w:tcBorders>
              <w:tl2br w:val="nil"/>
              <w:tr2bl w:val="nil"/>
            </w:tcBorders>
            <w:vAlign w:val="center"/>
          </w:tcPr>
          <w:p>
            <w:pPr>
              <w:pStyle w:val="35"/>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0.02</w:t>
            </w:r>
          </w:p>
        </w:tc>
        <w:tc>
          <w:tcPr>
            <w:tcW w:w="1002" w:type="dxa"/>
            <w:tcBorders>
              <w:tl2br w:val="nil"/>
              <w:tr2bl w:val="nil"/>
            </w:tcBorders>
            <w:vAlign w:val="center"/>
          </w:tcPr>
          <w:p>
            <w:pPr>
              <w:pStyle w:val="35"/>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+0.02</w:t>
            </w:r>
          </w:p>
        </w:tc>
      </w:tr>
    </w:tbl>
    <w:p>
      <w:pPr>
        <w:pStyle w:val="35"/>
        <w:spacing w:before="192" w:beforeLines="80" w:after="24"/>
        <w:jc w:val="left"/>
        <w:rPr>
          <w:rFonts w:hint="eastAsia"/>
          <w:b/>
          <w:bCs/>
          <w:i w:val="0"/>
          <w:iCs w:val="0"/>
          <w:color w:val="auto"/>
          <w:lang w:val="en-US" w:eastAsia="zh-CN"/>
        </w:rPr>
      </w:pPr>
      <w:r>
        <w:rPr>
          <w:rFonts w:ascii="Times New Roman"/>
          <w:snapToGrid w:val="0"/>
          <w:color w:val="auto"/>
          <w:kern w:val="21"/>
          <w:szCs w:val="21"/>
        </w:rPr>
        <w:t>注：</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hint="eastAsia" w:hAnsi="宋体" w:cs="宋体"/>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hint="eastAsia" w:hAnsi="宋体" w:cs="宋体"/>
          <w:color w:val="auto"/>
          <w:szCs w:val="21"/>
        </w:rPr>
        <w:t>①</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3 \* GB3 \* MERGEFORMAT </w:instrText>
      </w:r>
      <w:r>
        <w:rPr>
          <w:rFonts w:ascii="Times New Roman"/>
          <w:snapToGrid w:val="0"/>
          <w:color w:val="auto"/>
          <w:spacing w:val="-6"/>
          <w:kern w:val="21"/>
          <w:szCs w:val="21"/>
        </w:rPr>
        <w:fldChar w:fldCharType="separate"/>
      </w:r>
      <w:r>
        <w:rPr>
          <w:rFonts w:hint="eastAsia" w:hAnsi="宋体" w:cs="宋体"/>
          <w:color w:val="auto"/>
          <w:szCs w:val="21"/>
        </w:rPr>
        <w:t>③</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4 \* GB3 \* MERGEFORMAT </w:instrText>
      </w:r>
      <w:r>
        <w:rPr>
          <w:rFonts w:ascii="Times New Roman"/>
          <w:snapToGrid w:val="0"/>
          <w:color w:val="auto"/>
          <w:spacing w:val="-6"/>
          <w:kern w:val="21"/>
          <w:szCs w:val="21"/>
        </w:rPr>
        <w:fldChar w:fldCharType="separate"/>
      </w:r>
      <w:r>
        <w:rPr>
          <w:rFonts w:hint="eastAsia" w:hAnsi="宋体" w:cs="宋体"/>
          <w:color w:val="auto"/>
          <w:szCs w:val="21"/>
        </w:rPr>
        <w:t>④</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5 \* GB3 \* MERGEFORMAT </w:instrText>
      </w:r>
      <w:r>
        <w:rPr>
          <w:rFonts w:ascii="Times New Roman"/>
          <w:snapToGrid w:val="0"/>
          <w:color w:val="auto"/>
          <w:spacing w:val="-16"/>
          <w:kern w:val="21"/>
          <w:szCs w:val="21"/>
        </w:rPr>
        <w:fldChar w:fldCharType="separate"/>
      </w:r>
      <w:r>
        <w:rPr>
          <w:rFonts w:hint="eastAsia" w:hAnsi="宋体" w:cs="宋体"/>
          <w:color w:val="auto"/>
          <w:szCs w:val="21"/>
        </w:rPr>
        <w:t>⑤</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7 \* GB3 \* MERGEFORMAT </w:instrText>
      </w:r>
      <w:r>
        <w:rPr>
          <w:rFonts w:ascii="Times New Roman"/>
          <w:snapToGrid w:val="0"/>
          <w:color w:val="auto"/>
          <w:spacing w:val="-6"/>
          <w:kern w:val="21"/>
          <w:szCs w:val="21"/>
        </w:rPr>
        <w:fldChar w:fldCharType="separate"/>
      </w:r>
      <w:r>
        <w:rPr>
          <w:rFonts w:hint="eastAsia" w:hAnsi="宋体" w:cs="宋体"/>
          <w:color w:val="auto"/>
          <w:szCs w:val="21"/>
        </w:rPr>
        <w:t>⑦</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hint="eastAsia" w:hAnsi="宋体" w:cs="宋体"/>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hint="eastAsia" w:hAnsi="宋体" w:cs="宋体"/>
          <w:color w:val="auto"/>
          <w:szCs w:val="21"/>
        </w:rPr>
        <w:t>①</w:t>
      </w:r>
      <w:r>
        <w:rPr>
          <w:rFonts w:ascii="Times New Roman"/>
          <w:snapToGrid w:val="0"/>
          <w:color w:val="auto"/>
          <w:spacing w:val="-6"/>
          <w:kern w:val="21"/>
          <w:szCs w:val="21"/>
        </w:rPr>
        <w:fldChar w:fldCharType="end"/>
      </w:r>
    </w:p>
    <w:sectPr>
      <w:footerReference r:id="rId7" w:type="default"/>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_GBK">
    <w:altName w:val="宋体"/>
    <w:panose1 w:val="00000000000000000000"/>
    <w:charset w:val="86"/>
    <w:family w:val="script"/>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10" w:usb3="00000000" w:csb0="0004009F" w:csb1="00000000"/>
  </w:font>
  <w:font w:name="MS Mincho">
    <w:panose1 w:val="02020609040205080304"/>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cente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Style w:val="23"/>
                              <w:rFonts w:ascii="宋体" w:hAnsi="宋体"/>
                              <w:sz w:val="28"/>
                              <w:szCs w:val="28"/>
                            </w:rPr>
                          </w:pPr>
                          <w:r>
                            <w:rPr>
                              <w:rStyle w:val="23"/>
                              <w:rFonts w:hint="eastAsia" w:ascii="宋体" w:hAnsi="宋体"/>
                              <w:sz w:val="28"/>
                              <w:szCs w:val="28"/>
                            </w:rPr>
                            <w:t>—</w:t>
                          </w:r>
                          <w:r>
                            <w:rPr>
                              <w:rStyle w:val="23"/>
                              <w:rFonts w:hint="eastAsia" w:ascii="宋体" w:hAnsi="宋体"/>
                              <w:sz w:val="20"/>
                            </w:rPr>
                            <w:t xml:space="preserve">  </w:t>
                          </w:r>
                          <w:r>
                            <w:rPr>
                              <w:rStyle w:val="23"/>
                              <w:rFonts w:ascii="宋体" w:hAnsi="宋体"/>
                              <w:sz w:val="26"/>
                              <w:szCs w:val="26"/>
                            </w:rPr>
                            <w:fldChar w:fldCharType="begin"/>
                          </w:r>
                          <w:r>
                            <w:rPr>
                              <w:rStyle w:val="23"/>
                              <w:rFonts w:ascii="宋体" w:hAnsi="宋体"/>
                              <w:sz w:val="26"/>
                              <w:szCs w:val="26"/>
                            </w:rPr>
                            <w:instrText xml:space="preserve">PAGE  </w:instrText>
                          </w:r>
                          <w:r>
                            <w:rPr>
                              <w:rStyle w:val="23"/>
                              <w:rFonts w:ascii="宋体" w:hAnsi="宋体"/>
                              <w:sz w:val="26"/>
                              <w:szCs w:val="26"/>
                            </w:rPr>
                            <w:fldChar w:fldCharType="separate"/>
                          </w:r>
                          <w:r>
                            <w:rPr>
                              <w:rStyle w:val="23"/>
                              <w:rFonts w:ascii="宋体" w:hAnsi="宋体"/>
                              <w:sz w:val="26"/>
                              <w:szCs w:val="26"/>
                            </w:rPr>
                            <w:t>28</w:t>
                          </w:r>
                          <w:r>
                            <w:rPr>
                              <w:rStyle w:val="23"/>
                              <w:rFonts w:ascii="宋体" w:hAnsi="宋体"/>
                              <w:sz w:val="26"/>
                              <w:szCs w:val="26"/>
                            </w:rPr>
                            <w:fldChar w:fldCharType="end"/>
                          </w:r>
                          <w:r>
                            <w:rPr>
                              <w:rStyle w:val="23"/>
                              <w:rFonts w:hint="eastAsia" w:ascii="宋体" w:hAnsi="宋体"/>
                              <w:sz w:val="20"/>
                            </w:rPr>
                            <w:t xml:space="preserve">  </w:t>
                          </w:r>
                          <w:r>
                            <w:rPr>
                              <w:rStyle w:val="23"/>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5"/>
                      <w:rPr>
                        <w:rStyle w:val="23"/>
                        <w:rFonts w:ascii="宋体" w:hAnsi="宋体"/>
                        <w:sz w:val="28"/>
                        <w:szCs w:val="28"/>
                      </w:rPr>
                    </w:pPr>
                    <w:r>
                      <w:rPr>
                        <w:rStyle w:val="23"/>
                        <w:rFonts w:hint="eastAsia" w:ascii="宋体" w:hAnsi="宋体"/>
                        <w:sz w:val="28"/>
                        <w:szCs w:val="28"/>
                      </w:rPr>
                      <w:t>—</w:t>
                    </w:r>
                    <w:r>
                      <w:rPr>
                        <w:rStyle w:val="23"/>
                        <w:rFonts w:hint="eastAsia" w:ascii="宋体" w:hAnsi="宋体"/>
                        <w:sz w:val="20"/>
                      </w:rPr>
                      <w:t xml:space="preserve">  </w:t>
                    </w:r>
                    <w:r>
                      <w:rPr>
                        <w:rStyle w:val="23"/>
                        <w:rFonts w:ascii="宋体" w:hAnsi="宋体"/>
                        <w:sz w:val="26"/>
                        <w:szCs w:val="26"/>
                      </w:rPr>
                      <w:fldChar w:fldCharType="begin"/>
                    </w:r>
                    <w:r>
                      <w:rPr>
                        <w:rStyle w:val="23"/>
                        <w:rFonts w:ascii="宋体" w:hAnsi="宋体"/>
                        <w:sz w:val="26"/>
                        <w:szCs w:val="26"/>
                      </w:rPr>
                      <w:instrText xml:space="preserve">PAGE  </w:instrText>
                    </w:r>
                    <w:r>
                      <w:rPr>
                        <w:rStyle w:val="23"/>
                        <w:rFonts w:ascii="宋体" w:hAnsi="宋体"/>
                        <w:sz w:val="26"/>
                        <w:szCs w:val="26"/>
                      </w:rPr>
                      <w:fldChar w:fldCharType="separate"/>
                    </w:r>
                    <w:r>
                      <w:rPr>
                        <w:rStyle w:val="23"/>
                        <w:rFonts w:ascii="宋体" w:hAnsi="宋体"/>
                        <w:sz w:val="26"/>
                        <w:szCs w:val="26"/>
                      </w:rPr>
                      <w:t>28</w:t>
                    </w:r>
                    <w:r>
                      <w:rPr>
                        <w:rStyle w:val="23"/>
                        <w:rFonts w:ascii="宋体" w:hAnsi="宋体"/>
                        <w:sz w:val="26"/>
                        <w:szCs w:val="26"/>
                      </w:rPr>
                      <w:fldChar w:fldCharType="end"/>
                    </w:r>
                    <w:r>
                      <w:rPr>
                        <w:rStyle w:val="23"/>
                        <w:rFonts w:hint="eastAsia" w:ascii="宋体" w:hAnsi="宋体"/>
                        <w:sz w:val="20"/>
                      </w:rPr>
                      <w:t xml:space="preserve">  </w:t>
                    </w:r>
                    <w:r>
                      <w:rPr>
                        <w:rStyle w:val="23"/>
                        <w:rFonts w:hint="eastAsia" w:ascii="宋体" w:hAnsi="宋体"/>
                        <w:sz w:val="28"/>
                        <w:szCs w:val="28"/>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B0B87C"/>
    <w:multiLevelType w:val="singleLevel"/>
    <w:tmpl w:val="0FB0B87C"/>
    <w:lvl w:ilvl="0" w:tentative="0">
      <w:start w:val="2"/>
      <w:numFmt w:val="decimal"/>
      <w:suff w:val="space"/>
      <w:lvlText w:val="%1）"/>
      <w:lvlJc w:val="left"/>
    </w:lvl>
  </w:abstractNum>
  <w:abstractNum w:abstractNumId="1">
    <w:nsid w:val="1994E855"/>
    <w:multiLevelType w:val="singleLevel"/>
    <w:tmpl w:val="1994E855"/>
    <w:lvl w:ilvl="0" w:tentative="0">
      <w:start w:val="1"/>
      <w:numFmt w:val="decimal"/>
      <w:lvlText w:val="%1)"/>
      <w:lvlJc w:val="left"/>
      <w:pPr>
        <w:ind w:left="425" w:hanging="425"/>
      </w:pPr>
      <w:rPr>
        <w:rFonts w:hint="default"/>
        <w:b/>
        <w:bCs/>
      </w:rPr>
    </w:lvl>
  </w:abstractNum>
  <w:abstractNum w:abstractNumId="2">
    <w:nsid w:val="4C017FAC"/>
    <w:multiLevelType w:val="singleLevel"/>
    <w:tmpl w:val="4C017FAC"/>
    <w:lvl w:ilvl="0" w:tentative="0">
      <w:start w:val="3"/>
      <w:numFmt w:val="decimal"/>
      <w:suff w:val="nothing"/>
      <w:lvlText w:val="（%1）"/>
      <w:lvlJc w:val="left"/>
    </w:lvl>
  </w:abstractNum>
  <w:abstractNum w:abstractNumId="3">
    <w:nsid w:val="778218E7"/>
    <w:multiLevelType w:val="multilevel"/>
    <w:tmpl w:val="778218E7"/>
    <w:lvl w:ilvl="0" w:tentative="0">
      <w:start w:val="1"/>
      <w:numFmt w:val="decimal"/>
      <w:lvlText w:val="%1"/>
      <w:lvlJc w:val="left"/>
      <w:pPr>
        <w:ind w:left="432" w:hanging="432"/>
      </w:pPr>
    </w:lvl>
    <w:lvl w:ilvl="1" w:tentative="0">
      <w:start w:val="1"/>
      <w:numFmt w:val="decimal"/>
      <w:lvlText w:val="%1.%2"/>
      <w:lvlJc w:val="left"/>
      <w:pPr>
        <w:ind w:left="576" w:hanging="576"/>
      </w:pPr>
    </w:lvl>
    <w:lvl w:ilvl="2" w:tentative="0">
      <w:start w:val="1"/>
      <w:numFmt w:val="decimal"/>
      <w:lvlText w:val="%1.%2.%3"/>
      <w:lvlJc w:val="left"/>
      <w:pPr>
        <w:ind w:left="720" w:hanging="720"/>
      </w:pPr>
    </w:lvl>
    <w:lvl w:ilvl="3" w:tentative="0">
      <w:start w:val="1"/>
      <w:numFmt w:val="decimal"/>
      <w:pStyle w:val="7"/>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947"/>
    <w:rsid w:val="00001879"/>
    <w:rsid w:val="0000314F"/>
    <w:rsid w:val="00004625"/>
    <w:rsid w:val="00004937"/>
    <w:rsid w:val="000060B3"/>
    <w:rsid w:val="00011F06"/>
    <w:rsid w:val="00014246"/>
    <w:rsid w:val="000171D3"/>
    <w:rsid w:val="0001753E"/>
    <w:rsid w:val="00017EE4"/>
    <w:rsid w:val="00017F57"/>
    <w:rsid w:val="00017F77"/>
    <w:rsid w:val="000209D8"/>
    <w:rsid w:val="00023482"/>
    <w:rsid w:val="00031DBE"/>
    <w:rsid w:val="00032F69"/>
    <w:rsid w:val="00033630"/>
    <w:rsid w:val="0003446D"/>
    <w:rsid w:val="0003627D"/>
    <w:rsid w:val="0004364B"/>
    <w:rsid w:val="000436D2"/>
    <w:rsid w:val="0004674C"/>
    <w:rsid w:val="00051A6B"/>
    <w:rsid w:val="000538B7"/>
    <w:rsid w:val="00055FB5"/>
    <w:rsid w:val="00061B1F"/>
    <w:rsid w:val="00062A23"/>
    <w:rsid w:val="000661DC"/>
    <w:rsid w:val="000669EA"/>
    <w:rsid w:val="000714C9"/>
    <w:rsid w:val="0007249C"/>
    <w:rsid w:val="00072DAC"/>
    <w:rsid w:val="000733C4"/>
    <w:rsid w:val="00074783"/>
    <w:rsid w:val="000762EF"/>
    <w:rsid w:val="000767EA"/>
    <w:rsid w:val="00076FA7"/>
    <w:rsid w:val="0007778A"/>
    <w:rsid w:val="0008070B"/>
    <w:rsid w:val="000810AC"/>
    <w:rsid w:val="00081A02"/>
    <w:rsid w:val="00082231"/>
    <w:rsid w:val="00082933"/>
    <w:rsid w:val="000854B9"/>
    <w:rsid w:val="00085562"/>
    <w:rsid w:val="00091985"/>
    <w:rsid w:val="00091D3F"/>
    <w:rsid w:val="00092745"/>
    <w:rsid w:val="00092D38"/>
    <w:rsid w:val="0009377B"/>
    <w:rsid w:val="0009615A"/>
    <w:rsid w:val="000969D1"/>
    <w:rsid w:val="00096E1B"/>
    <w:rsid w:val="000A20C9"/>
    <w:rsid w:val="000A40A8"/>
    <w:rsid w:val="000A6079"/>
    <w:rsid w:val="000A6E56"/>
    <w:rsid w:val="000B058F"/>
    <w:rsid w:val="000B0C6C"/>
    <w:rsid w:val="000B3A06"/>
    <w:rsid w:val="000B4467"/>
    <w:rsid w:val="000B4DB9"/>
    <w:rsid w:val="000C09AC"/>
    <w:rsid w:val="000C0B01"/>
    <w:rsid w:val="000C17A2"/>
    <w:rsid w:val="000C2DFD"/>
    <w:rsid w:val="000C767F"/>
    <w:rsid w:val="000D34A9"/>
    <w:rsid w:val="000D5A44"/>
    <w:rsid w:val="000E3ED2"/>
    <w:rsid w:val="000F23B3"/>
    <w:rsid w:val="00100E7B"/>
    <w:rsid w:val="0010147C"/>
    <w:rsid w:val="00107173"/>
    <w:rsid w:val="0010771B"/>
    <w:rsid w:val="001133D6"/>
    <w:rsid w:val="0011370C"/>
    <w:rsid w:val="001218FA"/>
    <w:rsid w:val="00131F42"/>
    <w:rsid w:val="001357F1"/>
    <w:rsid w:val="00140FA8"/>
    <w:rsid w:val="00142FEB"/>
    <w:rsid w:val="00143A2D"/>
    <w:rsid w:val="00145A41"/>
    <w:rsid w:val="0014745F"/>
    <w:rsid w:val="00151675"/>
    <w:rsid w:val="00154151"/>
    <w:rsid w:val="00154C38"/>
    <w:rsid w:val="00154D9A"/>
    <w:rsid w:val="001558A3"/>
    <w:rsid w:val="00157435"/>
    <w:rsid w:val="001578A8"/>
    <w:rsid w:val="00163048"/>
    <w:rsid w:val="0016744F"/>
    <w:rsid w:val="0016791E"/>
    <w:rsid w:val="001713B5"/>
    <w:rsid w:val="00172125"/>
    <w:rsid w:val="00173A75"/>
    <w:rsid w:val="0017504D"/>
    <w:rsid w:val="0017671A"/>
    <w:rsid w:val="00177422"/>
    <w:rsid w:val="0017793C"/>
    <w:rsid w:val="00181E5C"/>
    <w:rsid w:val="001820FB"/>
    <w:rsid w:val="00182727"/>
    <w:rsid w:val="001842A3"/>
    <w:rsid w:val="00184590"/>
    <w:rsid w:val="001870D1"/>
    <w:rsid w:val="0018781E"/>
    <w:rsid w:val="0019262D"/>
    <w:rsid w:val="001A13B4"/>
    <w:rsid w:val="001A1B35"/>
    <w:rsid w:val="001A48A2"/>
    <w:rsid w:val="001A4F97"/>
    <w:rsid w:val="001A6F61"/>
    <w:rsid w:val="001A7A4A"/>
    <w:rsid w:val="001B16B8"/>
    <w:rsid w:val="001B312C"/>
    <w:rsid w:val="001B72B8"/>
    <w:rsid w:val="001C03C1"/>
    <w:rsid w:val="001C69B3"/>
    <w:rsid w:val="001D0FA2"/>
    <w:rsid w:val="001D3F5F"/>
    <w:rsid w:val="001D5595"/>
    <w:rsid w:val="001D7874"/>
    <w:rsid w:val="001D7F22"/>
    <w:rsid w:val="001E2635"/>
    <w:rsid w:val="001F0F17"/>
    <w:rsid w:val="001F24AD"/>
    <w:rsid w:val="001F329E"/>
    <w:rsid w:val="001F3347"/>
    <w:rsid w:val="001F5F67"/>
    <w:rsid w:val="001F69E4"/>
    <w:rsid w:val="0020407C"/>
    <w:rsid w:val="00204A16"/>
    <w:rsid w:val="002079EC"/>
    <w:rsid w:val="0021012D"/>
    <w:rsid w:val="0021030E"/>
    <w:rsid w:val="002125B4"/>
    <w:rsid w:val="002126BE"/>
    <w:rsid w:val="002139FB"/>
    <w:rsid w:val="002155B8"/>
    <w:rsid w:val="00216EFC"/>
    <w:rsid w:val="00220E74"/>
    <w:rsid w:val="00221933"/>
    <w:rsid w:val="00224839"/>
    <w:rsid w:val="002249B2"/>
    <w:rsid w:val="0022580A"/>
    <w:rsid w:val="00225A46"/>
    <w:rsid w:val="00226574"/>
    <w:rsid w:val="002278EC"/>
    <w:rsid w:val="0023280E"/>
    <w:rsid w:val="00232CD5"/>
    <w:rsid w:val="0023315A"/>
    <w:rsid w:val="002377D1"/>
    <w:rsid w:val="00242CE4"/>
    <w:rsid w:val="00244C0E"/>
    <w:rsid w:val="00250392"/>
    <w:rsid w:val="002506BC"/>
    <w:rsid w:val="002509C7"/>
    <w:rsid w:val="00251972"/>
    <w:rsid w:val="00252C08"/>
    <w:rsid w:val="00254345"/>
    <w:rsid w:val="002630BB"/>
    <w:rsid w:val="00264557"/>
    <w:rsid w:val="0026488F"/>
    <w:rsid w:val="00271C27"/>
    <w:rsid w:val="0027430B"/>
    <w:rsid w:val="00275A3E"/>
    <w:rsid w:val="002805AB"/>
    <w:rsid w:val="00282B3C"/>
    <w:rsid w:val="00284204"/>
    <w:rsid w:val="00286A90"/>
    <w:rsid w:val="00291773"/>
    <w:rsid w:val="0029470A"/>
    <w:rsid w:val="002953D6"/>
    <w:rsid w:val="002A168C"/>
    <w:rsid w:val="002A265E"/>
    <w:rsid w:val="002A3282"/>
    <w:rsid w:val="002A3DC7"/>
    <w:rsid w:val="002B1907"/>
    <w:rsid w:val="002B25C9"/>
    <w:rsid w:val="002B49E2"/>
    <w:rsid w:val="002B653A"/>
    <w:rsid w:val="002B7B00"/>
    <w:rsid w:val="002B7C44"/>
    <w:rsid w:val="002C2B17"/>
    <w:rsid w:val="002C2C59"/>
    <w:rsid w:val="002C46A3"/>
    <w:rsid w:val="002C66D5"/>
    <w:rsid w:val="002C6987"/>
    <w:rsid w:val="002D0A10"/>
    <w:rsid w:val="002D3DD0"/>
    <w:rsid w:val="002E1F3A"/>
    <w:rsid w:val="002E298A"/>
    <w:rsid w:val="002E4D11"/>
    <w:rsid w:val="002E6ECB"/>
    <w:rsid w:val="002F021C"/>
    <w:rsid w:val="002F5BE4"/>
    <w:rsid w:val="00301435"/>
    <w:rsid w:val="00301978"/>
    <w:rsid w:val="00301B38"/>
    <w:rsid w:val="00302537"/>
    <w:rsid w:val="00302DD1"/>
    <w:rsid w:val="0030332C"/>
    <w:rsid w:val="00304395"/>
    <w:rsid w:val="00304672"/>
    <w:rsid w:val="003051C2"/>
    <w:rsid w:val="00312296"/>
    <w:rsid w:val="00313635"/>
    <w:rsid w:val="00314B4E"/>
    <w:rsid w:val="00314F0E"/>
    <w:rsid w:val="00315F1C"/>
    <w:rsid w:val="00321D8E"/>
    <w:rsid w:val="00325380"/>
    <w:rsid w:val="00325779"/>
    <w:rsid w:val="00325928"/>
    <w:rsid w:val="00331F54"/>
    <w:rsid w:val="00332863"/>
    <w:rsid w:val="00333A47"/>
    <w:rsid w:val="003340C1"/>
    <w:rsid w:val="0033684D"/>
    <w:rsid w:val="00337B42"/>
    <w:rsid w:val="00340FB9"/>
    <w:rsid w:val="00341B42"/>
    <w:rsid w:val="0034348F"/>
    <w:rsid w:val="00347570"/>
    <w:rsid w:val="00351955"/>
    <w:rsid w:val="00353224"/>
    <w:rsid w:val="003553BE"/>
    <w:rsid w:val="00356653"/>
    <w:rsid w:val="0035743F"/>
    <w:rsid w:val="00357BE2"/>
    <w:rsid w:val="003607CE"/>
    <w:rsid w:val="0036170C"/>
    <w:rsid w:val="0036239F"/>
    <w:rsid w:val="00366E0F"/>
    <w:rsid w:val="00381A72"/>
    <w:rsid w:val="00381B68"/>
    <w:rsid w:val="003826D1"/>
    <w:rsid w:val="00382853"/>
    <w:rsid w:val="00384676"/>
    <w:rsid w:val="00390857"/>
    <w:rsid w:val="00390A33"/>
    <w:rsid w:val="00391607"/>
    <w:rsid w:val="00394E5F"/>
    <w:rsid w:val="003A0E9C"/>
    <w:rsid w:val="003A1FA1"/>
    <w:rsid w:val="003A395C"/>
    <w:rsid w:val="003A4BF3"/>
    <w:rsid w:val="003B2D0D"/>
    <w:rsid w:val="003B420D"/>
    <w:rsid w:val="003B490B"/>
    <w:rsid w:val="003B4E54"/>
    <w:rsid w:val="003C0EEE"/>
    <w:rsid w:val="003C1F05"/>
    <w:rsid w:val="003C6C16"/>
    <w:rsid w:val="003C6E72"/>
    <w:rsid w:val="003C6E8B"/>
    <w:rsid w:val="003D2D5E"/>
    <w:rsid w:val="003D30B5"/>
    <w:rsid w:val="003D525A"/>
    <w:rsid w:val="003D57EB"/>
    <w:rsid w:val="003D5EBB"/>
    <w:rsid w:val="003D7053"/>
    <w:rsid w:val="003D794D"/>
    <w:rsid w:val="003D7A4E"/>
    <w:rsid w:val="003E3058"/>
    <w:rsid w:val="003E4B0C"/>
    <w:rsid w:val="003E76A9"/>
    <w:rsid w:val="003F026D"/>
    <w:rsid w:val="003F0809"/>
    <w:rsid w:val="003F2498"/>
    <w:rsid w:val="003F342B"/>
    <w:rsid w:val="003F3891"/>
    <w:rsid w:val="003F6898"/>
    <w:rsid w:val="003F6A8C"/>
    <w:rsid w:val="003F755C"/>
    <w:rsid w:val="00402BE7"/>
    <w:rsid w:val="00403748"/>
    <w:rsid w:val="00405FCC"/>
    <w:rsid w:val="00405FDB"/>
    <w:rsid w:val="00406F01"/>
    <w:rsid w:val="004072C5"/>
    <w:rsid w:val="004101C9"/>
    <w:rsid w:val="004125BD"/>
    <w:rsid w:val="00413999"/>
    <w:rsid w:val="00416D50"/>
    <w:rsid w:val="00416FD5"/>
    <w:rsid w:val="00417772"/>
    <w:rsid w:val="00420E6A"/>
    <w:rsid w:val="004237C3"/>
    <w:rsid w:val="00423CA3"/>
    <w:rsid w:val="00425A9E"/>
    <w:rsid w:val="00426D2F"/>
    <w:rsid w:val="00426D6B"/>
    <w:rsid w:val="00431E6C"/>
    <w:rsid w:val="00432EB4"/>
    <w:rsid w:val="00433CE7"/>
    <w:rsid w:val="00435D38"/>
    <w:rsid w:val="004440A4"/>
    <w:rsid w:val="00450078"/>
    <w:rsid w:val="00451FAC"/>
    <w:rsid w:val="00452738"/>
    <w:rsid w:val="0045529F"/>
    <w:rsid w:val="00456091"/>
    <w:rsid w:val="004576BB"/>
    <w:rsid w:val="00461625"/>
    <w:rsid w:val="004657C6"/>
    <w:rsid w:val="00466321"/>
    <w:rsid w:val="00470CFD"/>
    <w:rsid w:val="004736CE"/>
    <w:rsid w:val="00477E8F"/>
    <w:rsid w:val="00481D83"/>
    <w:rsid w:val="00481EDF"/>
    <w:rsid w:val="00484B9B"/>
    <w:rsid w:val="004855F6"/>
    <w:rsid w:val="0048661E"/>
    <w:rsid w:val="004866EB"/>
    <w:rsid w:val="00487AF0"/>
    <w:rsid w:val="00494670"/>
    <w:rsid w:val="00496694"/>
    <w:rsid w:val="004A1254"/>
    <w:rsid w:val="004A3823"/>
    <w:rsid w:val="004A79C0"/>
    <w:rsid w:val="004B1479"/>
    <w:rsid w:val="004B17EA"/>
    <w:rsid w:val="004B2C08"/>
    <w:rsid w:val="004C029A"/>
    <w:rsid w:val="004D16F0"/>
    <w:rsid w:val="004D20F8"/>
    <w:rsid w:val="004D3CCE"/>
    <w:rsid w:val="004D7E4B"/>
    <w:rsid w:val="004E1EFD"/>
    <w:rsid w:val="004E35BC"/>
    <w:rsid w:val="004E6946"/>
    <w:rsid w:val="004F1AD8"/>
    <w:rsid w:val="004F24C0"/>
    <w:rsid w:val="004F3C5E"/>
    <w:rsid w:val="004F71BB"/>
    <w:rsid w:val="00500728"/>
    <w:rsid w:val="0050135A"/>
    <w:rsid w:val="005039CB"/>
    <w:rsid w:val="00503DE2"/>
    <w:rsid w:val="0050558F"/>
    <w:rsid w:val="00506286"/>
    <w:rsid w:val="00506816"/>
    <w:rsid w:val="00507E24"/>
    <w:rsid w:val="005100DC"/>
    <w:rsid w:val="00510813"/>
    <w:rsid w:val="00511990"/>
    <w:rsid w:val="00511DE0"/>
    <w:rsid w:val="00513860"/>
    <w:rsid w:val="0051429C"/>
    <w:rsid w:val="00514870"/>
    <w:rsid w:val="00514B9B"/>
    <w:rsid w:val="0051701F"/>
    <w:rsid w:val="00517EF4"/>
    <w:rsid w:val="00517F02"/>
    <w:rsid w:val="00524303"/>
    <w:rsid w:val="005258A2"/>
    <w:rsid w:val="005264EE"/>
    <w:rsid w:val="00530462"/>
    <w:rsid w:val="0053551E"/>
    <w:rsid w:val="00537D9F"/>
    <w:rsid w:val="00537E9A"/>
    <w:rsid w:val="005401AE"/>
    <w:rsid w:val="00542BBD"/>
    <w:rsid w:val="00542E07"/>
    <w:rsid w:val="00545424"/>
    <w:rsid w:val="00545DA0"/>
    <w:rsid w:val="00550F1D"/>
    <w:rsid w:val="00554A7B"/>
    <w:rsid w:val="00554C3E"/>
    <w:rsid w:val="00554FEB"/>
    <w:rsid w:val="0055572C"/>
    <w:rsid w:val="0056106A"/>
    <w:rsid w:val="0056241C"/>
    <w:rsid w:val="005655D2"/>
    <w:rsid w:val="0056659E"/>
    <w:rsid w:val="00566FE1"/>
    <w:rsid w:val="005720AE"/>
    <w:rsid w:val="0058041F"/>
    <w:rsid w:val="00587B7F"/>
    <w:rsid w:val="0059012F"/>
    <w:rsid w:val="00594D77"/>
    <w:rsid w:val="0059562D"/>
    <w:rsid w:val="005969E4"/>
    <w:rsid w:val="005974B2"/>
    <w:rsid w:val="005A06B7"/>
    <w:rsid w:val="005A1759"/>
    <w:rsid w:val="005A51CA"/>
    <w:rsid w:val="005A61D5"/>
    <w:rsid w:val="005A63A5"/>
    <w:rsid w:val="005A68A7"/>
    <w:rsid w:val="005B0453"/>
    <w:rsid w:val="005B1FF9"/>
    <w:rsid w:val="005B283D"/>
    <w:rsid w:val="005B5053"/>
    <w:rsid w:val="005B7A87"/>
    <w:rsid w:val="005C4EF0"/>
    <w:rsid w:val="005C5728"/>
    <w:rsid w:val="005D1277"/>
    <w:rsid w:val="005D2548"/>
    <w:rsid w:val="005D36AB"/>
    <w:rsid w:val="005D3A20"/>
    <w:rsid w:val="005D474B"/>
    <w:rsid w:val="005D632B"/>
    <w:rsid w:val="005D6AB6"/>
    <w:rsid w:val="005E0533"/>
    <w:rsid w:val="005E0A35"/>
    <w:rsid w:val="005E4613"/>
    <w:rsid w:val="005E6015"/>
    <w:rsid w:val="005E660E"/>
    <w:rsid w:val="005F43FA"/>
    <w:rsid w:val="005F4D66"/>
    <w:rsid w:val="005F65EA"/>
    <w:rsid w:val="005F7028"/>
    <w:rsid w:val="006039B7"/>
    <w:rsid w:val="0060560F"/>
    <w:rsid w:val="00607290"/>
    <w:rsid w:val="006108C7"/>
    <w:rsid w:val="00613404"/>
    <w:rsid w:val="006143C5"/>
    <w:rsid w:val="00617CC3"/>
    <w:rsid w:val="00625995"/>
    <w:rsid w:val="006306EE"/>
    <w:rsid w:val="00632669"/>
    <w:rsid w:val="00633ECC"/>
    <w:rsid w:val="00634DD7"/>
    <w:rsid w:val="00636E9F"/>
    <w:rsid w:val="0063704D"/>
    <w:rsid w:val="006370CF"/>
    <w:rsid w:val="006377A6"/>
    <w:rsid w:val="006377D1"/>
    <w:rsid w:val="00637A3D"/>
    <w:rsid w:val="006411EF"/>
    <w:rsid w:val="00644ABF"/>
    <w:rsid w:val="00646ADC"/>
    <w:rsid w:val="006517EF"/>
    <w:rsid w:val="00651C2C"/>
    <w:rsid w:val="006543A3"/>
    <w:rsid w:val="00655D25"/>
    <w:rsid w:val="00661BA1"/>
    <w:rsid w:val="006639F8"/>
    <w:rsid w:val="00664002"/>
    <w:rsid w:val="0066501B"/>
    <w:rsid w:val="006678C6"/>
    <w:rsid w:val="006716A3"/>
    <w:rsid w:val="0067277E"/>
    <w:rsid w:val="00673DF0"/>
    <w:rsid w:val="006748B8"/>
    <w:rsid w:val="00675BDC"/>
    <w:rsid w:val="006775C3"/>
    <w:rsid w:val="00677E3D"/>
    <w:rsid w:val="00684E96"/>
    <w:rsid w:val="00685A79"/>
    <w:rsid w:val="00691815"/>
    <w:rsid w:val="0069290A"/>
    <w:rsid w:val="00694299"/>
    <w:rsid w:val="0069519A"/>
    <w:rsid w:val="006959F4"/>
    <w:rsid w:val="0069775A"/>
    <w:rsid w:val="00697813"/>
    <w:rsid w:val="00697AE1"/>
    <w:rsid w:val="006A0742"/>
    <w:rsid w:val="006A27CD"/>
    <w:rsid w:val="006A3EE8"/>
    <w:rsid w:val="006A4EDB"/>
    <w:rsid w:val="006A5E5A"/>
    <w:rsid w:val="006A72BF"/>
    <w:rsid w:val="006B03F2"/>
    <w:rsid w:val="006B0EDA"/>
    <w:rsid w:val="006B14A8"/>
    <w:rsid w:val="006B26E0"/>
    <w:rsid w:val="006B37DC"/>
    <w:rsid w:val="006B3D2C"/>
    <w:rsid w:val="006B4F68"/>
    <w:rsid w:val="006C0592"/>
    <w:rsid w:val="006C1185"/>
    <w:rsid w:val="006C272E"/>
    <w:rsid w:val="006C5479"/>
    <w:rsid w:val="006D13B5"/>
    <w:rsid w:val="006D2DB6"/>
    <w:rsid w:val="006D41BB"/>
    <w:rsid w:val="006D472A"/>
    <w:rsid w:val="006D5DA6"/>
    <w:rsid w:val="006E08C7"/>
    <w:rsid w:val="006E097F"/>
    <w:rsid w:val="006E12FF"/>
    <w:rsid w:val="006E1A8A"/>
    <w:rsid w:val="006E3123"/>
    <w:rsid w:val="006E3C3F"/>
    <w:rsid w:val="006E3CA9"/>
    <w:rsid w:val="006E5F7F"/>
    <w:rsid w:val="006E607E"/>
    <w:rsid w:val="006F2703"/>
    <w:rsid w:val="006F2F12"/>
    <w:rsid w:val="006F50E8"/>
    <w:rsid w:val="006F7035"/>
    <w:rsid w:val="00702ED9"/>
    <w:rsid w:val="00706C5D"/>
    <w:rsid w:val="00713F92"/>
    <w:rsid w:val="0072406F"/>
    <w:rsid w:val="00732922"/>
    <w:rsid w:val="0073682B"/>
    <w:rsid w:val="0074434C"/>
    <w:rsid w:val="00747007"/>
    <w:rsid w:val="0075019B"/>
    <w:rsid w:val="0075030D"/>
    <w:rsid w:val="0075162E"/>
    <w:rsid w:val="00752680"/>
    <w:rsid w:val="00754034"/>
    <w:rsid w:val="00755CAA"/>
    <w:rsid w:val="00755DFE"/>
    <w:rsid w:val="00756556"/>
    <w:rsid w:val="0076042C"/>
    <w:rsid w:val="00760F4E"/>
    <w:rsid w:val="007618C4"/>
    <w:rsid w:val="007657BF"/>
    <w:rsid w:val="00766458"/>
    <w:rsid w:val="00767980"/>
    <w:rsid w:val="0077055D"/>
    <w:rsid w:val="00770B19"/>
    <w:rsid w:val="00773926"/>
    <w:rsid w:val="0077463F"/>
    <w:rsid w:val="00781B64"/>
    <w:rsid w:val="007836EA"/>
    <w:rsid w:val="00784547"/>
    <w:rsid w:val="00784CDA"/>
    <w:rsid w:val="007906C4"/>
    <w:rsid w:val="007914C3"/>
    <w:rsid w:val="00793877"/>
    <w:rsid w:val="007940EA"/>
    <w:rsid w:val="007960B5"/>
    <w:rsid w:val="007967E8"/>
    <w:rsid w:val="007A2170"/>
    <w:rsid w:val="007A22BF"/>
    <w:rsid w:val="007A3323"/>
    <w:rsid w:val="007A4486"/>
    <w:rsid w:val="007A6EDE"/>
    <w:rsid w:val="007B00EE"/>
    <w:rsid w:val="007B2886"/>
    <w:rsid w:val="007B33CE"/>
    <w:rsid w:val="007B5FB7"/>
    <w:rsid w:val="007B72B8"/>
    <w:rsid w:val="007B7A58"/>
    <w:rsid w:val="007C21B5"/>
    <w:rsid w:val="007C5138"/>
    <w:rsid w:val="007D2AAC"/>
    <w:rsid w:val="007D4CE4"/>
    <w:rsid w:val="007D7539"/>
    <w:rsid w:val="007E427B"/>
    <w:rsid w:val="007E4BD2"/>
    <w:rsid w:val="007F119D"/>
    <w:rsid w:val="007F376A"/>
    <w:rsid w:val="007F427C"/>
    <w:rsid w:val="00801393"/>
    <w:rsid w:val="0080237D"/>
    <w:rsid w:val="00802F88"/>
    <w:rsid w:val="0080346F"/>
    <w:rsid w:val="00804986"/>
    <w:rsid w:val="00807F8F"/>
    <w:rsid w:val="00810D2B"/>
    <w:rsid w:val="0081293E"/>
    <w:rsid w:val="00815465"/>
    <w:rsid w:val="0081575C"/>
    <w:rsid w:val="00816558"/>
    <w:rsid w:val="0081662E"/>
    <w:rsid w:val="00817E9A"/>
    <w:rsid w:val="00821FFA"/>
    <w:rsid w:val="008241BD"/>
    <w:rsid w:val="00825BCE"/>
    <w:rsid w:val="008306BD"/>
    <w:rsid w:val="00831A80"/>
    <w:rsid w:val="0083259F"/>
    <w:rsid w:val="00833743"/>
    <w:rsid w:val="008340A4"/>
    <w:rsid w:val="00834DEC"/>
    <w:rsid w:val="00836878"/>
    <w:rsid w:val="00837851"/>
    <w:rsid w:val="00847C6B"/>
    <w:rsid w:val="0085233E"/>
    <w:rsid w:val="00856829"/>
    <w:rsid w:val="00862574"/>
    <w:rsid w:val="00866257"/>
    <w:rsid w:val="00867AD8"/>
    <w:rsid w:val="0087135F"/>
    <w:rsid w:val="00872D94"/>
    <w:rsid w:val="0088026F"/>
    <w:rsid w:val="00880364"/>
    <w:rsid w:val="0088106A"/>
    <w:rsid w:val="0088403D"/>
    <w:rsid w:val="00886F30"/>
    <w:rsid w:val="00891592"/>
    <w:rsid w:val="00891E9E"/>
    <w:rsid w:val="0089489C"/>
    <w:rsid w:val="008A0583"/>
    <w:rsid w:val="008A0B72"/>
    <w:rsid w:val="008A1A3C"/>
    <w:rsid w:val="008A2F68"/>
    <w:rsid w:val="008A500A"/>
    <w:rsid w:val="008B4FA6"/>
    <w:rsid w:val="008B5282"/>
    <w:rsid w:val="008B7C17"/>
    <w:rsid w:val="008C2D01"/>
    <w:rsid w:val="008C2E1C"/>
    <w:rsid w:val="008C40E6"/>
    <w:rsid w:val="008D0F7A"/>
    <w:rsid w:val="008D34BE"/>
    <w:rsid w:val="008D58AA"/>
    <w:rsid w:val="008D68E4"/>
    <w:rsid w:val="008E0506"/>
    <w:rsid w:val="008E0CFF"/>
    <w:rsid w:val="008E59DA"/>
    <w:rsid w:val="008E5D6B"/>
    <w:rsid w:val="008E614B"/>
    <w:rsid w:val="008E6CA7"/>
    <w:rsid w:val="008E76F0"/>
    <w:rsid w:val="008F15FE"/>
    <w:rsid w:val="008F2D29"/>
    <w:rsid w:val="008F5187"/>
    <w:rsid w:val="008F5441"/>
    <w:rsid w:val="008F60D8"/>
    <w:rsid w:val="008F7B07"/>
    <w:rsid w:val="008F7DBA"/>
    <w:rsid w:val="00900C99"/>
    <w:rsid w:val="00902039"/>
    <w:rsid w:val="00902727"/>
    <w:rsid w:val="0090312B"/>
    <w:rsid w:val="009031DE"/>
    <w:rsid w:val="00906A63"/>
    <w:rsid w:val="0091066A"/>
    <w:rsid w:val="009125C6"/>
    <w:rsid w:val="009141DE"/>
    <w:rsid w:val="00914711"/>
    <w:rsid w:val="00914964"/>
    <w:rsid w:val="0091736D"/>
    <w:rsid w:val="009205D2"/>
    <w:rsid w:val="00922D2D"/>
    <w:rsid w:val="0092337F"/>
    <w:rsid w:val="0092462C"/>
    <w:rsid w:val="009279C2"/>
    <w:rsid w:val="0093037A"/>
    <w:rsid w:val="00937CB8"/>
    <w:rsid w:val="0094154D"/>
    <w:rsid w:val="00941A51"/>
    <w:rsid w:val="00950779"/>
    <w:rsid w:val="0095155F"/>
    <w:rsid w:val="009536DC"/>
    <w:rsid w:val="00954429"/>
    <w:rsid w:val="00954A2E"/>
    <w:rsid w:val="009563CE"/>
    <w:rsid w:val="00966508"/>
    <w:rsid w:val="00970883"/>
    <w:rsid w:val="00971BCB"/>
    <w:rsid w:val="00974E36"/>
    <w:rsid w:val="00976328"/>
    <w:rsid w:val="0097680D"/>
    <w:rsid w:val="00982406"/>
    <w:rsid w:val="00982438"/>
    <w:rsid w:val="0098404C"/>
    <w:rsid w:val="00985283"/>
    <w:rsid w:val="00991B84"/>
    <w:rsid w:val="00994463"/>
    <w:rsid w:val="00995992"/>
    <w:rsid w:val="0099754B"/>
    <w:rsid w:val="009A03E5"/>
    <w:rsid w:val="009A0F3B"/>
    <w:rsid w:val="009A1BB4"/>
    <w:rsid w:val="009A2628"/>
    <w:rsid w:val="009A3200"/>
    <w:rsid w:val="009A54A9"/>
    <w:rsid w:val="009B0897"/>
    <w:rsid w:val="009B7211"/>
    <w:rsid w:val="009B7BD9"/>
    <w:rsid w:val="009C0EC7"/>
    <w:rsid w:val="009C4D65"/>
    <w:rsid w:val="009C6AC8"/>
    <w:rsid w:val="009C7DD5"/>
    <w:rsid w:val="009D0922"/>
    <w:rsid w:val="009D19D2"/>
    <w:rsid w:val="009D3D6B"/>
    <w:rsid w:val="009D54EE"/>
    <w:rsid w:val="009D5BC7"/>
    <w:rsid w:val="009D6657"/>
    <w:rsid w:val="009E1022"/>
    <w:rsid w:val="009E227D"/>
    <w:rsid w:val="009E5019"/>
    <w:rsid w:val="009E751F"/>
    <w:rsid w:val="009E784B"/>
    <w:rsid w:val="009F5434"/>
    <w:rsid w:val="009F7E5B"/>
    <w:rsid w:val="00A015C8"/>
    <w:rsid w:val="00A031D7"/>
    <w:rsid w:val="00A04F1B"/>
    <w:rsid w:val="00A0501B"/>
    <w:rsid w:val="00A06E50"/>
    <w:rsid w:val="00A0702D"/>
    <w:rsid w:val="00A11425"/>
    <w:rsid w:val="00A12BB4"/>
    <w:rsid w:val="00A14947"/>
    <w:rsid w:val="00A21DAB"/>
    <w:rsid w:val="00A274CA"/>
    <w:rsid w:val="00A3134F"/>
    <w:rsid w:val="00A32A83"/>
    <w:rsid w:val="00A33B87"/>
    <w:rsid w:val="00A368DB"/>
    <w:rsid w:val="00A40707"/>
    <w:rsid w:val="00A4079A"/>
    <w:rsid w:val="00A423AA"/>
    <w:rsid w:val="00A43411"/>
    <w:rsid w:val="00A4443B"/>
    <w:rsid w:val="00A46D59"/>
    <w:rsid w:val="00A502DF"/>
    <w:rsid w:val="00A53EC6"/>
    <w:rsid w:val="00A55C0F"/>
    <w:rsid w:val="00A55D12"/>
    <w:rsid w:val="00A562D2"/>
    <w:rsid w:val="00A655C6"/>
    <w:rsid w:val="00A671C2"/>
    <w:rsid w:val="00A77207"/>
    <w:rsid w:val="00A848B5"/>
    <w:rsid w:val="00A8696F"/>
    <w:rsid w:val="00A8713F"/>
    <w:rsid w:val="00A874DC"/>
    <w:rsid w:val="00A9073A"/>
    <w:rsid w:val="00A90BA1"/>
    <w:rsid w:val="00A96C5F"/>
    <w:rsid w:val="00A97A9A"/>
    <w:rsid w:val="00AA0671"/>
    <w:rsid w:val="00AA2531"/>
    <w:rsid w:val="00AA43CD"/>
    <w:rsid w:val="00AA446A"/>
    <w:rsid w:val="00AA4A51"/>
    <w:rsid w:val="00AA517A"/>
    <w:rsid w:val="00AA587E"/>
    <w:rsid w:val="00AA7EE1"/>
    <w:rsid w:val="00AB1E09"/>
    <w:rsid w:val="00AB5330"/>
    <w:rsid w:val="00AB5DE0"/>
    <w:rsid w:val="00AB7747"/>
    <w:rsid w:val="00AC14CE"/>
    <w:rsid w:val="00AC2137"/>
    <w:rsid w:val="00AC2A56"/>
    <w:rsid w:val="00AC4BEA"/>
    <w:rsid w:val="00AC68E4"/>
    <w:rsid w:val="00AC6B5A"/>
    <w:rsid w:val="00AD055E"/>
    <w:rsid w:val="00AD47A7"/>
    <w:rsid w:val="00AD6CEF"/>
    <w:rsid w:val="00AF02F1"/>
    <w:rsid w:val="00AF0CBF"/>
    <w:rsid w:val="00AF247A"/>
    <w:rsid w:val="00AF257F"/>
    <w:rsid w:val="00AF33CF"/>
    <w:rsid w:val="00AF4D50"/>
    <w:rsid w:val="00AF6179"/>
    <w:rsid w:val="00AF61A9"/>
    <w:rsid w:val="00B007FD"/>
    <w:rsid w:val="00B018B5"/>
    <w:rsid w:val="00B027C9"/>
    <w:rsid w:val="00B041A9"/>
    <w:rsid w:val="00B04D3A"/>
    <w:rsid w:val="00B1295A"/>
    <w:rsid w:val="00B13C12"/>
    <w:rsid w:val="00B16B24"/>
    <w:rsid w:val="00B17D3D"/>
    <w:rsid w:val="00B20A45"/>
    <w:rsid w:val="00B22C5C"/>
    <w:rsid w:val="00B24F30"/>
    <w:rsid w:val="00B27E29"/>
    <w:rsid w:val="00B31ABF"/>
    <w:rsid w:val="00B33BE3"/>
    <w:rsid w:val="00B52AF0"/>
    <w:rsid w:val="00B53B5D"/>
    <w:rsid w:val="00B53F82"/>
    <w:rsid w:val="00B60488"/>
    <w:rsid w:val="00B6055E"/>
    <w:rsid w:val="00B6092C"/>
    <w:rsid w:val="00B625AA"/>
    <w:rsid w:val="00B6317D"/>
    <w:rsid w:val="00B6318A"/>
    <w:rsid w:val="00B639C5"/>
    <w:rsid w:val="00B64DFA"/>
    <w:rsid w:val="00B66A40"/>
    <w:rsid w:val="00B71B53"/>
    <w:rsid w:val="00B770E3"/>
    <w:rsid w:val="00B7723F"/>
    <w:rsid w:val="00B7748F"/>
    <w:rsid w:val="00B776AF"/>
    <w:rsid w:val="00B77CF1"/>
    <w:rsid w:val="00B77F1E"/>
    <w:rsid w:val="00B80534"/>
    <w:rsid w:val="00B8433C"/>
    <w:rsid w:val="00B87491"/>
    <w:rsid w:val="00B87D58"/>
    <w:rsid w:val="00B9263A"/>
    <w:rsid w:val="00B9460F"/>
    <w:rsid w:val="00BA140B"/>
    <w:rsid w:val="00BA29E9"/>
    <w:rsid w:val="00BA7142"/>
    <w:rsid w:val="00BB237C"/>
    <w:rsid w:val="00BB2EF8"/>
    <w:rsid w:val="00BB41A3"/>
    <w:rsid w:val="00BC15EA"/>
    <w:rsid w:val="00BC32DC"/>
    <w:rsid w:val="00BC35B6"/>
    <w:rsid w:val="00BC5008"/>
    <w:rsid w:val="00BD1B51"/>
    <w:rsid w:val="00BD4596"/>
    <w:rsid w:val="00BD6221"/>
    <w:rsid w:val="00BD7710"/>
    <w:rsid w:val="00BE1405"/>
    <w:rsid w:val="00BE2311"/>
    <w:rsid w:val="00BE262C"/>
    <w:rsid w:val="00BE312D"/>
    <w:rsid w:val="00BE4320"/>
    <w:rsid w:val="00BE58FC"/>
    <w:rsid w:val="00BF1528"/>
    <w:rsid w:val="00BF1C20"/>
    <w:rsid w:val="00BF2A1F"/>
    <w:rsid w:val="00BF3917"/>
    <w:rsid w:val="00BF3A39"/>
    <w:rsid w:val="00C03102"/>
    <w:rsid w:val="00C03E43"/>
    <w:rsid w:val="00C10578"/>
    <w:rsid w:val="00C1116C"/>
    <w:rsid w:val="00C135BC"/>
    <w:rsid w:val="00C15663"/>
    <w:rsid w:val="00C15C95"/>
    <w:rsid w:val="00C2220E"/>
    <w:rsid w:val="00C2596A"/>
    <w:rsid w:val="00C2675D"/>
    <w:rsid w:val="00C27537"/>
    <w:rsid w:val="00C3184E"/>
    <w:rsid w:val="00C328FE"/>
    <w:rsid w:val="00C3346B"/>
    <w:rsid w:val="00C33507"/>
    <w:rsid w:val="00C34CA1"/>
    <w:rsid w:val="00C377C6"/>
    <w:rsid w:val="00C4409D"/>
    <w:rsid w:val="00C44E72"/>
    <w:rsid w:val="00C45A06"/>
    <w:rsid w:val="00C47E5B"/>
    <w:rsid w:val="00C5207E"/>
    <w:rsid w:val="00C568F9"/>
    <w:rsid w:val="00C571AF"/>
    <w:rsid w:val="00C60F13"/>
    <w:rsid w:val="00C61796"/>
    <w:rsid w:val="00C61E4B"/>
    <w:rsid w:val="00C62A17"/>
    <w:rsid w:val="00C63EF6"/>
    <w:rsid w:val="00C64BFF"/>
    <w:rsid w:val="00C65653"/>
    <w:rsid w:val="00C703F0"/>
    <w:rsid w:val="00C704E9"/>
    <w:rsid w:val="00C74E06"/>
    <w:rsid w:val="00C763C9"/>
    <w:rsid w:val="00C76B60"/>
    <w:rsid w:val="00C80057"/>
    <w:rsid w:val="00C82232"/>
    <w:rsid w:val="00C82913"/>
    <w:rsid w:val="00C83032"/>
    <w:rsid w:val="00C84DFD"/>
    <w:rsid w:val="00C864AD"/>
    <w:rsid w:val="00C92321"/>
    <w:rsid w:val="00C972B1"/>
    <w:rsid w:val="00CA2BB1"/>
    <w:rsid w:val="00CA2CCE"/>
    <w:rsid w:val="00CA2E41"/>
    <w:rsid w:val="00CA43FD"/>
    <w:rsid w:val="00CA6B43"/>
    <w:rsid w:val="00CA7EF8"/>
    <w:rsid w:val="00CB1721"/>
    <w:rsid w:val="00CB3DE6"/>
    <w:rsid w:val="00CC1BFB"/>
    <w:rsid w:val="00CC2ED3"/>
    <w:rsid w:val="00CC489B"/>
    <w:rsid w:val="00CC7E51"/>
    <w:rsid w:val="00CD2BCD"/>
    <w:rsid w:val="00CD3A4C"/>
    <w:rsid w:val="00CD6E71"/>
    <w:rsid w:val="00CE10E9"/>
    <w:rsid w:val="00CE2910"/>
    <w:rsid w:val="00CE4817"/>
    <w:rsid w:val="00CE5393"/>
    <w:rsid w:val="00CF36BE"/>
    <w:rsid w:val="00CF404E"/>
    <w:rsid w:val="00CF4666"/>
    <w:rsid w:val="00CF5B86"/>
    <w:rsid w:val="00CF6000"/>
    <w:rsid w:val="00CF6142"/>
    <w:rsid w:val="00CF6A81"/>
    <w:rsid w:val="00D003F3"/>
    <w:rsid w:val="00D0364F"/>
    <w:rsid w:val="00D03DBB"/>
    <w:rsid w:val="00D06834"/>
    <w:rsid w:val="00D06869"/>
    <w:rsid w:val="00D12626"/>
    <w:rsid w:val="00D1384F"/>
    <w:rsid w:val="00D15B01"/>
    <w:rsid w:val="00D179EE"/>
    <w:rsid w:val="00D2310A"/>
    <w:rsid w:val="00D235E7"/>
    <w:rsid w:val="00D308ED"/>
    <w:rsid w:val="00D3112D"/>
    <w:rsid w:val="00D34096"/>
    <w:rsid w:val="00D36D86"/>
    <w:rsid w:val="00D428AA"/>
    <w:rsid w:val="00D44F94"/>
    <w:rsid w:val="00D46B51"/>
    <w:rsid w:val="00D50252"/>
    <w:rsid w:val="00D50A34"/>
    <w:rsid w:val="00D52774"/>
    <w:rsid w:val="00D52899"/>
    <w:rsid w:val="00D53EFA"/>
    <w:rsid w:val="00D633AE"/>
    <w:rsid w:val="00D634A7"/>
    <w:rsid w:val="00D63C5B"/>
    <w:rsid w:val="00D6473A"/>
    <w:rsid w:val="00D70B37"/>
    <w:rsid w:val="00D72102"/>
    <w:rsid w:val="00D7271A"/>
    <w:rsid w:val="00D74F81"/>
    <w:rsid w:val="00D85098"/>
    <w:rsid w:val="00D90B63"/>
    <w:rsid w:val="00D94A7C"/>
    <w:rsid w:val="00D94AE5"/>
    <w:rsid w:val="00D95896"/>
    <w:rsid w:val="00DA0193"/>
    <w:rsid w:val="00DA14B4"/>
    <w:rsid w:val="00DA21B2"/>
    <w:rsid w:val="00DA6313"/>
    <w:rsid w:val="00DB05F0"/>
    <w:rsid w:val="00DB1FFF"/>
    <w:rsid w:val="00DB2983"/>
    <w:rsid w:val="00DB2AE3"/>
    <w:rsid w:val="00DB410D"/>
    <w:rsid w:val="00DB48DF"/>
    <w:rsid w:val="00DB7450"/>
    <w:rsid w:val="00DC0FFC"/>
    <w:rsid w:val="00DC1257"/>
    <w:rsid w:val="00DC3DC0"/>
    <w:rsid w:val="00DC5B2B"/>
    <w:rsid w:val="00DD153B"/>
    <w:rsid w:val="00DD318D"/>
    <w:rsid w:val="00DD47A1"/>
    <w:rsid w:val="00DE1D3B"/>
    <w:rsid w:val="00DE6096"/>
    <w:rsid w:val="00DF0BC8"/>
    <w:rsid w:val="00DF12B4"/>
    <w:rsid w:val="00DF1B61"/>
    <w:rsid w:val="00DF2E12"/>
    <w:rsid w:val="00DF4052"/>
    <w:rsid w:val="00DF4A3C"/>
    <w:rsid w:val="00DF514A"/>
    <w:rsid w:val="00DF5A2F"/>
    <w:rsid w:val="00DF5FFF"/>
    <w:rsid w:val="00DF6690"/>
    <w:rsid w:val="00DF6804"/>
    <w:rsid w:val="00E0358D"/>
    <w:rsid w:val="00E04323"/>
    <w:rsid w:val="00E070A2"/>
    <w:rsid w:val="00E07801"/>
    <w:rsid w:val="00E10DDA"/>
    <w:rsid w:val="00E246C7"/>
    <w:rsid w:val="00E25EB7"/>
    <w:rsid w:val="00E2656A"/>
    <w:rsid w:val="00E2737E"/>
    <w:rsid w:val="00E30210"/>
    <w:rsid w:val="00E33094"/>
    <w:rsid w:val="00E330F2"/>
    <w:rsid w:val="00E3438D"/>
    <w:rsid w:val="00E3617B"/>
    <w:rsid w:val="00E412D0"/>
    <w:rsid w:val="00E44F99"/>
    <w:rsid w:val="00E45718"/>
    <w:rsid w:val="00E50208"/>
    <w:rsid w:val="00E528A8"/>
    <w:rsid w:val="00E54690"/>
    <w:rsid w:val="00E56322"/>
    <w:rsid w:val="00E60974"/>
    <w:rsid w:val="00E60982"/>
    <w:rsid w:val="00E62225"/>
    <w:rsid w:val="00E6243A"/>
    <w:rsid w:val="00E62C62"/>
    <w:rsid w:val="00E644DF"/>
    <w:rsid w:val="00E64A97"/>
    <w:rsid w:val="00E6519D"/>
    <w:rsid w:val="00E654C1"/>
    <w:rsid w:val="00E65D97"/>
    <w:rsid w:val="00E661BE"/>
    <w:rsid w:val="00E71F85"/>
    <w:rsid w:val="00E725FC"/>
    <w:rsid w:val="00E72A5A"/>
    <w:rsid w:val="00E73354"/>
    <w:rsid w:val="00E801A3"/>
    <w:rsid w:val="00E86E88"/>
    <w:rsid w:val="00E917C9"/>
    <w:rsid w:val="00E9242D"/>
    <w:rsid w:val="00EB2024"/>
    <w:rsid w:val="00EB488F"/>
    <w:rsid w:val="00EB4E6D"/>
    <w:rsid w:val="00EB5255"/>
    <w:rsid w:val="00EB5C47"/>
    <w:rsid w:val="00EC08F2"/>
    <w:rsid w:val="00EC1434"/>
    <w:rsid w:val="00EC3237"/>
    <w:rsid w:val="00EC5E85"/>
    <w:rsid w:val="00ED0639"/>
    <w:rsid w:val="00ED33C1"/>
    <w:rsid w:val="00ED5FB6"/>
    <w:rsid w:val="00ED6B50"/>
    <w:rsid w:val="00EE2300"/>
    <w:rsid w:val="00EE5E92"/>
    <w:rsid w:val="00EE6D43"/>
    <w:rsid w:val="00EF4755"/>
    <w:rsid w:val="00EF7135"/>
    <w:rsid w:val="00F00B2B"/>
    <w:rsid w:val="00F01532"/>
    <w:rsid w:val="00F01D9D"/>
    <w:rsid w:val="00F0222E"/>
    <w:rsid w:val="00F027DB"/>
    <w:rsid w:val="00F047ED"/>
    <w:rsid w:val="00F05D71"/>
    <w:rsid w:val="00F05ED4"/>
    <w:rsid w:val="00F14A7A"/>
    <w:rsid w:val="00F176F0"/>
    <w:rsid w:val="00F21395"/>
    <w:rsid w:val="00F22985"/>
    <w:rsid w:val="00F241A8"/>
    <w:rsid w:val="00F24F2B"/>
    <w:rsid w:val="00F26686"/>
    <w:rsid w:val="00F3383E"/>
    <w:rsid w:val="00F33F4F"/>
    <w:rsid w:val="00F36F31"/>
    <w:rsid w:val="00F42A3A"/>
    <w:rsid w:val="00F434AA"/>
    <w:rsid w:val="00F465A7"/>
    <w:rsid w:val="00F50B7C"/>
    <w:rsid w:val="00F550E6"/>
    <w:rsid w:val="00F56523"/>
    <w:rsid w:val="00F56BD1"/>
    <w:rsid w:val="00F62D36"/>
    <w:rsid w:val="00F72854"/>
    <w:rsid w:val="00F74345"/>
    <w:rsid w:val="00F80A0A"/>
    <w:rsid w:val="00F80D3A"/>
    <w:rsid w:val="00F81683"/>
    <w:rsid w:val="00F8246B"/>
    <w:rsid w:val="00F82B19"/>
    <w:rsid w:val="00F90248"/>
    <w:rsid w:val="00F9141A"/>
    <w:rsid w:val="00F9212D"/>
    <w:rsid w:val="00F921DD"/>
    <w:rsid w:val="00F92AB4"/>
    <w:rsid w:val="00F965DA"/>
    <w:rsid w:val="00F9797B"/>
    <w:rsid w:val="00FA09C3"/>
    <w:rsid w:val="00FA1C91"/>
    <w:rsid w:val="00FA406A"/>
    <w:rsid w:val="00FA494C"/>
    <w:rsid w:val="00FB04D2"/>
    <w:rsid w:val="00FB503A"/>
    <w:rsid w:val="00FB516C"/>
    <w:rsid w:val="00FD0236"/>
    <w:rsid w:val="00FD18F4"/>
    <w:rsid w:val="00FD3A8A"/>
    <w:rsid w:val="00FD54DB"/>
    <w:rsid w:val="00FD619F"/>
    <w:rsid w:val="00FD65B1"/>
    <w:rsid w:val="00FE1104"/>
    <w:rsid w:val="00FE2B43"/>
    <w:rsid w:val="00FE6419"/>
    <w:rsid w:val="00FF583E"/>
    <w:rsid w:val="01290F7E"/>
    <w:rsid w:val="015D1E09"/>
    <w:rsid w:val="020D55D4"/>
    <w:rsid w:val="0258507F"/>
    <w:rsid w:val="02697903"/>
    <w:rsid w:val="02F96569"/>
    <w:rsid w:val="034B0D94"/>
    <w:rsid w:val="03547149"/>
    <w:rsid w:val="03EA7B21"/>
    <w:rsid w:val="04B57956"/>
    <w:rsid w:val="04E62B29"/>
    <w:rsid w:val="05A25980"/>
    <w:rsid w:val="05F83EAE"/>
    <w:rsid w:val="060013A2"/>
    <w:rsid w:val="063E7D85"/>
    <w:rsid w:val="063E7FCD"/>
    <w:rsid w:val="07293586"/>
    <w:rsid w:val="07295285"/>
    <w:rsid w:val="07636392"/>
    <w:rsid w:val="07770C56"/>
    <w:rsid w:val="07E63DCF"/>
    <w:rsid w:val="088A3D59"/>
    <w:rsid w:val="08D126A2"/>
    <w:rsid w:val="08DB191C"/>
    <w:rsid w:val="09107852"/>
    <w:rsid w:val="092217DD"/>
    <w:rsid w:val="093A7294"/>
    <w:rsid w:val="09622C8A"/>
    <w:rsid w:val="09FF2D58"/>
    <w:rsid w:val="0A263993"/>
    <w:rsid w:val="0A2D3AC2"/>
    <w:rsid w:val="0A862385"/>
    <w:rsid w:val="0AA755DF"/>
    <w:rsid w:val="0B120D44"/>
    <w:rsid w:val="0B22525C"/>
    <w:rsid w:val="0B3952A6"/>
    <w:rsid w:val="0B884351"/>
    <w:rsid w:val="0BD27BF6"/>
    <w:rsid w:val="0BEA0DCD"/>
    <w:rsid w:val="0BF623B9"/>
    <w:rsid w:val="0C1618B2"/>
    <w:rsid w:val="0C3B3C7D"/>
    <w:rsid w:val="0C5C09EB"/>
    <w:rsid w:val="0C7D2B5C"/>
    <w:rsid w:val="0CAB2EAE"/>
    <w:rsid w:val="0D621C7D"/>
    <w:rsid w:val="0E73034D"/>
    <w:rsid w:val="0EB64CA6"/>
    <w:rsid w:val="0EF80A97"/>
    <w:rsid w:val="0F13775A"/>
    <w:rsid w:val="0F155F93"/>
    <w:rsid w:val="0F395DCA"/>
    <w:rsid w:val="0F5F45FE"/>
    <w:rsid w:val="0F6A6DDF"/>
    <w:rsid w:val="0F823A0A"/>
    <w:rsid w:val="0F9A112B"/>
    <w:rsid w:val="0FB652E0"/>
    <w:rsid w:val="0FCB4679"/>
    <w:rsid w:val="105501D5"/>
    <w:rsid w:val="106D2F64"/>
    <w:rsid w:val="1098445F"/>
    <w:rsid w:val="10B63710"/>
    <w:rsid w:val="10F10820"/>
    <w:rsid w:val="1107318E"/>
    <w:rsid w:val="111C2F7A"/>
    <w:rsid w:val="11323816"/>
    <w:rsid w:val="11665CA1"/>
    <w:rsid w:val="11FA483D"/>
    <w:rsid w:val="11FB0527"/>
    <w:rsid w:val="12661EBD"/>
    <w:rsid w:val="13951726"/>
    <w:rsid w:val="139C0439"/>
    <w:rsid w:val="13BB105D"/>
    <w:rsid w:val="13E16D5E"/>
    <w:rsid w:val="14396509"/>
    <w:rsid w:val="1450002A"/>
    <w:rsid w:val="146B0B18"/>
    <w:rsid w:val="146D66DE"/>
    <w:rsid w:val="147C7C15"/>
    <w:rsid w:val="14D61C11"/>
    <w:rsid w:val="14DD2C3C"/>
    <w:rsid w:val="156729D5"/>
    <w:rsid w:val="16087E1D"/>
    <w:rsid w:val="167C6435"/>
    <w:rsid w:val="17291B78"/>
    <w:rsid w:val="17391EB6"/>
    <w:rsid w:val="175A7B32"/>
    <w:rsid w:val="17701D14"/>
    <w:rsid w:val="17735226"/>
    <w:rsid w:val="1790774C"/>
    <w:rsid w:val="17955653"/>
    <w:rsid w:val="17FE2BAC"/>
    <w:rsid w:val="18514716"/>
    <w:rsid w:val="189F624C"/>
    <w:rsid w:val="18D7150A"/>
    <w:rsid w:val="19051F07"/>
    <w:rsid w:val="197C5CA8"/>
    <w:rsid w:val="19AF3E24"/>
    <w:rsid w:val="1A115023"/>
    <w:rsid w:val="1A1C66C0"/>
    <w:rsid w:val="1A42393B"/>
    <w:rsid w:val="1A854090"/>
    <w:rsid w:val="1AAD45DE"/>
    <w:rsid w:val="1B046F80"/>
    <w:rsid w:val="1B064E83"/>
    <w:rsid w:val="1B3267B5"/>
    <w:rsid w:val="1B40161D"/>
    <w:rsid w:val="1B441859"/>
    <w:rsid w:val="1B6606B1"/>
    <w:rsid w:val="1B6E30BB"/>
    <w:rsid w:val="1BA71842"/>
    <w:rsid w:val="1C5E7925"/>
    <w:rsid w:val="1C9D11FF"/>
    <w:rsid w:val="1CFD070F"/>
    <w:rsid w:val="1D207C7C"/>
    <w:rsid w:val="1D2E296D"/>
    <w:rsid w:val="1D3A1EE3"/>
    <w:rsid w:val="1D5F6196"/>
    <w:rsid w:val="1D6132A5"/>
    <w:rsid w:val="1D6D1C92"/>
    <w:rsid w:val="1D8E56D5"/>
    <w:rsid w:val="1DD34065"/>
    <w:rsid w:val="1E2516D5"/>
    <w:rsid w:val="1E3D111F"/>
    <w:rsid w:val="1E590F98"/>
    <w:rsid w:val="1E776D73"/>
    <w:rsid w:val="1E7A43DA"/>
    <w:rsid w:val="1E7B53B9"/>
    <w:rsid w:val="1F3D4225"/>
    <w:rsid w:val="1FA96FA6"/>
    <w:rsid w:val="1FE7539E"/>
    <w:rsid w:val="20671BE0"/>
    <w:rsid w:val="20963CB8"/>
    <w:rsid w:val="20A81A1B"/>
    <w:rsid w:val="20AB6E9F"/>
    <w:rsid w:val="20B07FB6"/>
    <w:rsid w:val="20B646FB"/>
    <w:rsid w:val="20BB2327"/>
    <w:rsid w:val="210F68E4"/>
    <w:rsid w:val="213B74B1"/>
    <w:rsid w:val="214B727D"/>
    <w:rsid w:val="215A2310"/>
    <w:rsid w:val="219F7201"/>
    <w:rsid w:val="21DE318A"/>
    <w:rsid w:val="21E856F3"/>
    <w:rsid w:val="21EF5B80"/>
    <w:rsid w:val="22576990"/>
    <w:rsid w:val="225B1AD2"/>
    <w:rsid w:val="22F47480"/>
    <w:rsid w:val="23DE1C48"/>
    <w:rsid w:val="23F33892"/>
    <w:rsid w:val="240210CD"/>
    <w:rsid w:val="24597983"/>
    <w:rsid w:val="24BF09F7"/>
    <w:rsid w:val="252D53FE"/>
    <w:rsid w:val="255C4399"/>
    <w:rsid w:val="25E956DC"/>
    <w:rsid w:val="25EC2D81"/>
    <w:rsid w:val="25F55AEB"/>
    <w:rsid w:val="26B16D0F"/>
    <w:rsid w:val="26F07479"/>
    <w:rsid w:val="277057A2"/>
    <w:rsid w:val="28B5567F"/>
    <w:rsid w:val="29206EB8"/>
    <w:rsid w:val="29595666"/>
    <w:rsid w:val="29874881"/>
    <w:rsid w:val="298A5D3E"/>
    <w:rsid w:val="29E325E0"/>
    <w:rsid w:val="2A452503"/>
    <w:rsid w:val="2AE30605"/>
    <w:rsid w:val="2B514832"/>
    <w:rsid w:val="2B5F0586"/>
    <w:rsid w:val="2BA936A8"/>
    <w:rsid w:val="2C315A5A"/>
    <w:rsid w:val="2C4B1C25"/>
    <w:rsid w:val="2CCD7AFF"/>
    <w:rsid w:val="2CD2529E"/>
    <w:rsid w:val="2D205714"/>
    <w:rsid w:val="2D936112"/>
    <w:rsid w:val="2D9E56F5"/>
    <w:rsid w:val="2E342952"/>
    <w:rsid w:val="2E343FBA"/>
    <w:rsid w:val="2E667F96"/>
    <w:rsid w:val="2E7006F5"/>
    <w:rsid w:val="2E8226AB"/>
    <w:rsid w:val="2EB3273B"/>
    <w:rsid w:val="2F261EE0"/>
    <w:rsid w:val="2F263E2A"/>
    <w:rsid w:val="2F475DC7"/>
    <w:rsid w:val="2FD065E6"/>
    <w:rsid w:val="2FD96870"/>
    <w:rsid w:val="30394957"/>
    <w:rsid w:val="30580BC9"/>
    <w:rsid w:val="311E2ED7"/>
    <w:rsid w:val="315619EE"/>
    <w:rsid w:val="315A721B"/>
    <w:rsid w:val="315C449C"/>
    <w:rsid w:val="31783E46"/>
    <w:rsid w:val="318E38BE"/>
    <w:rsid w:val="31B82709"/>
    <w:rsid w:val="31D05482"/>
    <w:rsid w:val="32400B34"/>
    <w:rsid w:val="3276762B"/>
    <w:rsid w:val="329E6876"/>
    <w:rsid w:val="32CA7EE7"/>
    <w:rsid w:val="333015F2"/>
    <w:rsid w:val="334B6320"/>
    <w:rsid w:val="33D934D4"/>
    <w:rsid w:val="33FE2F6A"/>
    <w:rsid w:val="340E07E5"/>
    <w:rsid w:val="34235BF7"/>
    <w:rsid w:val="34291C82"/>
    <w:rsid w:val="34FF4B5E"/>
    <w:rsid w:val="358C5FA8"/>
    <w:rsid w:val="35C15DF1"/>
    <w:rsid w:val="36074A7F"/>
    <w:rsid w:val="36923549"/>
    <w:rsid w:val="36B75FBF"/>
    <w:rsid w:val="36BD0C45"/>
    <w:rsid w:val="36D5223F"/>
    <w:rsid w:val="36E03454"/>
    <w:rsid w:val="36E04E7B"/>
    <w:rsid w:val="371461C0"/>
    <w:rsid w:val="373E0FF4"/>
    <w:rsid w:val="37975863"/>
    <w:rsid w:val="37E00298"/>
    <w:rsid w:val="38A03544"/>
    <w:rsid w:val="38A17483"/>
    <w:rsid w:val="38B302F9"/>
    <w:rsid w:val="38F12CD3"/>
    <w:rsid w:val="38F94775"/>
    <w:rsid w:val="392971ED"/>
    <w:rsid w:val="39325651"/>
    <w:rsid w:val="396034CB"/>
    <w:rsid w:val="3963023F"/>
    <w:rsid w:val="399F7069"/>
    <w:rsid w:val="39CE30C2"/>
    <w:rsid w:val="3A4C4188"/>
    <w:rsid w:val="3A6E4918"/>
    <w:rsid w:val="3A7828F7"/>
    <w:rsid w:val="3A872856"/>
    <w:rsid w:val="3A912193"/>
    <w:rsid w:val="3B3763D1"/>
    <w:rsid w:val="3BA60932"/>
    <w:rsid w:val="3BC67119"/>
    <w:rsid w:val="3C00256F"/>
    <w:rsid w:val="3C2F6E1E"/>
    <w:rsid w:val="3C495BA5"/>
    <w:rsid w:val="3C4F64BA"/>
    <w:rsid w:val="3CDA245A"/>
    <w:rsid w:val="3CDE6D80"/>
    <w:rsid w:val="3D1E06B7"/>
    <w:rsid w:val="3D475C41"/>
    <w:rsid w:val="3DA037A5"/>
    <w:rsid w:val="3E0F0BE1"/>
    <w:rsid w:val="3EDA0523"/>
    <w:rsid w:val="3EE14075"/>
    <w:rsid w:val="3F5842E8"/>
    <w:rsid w:val="3F6938C1"/>
    <w:rsid w:val="3F882336"/>
    <w:rsid w:val="3F952880"/>
    <w:rsid w:val="3FB43934"/>
    <w:rsid w:val="3FB83225"/>
    <w:rsid w:val="3FD5098F"/>
    <w:rsid w:val="3FD92337"/>
    <w:rsid w:val="3FFF5FB0"/>
    <w:rsid w:val="407A6407"/>
    <w:rsid w:val="40944725"/>
    <w:rsid w:val="4120135B"/>
    <w:rsid w:val="414F2D24"/>
    <w:rsid w:val="4200449D"/>
    <w:rsid w:val="422814F2"/>
    <w:rsid w:val="423A3BCC"/>
    <w:rsid w:val="424E57D2"/>
    <w:rsid w:val="42B26C49"/>
    <w:rsid w:val="42E30024"/>
    <w:rsid w:val="42E47FDE"/>
    <w:rsid w:val="433A6FE6"/>
    <w:rsid w:val="43480868"/>
    <w:rsid w:val="4350713C"/>
    <w:rsid w:val="436653E0"/>
    <w:rsid w:val="43857C44"/>
    <w:rsid w:val="43920736"/>
    <w:rsid w:val="43C4431A"/>
    <w:rsid w:val="440764FC"/>
    <w:rsid w:val="449E3C30"/>
    <w:rsid w:val="44B951CC"/>
    <w:rsid w:val="44CD14E0"/>
    <w:rsid w:val="44F20B0B"/>
    <w:rsid w:val="452E5F4C"/>
    <w:rsid w:val="454B228C"/>
    <w:rsid w:val="45612018"/>
    <w:rsid w:val="458946E9"/>
    <w:rsid w:val="45A47C0E"/>
    <w:rsid w:val="46054558"/>
    <w:rsid w:val="461414F9"/>
    <w:rsid w:val="462749A5"/>
    <w:rsid w:val="46577FD6"/>
    <w:rsid w:val="46582C65"/>
    <w:rsid w:val="46D955A7"/>
    <w:rsid w:val="47133957"/>
    <w:rsid w:val="47190019"/>
    <w:rsid w:val="477E72B8"/>
    <w:rsid w:val="47A07E0C"/>
    <w:rsid w:val="481C222B"/>
    <w:rsid w:val="4870272E"/>
    <w:rsid w:val="48923E5F"/>
    <w:rsid w:val="48BE65B3"/>
    <w:rsid w:val="491C52C4"/>
    <w:rsid w:val="49DC7715"/>
    <w:rsid w:val="4A023139"/>
    <w:rsid w:val="4A7B576F"/>
    <w:rsid w:val="4AF561A9"/>
    <w:rsid w:val="4B0D5592"/>
    <w:rsid w:val="4B0E02D5"/>
    <w:rsid w:val="4BA10BFC"/>
    <w:rsid w:val="4BE70B52"/>
    <w:rsid w:val="4C2463A7"/>
    <w:rsid w:val="4C4A0649"/>
    <w:rsid w:val="4C7E5ECA"/>
    <w:rsid w:val="4C876AA5"/>
    <w:rsid w:val="4CE72A24"/>
    <w:rsid w:val="4D0E00FB"/>
    <w:rsid w:val="4D176606"/>
    <w:rsid w:val="4DDD712C"/>
    <w:rsid w:val="4DDF1E44"/>
    <w:rsid w:val="4DEC4FB0"/>
    <w:rsid w:val="4E075D8A"/>
    <w:rsid w:val="4EC00FAD"/>
    <w:rsid w:val="4EC625E4"/>
    <w:rsid w:val="4F2D0F76"/>
    <w:rsid w:val="4F9843DC"/>
    <w:rsid w:val="4FC62A8C"/>
    <w:rsid w:val="4FE20F0D"/>
    <w:rsid w:val="4FE51552"/>
    <w:rsid w:val="50504C4B"/>
    <w:rsid w:val="505C1EDB"/>
    <w:rsid w:val="509C6E7C"/>
    <w:rsid w:val="50FC220E"/>
    <w:rsid w:val="50FF7B2F"/>
    <w:rsid w:val="5162104E"/>
    <w:rsid w:val="51DC4E62"/>
    <w:rsid w:val="51F27CEE"/>
    <w:rsid w:val="53A039CC"/>
    <w:rsid w:val="53A1505A"/>
    <w:rsid w:val="54063E08"/>
    <w:rsid w:val="543437E8"/>
    <w:rsid w:val="548F369B"/>
    <w:rsid w:val="54DD24F9"/>
    <w:rsid w:val="54F73313"/>
    <w:rsid w:val="54F80955"/>
    <w:rsid w:val="54F96AE0"/>
    <w:rsid w:val="555170A7"/>
    <w:rsid w:val="5587536D"/>
    <w:rsid w:val="55895D0C"/>
    <w:rsid w:val="559B174B"/>
    <w:rsid w:val="55CE0CF4"/>
    <w:rsid w:val="56B22A9C"/>
    <w:rsid w:val="56B32BAB"/>
    <w:rsid w:val="57B72A76"/>
    <w:rsid w:val="57C3426C"/>
    <w:rsid w:val="57CE1F93"/>
    <w:rsid w:val="583B44D8"/>
    <w:rsid w:val="587220E1"/>
    <w:rsid w:val="588743D1"/>
    <w:rsid w:val="5887701A"/>
    <w:rsid w:val="589162FA"/>
    <w:rsid w:val="58921E32"/>
    <w:rsid w:val="592A6DAF"/>
    <w:rsid w:val="59443CA2"/>
    <w:rsid w:val="59BB30AA"/>
    <w:rsid w:val="59C0439F"/>
    <w:rsid w:val="59EF6B2B"/>
    <w:rsid w:val="5ABE2233"/>
    <w:rsid w:val="5AE2225B"/>
    <w:rsid w:val="5B4219AE"/>
    <w:rsid w:val="5B5A6E0C"/>
    <w:rsid w:val="5B640860"/>
    <w:rsid w:val="5BDF5D95"/>
    <w:rsid w:val="5BFE7528"/>
    <w:rsid w:val="5C677EFC"/>
    <w:rsid w:val="5C6E571E"/>
    <w:rsid w:val="5CD251F8"/>
    <w:rsid w:val="5D5B0ED4"/>
    <w:rsid w:val="5E2467F1"/>
    <w:rsid w:val="5E5E12A8"/>
    <w:rsid w:val="5EAC07E8"/>
    <w:rsid w:val="5F1A2B43"/>
    <w:rsid w:val="5F9558DB"/>
    <w:rsid w:val="5FB12F83"/>
    <w:rsid w:val="5FB837BB"/>
    <w:rsid w:val="603371A2"/>
    <w:rsid w:val="60496E44"/>
    <w:rsid w:val="60CC405A"/>
    <w:rsid w:val="60E9165A"/>
    <w:rsid w:val="611C1779"/>
    <w:rsid w:val="6134011C"/>
    <w:rsid w:val="61AA7FBE"/>
    <w:rsid w:val="61E215D8"/>
    <w:rsid w:val="621B3775"/>
    <w:rsid w:val="6227753C"/>
    <w:rsid w:val="62364782"/>
    <w:rsid w:val="62452C72"/>
    <w:rsid w:val="626434DB"/>
    <w:rsid w:val="626C4560"/>
    <w:rsid w:val="627F4E13"/>
    <w:rsid w:val="62AC4CD6"/>
    <w:rsid w:val="62F27248"/>
    <w:rsid w:val="6358361C"/>
    <w:rsid w:val="6394356A"/>
    <w:rsid w:val="63B92B43"/>
    <w:rsid w:val="63C050CE"/>
    <w:rsid w:val="63C61B2C"/>
    <w:rsid w:val="63D40BE9"/>
    <w:rsid w:val="64102431"/>
    <w:rsid w:val="641B650B"/>
    <w:rsid w:val="64384279"/>
    <w:rsid w:val="64672061"/>
    <w:rsid w:val="64A5243A"/>
    <w:rsid w:val="64F22C80"/>
    <w:rsid w:val="64F531DE"/>
    <w:rsid w:val="65373578"/>
    <w:rsid w:val="659646FA"/>
    <w:rsid w:val="659B1514"/>
    <w:rsid w:val="66842BCC"/>
    <w:rsid w:val="668D682F"/>
    <w:rsid w:val="66A9587E"/>
    <w:rsid w:val="671F124A"/>
    <w:rsid w:val="672A22E0"/>
    <w:rsid w:val="677A33C6"/>
    <w:rsid w:val="67D146AD"/>
    <w:rsid w:val="67D234EB"/>
    <w:rsid w:val="681F6961"/>
    <w:rsid w:val="683006CA"/>
    <w:rsid w:val="684D4241"/>
    <w:rsid w:val="68610A2F"/>
    <w:rsid w:val="687E0B9C"/>
    <w:rsid w:val="68805514"/>
    <w:rsid w:val="688F3BBC"/>
    <w:rsid w:val="68F0614B"/>
    <w:rsid w:val="69316E2F"/>
    <w:rsid w:val="693B420D"/>
    <w:rsid w:val="694E2071"/>
    <w:rsid w:val="69766163"/>
    <w:rsid w:val="697A3B33"/>
    <w:rsid w:val="69D44760"/>
    <w:rsid w:val="6A520EC7"/>
    <w:rsid w:val="6AF87E20"/>
    <w:rsid w:val="6B322639"/>
    <w:rsid w:val="6B327633"/>
    <w:rsid w:val="6B7B165B"/>
    <w:rsid w:val="6C636C38"/>
    <w:rsid w:val="6CBA5392"/>
    <w:rsid w:val="6D812A20"/>
    <w:rsid w:val="6DA44DC6"/>
    <w:rsid w:val="6DB34098"/>
    <w:rsid w:val="6DB545B6"/>
    <w:rsid w:val="6DE02FB4"/>
    <w:rsid w:val="6E3F048F"/>
    <w:rsid w:val="6E514CED"/>
    <w:rsid w:val="6EB563D5"/>
    <w:rsid w:val="6ED92677"/>
    <w:rsid w:val="6EDD2A04"/>
    <w:rsid w:val="6F225983"/>
    <w:rsid w:val="6F531DAE"/>
    <w:rsid w:val="6F9449FD"/>
    <w:rsid w:val="6FFC5590"/>
    <w:rsid w:val="706D1DD0"/>
    <w:rsid w:val="70856B87"/>
    <w:rsid w:val="70CA6636"/>
    <w:rsid w:val="70D527EE"/>
    <w:rsid w:val="713D29FE"/>
    <w:rsid w:val="715B5300"/>
    <w:rsid w:val="717150CE"/>
    <w:rsid w:val="71B26AD7"/>
    <w:rsid w:val="71D27F8A"/>
    <w:rsid w:val="724D03CB"/>
    <w:rsid w:val="725271D3"/>
    <w:rsid w:val="72553024"/>
    <w:rsid w:val="72932DFF"/>
    <w:rsid w:val="7299659D"/>
    <w:rsid w:val="73122968"/>
    <w:rsid w:val="7318576A"/>
    <w:rsid w:val="731F5D5E"/>
    <w:rsid w:val="73AF1404"/>
    <w:rsid w:val="73B51F0E"/>
    <w:rsid w:val="73C51057"/>
    <w:rsid w:val="73C51AD5"/>
    <w:rsid w:val="741E793C"/>
    <w:rsid w:val="743203E1"/>
    <w:rsid w:val="74444761"/>
    <w:rsid w:val="744969F3"/>
    <w:rsid w:val="745E3944"/>
    <w:rsid w:val="745F1BC2"/>
    <w:rsid w:val="751B2756"/>
    <w:rsid w:val="753B004D"/>
    <w:rsid w:val="75703504"/>
    <w:rsid w:val="75CC5DDC"/>
    <w:rsid w:val="7635099D"/>
    <w:rsid w:val="76746A59"/>
    <w:rsid w:val="76982992"/>
    <w:rsid w:val="76A71850"/>
    <w:rsid w:val="76AB41EE"/>
    <w:rsid w:val="77741D8C"/>
    <w:rsid w:val="77762421"/>
    <w:rsid w:val="77783357"/>
    <w:rsid w:val="7795719F"/>
    <w:rsid w:val="77B56B1F"/>
    <w:rsid w:val="77DE17E7"/>
    <w:rsid w:val="780F09F4"/>
    <w:rsid w:val="783C2A6B"/>
    <w:rsid w:val="78961A30"/>
    <w:rsid w:val="78A90480"/>
    <w:rsid w:val="78DE707B"/>
    <w:rsid w:val="78EB62C9"/>
    <w:rsid w:val="78F7348E"/>
    <w:rsid w:val="7A14033C"/>
    <w:rsid w:val="7A364017"/>
    <w:rsid w:val="7A8265E1"/>
    <w:rsid w:val="7ABB0992"/>
    <w:rsid w:val="7AEA77EE"/>
    <w:rsid w:val="7B683486"/>
    <w:rsid w:val="7B686D42"/>
    <w:rsid w:val="7B841746"/>
    <w:rsid w:val="7C1B1A98"/>
    <w:rsid w:val="7C1B4376"/>
    <w:rsid w:val="7C1E1CDC"/>
    <w:rsid w:val="7C40085D"/>
    <w:rsid w:val="7C6C5AC7"/>
    <w:rsid w:val="7CBC5FF4"/>
    <w:rsid w:val="7CC6544B"/>
    <w:rsid w:val="7D0239FF"/>
    <w:rsid w:val="7D5E40CD"/>
    <w:rsid w:val="7DCD56F2"/>
    <w:rsid w:val="7DCD7565"/>
    <w:rsid w:val="7E197A25"/>
    <w:rsid w:val="7E351120"/>
    <w:rsid w:val="7E8113DF"/>
    <w:rsid w:val="7EFA5827"/>
    <w:rsid w:val="7F001CE7"/>
    <w:rsid w:val="7F051E86"/>
    <w:rsid w:val="7F603988"/>
    <w:rsid w:val="7F6A58E3"/>
    <w:rsid w:val="7FE47E50"/>
    <w:rsid w:val="7FE629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iPriority="0" w:name="heading 3" w:locked="1"/>
    <w:lsdException w:qFormat="1" w:unhideWhenUsed="0" w:uiPriority="9"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35"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iPriority="99" w:semiHidden="0" w:name="Body Text Indent 2" w:locked="1"/>
    <w:lsdException w:unhideWhenUsed="0" w:uiPriority="0" w:semiHidden="0" w:name="Body Text Indent 3" w:locked="1"/>
    <w:lsdException w:unhideWhenUsed="0" w:uiPriority="0" w:semiHidden="0" w:name="Block Text" w:locked="1"/>
    <w:lsdException w:qFormat="1" w:uiPriority="99"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59"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1"/>
    <w:next w:val="1"/>
    <w:link w:val="55"/>
    <w:semiHidden/>
    <w:unhideWhenUsed/>
    <w:qFormat/>
    <w:locked/>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5"/>
    <w:link w:val="54"/>
    <w:semiHidden/>
    <w:unhideWhenUsed/>
    <w:qFormat/>
    <w:locked/>
    <w:uiPriority w:val="0"/>
    <w:pPr>
      <w:keepNext/>
      <w:keepLines/>
      <w:spacing w:before="260" w:after="260" w:line="416" w:lineRule="auto"/>
      <w:outlineLvl w:val="2"/>
    </w:pPr>
    <w:rPr>
      <w:b/>
      <w:bCs/>
      <w:sz w:val="32"/>
      <w:szCs w:val="32"/>
    </w:rPr>
  </w:style>
  <w:style w:type="paragraph" w:styleId="7">
    <w:name w:val="heading 4"/>
    <w:basedOn w:val="1"/>
    <w:next w:val="5"/>
    <w:qFormat/>
    <w:locked/>
    <w:uiPriority w:val="9"/>
    <w:pPr>
      <w:keepNext/>
      <w:keepLines/>
      <w:numPr>
        <w:ilvl w:val="3"/>
        <w:numId w:val="1"/>
      </w:numPr>
      <w:spacing w:line="360" w:lineRule="auto"/>
      <w:jc w:val="left"/>
      <w:outlineLvl w:val="3"/>
    </w:pPr>
    <w:rPr>
      <w:rFonts w:ascii="Times New Roman" w:hAnsi="Times New Roman"/>
      <w:bCs/>
      <w:kern w:val="0"/>
      <w:sz w:val="24"/>
      <w:szCs w:val="28"/>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5">
    <w:name w:val="Body Text First Indent"/>
    <w:basedOn w:val="6"/>
    <w:link w:val="44"/>
    <w:qFormat/>
    <w:locked/>
    <w:uiPriority w:val="0"/>
    <w:pPr>
      <w:widowControl w:val="0"/>
      <w:snapToGrid/>
      <w:spacing w:before="0" w:after="120" w:line="240" w:lineRule="auto"/>
      <w:ind w:right="0" w:firstLine="420" w:firstLineChars="100"/>
    </w:pPr>
    <w:rPr>
      <w:kern w:val="2"/>
      <w:sz w:val="21"/>
      <w:szCs w:val="24"/>
    </w:rPr>
  </w:style>
  <w:style w:type="paragraph" w:styleId="6">
    <w:name w:val="Body Text"/>
    <w:basedOn w:val="1"/>
    <w:link w:val="32"/>
    <w:qFormat/>
    <w:uiPriority w:val="0"/>
    <w:pPr>
      <w:widowControl/>
      <w:snapToGrid w:val="0"/>
      <w:spacing w:before="60" w:after="160" w:line="259" w:lineRule="auto"/>
      <w:ind w:right="113"/>
    </w:pPr>
    <w:rPr>
      <w:kern w:val="0"/>
      <w:sz w:val="18"/>
      <w:szCs w:val="20"/>
    </w:rPr>
  </w:style>
  <w:style w:type="paragraph" w:styleId="8">
    <w:name w:val="caption"/>
    <w:basedOn w:val="1"/>
    <w:next w:val="5"/>
    <w:link w:val="47"/>
    <w:qFormat/>
    <w:locked/>
    <w:uiPriority w:val="35"/>
    <w:pPr>
      <w:widowControl/>
      <w:adjustRightInd w:val="0"/>
      <w:snapToGrid w:val="0"/>
      <w:jc w:val="center"/>
    </w:pPr>
    <w:rPr>
      <w:rFonts w:eastAsia="黑体"/>
      <w:kern w:val="0"/>
      <w:sz w:val="24"/>
      <w:szCs w:val="20"/>
      <w:lang w:val="zh-CN" w:eastAsia="zh-CN"/>
    </w:rPr>
  </w:style>
  <w:style w:type="paragraph" w:styleId="9">
    <w:name w:val="annotation text"/>
    <w:basedOn w:val="1"/>
    <w:link w:val="33"/>
    <w:semiHidden/>
    <w:qFormat/>
    <w:uiPriority w:val="0"/>
    <w:pPr>
      <w:jc w:val="left"/>
    </w:pPr>
    <w:rPr>
      <w:kern w:val="0"/>
      <w:sz w:val="24"/>
      <w:szCs w:val="20"/>
    </w:rPr>
  </w:style>
  <w:style w:type="paragraph" w:styleId="10">
    <w:name w:val="Body Text Indent"/>
    <w:basedOn w:val="1"/>
    <w:link w:val="41"/>
    <w:qFormat/>
    <w:uiPriority w:val="0"/>
    <w:pPr>
      <w:spacing w:after="120"/>
      <w:ind w:left="420" w:leftChars="200"/>
    </w:pPr>
    <w:rPr>
      <w:kern w:val="0"/>
      <w:sz w:val="24"/>
      <w:szCs w:val="20"/>
    </w:rPr>
  </w:style>
  <w:style w:type="paragraph" w:styleId="11">
    <w:name w:val="Plain Text"/>
    <w:basedOn w:val="1"/>
    <w:qFormat/>
    <w:locked/>
    <w:uiPriority w:val="0"/>
    <w:pPr>
      <w:widowControl w:val="0"/>
      <w:adjustRightInd/>
      <w:snapToGrid/>
      <w:spacing w:line="360" w:lineRule="auto"/>
      <w:ind w:firstLine="200" w:firstLineChars="200"/>
    </w:pPr>
    <w:rPr>
      <w:rFonts w:ascii="宋体" w:hAnsi="Courier New"/>
      <w:kern w:val="0"/>
      <w:sz w:val="20"/>
      <w:szCs w:val="20"/>
    </w:rPr>
  </w:style>
  <w:style w:type="paragraph" w:styleId="12">
    <w:name w:val="Date"/>
    <w:basedOn w:val="1"/>
    <w:next w:val="1"/>
    <w:link w:val="28"/>
    <w:qFormat/>
    <w:uiPriority w:val="0"/>
    <w:pPr>
      <w:ind w:left="100" w:leftChars="2500"/>
    </w:pPr>
    <w:rPr>
      <w:kern w:val="0"/>
      <w:sz w:val="24"/>
      <w:szCs w:val="20"/>
    </w:rPr>
  </w:style>
  <w:style w:type="paragraph" w:styleId="13">
    <w:name w:val="Body Text Indent 2"/>
    <w:basedOn w:val="1"/>
    <w:link w:val="53"/>
    <w:unhideWhenUsed/>
    <w:qFormat/>
    <w:locked/>
    <w:uiPriority w:val="99"/>
    <w:pPr>
      <w:spacing w:after="120" w:line="480" w:lineRule="auto"/>
      <w:ind w:left="420" w:leftChars="200"/>
    </w:pPr>
    <w:rPr>
      <w:rFonts w:asciiTheme="minorHAnsi" w:hAnsiTheme="minorHAnsi" w:eastAsiaTheme="minorEastAsia" w:cstheme="minorBidi"/>
      <w:szCs w:val="22"/>
    </w:rPr>
  </w:style>
  <w:style w:type="paragraph" w:styleId="14">
    <w:name w:val="Balloon Text"/>
    <w:basedOn w:val="1"/>
    <w:link w:val="37"/>
    <w:semiHidden/>
    <w:qFormat/>
    <w:uiPriority w:val="0"/>
    <w:rPr>
      <w:kern w:val="0"/>
      <w:sz w:val="18"/>
      <w:szCs w:val="20"/>
    </w:rPr>
  </w:style>
  <w:style w:type="paragraph" w:styleId="15">
    <w:name w:val="footer"/>
    <w:basedOn w:val="1"/>
    <w:link w:val="27"/>
    <w:qFormat/>
    <w:uiPriority w:val="99"/>
    <w:pPr>
      <w:tabs>
        <w:tab w:val="center" w:pos="4153"/>
        <w:tab w:val="right" w:pos="8306"/>
      </w:tabs>
      <w:snapToGrid w:val="0"/>
      <w:jc w:val="left"/>
    </w:pPr>
    <w:rPr>
      <w:kern w:val="0"/>
      <w:sz w:val="18"/>
      <w:szCs w:val="20"/>
    </w:rPr>
  </w:style>
  <w:style w:type="paragraph" w:styleId="16">
    <w:name w:val="header"/>
    <w:basedOn w:val="1"/>
    <w:link w:val="39"/>
    <w:qFormat/>
    <w:uiPriority w:val="0"/>
    <w:pPr>
      <w:pBdr>
        <w:bottom w:val="single" w:color="auto" w:sz="6" w:space="1"/>
      </w:pBdr>
      <w:tabs>
        <w:tab w:val="center" w:pos="4153"/>
        <w:tab w:val="right" w:pos="8306"/>
      </w:tabs>
      <w:snapToGrid w:val="0"/>
      <w:jc w:val="center"/>
    </w:pPr>
    <w:rPr>
      <w:kern w:val="0"/>
      <w:sz w:val="18"/>
      <w:szCs w:val="20"/>
    </w:rPr>
  </w:style>
  <w:style w:type="paragraph" w:styleId="17">
    <w:name w:val="toc 1"/>
    <w:basedOn w:val="1"/>
    <w:next w:val="1"/>
    <w:qFormat/>
    <w:locked/>
    <w:uiPriority w:val="39"/>
  </w:style>
  <w:style w:type="paragraph" w:styleId="18">
    <w:name w:val="Normal (Web)"/>
    <w:basedOn w:val="1"/>
    <w:link w:val="30"/>
    <w:qFormat/>
    <w:uiPriority w:val="0"/>
    <w:pPr>
      <w:widowControl/>
      <w:spacing w:before="100" w:beforeAutospacing="1" w:after="100" w:afterAutospacing="1"/>
      <w:jc w:val="left"/>
    </w:pPr>
    <w:rPr>
      <w:rFonts w:ascii="宋体" w:hAnsi="宋体"/>
      <w:kern w:val="0"/>
      <w:sz w:val="24"/>
      <w:szCs w:val="20"/>
    </w:rPr>
  </w:style>
  <w:style w:type="paragraph" w:styleId="19">
    <w:name w:val="annotation subject"/>
    <w:basedOn w:val="9"/>
    <w:next w:val="9"/>
    <w:link w:val="38"/>
    <w:semiHidden/>
    <w:qFormat/>
    <w:uiPriority w:val="0"/>
    <w:rPr>
      <w:b/>
    </w:rPr>
  </w:style>
  <w:style w:type="table" w:styleId="21">
    <w:name w:val="Table Grid"/>
    <w:basedOn w:val="2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page number"/>
    <w:basedOn w:val="22"/>
    <w:qFormat/>
    <w:locked/>
    <w:uiPriority w:val="0"/>
  </w:style>
  <w:style w:type="character" w:styleId="24">
    <w:name w:val="Hyperlink"/>
    <w:basedOn w:val="22"/>
    <w:unhideWhenUsed/>
    <w:qFormat/>
    <w:locked/>
    <w:uiPriority w:val="99"/>
    <w:rPr>
      <w:color w:val="0000FF" w:themeColor="hyperlink"/>
      <w:u w:val="single"/>
      <w14:textFill>
        <w14:solidFill>
          <w14:schemeClr w14:val="hlink"/>
        </w14:solidFill>
      </w14:textFill>
    </w:rPr>
  </w:style>
  <w:style w:type="character" w:styleId="25">
    <w:name w:val="annotation reference"/>
    <w:semiHidden/>
    <w:qFormat/>
    <w:uiPriority w:val="0"/>
    <w:rPr>
      <w:sz w:val="21"/>
    </w:rPr>
  </w:style>
  <w:style w:type="paragraph" w:customStyle="1" w:styleId="26">
    <w:name w:val="Default"/>
    <w:unhideWhenUsed/>
    <w:qFormat/>
    <w:uiPriority w:val="0"/>
    <w:pPr>
      <w:widowControl w:val="0"/>
      <w:autoSpaceDE w:val="0"/>
      <w:autoSpaceDN w:val="0"/>
      <w:adjustRightInd w:val="0"/>
    </w:pPr>
    <w:rPr>
      <w:rFonts w:hint="eastAsia" w:ascii="宋体" w:hAnsi="宋体" w:eastAsia="宋体" w:cs="Times New Roman"/>
      <w:color w:val="000000"/>
      <w:sz w:val="24"/>
      <w:lang w:val="en-US" w:eastAsia="zh-CN" w:bidi="ar-SA"/>
    </w:rPr>
  </w:style>
  <w:style w:type="character" w:customStyle="1" w:styleId="27">
    <w:name w:val="页脚 Char"/>
    <w:link w:val="15"/>
    <w:qFormat/>
    <w:locked/>
    <w:uiPriority w:val="99"/>
    <w:rPr>
      <w:sz w:val="18"/>
    </w:rPr>
  </w:style>
  <w:style w:type="character" w:customStyle="1" w:styleId="28">
    <w:name w:val="日期 Char"/>
    <w:link w:val="12"/>
    <w:qFormat/>
    <w:locked/>
    <w:uiPriority w:val="0"/>
    <w:rPr>
      <w:rFonts w:ascii="Times New Roman" w:hAnsi="Times New Roman" w:eastAsia="宋体"/>
      <w:sz w:val="24"/>
    </w:rPr>
  </w:style>
  <w:style w:type="character" w:customStyle="1" w:styleId="29">
    <w:name w:val="页脚 字符"/>
    <w:basedOn w:val="22"/>
    <w:qFormat/>
    <w:uiPriority w:val="99"/>
  </w:style>
  <w:style w:type="character" w:customStyle="1" w:styleId="30">
    <w:name w:val="普通(网站) Char"/>
    <w:link w:val="18"/>
    <w:qFormat/>
    <w:locked/>
    <w:uiPriority w:val="0"/>
    <w:rPr>
      <w:rFonts w:ascii="宋体" w:hAnsi="宋体" w:eastAsia="宋体"/>
      <w:sz w:val="24"/>
    </w:rPr>
  </w:style>
  <w:style w:type="character" w:customStyle="1" w:styleId="31">
    <w:name w:val="正文文本 字符1"/>
    <w:semiHidden/>
    <w:qFormat/>
    <w:uiPriority w:val="0"/>
    <w:rPr>
      <w:rFonts w:ascii="Times New Roman" w:hAnsi="Times New Roman" w:eastAsia="宋体"/>
      <w:sz w:val="24"/>
    </w:rPr>
  </w:style>
  <w:style w:type="character" w:customStyle="1" w:styleId="32">
    <w:name w:val="正文文本 Char"/>
    <w:link w:val="6"/>
    <w:qFormat/>
    <w:locked/>
    <w:uiPriority w:val="0"/>
    <w:rPr>
      <w:sz w:val="18"/>
    </w:rPr>
  </w:style>
  <w:style w:type="character" w:customStyle="1" w:styleId="33">
    <w:name w:val="批注文字 Char"/>
    <w:link w:val="9"/>
    <w:qFormat/>
    <w:locked/>
    <w:uiPriority w:val="0"/>
    <w:rPr>
      <w:rFonts w:ascii="Times New Roman" w:hAnsi="Times New Roman" w:eastAsia="宋体"/>
      <w:sz w:val="24"/>
    </w:rPr>
  </w:style>
  <w:style w:type="character" w:customStyle="1" w:styleId="34">
    <w:name w:val="表格 Char"/>
    <w:link w:val="35"/>
    <w:qFormat/>
    <w:locked/>
    <w:uiPriority w:val="0"/>
    <w:rPr>
      <w:rFonts w:ascii="宋体"/>
      <w:sz w:val="21"/>
    </w:rPr>
  </w:style>
  <w:style w:type="paragraph" w:customStyle="1" w:styleId="35">
    <w:name w:val="表格"/>
    <w:basedOn w:val="1"/>
    <w:next w:val="1"/>
    <w:link w:val="34"/>
    <w:qFormat/>
    <w:uiPriority w:val="0"/>
    <w:pPr>
      <w:adjustRightInd w:val="0"/>
      <w:snapToGrid w:val="0"/>
      <w:spacing w:beforeLines="10" w:afterLines="10" w:line="259" w:lineRule="auto"/>
      <w:jc w:val="center"/>
    </w:pPr>
    <w:rPr>
      <w:rFonts w:ascii="宋体"/>
      <w:kern w:val="0"/>
      <w:szCs w:val="20"/>
    </w:rPr>
  </w:style>
  <w:style w:type="character" w:customStyle="1" w:styleId="36">
    <w:name w:val="日期 字符"/>
    <w:semiHidden/>
    <w:qFormat/>
    <w:uiPriority w:val="0"/>
    <w:rPr>
      <w:rFonts w:ascii="Times New Roman" w:hAnsi="Times New Roman" w:eastAsia="宋体"/>
      <w:sz w:val="24"/>
    </w:rPr>
  </w:style>
  <w:style w:type="character" w:customStyle="1" w:styleId="37">
    <w:name w:val="批注框文本 Char"/>
    <w:link w:val="14"/>
    <w:semiHidden/>
    <w:qFormat/>
    <w:locked/>
    <w:uiPriority w:val="0"/>
    <w:rPr>
      <w:rFonts w:ascii="Times New Roman" w:hAnsi="Times New Roman" w:eastAsia="宋体"/>
      <w:sz w:val="18"/>
    </w:rPr>
  </w:style>
  <w:style w:type="character" w:customStyle="1" w:styleId="38">
    <w:name w:val="批注主题 Char"/>
    <w:link w:val="19"/>
    <w:semiHidden/>
    <w:qFormat/>
    <w:locked/>
    <w:uiPriority w:val="0"/>
    <w:rPr>
      <w:rFonts w:ascii="Times New Roman" w:hAnsi="Times New Roman" w:eastAsia="宋体"/>
      <w:b/>
      <w:kern w:val="2"/>
      <w:sz w:val="24"/>
    </w:rPr>
  </w:style>
  <w:style w:type="character" w:customStyle="1" w:styleId="39">
    <w:name w:val="页眉 Char"/>
    <w:link w:val="16"/>
    <w:qFormat/>
    <w:locked/>
    <w:uiPriority w:val="0"/>
    <w:rPr>
      <w:sz w:val="18"/>
    </w:rPr>
  </w:style>
  <w:style w:type="character" w:customStyle="1" w:styleId="40">
    <w:name w:val="批注文字 字符1"/>
    <w:semiHidden/>
    <w:qFormat/>
    <w:uiPriority w:val="0"/>
    <w:rPr>
      <w:rFonts w:ascii="Times New Roman" w:hAnsi="Times New Roman" w:eastAsia="宋体"/>
      <w:sz w:val="24"/>
    </w:rPr>
  </w:style>
  <w:style w:type="character" w:customStyle="1" w:styleId="41">
    <w:name w:val="正文文本缩进 Char"/>
    <w:link w:val="10"/>
    <w:semiHidden/>
    <w:qFormat/>
    <w:locked/>
    <w:uiPriority w:val="0"/>
    <w:rPr>
      <w:rFonts w:ascii="Times New Roman" w:hAnsi="Times New Roman" w:eastAsia="宋体"/>
      <w:sz w:val="24"/>
    </w:rPr>
  </w:style>
  <w:style w:type="paragraph" w:customStyle="1" w:styleId="42">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3">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44">
    <w:name w:val="正文首行缩进 Char"/>
    <w:link w:val="5"/>
    <w:qFormat/>
    <w:uiPriority w:val="0"/>
    <w:rPr>
      <w:kern w:val="2"/>
      <w:sz w:val="21"/>
      <w:szCs w:val="24"/>
    </w:rPr>
  </w:style>
  <w:style w:type="paragraph" w:customStyle="1" w:styleId="45">
    <w:name w:val="表格文字"/>
    <w:basedOn w:val="1"/>
    <w:link w:val="46"/>
    <w:qFormat/>
    <w:uiPriority w:val="0"/>
    <w:pPr>
      <w:widowControl/>
      <w:adjustRightInd w:val="0"/>
      <w:snapToGrid w:val="0"/>
      <w:jc w:val="center"/>
    </w:pPr>
    <w:rPr>
      <w:kern w:val="0"/>
      <w:sz w:val="20"/>
      <w:szCs w:val="20"/>
      <w:lang w:val="zh-CN" w:eastAsia="zh-CN"/>
    </w:rPr>
  </w:style>
  <w:style w:type="character" w:customStyle="1" w:styleId="46">
    <w:name w:val="表格文字 Char"/>
    <w:link w:val="45"/>
    <w:qFormat/>
    <w:uiPriority w:val="0"/>
    <w:rPr>
      <w:lang w:val="zh-CN" w:eastAsia="zh-CN"/>
    </w:rPr>
  </w:style>
  <w:style w:type="character" w:customStyle="1" w:styleId="47">
    <w:name w:val="题注 Char"/>
    <w:link w:val="8"/>
    <w:qFormat/>
    <w:uiPriority w:val="99"/>
    <w:rPr>
      <w:rFonts w:eastAsia="黑体"/>
      <w:sz w:val="24"/>
      <w:lang w:val="zh-CN" w:eastAsia="zh-CN"/>
    </w:rPr>
  </w:style>
  <w:style w:type="paragraph" w:customStyle="1" w:styleId="48">
    <w:name w:val="正文首行缩进1"/>
    <w:basedOn w:val="6"/>
    <w:unhideWhenUsed/>
    <w:qFormat/>
    <w:uiPriority w:val="99"/>
    <w:pPr>
      <w:adjustRightInd w:val="0"/>
      <w:spacing w:before="0" w:after="0" w:line="360" w:lineRule="auto"/>
      <w:ind w:right="0" w:firstLine="200" w:firstLineChars="200"/>
    </w:pPr>
    <w:rPr>
      <w:kern w:val="2"/>
      <w:sz w:val="24"/>
      <w:szCs w:val="21"/>
    </w:rPr>
  </w:style>
  <w:style w:type="character" w:customStyle="1" w:styleId="49">
    <w:name w:val="表格文字7 Char"/>
    <w:link w:val="50"/>
    <w:qFormat/>
    <w:uiPriority w:val="0"/>
    <w:rPr>
      <w:bCs/>
      <w:kern w:val="2"/>
      <w:sz w:val="21"/>
      <w:szCs w:val="21"/>
      <w:lang w:val="zh-CN"/>
    </w:rPr>
  </w:style>
  <w:style w:type="paragraph" w:customStyle="1" w:styleId="50">
    <w:name w:val="表格文字7"/>
    <w:basedOn w:val="1"/>
    <w:link w:val="49"/>
    <w:qFormat/>
    <w:uiPriority w:val="0"/>
    <w:pPr>
      <w:tabs>
        <w:tab w:val="left" w:pos="2745"/>
      </w:tabs>
      <w:snapToGrid w:val="0"/>
      <w:jc w:val="center"/>
    </w:pPr>
    <w:rPr>
      <w:bCs/>
      <w:szCs w:val="21"/>
      <w:lang w:val="zh-CN"/>
    </w:rPr>
  </w:style>
  <w:style w:type="character" w:customStyle="1" w:styleId="51">
    <w:name w:val="ENFI正文 Char Char"/>
    <w:link w:val="52"/>
    <w:qFormat/>
    <w:locked/>
    <w:uiPriority w:val="0"/>
    <w:rPr>
      <w:rFonts w:eastAsia="仿宋_GB2312"/>
      <w:color w:val="000000"/>
      <w:sz w:val="24"/>
    </w:rPr>
  </w:style>
  <w:style w:type="paragraph" w:customStyle="1" w:styleId="52">
    <w:name w:val="ENFI正文"/>
    <w:basedOn w:val="1"/>
    <w:link w:val="51"/>
    <w:qFormat/>
    <w:uiPriority w:val="0"/>
    <w:pPr>
      <w:adjustRightInd w:val="0"/>
      <w:snapToGrid w:val="0"/>
      <w:spacing w:line="400" w:lineRule="exact"/>
      <w:ind w:firstLine="567"/>
    </w:pPr>
    <w:rPr>
      <w:rFonts w:eastAsia="仿宋_GB2312"/>
      <w:color w:val="000000"/>
      <w:kern w:val="0"/>
      <w:sz w:val="24"/>
      <w:szCs w:val="20"/>
    </w:rPr>
  </w:style>
  <w:style w:type="character" w:customStyle="1" w:styleId="53">
    <w:name w:val="正文文本缩进 2 Char"/>
    <w:basedOn w:val="22"/>
    <w:link w:val="13"/>
    <w:qFormat/>
    <w:uiPriority w:val="99"/>
    <w:rPr>
      <w:rFonts w:asciiTheme="minorHAnsi" w:hAnsiTheme="minorHAnsi" w:eastAsiaTheme="minorEastAsia" w:cstheme="minorBidi"/>
      <w:kern w:val="2"/>
      <w:sz w:val="21"/>
      <w:szCs w:val="22"/>
    </w:rPr>
  </w:style>
  <w:style w:type="character" w:customStyle="1" w:styleId="54">
    <w:name w:val="标题 3 Char"/>
    <w:basedOn w:val="22"/>
    <w:link w:val="4"/>
    <w:semiHidden/>
    <w:qFormat/>
    <w:uiPriority w:val="0"/>
    <w:rPr>
      <w:b/>
      <w:bCs/>
      <w:kern w:val="2"/>
      <w:sz w:val="32"/>
      <w:szCs w:val="32"/>
    </w:rPr>
  </w:style>
  <w:style w:type="character" w:customStyle="1" w:styleId="55">
    <w:name w:val="标题 2 Char"/>
    <w:basedOn w:val="22"/>
    <w:link w:val="2"/>
    <w:semiHidden/>
    <w:qFormat/>
    <w:uiPriority w:val="0"/>
    <w:rPr>
      <w:rFonts w:asciiTheme="majorHAnsi" w:hAnsiTheme="majorHAnsi" w:eastAsiaTheme="majorEastAsia" w:cstheme="majorBidi"/>
      <w:b/>
      <w:bCs/>
      <w:kern w:val="2"/>
      <w:sz w:val="32"/>
      <w:szCs w:val="32"/>
    </w:rPr>
  </w:style>
  <w:style w:type="paragraph" w:customStyle="1" w:styleId="56">
    <w:name w:val="TOC Heading"/>
    <w:basedOn w:val="3"/>
    <w:next w:val="1"/>
    <w:unhideWhenUsed/>
    <w:qFormat/>
    <w:uiPriority w:val="39"/>
    <w:pPr>
      <w:keepLines/>
      <w:widowControl/>
      <w:overflowPunct/>
      <w:snapToGrid/>
      <w:spacing w:before="480" w:after="0" w:line="276" w:lineRule="auto"/>
      <w:ind w:left="0" w:firstLine="0"/>
      <w:jc w:val="left"/>
      <w:outlineLvl w:val="9"/>
    </w:pPr>
    <w:rPr>
      <w:rFonts w:asciiTheme="majorHAnsi" w:hAnsiTheme="majorHAnsi" w:eastAsiaTheme="majorEastAsia" w:cstheme="majorBidi"/>
      <w:color w:val="376092" w:themeColor="accent1" w:themeShade="BF"/>
      <w:kern w:val="0"/>
      <w:sz w:val="28"/>
      <w:szCs w:val="28"/>
    </w:rPr>
  </w:style>
  <w:style w:type="paragraph" w:styleId="57">
    <w:name w:val="List Paragraph"/>
    <w:basedOn w:val="1"/>
    <w:qFormat/>
    <w:uiPriority w:val="1"/>
    <w:pPr>
      <w:ind w:left="700" w:hanging="601"/>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w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285D47B-B415-4D22-87D5-660E5DBD64B7}">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32</Pages>
  <Words>3784</Words>
  <Characters>21572</Characters>
  <Lines>179</Lines>
  <Paragraphs>50</Paragraphs>
  <TotalTime>1</TotalTime>
  <ScaleCrop>false</ScaleCrop>
  <LinksUpToDate>false</LinksUpToDate>
  <CharactersWithSpaces>25306</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2021-03-28T07:13:00Z</dcterms:created>
  <dc:creator>lhj</dc:creator>
  <cp:lastModifiedBy>彭波</cp:lastModifiedBy>
  <cp:lastPrinted>2020-12-29T02:43:00Z</cp:lastPrinted>
  <dcterms:modified xsi:type="dcterms:W3CDTF">2021-12-08T06:34:08Z</dcterms:modified>
  <dc:title>附件2</dc:title>
  <cp:revision>1058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F8D1B85AA829492A9F4C29BD0EFEB23D</vt:lpwstr>
  </property>
</Properties>
</file>