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adjustRightInd w:val="0"/>
        <w:snapToGrid w:val="0"/>
        <w:jc w:val="center"/>
        <w:outlineLvl w:val="0"/>
        <w:rPr>
          <w:rFonts w:eastAsia="方正小标宋_GBK"/>
          <w:bCs/>
          <w:color w:val="auto"/>
          <w:sz w:val="72"/>
          <w:szCs w:val="72"/>
        </w:rPr>
      </w:pPr>
      <w:bookmarkStart w:id="0" w:name="_Toc71360642"/>
      <w:r>
        <w:rPr>
          <w:rFonts w:eastAsia="方正小标宋_GBK"/>
          <w:bCs/>
          <w:color w:val="auto"/>
          <w:sz w:val="72"/>
          <w:szCs w:val="72"/>
        </w:rPr>
        <w:t>建设项目环境影响报告表</w:t>
      </w:r>
      <w:bookmarkEnd w:id="0"/>
    </w:p>
    <w:p>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pPr>
        <w:adjustRightInd w:val="0"/>
        <w:snapToGrid w:val="0"/>
        <w:spacing w:line="288" w:lineRule="auto"/>
        <w:jc w:val="center"/>
        <w:rPr>
          <w:rFonts w:eastAsia="华文仿宋"/>
          <w:color w:val="auto"/>
          <w:kern w:val="44"/>
          <w:sz w:val="44"/>
          <w:szCs w:val="44"/>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288" w:lineRule="auto"/>
        <w:ind w:left="2240" w:leftChars="342" w:hanging="1522" w:hangingChars="423"/>
        <w:jc w:val="left"/>
        <w:rPr>
          <w:rFonts w:eastAsia="仿宋_GB2312"/>
          <w:color w:val="auto"/>
          <w:sz w:val="36"/>
          <w:szCs w:val="36"/>
          <w:u w:val="single"/>
        </w:rPr>
      </w:pPr>
      <w:r>
        <w:rPr>
          <w:rFonts w:eastAsia="仿宋_GB2312"/>
          <w:color w:val="auto"/>
          <w:sz w:val="36"/>
          <w:szCs w:val="36"/>
        </w:rPr>
        <w:t>项目名称：</w:t>
      </w:r>
      <w:r>
        <w:rPr>
          <w:rFonts w:hint="eastAsia" w:eastAsia="仿宋_GB2312"/>
          <w:color w:val="auto"/>
          <w:sz w:val="36"/>
          <w:szCs w:val="36"/>
          <w:u w:val="single"/>
          <w:lang w:eastAsia="zh-CN"/>
        </w:rPr>
        <w:t>衡阳众鑫再生报废汽车回收拆解有限责任公司废旧收集和综合利用建设项目</w:t>
      </w:r>
      <w:r>
        <w:rPr>
          <w:rFonts w:eastAsia="仿宋_GB2312"/>
          <w:color w:val="auto"/>
          <w:sz w:val="36"/>
          <w:szCs w:val="36"/>
          <w:u w:val="single"/>
        </w:rPr>
        <w:t xml:space="preserve">                            </w:t>
      </w:r>
    </w:p>
    <w:p>
      <w:pPr>
        <w:adjustRightInd w:val="0"/>
        <w:snapToGrid w:val="0"/>
        <w:spacing w:line="288" w:lineRule="auto"/>
        <w:ind w:left="2235" w:leftChars="341" w:hanging="1519" w:hangingChars="422"/>
        <w:rPr>
          <w:rFonts w:eastAsia="仿宋_GB2312"/>
          <w:color w:val="auto"/>
          <w:sz w:val="36"/>
          <w:szCs w:val="36"/>
          <w:u w:val="single"/>
        </w:rPr>
      </w:pPr>
      <w:r>
        <w:rPr>
          <w:rFonts w:eastAsia="仿宋_GB2312"/>
          <w:color w:val="auto"/>
          <w:sz w:val="36"/>
          <w:szCs w:val="36"/>
        </w:rPr>
        <w:t>建设单位（盖章）：</w:t>
      </w:r>
      <w:r>
        <w:rPr>
          <w:rFonts w:hint="eastAsia" w:eastAsia="仿宋_GB2312"/>
          <w:color w:val="auto"/>
          <w:sz w:val="36"/>
          <w:szCs w:val="36"/>
          <w:u w:val="single"/>
          <w:lang w:eastAsia="zh-CN"/>
        </w:rPr>
        <w:t>衡阳众鑫再生报废汽车回收拆解有限责任公司</w:t>
      </w:r>
      <w:r>
        <w:rPr>
          <w:rFonts w:eastAsia="仿宋_GB2312"/>
          <w:color w:val="auto"/>
          <w:sz w:val="36"/>
          <w:szCs w:val="36"/>
          <w:u w:val="single"/>
        </w:rPr>
        <w:t xml:space="preserve">   </w:t>
      </w:r>
    </w:p>
    <w:p>
      <w:pPr>
        <w:adjustRightInd w:val="0"/>
        <w:snapToGrid w:val="0"/>
        <w:spacing w:line="288" w:lineRule="auto"/>
        <w:ind w:left="0" w:leftChars="0" w:firstLine="640" w:firstLineChars="0"/>
        <w:jc w:val="left"/>
        <w:rPr>
          <w:rFonts w:eastAsia="仿宋_GB2312"/>
          <w:color w:val="auto"/>
          <w:sz w:val="36"/>
          <w:szCs w:val="36"/>
          <w:u w:val="single"/>
        </w:rPr>
      </w:pPr>
      <w:r>
        <w:rPr>
          <w:rFonts w:eastAsia="仿宋_GB2312"/>
          <w:color w:val="auto"/>
          <w:sz w:val="36"/>
          <w:szCs w:val="36"/>
        </w:rPr>
        <w:t>编制日期：</w:t>
      </w:r>
      <w:r>
        <w:rPr>
          <w:rFonts w:eastAsia="仿宋_GB2312"/>
          <w:color w:val="auto"/>
          <w:sz w:val="36"/>
          <w:szCs w:val="36"/>
          <w:u w:val="single"/>
        </w:rPr>
        <w:t xml:space="preserve">        二〇二一年</w:t>
      </w:r>
      <w:r>
        <w:rPr>
          <w:rFonts w:hint="eastAsia" w:eastAsia="仿宋_GB2312"/>
          <w:color w:val="auto"/>
          <w:sz w:val="36"/>
          <w:szCs w:val="36"/>
          <w:u w:val="single"/>
          <w:lang w:eastAsia="zh-CN"/>
        </w:rPr>
        <w:t>十一</w:t>
      </w:r>
      <w:r>
        <w:rPr>
          <w:rFonts w:eastAsia="仿宋_GB2312"/>
          <w:color w:val="auto"/>
          <w:sz w:val="36"/>
          <w:szCs w:val="36"/>
          <w:u w:val="single"/>
        </w:rPr>
        <w:t xml:space="preserve">月            </w:t>
      </w:r>
    </w:p>
    <w:p>
      <w:pPr>
        <w:adjustRightInd w:val="0"/>
        <w:snapToGrid w:val="0"/>
        <w:spacing w:line="288" w:lineRule="auto"/>
        <w:ind w:firstLine="1040"/>
        <w:rPr>
          <w:rFonts w:eastAsia="仿宋_GB2312"/>
          <w:color w:val="auto"/>
          <w:sz w:val="36"/>
          <w:szCs w:val="36"/>
          <w:u w:val="single"/>
        </w:rPr>
      </w:pPr>
      <w:bookmarkStart w:id="1" w:name="_Hlk57884087"/>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bookmarkEnd w:id="1"/>
    <w:p>
      <w:pPr>
        <w:pStyle w:val="58"/>
        <w:spacing w:line="480" w:lineRule="auto"/>
        <w:jc w:val="center"/>
        <w:rPr>
          <w:rFonts w:eastAsia="楷体_GB2312"/>
          <w:color w:val="auto"/>
          <w:sz w:val="36"/>
          <w:szCs w:val="36"/>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eastAsia="楷体_GB2312"/>
          <w:color w:val="auto"/>
          <w:sz w:val="36"/>
          <w:szCs w:val="36"/>
        </w:rPr>
        <w:t>中华人民共和国生态环境部制</w:t>
      </w:r>
    </w:p>
    <w:p>
      <w:pPr>
        <w:jc w:val="center"/>
        <w:rPr>
          <w:rFonts w:hint="default"/>
          <w:b/>
          <w:bCs/>
          <w:color w:val="auto"/>
          <w:sz w:val="36"/>
          <w:szCs w:val="36"/>
          <w:lang w:val="en-US" w:eastAsia="zh-CN"/>
        </w:rPr>
        <w:sectPr>
          <w:footerReference r:id="rId4" w:type="default"/>
          <w:pgSz w:w="11906" w:h="16838"/>
          <w:pgMar w:top="476" w:right="499" w:bottom="476" w:left="499" w:header="851" w:footer="1077" w:gutter="0"/>
          <w:pgNumType w:start="1"/>
          <w:cols w:space="720" w:num="1"/>
          <w:docGrid w:linePitch="312" w:charSpace="0"/>
        </w:sectPr>
      </w:pPr>
      <w:r>
        <w:rPr>
          <w:rFonts w:hint="default"/>
          <w:b/>
          <w:bCs/>
          <w:color w:val="auto"/>
          <w:sz w:val="36"/>
          <w:szCs w:val="36"/>
          <w:lang w:val="en-US" w:eastAsia="zh-CN"/>
        </w:rPr>
        <w:drawing>
          <wp:anchor distT="0" distB="0" distL="114300" distR="114300" simplePos="0" relativeHeight="251667456" behindDoc="0" locked="0" layoutInCell="1" allowOverlap="1">
            <wp:simplePos x="0" y="0"/>
            <wp:positionH relativeFrom="column">
              <wp:posOffset>253365</wp:posOffset>
            </wp:positionH>
            <wp:positionV relativeFrom="paragraph">
              <wp:posOffset>200025</wp:posOffset>
            </wp:positionV>
            <wp:extent cx="6580505" cy="9312275"/>
            <wp:effectExtent l="0" t="0" r="10795" b="3175"/>
            <wp:wrapNone/>
            <wp:docPr id="4" name="图片 4" descr="资质页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资质页_00"/>
                    <pic:cNvPicPr>
                      <a:picLocks noChangeAspect="1"/>
                    </pic:cNvPicPr>
                  </pic:nvPicPr>
                  <pic:blipFill>
                    <a:blip r:embed="rId16"/>
                    <a:stretch>
                      <a:fillRect/>
                    </a:stretch>
                  </pic:blipFill>
                  <pic:spPr>
                    <a:xfrm>
                      <a:off x="0" y="0"/>
                      <a:ext cx="6580505" cy="9312275"/>
                    </a:xfrm>
                    <a:prstGeom prst="rect">
                      <a:avLst/>
                    </a:prstGeom>
                  </pic:spPr>
                </pic:pic>
              </a:graphicData>
            </a:graphic>
          </wp:anchor>
        </w:drawing>
      </w:r>
    </w:p>
    <w:p>
      <w:pPr>
        <w:jc w:val="center"/>
        <w:rPr>
          <w:rFonts w:hint="default"/>
          <w:b/>
          <w:bCs/>
          <w:color w:val="auto"/>
          <w:sz w:val="36"/>
          <w:szCs w:val="36"/>
          <w:lang w:val="en-US" w:eastAsia="zh-CN"/>
        </w:rPr>
        <w:sectPr>
          <w:footerReference r:id="rId5" w:type="default"/>
          <w:pgSz w:w="11906" w:h="16838"/>
          <w:pgMar w:top="1440" w:right="1800" w:bottom="1440" w:left="1800" w:header="851" w:footer="1077" w:gutter="0"/>
          <w:pgNumType w:start="3"/>
          <w:cols w:space="720" w:num="1"/>
          <w:docGrid w:linePitch="312" w:charSpace="0"/>
        </w:sectPr>
      </w:pPr>
      <w:r>
        <w:rPr>
          <w:rFonts w:hint="default"/>
          <w:b/>
          <w:bCs/>
          <w:color w:val="auto"/>
          <w:sz w:val="36"/>
          <w:szCs w:val="36"/>
          <w:lang w:val="en-US" w:eastAsia="zh-CN"/>
        </w:rPr>
        <w:drawing>
          <wp:anchor distT="0" distB="0" distL="114300" distR="114300" simplePos="0" relativeHeight="251669504" behindDoc="0" locked="0" layoutInCell="1" allowOverlap="1">
            <wp:simplePos x="0" y="0"/>
            <wp:positionH relativeFrom="column">
              <wp:posOffset>-190500</wp:posOffset>
            </wp:positionH>
            <wp:positionV relativeFrom="paragraph">
              <wp:posOffset>19050</wp:posOffset>
            </wp:positionV>
            <wp:extent cx="5337810" cy="8066405"/>
            <wp:effectExtent l="0" t="0" r="15240" b="10795"/>
            <wp:wrapNone/>
            <wp:docPr id="5" name="图片 5" descr="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承诺书"/>
                    <pic:cNvPicPr>
                      <a:picLocks noChangeAspect="1"/>
                    </pic:cNvPicPr>
                  </pic:nvPicPr>
                  <pic:blipFill>
                    <a:blip r:embed="rId17"/>
                    <a:srcRect l="5601"/>
                    <a:stretch>
                      <a:fillRect/>
                    </a:stretch>
                  </pic:blipFill>
                  <pic:spPr>
                    <a:xfrm>
                      <a:off x="0" y="0"/>
                      <a:ext cx="5337810" cy="8066405"/>
                    </a:xfrm>
                    <a:prstGeom prst="rect">
                      <a:avLst/>
                    </a:prstGeom>
                  </pic:spPr>
                </pic:pic>
              </a:graphicData>
            </a:graphic>
          </wp:anchor>
        </w:drawing>
      </w:r>
    </w:p>
    <w:p>
      <w:pPr>
        <w:rPr>
          <w:rFonts w:hint="default"/>
          <w:color w:val="auto"/>
          <w:sz w:val="26"/>
          <w:szCs w:val="26"/>
          <w:lang w:val="en-US" w:eastAsia="zh-CN"/>
        </w:rPr>
      </w:pPr>
      <w:r>
        <w:rPr>
          <w:rFonts w:hint="eastAsia" w:ascii="华文宋体" w:hAnsi="华文宋体" w:eastAsia="华文宋体" w:cs="华文宋体"/>
          <w:color w:val="auto"/>
          <w:sz w:val="26"/>
          <w:szCs w:val="26"/>
          <w:lang w:val="en-US" w:eastAsia="zh-CN"/>
        </w:rPr>
        <w:drawing>
          <wp:anchor distT="0" distB="0" distL="114300" distR="114300" simplePos="0" relativeHeight="251666432" behindDoc="0" locked="0" layoutInCell="1" allowOverlap="1">
            <wp:simplePos x="0" y="0"/>
            <wp:positionH relativeFrom="column">
              <wp:posOffset>-104775</wp:posOffset>
            </wp:positionH>
            <wp:positionV relativeFrom="paragraph">
              <wp:posOffset>55880</wp:posOffset>
            </wp:positionV>
            <wp:extent cx="5328920" cy="8115300"/>
            <wp:effectExtent l="0" t="0" r="0" b="0"/>
            <wp:wrapNone/>
            <wp:docPr id="6" name="图片 6" descr="编制单位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编制单位承诺书"/>
                    <pic:cNvPicPr>
                      <a:picLocks noChangeAspect="1"/>
                    </pic:cNvPicPr>
                  </pic:nvPicPr>
                  <pic:blipFill>
                    <a:blip r:embed="rId18"/>
                    <a:srcRect l="8853" r="-2530"/>
                    <a:stretch>
                      <a:fillRect/>
                    </a:stretch>
                  </pic:blipFill>
                  <pic:spPr>
                    <a:xfrm>
                      <a:off x="0" y="0"/>
                      <a:ext cx="5328920" cy="8115300"/>
                    </a:xfrm>
                    <a:prstGeom prst="rect">
                      <a:avLst/>
                    </a:prstGeom>
                  </pic:spPr>
                </pic:pic>
              </a:graphicData>
            </a:graphic>
          </wp:anchor>
        </w:drawing>
      </w:r>
    </w:p>
    <w:p>
      <w:pPr>
        <w:ind w:left="0" w:leftChars="0" w:firstLine="0" w:firstLineChars="0"/>
        <w:rPr>
          <w:rFonts w:hint="eastAsia" w:ascii="华文宋体" w:hAnsi="华文宋体" w:eastAsia="华文宋体" w:cs="华文宋体"/>
          <w:color w:val="auto"/>
          <w:sz w:val="26"/>
          <w:szCs w:val="26"/>
          <w:lang w:val="en-US" w:eastAsia="zh-CN"/>
        </w:rPr>
      </w:pPr>
    </w:p>
    <w:p>
      <w:pPr>
        <w:adjustRightInd w:val="0"/>
        <w:spacing w:line="360" w:lineRule="auto"/>
        <w:ind w:firstLine="5100" w:firstLineChars="1700"/>
        <w:jc w:val="left"/>
        <w:rPr>
          <w:rFonts w:hint="eastAsia" w:ascii="仿宋" w:hAnsi="仿宋" w:eastAsia="仿宋" w:cs="Times New Roman"/>
          <w:color w:val="auto"/>
          <w:sz w:val="30"/>
          <w:szCs w:val="30"/>
          <w:lang w:val="en-US" w:eastAsia="zh-CN"/>
        </w:rPr>
      </w:pPr>
    </w:p>
    <w:p>
      <w:pPr>
        <w:adjustRightInd w:val="0"/>
        <w:spacing w:line="360" w:lineRule="auto"/>
        <w:jc w:val="left"/>
        <w:rPr>
          <w:rFonts w:hint="default" w:ascii="仿宋" w:hAnsi="仿宋" w:eastAsia="仿宋" w:cs="Times New Roman"/>
          <w:color w:val="auto"/>
          <w:sz w:val="30"/>
          <w:szCs w:val="30"/>
          <w:lang w:val="en-US" w:eastAsia="zh-CN"/>
        </w:rPr>
        <w:sectPr>
          <w:footerReference r:id="rId6" w:type="default"/>
          <w:pgSz w:w="11906" w:h="16838"/>
          <w:pgMar w:top="1440" w:right="1800" w:bottom="1440" w:left="1800" w:header="851" w:footer="1077" w:gutter="0"/>
          <w:pgNumType w:start="3"/>
          <w:cols w:space="720" w:num="1"/>
          <w:docGrid w:linePitch="312" w:charSpace="0"/>
        </w:sectPr>
      </w:pPr>
    </w:p>
    <w:p>
      <w:pPr>
        <w:pStyle w:val="7"/>
        <w:spacing w:before="5"/>
        <w:rPr>
          <w:color w:val="auto"/>
          <w:sz w:val="19"/>
        </w:rPr>
      </w:pPr>
      <w:r>
        <w:rPr>
          <w:rFonts w:hint="eastAsia" w:ascii="宋体" w:eastAsia="宋体"/>
          <w:b/>
          <w:color w:val="auto"/>
          <w:sz w:val="38"/>
          <w:lang w:val="en-US" w:eastAsia="zh-CN"/>
        </w:rPr>
        <w:t xml:space="preserve"> </w:t>
      </w:r>
      <w:r>
        <w:rPr>
          <w:rFonts w:hint="eastAsia" w:ascii="宋体" w:eastAsia="宋体"/>
          <w:b/>
          <w:color w:val="auto"/>
          <w:sz w:val="38"/>
          <w:lang w:val="en-US" w:eastAsia="zh-CN"/>
        </w:rPr>
        <w:drawing>
          <wp:anchor distT="0" distB="0" distL="114300" distR="114300" simplePos="0" relativeHeight="251670528" behindDoc="0" locked="0" layoutInCell="1" allowOverlap="1">
            <wp:simplePos x="0" y="0"/>
            <wp:positionH relativeFrom="column">
              <wp:posOffset>-85725</wp:posOffset>
            </wp:positionH>
            <wp:positionV relativeFrom="paragraph">
              <wp:posOffset>156210</wp:posOffset>
            </wp:positionV>
            <wp:extent cx="5224145" cy="7955280"/>
            <wp:effectExtent l="0" t="0" r="14605" b="7620"/>
            <wp:wrapNone/>
            <wp:docPr id="7" name="图片 7" descr="人员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人员承诺书"/>
                    <pic:cNvPicPr>
                      <a:picLocks noChangeAspect="1"/>
                    </pic:cNvPicPr>
                  </pic:nvPicPr>
                  <pic:blipFill>
                    <a:blip r:embed="rId19"/>
                    <a:srcRect l="6324"/>
                    <a:stretch>
                      <a:fillRect/>
                    </a:stretch>
                  </pic:blipFill>
                  <pic:spPr>
                    <a:xfrm>
                      <a:off x="0" y="0"/>
                      <a:ext cx="5224145" cy="7955280"/>
                    </a:xfrm>
                    <a:prstGeom prst="rect">
                      <a:avLst/>
                    </a:prstGeom>
                  </pic:spPr>
                </pic:pic>
              </a:graphicData>
            </a:graphic>
          </wp:anchor>
        </w:drawing>
      </w:r>
      <w:r>
        <w:rPr>
          <w:rFonts w:hint="eastAsia" w:ascii="宋体" w:eastAsia="宋体"/>
          <w:b/>
          <w:color w:val="auto"/>
          <w:sz w:val="38"/>
          <w:lang w:val="en-US" w:eastAsia="zh-CN"/>
        </w:rPr>
        <w:t xml:space="preserve">      </w:t>
      </w:r>
      <w:r>
        <w:rPr>
          <w:rFonts w:hint="eastAsia" w:ascii="Times New Roman" w:hAnsi="Times New Roman" w:eastAsia="宋体" w:cs="Times New Roman"/>
          <w:b/>
          <w:bCs/>
          <w:color w:val="auto"/>
          <w:sz w:val="36"/>
          <w:szCs w:val="36"/>
          <w:lang w:val="en-US" w:eastAsia="zh-CN"/>
        </w:rPr>
        <w:t xml:space="preserve"> </w:t>
      </w:r>
    </w:p>
    <w:p>
      <w:pPr>
        <w:pStyle w:val="7"/>
        <w:rPr>
          <w:color w:val="auto"/>
          <w:sz w:val="32"/>
        </w:rPr>
      </w:pPr>
    </w:p>
    <w:p>
      <w:pPr>
        <w:pStyle w:val="7"/>
        <w:tabs>
          <w:tab w:val="left" w:pos="2231"/>
          <w:tab w:val="left" w:pos="2695"/>
          <w:tab w:val="left" w:pos="4780"/>
          <w:tab w:val="left" w:pos="6616"/>
        </w:tabs>
        <w:spacing w:line="364" w:lineRule="auto"/>
        <w:ind w:left="120" w:right="317" w:firstLine="600"/>
        <w:jc w:val="right"/>
        <w:rPr>
          <w:rFonts w:hint="default" w:ascii="仿宋" w:hAnsi="仿宋" w:eastAsia="仿宋" w:cs="Times New Roman"/>
          <w:color w:val="auto"/>
          <w:kern w:val="2"/>
          <w:sz w:val="30"/>
          <w:szCs w:val="30"/>
          <w:lang w:val="en-US" w:eastAsia="zh-CN" w:bidi="ar-SA"/>
        </w:rPr>
        <w:sectPr>
          <w:footerReference r:id="rId7" w:type="default"/>
          <w:pgSz w:w="11906" w:h="16838"/>
          <w:pgMar w:top="1440" w:right="1800" w:bottom="1440" w:left="1800" w:header="851" w:footer="1077" w:gutter="0"/>
          <w:pgNumType w:start="3"/>
          <w:cols w:space="720" w:num="1"/>
          <w:docGrid w:linePitch="312" w:charSpace="0"/>
        </w:sectPr>
      </w:pPr>
    </w:p>
    <w:p>
      <w:pPr>
        <w:pStyle w:val="19"/>
        <w:jc w:val="center"/>
        <w:outlineLvl w:val="0"/>
        <w:rPr>
          <w:rFonts w:hint="eastAsia" w:ascii="Times New Roman" w:hAnsi="Times New Roman" w:eastAsia="黑体" w:cs="Times New Roman"/>
          <w:snapToGrid w:val="0"/>
          <w:color w:val="auto"/>
          <w:sz w:val="30"/>
          <w:szCs w:val="30"/>
          <w:lang w:eastAsia="zh-CN"/>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Times New Roman" w:hAnsi="Times New Roman" w:eastAsia="黑体" w:cs="Times New Roman"/>
          <w:snapToGrid w:val="0"/>
          <w:color w:val="auto"/>
          <w:sz w:val="30"/>
          <w:szCs w:val="30"/>
          <w:lang w:eastAsia="zh-CN"/>
        </w:rPr>
        <w:drawing>
          <wp:inline distT="0" distB="0" distL="114300" distR="114300">
            <wp:extent cx="5608320" cy="8046720"/>
            <wp:effectExtent l="0" t="0" r="11430" b="11430"/>
            <wp:docPr id="10" name="图片 10" descr="杨淑义工程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杨淑义工程师证"/>
                    <pic:cNvPicPr>
                      <a:picLocks noChangeAspect="1"/>
                    </pic:cNvPicPr>
                  </pic:nvPicPr>
                  <pic:blipFill>
                    <a:blip r:embed="rId20"/>
                    <a:stretch>
                      <a:fillRect/>
                    </a:stretch>
                  </pic:blipFill>
                  <pic:spPr>
                    <a:xfrm>
                      <a:off x="0" y="0"/>
                      <a:ext cx="5608320" cy="8046720"/>
                    </a:xfrm>
                    <a:prstGeom prst="rect">
                      <a:avLst/>
                    </a:prstGeom>
                  </pic:spPr>
                </pic:pic>
              </a:graphicData>
            </a:graphic>
          </wp:inline>
        </w:drawing>
      </w:r>
    </w:p>
    <w:p>
      <w:pPr>
        <w:pStyle w:val="19"/>
        <w:jc w:val="center"/>
        <w:outlineLvl w:val="0"/>
        <w:rPr>
          <w:rFonts w:hint="eastAsia" w:ascii="Times New Roman" w:hAnsi="Times New Roman" w:eastAsia="宋体" w:cs="Times New Roman"/>
          <w:b/>
          <w:bCs/>
          <w:i w:val="0"/>
          <w:iCs w:val="0"/>
          <w:color w:val="auto"/>
          <w:sz w:val="28"/>
          <w:szCs w:val="36"/>
          <w:u w:val="none" w:color="auto"/>
          <w:lang w:eastAsia="zh-CN"/>
        </w:rPr>
        <w:sectPr>
          <w:footerReference r:id="rId9"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Times New Roman" w:hAnsi="Times New Roman" w:eastAsia="宋体" w:cs="Times New Roman"/>
          <w:b/>
          <w:bCs/>
          <w:i w:val="0"/>
          <w:iCs w:val="0"/>
          <w:color w:val="auto"/>
          <w:sz w:val="28"/>
          <w:szCs w:val="36"/>
          <w:u w:val="none" w:color="auto"/>
          <w:lang w:eastAsia="zh-CN"/>
        </w:rPr>
        <w:drawing>
          <wp:inline distT="0" distB="0" distL="114300" distR="114300">
            <wp:extent cx="5610860" cy="7999095"/>
            <wp:effectExtent l="0" t="0" r="8890" b="1905"/>
            <wp:docPr id="8" name="图片 8" descr="展至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展至营业执照"/>
                    <pic:cNvPicPr>
                      <a:picLocks noChangeAspect="1"/>
                    </pic:cNvPicPr>
                  </pic:nvPicPr>
                  <pic:blipFill>
                    <a:blip r:embed="rId21"/>
                    <a:stretch>
                      <a:fillRect/>
                    </a:stretch>
                  </pic:blipFill>
                  <pic:spPr>
                    <a:xfrm>
                      <a:off x="0" y="0"/>
                      <a:ext cx="5610860" cy="7999095"/>
                    </a:xfrm>
                    <a:prstGeom prst="rect">
                      <a:avLst/>
                    </a:prstGeom>
                  </pic:spPr>
                </pic:pic>
              </a:graphicData>
            </a:graphic>
          </wp:inline>
        </w:drawing>
      </w:r>
    </w:p>
    <w:p>
      <w:pPr>
        <w:pStyle w:val="19"/>
        <w:jc w:val="center"/>
        <w:outlineLvl w:val="0"/>
        <w:rPr>
          <w:rFonts w:hint="default" w:ascii="Times New Roman" w:hAnsi="Times New Roman" w:eastAsia="宋体" w:cs="Times New Roman"/>
          <w:b/>
          <w:bCs/>
          <w:i w:val="0"/>
          <w:iCs w:val="0"/>
          <w:color w:val="auto"/>
          <w:sz w:val="28"/>
          <w:szCs w:val="36"/>
          <w:u w:val="none" w:color="auto"/>
          <w:lang w:eastAsia="zh-CN"/>
        </w:rPr>
        <w:sectPr>
          <w:footerReference r:id="rId10"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宋体" w:cs="Times New Roman"/>
          <w:b/>
          <w:bCs/>
          <w:i w:val="0"/>
          <w:iCs w:val="0"/>
          <w:color w:val="auto"/>
          <w:sz w:val="28"/>
          <w:szCs w:val="36"/>
          <w:u w:val="none" w:color="auto"/>
          <w:lang w:eastAsia="zh-CN"/>
        </w:rPr>
        <w:drawing>
          <wp:inline distT="0" distB="0" distL="114300" distR="114300">
            <wp:extent cx="5609590" cy="7999095"/>
            <wp:effectExtent l="0" t="0" r="10160" b="1905"/>
            <wp:docPr id="12" name="图片 12" descr="杨淑义社保证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杨淑义社保证明_00"/>
                    <pic:cNvPicPr>
                      <a:picLocks noChangeAspect="1"/>
                    </pic:cNvPicPr>
                  </pic:nvPicPr>
                  <pic:blipFill>
                    <a:blip r:embed="rId22"/>
                    <a:stretch>
                      <a:fillRect/>
                    </a:stretch>
                  </pic:blipFill>
                  <pic:spPr>
                    <a:xfrm>
                      <a:off x="0" y="0"/>
                      <a:ext cx="5609590" cy="7999095"/>
                    </a:xfrm>
                    <a:prstGeom prst="rect">
                      <a:avLst/>
                    </a:prstGeom>
                  </pic:spPr>
                </pic:pic>
              </a:graphicData>
            </a:graphic>
          </wp:inline>
        </w:drawing>
      </w:r>
    </w:p>
    <w:p>
      <w:pPr>
        <w:pStyle w:val="2"/>
        <w:numPr>
          <w:ilvl w:val="1"/>
          <w:numId w:val="0"/>
        </w:numPr>
        <w:ind w:leftChars="0"/>
        <w:rPr>
          <w:rFonts w:hint="default"/>
          <w:lang w:val="en-US"/>
        </w:rPr>
      </w:pPr>
      <w:r>
        <w:rPr>
          <w:rFonts w:hint="default"/>
          <w:lang w:val="en-US"/>
        </w:rPr>
        <w:drawing>
          <wp:anchor distT="0" distB="0" distL="114300" distR="114300" simplePos="0" relativeHeight="251668480" behindDoc="0" locked="0" layoutInCell="1" allowOverlap="1">
            <wp:simplePos x="0" y="0"/>
            <wp:positionH relativeFrom="column">
              <wp:posOffset>-400050</wp:posOffset>
            </wp:positionH>
            <wp:positionV relativeFrom="paragraph">
              <wp:posOffset>-102870</wp:posOffset>
            </wp:positionV>
            <wp:extent cx="6189980" cy="8830310"/>
            <wp:effectExtent l="0" t="0" r="1270" b="8890"/>
            <wp:wrapNone/>
            <wp:docPr id="9" name="图片 9" descr="众鑫修改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众鑫修改说明"/>
                    <pic:cNvPicPr>
                      <a:picLocks noChangeAspect="1"/>
                    </pic:cNvPicPr>
                  </pic:nvPicPr>
                  <pic:blipFill>
                    <a:blip r:embed="rId23"/>
                    <a:stretch>
                      <a:fillRect/>
                    </a:stretch>
                  </pic:blipFill>
                  <pic:spPr>
                    <a:xfrm>
                      <a:off x="0" y="0"/>
                      <a:ext cx="6189980" cy="8830310"/>
                    </a:xfrm>
                    <a:prstGeom prst="rect">
                      <a:avLst/>
                    </a:prstGeom>
                  </pic:spPr>
                </pic:pic>
              </a:graphicData>
            </a:graphic>
          </wp:anchor>
        </w:drawing>
      </w:r>
    </w:p>
    <w:p>
      <w:pPr>
        <w:sectPr>
          <w:footerReference r:id="rId11"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58"/>
        <w:spacing w:line="480" w:lineRule="auto"/>
        <w:jc w:val="center"/>
        <w:rPr>
          <w:rFonts w:ascii="Times New Roman" w:hAnsi="Times New Roman" w:eastAsia="宋体" w:cs="Times New Roman"/>
          <w:color w:val="auto"/>
        </w:rPr>
      </w:pPr>
      <w:r>
        <w:rPr>
          <w:rFonts w:ascii="Times New Roman" w:hAnsi="Times New Roman" w:eastAsia="宋体" w:cs="Times New Roman"/>
          <w:color w:val="auto"/>
          <w:lang w:val="zh-CN"/>
        </w:rPr>
        <w:t>目  录</w:t>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TOC \o "1-3" \h \z \u </w:instrText>
      </w:r>
      <w:r>
        <w:rPr>
          <w:rFonts w:ascii="Times New Roman" w:hAnsi="Times New Roman" w:eastAsia="宋体" w:cs="Times New Roman"/>
          <w:color w:val="auto"/>
          <w:sz w:val="24"/>
          <w:szCs w:val="24"/>
        </w:rPr>
        <w:fldChar w:fldCharType="separate"/>
      </w:r>
      <w:r>
        <w:rPr>
          <w:color w:val="auto"/>
        </w:rPr>
        <w:fldChar w:fldCharType="begin"/>
      </w:r>
      <w:r>
        <w:rPr>
          <w:color w:val="auto"/>
        </w:rPr>
        <w:instrText xml:space="preserve"> HYPERLINK \l "_Toc71360642" </w:instrText>
      </w:r>
      <w:r>
        <w:rPr>
          <w:color w:val="auto"/>
        </w:rPr>
        <w:fldChar w:fldCharType="separate"/>
      </w:r>
      <w:r>
        <w:rPr>
          <w:color w:val="auto"/>
        </w:rPr>
        <w:fldChar w:fldCharType="end"/>
      </w:r>
    </w:p>
    <w:p>
      <w:pPr>
        <w:pStyle w:val="18"/>
        <w:tabs>
          <w:tab w:val="right" w:leader="dot" w:pos="8834"/>
        </w:tabs>
        <w:spacing w:line="480" w:lineRule="auto"/>
        <w:rPr>
          <w:color w:val="auto"/>
          <w:sz w:val="24"/>
        </w:rPr>
      </w:pPr>
      <w:r>
        <w:rPr>
          <w:color w:val="auto"/>
        </w:rPr>
        <w:fldChar w:fldCharType="begin"/>
      </w:r>
      <w:r>
        <w:rPr>
          <w:color w:val="auto"/>
        </w:rPr>
        <w:instrText xml:space="preserve"> HYPERLINK \l "_Toc71360643" </w:instrText>
      </w:r>
      <w:r>
        <w:rPr>
          <w:color w:val="auto"/>
        </w:rPr>
        <w:fldChar w:fldCharType="separate"/>
      </w:r>
      <w:r>
        <w:rPr>
          <w:rStyle w:val="25"/>
          <w:snapToGrid w:val="0"/>
          <w:color w:val="auto"/>
          <w:sz w:val="24"/>
        </w:rPr>
        <w:t>一、建设项目基本情况</w:t>
      </w:r>
      <w:r>
        <w:rPr>
          <w:color w:val="auto"/>
          <w:sz w:val="24"/>
        </w:rPr>
        <w:tab/>
      </w:r>
      <w:r>
        <w:rPr>
          <w:color w:val="auto"/>
          <w:sz w:val="24"/>
        </w:rPr>
        <w:fldChar w:fldCharType="begin"/>
      </w:r>
      <w:r>
        <w:rPr>
          <w:color w:val="auto"/>
          <w:sz w:val="24"/>
        </w:rPr>
        <w:instrText xml:space="preserve"> PAGEREF _Toc71360643 \h </w:instrText>
      </w:r>
      <w:r>
        <w:rPr>
          <w:color w:val="auto"/>
          <w:sz w:val="24"/>
        </w:rPr>
        <w:fldChar w:fldCharType="separate"/>
      </w:r>
      <w:r>
        <w:rPr>
          <w:color w:val="auto"/>
          <w:sz w:val="24"/>
        </w:rPr>
        <w:t>1</w:t>
      </w:r>
      <w:r>
        <w:rPr>
          <w:color w:val="auto"/>
          <w:sz w:val="24"/>
        </w:rPr>
        <w:fldChar w:fldCharType="end"/>
      </w:r>
      <w:r>
        <w:rPr>
          <w:color w:val="auto"/>
          <w:sz w:val="24"/>
        </w:rPr>
        <w:fldChar w:fldCharType="end"/>
      </w:r>
    </w:p>
    <w:p>
      <w:pPr>
        <w:pStyle w:val="18"/>
        <w:tabs>
          <w:tab w:val="right" w:leader="dot" w:pos="8834"/>
        </w:tabs>
        <w:spacing w:line="480" w:lineRule="auto"/>
        <w:rPr>
          <w:color w:val="auto"/>
          <w:sz w:val="24"/>
        </w:rPr>
      </w:pPr>
      <w:r>
        <w:rPr>
          <w:color w:val="auto"/>
        </w:rPr>
        <w:fldChar w:fldCharType="begin"/>
      </w:r>
      <w:r>
        <w:rPr>
          <w:color w:val="auto"/>
        </w:rPr>
        <w:instrText xml:space="preserve"> HYPERLINK \l "_Toc71360644" </w:instrText>
      </w:r>
      <w:r>
        <w:rPr>
          <w:color w:val="auto"/>
        </w:rPr>
        <w:fldChar w:fldCharType="separate"/>
      </w:r>
      <w:r>
        <w:rPr>
          <w:rStyle w:val="25"/>
          <w:snapToGrid w:val="0"/>
          <w:color w:val="auto"/>
          <w:sz w:val="24"/>
        </w:rPr>
        <w:t>二、建设项目工程分析</w:t>
      </w:r>
      <w:r>
        <w:rPr>
          <w:color w:val="auto"/>
          <w:sz w:val="24"/>
        </w:rPr>
        <w:tab/>
      </w:r>
      <w:r>
        <w:rPr>
          <w:color w:val="auto"/>
          <w:sz w:val="24"/>
        </w:rPr>
        <w:fldChar w:fldCharType="begin"/>
      </w:r>
      <w:r>
        <w:rPr>
          <w:color w:val="auto"/>
          <w:sz w:val="24"/>
        </w:rPr>
        <w:instrText xml:space="preserve"> PAGEREF _Toc71360644 \h </w:instrText>
      </w:r>
      <w:r>
        <w:rPr>
          <w:color w:val="auto"/>
          <w:sz w:val="24"/>
        </w:rPr>
        <w:fldChar w:fldCharType="separate"/>
      </w:r>
      <w:r>
        <w:rPr>
          <w:color w:val="auto"/>
          <w:sz w:val="24"/>
        </w:rPr>
        <w:t>16</w:t>
      </w:r>
      <w:r>
        <w:rPr>
          <w:color w:val="auto"/>
          <w:sz w:val="24"/>
        </w:rPr>
        <w:fldChar w:fldCharType="end"/>
      </w:r>
      <w:r>
        <w:rPr>
          <w:color w:val="auto"/>
          <w:sz w:val="24"/>
        </w:rPr>
        <w:fldChar w:fldCharType="end"/>
      </w:r>
    </w:p>
    <w:p>
      <w:pPr>
        <w:pStyle w:val="18"/>
        <w:tabs>
          <w:tab w:val="right" w:leader="dot" w:pos="8834"/>
        </w:tabs>
        <w:spacing w:line="480" w:lineRule="auto"/>
        <w:rPr>
          <w:color w:val="auto"/>
          <w:sz w:val="24"/>
        </w:rPr>
      </w:pPr>
      <w:r>
        <w:rPr>
          <w:color w:val="auto"/>
        </w:rPr>
        <w:fldChar w:fldCharType="begin"/>
      </w:r>
      <w:r>
        <w:rPr>
          <w:color w:val="auto"/>
        </w:rPr>
        <w:instrText xml:space="preserve"> HYPERLINK \l "_Toc71360645" </w:instrText>
      </w:r>
      <w:r>
        <w:rPr>
          <w:color w:val="auto"/>
        </w:rPr>
        <w:fldChar w:fldCharType="separate"/>
      </w:r>
      <w:r>
        <w:rPr>
          <w:rStyle w:val="25"/>
          <w:snapToGrid w:val="0"/>
          <w:color w:val="auto"/>
          <w:sz w:val="24"/>
        </w:rPr>
        <w:t>三、区域环境质量现状、环境保护目标及评价标准</w:t>
      </w:r>
      <w:r>
        <w:rPr>
          <w:color w:val="auto"/>
          <w:sz w:val="24"/>
        </w:rPr>
        <w:tab/>
      </w:r>
      <w:r>
        <w:rPr>
          <w:color w:val="auto"/>
          <w:sz w:val="24"/>
        </w:rPr>
        <w:fldChar w:fldCharType="begin"/>
      </w:r>
      <w:r>
        <w:rPr>
          <w:color w:val="auto"/>
          <w:sz w:val="24"/>
        </w:rPr>
        <w:instrText xml:space="preserve"> PAGEREF _Toc71360645 \h </w:instrText>
      </w:r>
      <w:r>
        <w:rPr>
          <w:color w:val="auto"/>
          <w:sz w:val="24"/>
        </w:rPr>
        <w:fldChar w:fldCharType="separate"/>
      </w:r>
      <w:r>
        <w:rPr>
          <w:color w:val="auto"/>
          <w:sz w:val="24"/>
        </w:rPr>
        <w:t>31</w:t>
      </w:r>
      <w:r>
        <w:rPr>
          <w:color w:val="auto"/>
          <w:sz w:val="24"/>
        </w:rPr>
        <w:fldChar w:fldCharType="end"/>
      </w:r>
      <w:r>
        <w:rPr>
          <w:color w:val="auto"/>
          <w:sz w:val="24"/>
        </w:rPr>
        <w:fldChar w:fldCharType="end"/>
      </w:r>
    </w:p>
    <w:p>
      <w:pPr>
        <w:pStyle w:val="18"/>
        <w:tabs>
          <w:tab w:val="right" w:leader="dot" w:pos="8834"/>
        </w:tabs>
        <w:spacing w:line="480" w:lineRule="auto"/>
        <w:rPr>
          <w:color w:val="auto"/>
          <w:sz w:val="24"/>
        </w:rPr>
      </w:pPr>
      <w:r>
        <w:rPr>
          <w:color w:val="auto"/>
        </w:rPr>
        <w:fldChar w:fldCharType="begin"/>
      </w:r>
      <w:r>
        <w:rPr>
          <w:color w:val="auto"/>
        </w:rPr>
        <w:instrText xml:space="preserve"> HYPERLINK \l "_Toc71360646" </w:instrText>
      </w:r>
      <w:r>
        <w:rPr>
          <w:color w:val="auto"/>
        </w:rPr>
        <w:fldChar w:fldCharType="separate"/>
      </w:r>
      <w:r>
        <w:rPr>
          <w:rStyle w:val="25"/>
          <w:snapToGrid w:val="0"/>
          <w:color w:val="auto"/>
          <w:sz w:val="24"/>
        </w:rPr>
        <w:t>四、主要环境影响和保护措施</w:t>
      </w:r>
      <w:r>
        <w:rPr>
          <w:color w:val="auto"/>
          <w:sz w:val="24"/>
        </w:rPr>
        <w:tab/>
      </w:r>
      <w:r>
        <w:rPr>
          <w:color w:val="auto"/>
          <w:sz w:val="24"/>
        </w:rPr>
        <w:fldChar w:fldCharType="begin"/>
      </w:r>
      <w:r>
        <w:rPr>
          <w:color w:val="auto"/>
          <w:sz w:val="24"/>
        </w:rPr>
        <w:instrText xml:space="preserve"> PAGEREF _Toc71360646 \h </w:instrText>
      </w:r>
      <w:r>
        <w:rPr>
          <w:color w:val="auto"/>
          <w:sz w:val="24"/>
        </w:rPr>
        <w:fldChar w:fldCharType="separate"/>
      </w:r>
      <w:r>
        <w:rPr>
          <w:color w:val="auto"/>
          <w:sz w:val="24"/>
        </w:rPr>
        <w:t>36</w:t>
      </w:r>
      <w:r>
        <w:rPr>
          <w:color w:val="auto"/>
          <w:sz w:val="24"/>
        </w:rPr>
        <w:fldChar w:fldCharType="end"/>
      </w:r>
      <w:r>
        <w:rPr>
          <w:color w:val="auto"/>
          <w:sz w:val="24"/>
        </w:rPr>
        <w:fldChar w:fldCharType="end"/>
      </w:r>
    </w:p>
    <w:p>
      <w:pPr>
        <w:pStyle w:val="18"/>
        <w:tabs>
          <w:tab w:val="right" w:leader="dot" w:pos="8834"/>
        </w:tabs>
        <w:spacing w:line="480" w:lineRule="auto"/>
        <w:rPr>
          <w:color w:val="auto"/>
          <w:sz w:val="24"/>
        </w:rPr>
      </w:pPr>
      <w:r>
        <w:rPr>
          <w:color w:val="auto"/>
        </w:rPr>
        <w:fldChar w:fldCharType="begin"/>
      </w:r>
      <w:r>
        <w:rPr>
          <w:color w:val="auto"/>
        </w:rPr>
        <w:instrText xml:space="preserve"> HYPERLINK \l "_Toc71360647" </w:instrText>
      </w:r>
      <w:r>
        <w:rPr>
          <w:color w:val="auto"/>
        </w:rPr>
        <w:fldChar w:fldCharType="separate"/>
      </w:r>
      <w:r>
        <w:rPr>
          <w:rStyle w:val="25"/>
          <w:snapToGrid w:val="0"/>
          <w:color w:val="auto"/>
          <w:sz w:val="24"/>
        </w:rPr>
        <w:t>五、环境保护措施监督检查清单</w:t>
      </w:r>
      <w:r>
        <w:rPr>
          <w:color w:val="auto"/>
          <w:sz w:val="24"/>
        </w:rPr>
        <w:tab/>
      </w:r>
      <w:r>
        <w:rPr>
          <w:color w:val="auto"/>
          <w:sz w:val="24"/>
        </w:rPr>
        <w:fldChar w:fldCharType="begin"/>
      </w:r>
      <w:r>
        <w:rPr>
          <w:color w:val="auto"/>
          <w:sz w:val="24"/>
        </w:rPr>
        <w:instrText xml:space="preserve"> PAGEREF _Toc71360647 \h </w:instrText>
      </w:r>
      <w:r>
        <w:rPr>
          <w:color w:val="auto"/>
          <w:sz w:val="24"/>
        </w:rPr>
        <w:fldChar w:fldCharType="separate"/>
      </w:r>
      <w:r>
        <w:rPr>
          <w:color w:val="auto"/>
          <w:sz w:val="24"/>
        </w:rPr>
        <w:t>58</w:t>
      </w:r>
      <w:r>
        <w:rPr>
          <w:color w:val="auto"/>
          <w:sz w:val="24"/>
        </w:rPr>
        <w:fldChar w:fldCharType="end"/>
      </w:r>
      <w:r>
        <w:rPr>
          <w:color w:val="auto"/>
          <w:sz w:val="24"/>
        </w:rPr>
        <w:fldChar w:fldCharType="end"/>
      </w:r>
    </w:p>
    <w:p>
      <w:pPr>
        <w:pStyle w:val="18"/>
        <w:tabs>
          <w:tab w:val="right" w:leader="dot" w:pos="8834"/>
        </w:tabs>
        <w:spacing w:line="480" w:lineRule="auto"/>
        <w:rPr>
          <w:color w:val="auto"/>
          <w:sz w:val="24"/>
        </w:rPr>
      </w:pPr>
      <w:r>
        <w:rPr>
          <w:color w:val="auto"/>
        </w:rPr>
        <w:fldChar w:fldCharType="begin"/>
      </w:r>
      <w:r>
        <w:rPr>
          <w:color w:val="auto"/>
        </w:rPr>
        <w:instrText xml:space="preserve"> HYPERLINK \l "_Toc71360648" </w:instrText>
      </w:r>
      <w:r>
        <w:rPr>
          <w:color w:val="auto"/>
        </w:rPr>
        <w:fldChar w:fldCharType="separate"/>
      </w:r>
      <w:r>
        <w:rPr>
          <w:rStyle w:val="25"/>
          <w:snapToGrid w:val="0"/>
          <w:color w:val="auto"/>
          <w:sz w:val="24"/>
        </w:rPr>
        <w:t>六、结论</w:t>
      </w:r>
      <w:r>
        <w:rPr>
          <w:color w:val="auto"/>
          <w:sz w:val="24"/>
        </w:rPr>
        <w:tab/>
      </w:r>
      <w:r>
        <w:rPr>
          <w:color w:val="auto"/>
          <w:sz w:val="24"/>
        </w:rPr>
        <w:fldChar w:fldCharType="begin"/>
      </w:r>
      <w:r>
        <w:rPr>
          <w:color w:val="auto"/>
          <w:sz w:val="24"/>
        </w:rPr>
        <w:instrText xml:space="preserve"> PAGEREF _Toc71360648 \h </w:instrText>
      </w:r>
      <w:r>
        <w:rPr>
          <w:color w:val="auto"/>
          <w:sz w:val="24"/>
        </w:rPr>
        <w:fldChar w:fldCharType="separate"/>
      </w:r>
      <w:r>
        <w:rPr>
          <w:color w:val="auto"/>
          <w:sz w:val="24"/>
        </w:rPr>
        <w:t>60</w:t>
      </w:r>
      <w:r>
        <w:rPr>
          <w:color w:val="auto"/>
          <w:sz w:val="24"/>
        </w:rPr>
        <w:fldChar w:fldCharType="end"/>
      </w:r>
      <w:r>
        <w:rPr>
          <w:color w:val="auto"/>
          <w:sz w:val="24"/>
        </w:rPr>
        <w:fldChar w:fldCharType="end"/>
      </w:r>
    </w:p>
    <w:p>
      <w:pPr>
        <w:spacing w:line="480" w:lineRule="auto"/>
        <w:rPr>
          <w:color w:val="auto"/>
          <w:sz w:val="24"/>
        </w:rPr>
      </w:pPr>
      <w:r>
        <w:rPr>
          <w:b/>
          <w:bCs/>
          <w:color w:val="auto"/>
          <w:sz w:val="24"/>
          <w:lang w:val="zh-CN"/>
        </w:rPr>
        <w:fldChar w:fldCharType="end"/>
      </w:r>
    </w:p>
    <w:p>
      <w:pPr>
        <w:spacing w:line="360" w:lineRule="auto"/>
        <w:rPr>
          <w:rFonts w:ascii="Times New Roman" w:hAnsi="Times New Roman"/>
          <w:b/>
          <w:bCs/>
          <w:color w:val="auto"/>
          <w:kern w:val="13"/>
          <w:sz w:val="24"/>
          <w:szCs w:val="24"/>
        </w:rPr>
      </w:pPr>
      <w:r>
        <w:rPr>
          <w:rFonts w:ascii="Times New Roman"/>
          <w:b/>
          <w:bCs/>
          <w:color w:val="auto"/>
          <w:kern w:val="13"/>
          <w:sz w:val="24"/>
          <w:szCs w:val="24"/>
        </w:rPr>
        <w:t>附图</w:t>
      </w:r>
    </w:p>
    <w:p>
      <w:pPr>
        <w:pStyle w:val="6"/>
        <w:ind w:firstLine="480"/>
        <w:rPr>
          <w:rFonts w:hint="eastAsia"/>
          <w:color w:val="auto"/>
        </w:rPr>
      </w:pPr>
      <w:r>
        <w:rPr>
          <w:rFonts w:hint="eastAsia"/>
          <w:color w:val="auto"/>
        </w:rPr>
        <w:t>附图1：项目地理位置示意图</w:t>
      </w:r>
    </w:p>
    <w:p>
      <w:pPr>
        <w:pStyle w:val="6"/>
        <w:ind w:firstLine="480"/>
        <w:rPr>
          <w:rFonts w:hint="eastAsia"/>
          <w:color w:val="auto"/>
        </w:rPr>
      </w:pPr>
      <w:r>
        <w:rPr>
          <w:rFonts w:hint="eastAsia"/>
          <w:color w:val="auto"/>
        </w:rPr>
        <w:t>附图2：环境保护目标图</w:t>
      </w:r>
    </w:p>
    <w:p>
      <w:pPr>
        <w:pStyle w:val="6"/>
        <w:ind w:firstLine="480"/>
        <w:rPr>
          <w:rFonts w:hint="eastAsia"/>
          <w:color w:val="auto"/>
        </w:rPr>
      </w:pPr>
      <w:r>
        <w:rPr>
          <w:rFonts w:hint="eastAsia"/>
          <w:color w:val="auto"/>
        </w:rPr>
        <w:t>附图3：</w:t>
      </w:r>
      <w:r>
        <w:rPr>
          <w:rFonts w:hint="eastAsia"/>
          <w:color w:val="auto"/>
          <w:lang w:eastAsia="zh-CN"/>
        </w:rPr>
        <w:t>厂区</w:t>
      </w:r>
      <w:r>
        <w:rPr>
          <w:rFonts w:hint="eastAsia"/>
          <w:color w:val="auto"/>
        </w:rPr>
        <w:t>平面布置图</w:t>
      </w:r>
    </w:p>
    <w:p>
      <w:pPr>
        <w:pStyle w:val="6"/>
        <w:ind w:firstLine="480"/>
        <w:rPr>
          <w:rFonts w:hint="eastAsia" w:ascii="Times New Roman" w:hAnsi="Times New Roman" w:cs="Times New Roman"/>
          <w:color w:val="auto"/>
          <w:lang w:val="en-US" w:eastAsia="zh-CN"/>
        </w:rPr>
      </w:pPr>
      <w:r>
        <w:rPr>
          <w:rFonts w:hint="eastAsia"/>
          <w:color w:val="auto"/>
        </w:rPr>
        <w:t>附图4：</w:t>
      </w:r>
      <w:r>
        <w:rPr>
          <w:rFonts w:hint="eastAsia" w:ascii="Times New Roman" w:hAnsi="Times New Roman" w:cs="Times New Roman"/>
          <w:color w:val="auto"/>
          <w:lang w:val="en-US" w:eastAsia="zh-CN"/>
        </w:rPr>
        <w:t>卫生防护距离包络图</w:t>
      </w:r>
    </w:p>
    <w:p>
      <w:pPr>
        <w:pStyle w:val="6"/>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附图5：生态保护红线图</w:t>
      </w:r>
    </w:p>
    <w:p>
      <w:pPr>
        <w:pStyle w:val="6"/>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附图6：区域水系图</w:t>
      </w:r>
    </w:p>
    <w:p>
      <w:pPr>
        <w:spacing w:line="360" w:lineRule="auto"/>
        <w:rPr>
          <w:rFonts w:ascii="Times New Roman" w:hAnsi="Times New Roman"/>
          <w:b/>
          <w:bCs/>
          <w:color w:val="auto"/>
          <w:kern w:val="13"/>
          <w:sz w:val="24"/>
          <w:szCs w:val="24"/>
        </w:rPr>
      </w:pPr>
      <w:r>
        <w:rPr>
          <w:rFonts w:ascii="Times New Roman"/>
          <w:b/>
          <w:bCs/>
          <w:color w:val="auto"/>
          <w:kern w:val="13"/>
          <w:sz w:val="24"/>
          <w:szCs w:val="24"/>
        </w:rPr>
        <w:t>附件</w:t>
      </w:r>
    </w:p>
    <w:p>
      <w:pPr>
        <w:pStyle w:val="6"/>
        <w:ind w:firstLine="480"/>
        <w:rPr>
          <w:rFonts w:hint="eastAsia"/>
          <w:color w:val="auto"/>
          <w:lang w:eastAsia="zh-CN"/>
        </w:rPr>
      </w:pPr>
      <w:r>
        <w:rPr>
          <w:rFonts w:hint="eastAsia"/>
          <w:color w:val="auto"/>
          <w:lang w:eastAsia="zh-CN"/>
        </w:rPr>
        <w:t>附件</w:t>
      </w:r>
      <w:r>
        <w:rPr>
          <w:rFonts w:hint="eastAsia"/>
          <w:color w:val="auto"/>
          <w:lang w:val="en-US" w:eastAsia="zh-CN"/>
        </w:rPr>
        <w:t>1</w:t>
      </w:r>
      <w:r>
        <w:rPr>
          <w:rFonts w:hint="eastAsia"/>
          <w:color w:val="auto"/>
          <w:lang w:eastAsia="zh-CN"/>
        </w:rPr>
        <w:t>：营业执照</w:t>
      </w:r>
    </w:p>
    <w:p>
      <w:pPr>
        <w:pStyle w:val="6"/>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eastAsia="zh-CN"/>
        </w:rPr>
        <w:t>附件</w:t>
      </w:r>
      <w:r>
        <w:rPr>
          <w:rFonts w:hint="eastAsia" w:ascii="Times New Roman" w:hAnsi="Times New Roman" w:cs="Times New Roman"/>
          <w:color w:val="auto"/>
          <w:lang w:val="en-US" w:eastAsia="zh-CN"/>
        </w:rPr>
        <w:t>2：环评委托书</w:t>
      </w:r>
    </w:p>
    <w:p>
      <w:pPr>
        <w:pStyle w:val="6"/>
        <w:rPr>
          <w:rFonts w:hint="eastAsia"/>
          <w:color w:val="auto"/>
          <w:lang w:eastAsia="zh-CN"/>
        </w:rPr>
      </w:pPr>
      <w:r>
        <w:rPr>
          <w:rFonts w:hint="eastAsia"/>
          <w:color w:val="auto"/>
          <w:lang w:eastAsia="zh-CN"/>
        </w:rPr>
        <w:t>附件3：备案文件</w:t>
      </w:r>
    </w:p>
    <w:p>
      <w:pPr>
        <w:pStyle w:val="6"/>
        <w:ind w:firstLine="480"/>
        <w:rPr>
          <w:rFonts w:hint="eastAsia"/>
          <w:color w:val="auto"/>
          <w:lang w:eastAsia="zh-CN"/>
        </w:rPr>
      </w:pPr>
      <w:r>
        <w:rPr>
          <w:rFonts w:hint="eastAsia"/>
          <w:color w:val="auto"/>
          <w:lang w:eastAsia="zh-CN"/>
        </w:rPr>
        <w:t>附件</w:t>
      </w:r>
      <w:r>
        <w:rPr>
          <w:rFonts w:hint="eastAsia"/>
          <w:color w:val="auto"/>
          <w:lang w:val="en-US" w:eastAsia="zh-CN"/>
        </w:rPr>
        <w:t>4</w:t>
      </w:r>
      <w:r>
        <w:rPr>
          <w:rFonts w:hint="eastAsia"/>
          <w:color w:val="auto"/>
          <w:lang w:eastAsia="zh-CN"/>
        </w:rPr>
        <w:t>：土地租赁协议</w:t>
      </w:r>
    </w:p>
    <w:p>
      <w:pPr>
        <w:pStyle w:val="6"/>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eastAsia="zh-CN"/>
        </w:rPr>
        <w:t>附件</w:t>
      </w:r>
      <w:r>
        <w:rPr>
          <w:rFonts w:hint="eastAsia" w:ascii="Times New Roman" w:hAnsi="Times New Roman" w:cs="Times New Roman"/>
          <w:color w:val="auto"/>
          <w:lang w:val="en-US" w:eastAsia="zh-CN"/>
        </w:rPr>
        <w:t>5</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选址意见函</w:t>
      </w:r>
    </w:p>
    <w:p>
      <w:pPr>
        <w:pStyle w:val="6"/>
        <w:ind w:firstLine="480"/>
        <w:rPr>
          <w:rFonts w:hint="eastAsia"/>
          <w:color w:val="auto"/>
          <w:lang w:eastAsia="zh-CN"/>
        </w:rPr>
      </w:pPr>
      <w:r>
        <w:rPr>
          <w:rFonts w:hint="eastAsia"/>
          <w:color w:val="auto"/>
          <w:lang w:eastAsia="zh-CN"/>
        </w:rPr>
        <w:t>附件6：检测报告</w:t>
      </w:r>
    </w:p>
    <w:p>
      <w:pPr>
        <w:pStyle w:val="6"/>
        <w:ind w:firstLine="480"/>
        <w:rPr>
          <w:rFonts w:hint="eastAsia"/>
          <w:color w:val="auto"/>
          <w:lang w:val="en-US" w:eastAsia="zh-CN"/>
        </w:rPr>
      </w:pPr>
      <w:r>
        <w:rPr>
          <w:rFonts w:hint="eastAsia"/>
          <w:color w:val="auto"/>
          <w:lang w:eastAsia="zh-CN"/>
        </w:rPr>
        <w:t>附件</w:t>
      </w:r>
      <w:r>
        <w:rPr>
          <w:rFonts w:hint="eastAsia"/>
          <w:color w:val="auto"/>
          <w:lang w:val="en-US" w:eastAsia="zh-CN"/>
        </w:rPr>
        <w:t>7：专家意见</w:t>
      </w:r>
    </w:p>
    <w:p>
      <w:pPr>
        <w:pStyle w:val="6"/>
        <w:ind w:firstLine="480"/>
        <w:rPr>
          <w:rFonts w:hint="eastAsia"/>
          <w:color w:val="auto"/>
          <w:lang w:val="en-US" w:eastAsia="zh-CN"/>
        </w:rPr>
        <w:sectPr>
          <w:footerReference r:id="rId12"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color w:val="auto"/>
          <w:lang w:val="en-US" w:eastAsia="zh-CN"/>
        </w:rPr>
        <w:t>附件8：专家签到表</w:t>
      </w:r>
    </w:p>
    <w:p>
      <w:pPr>
        <w:pStyle w:val="6"/>
        <w:ind w:firstLine="480"/>
        <w:rPr>
          <w:rFonts w:hint="eastAsia"/>
          <w:color w:val="auto"/>
          <w:lang w:val="en-US" w:eastAsia="zh-CN"/>
        </w:rPr>
      </w:pPr>
    </w:p>
    <w:p>
      <w:pPr>
        <w:pStyle w:val="19"/>
        <w:jc w:val="center"/>
        <w:outlineLvl w:val="0"/>
        <w:rPr>
          <w:rFonts w:ascii="Times New Roman" w:hAnsi="Times New Roman" w:eastAsia="黑体"/>
          <w:snapToGrid w:val="0"/>
          <w:color w:val="auto"/>
          <w:sz w:val="30"/>
          <w:szCs w:val="30"/>
        </w:rPr>
      </w:pPr>
      <w:bookmarkStart w:id="2" w:name="_Toc71360643"/>
      <w:r>
        <w:rPr>
          <w:rFonts w:ascii="Times New Roman" w:hAnsi="Times New Roman" w:eastAsia="黑体"/>
          <w:snapToGrid w:val="0"/>
          <w:color w:val="auto"/>
          <w:sz w:val="30"/>
          <w:szCs w:val="30"/>
        </w:rPr>
        <w:t>一、建设项目基本情况</w:t>
      </w:r>
      <w:bookmarkEnd w:id="2"/>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723"/>
        <w:gridCol w:w="2040"/>
        <w:gridCol w:w="27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auto"/>
                <w:szCs w:val="21"/>
              </w:rPr>
            </w:pPr>
            <w:r>
              <w:rPr>
                <w:color w:val="auto"/>
                <w:szCs w:val="21"/>
              </w:rPr>
              <w:t>建设项目名称</w:t>
            </w:r>
          </w:p>
        </w:tc>
        <w:tc>
          <w:tcPr>
            <w:tcW w:w="6488" w:type="dxa"/>
            <w:gridSpan w:val="3"/>
            <w:vAlign w:val="center"/>
          </w:tcPr>
          <w:p>
            <w:pPr>
              <w:adjustRightInd w:val="0"/>
              <w:snapToGrid w:val="0"/>
              <w:jc w:val="center"/>
              <w:rPr>
                <w:color w:val="auto"/>
                <w:szCs w:val="21"/>
              </w:rPr>
            </w:pPr>
            <w:r>
              <w:rPr>
                <w:rFonts w:hint="eastAsia"/>
                <w:color w:val="auto"/>
                <w:szCs w:val="21"/>
                <w:lang w:eastAsia="zh-CN"/>
              </w:rPr>
              <w:t>衡阳众鑫再生报废汽车回收拆解有限责任公司废旧收集和综合利用建设项目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auto"/>
                <w:szCs w:val="21"/>
              </w:rPr>
            </w:pPr>
            <w:r>
              <w:rPr>
                <w:color w:val="auto"/>
                <w:szCs w:val="21"/>
              </w:rPr>
              <w:t>项目代码</w:t>
            </w:r>
          </w:p>
        </w:tc>
        <w:tc>
          <w:tcPr>
            <w:tcW w:w="6488" w:type="dxa"/>
            <w:gridSpan w:val="3"/>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2106-430421-04-01-988694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auto"/>
                <w:szCs w:val="21"/>
              </w:rPr>
            </w:pPr>
            <w:r>
              <w:rPr>
                <w:color w:val="auto"/>
                <w:szCs w:val="21"/>
              </w:rPr>
              <w:t>建设单位联系人</w:t>
            </w:r>
          </w:p>
        </w:tc>
        <w:tc>
          <w:tcPr>
            <w:tcW w:w="1723" w:type="dxa"/>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毛永明</w:t>
            </w:r>
          </w:p>
        </w:tc>
        <w:tc>
          <w:tcPr>
            <w:tcW w:w="2040" w:type="dxa"/>
            <w:vAlign w:val="center"/>
          </w:tcPr>
          <w:p>
            <w:pPr>
              <w:adjustRightInd w:val="0"/>
              <w:snapToGrid w:val="0"/>
              <w:jc w:val="center"/>
              <w:rPr>
                <w:color w:val="auto"/>
                <w:szCs w:val="21"/>
              </w:rPr>
            </w:pPr>
            <w:r>
              <w:rPr>
                <w:color w:val="auto"/>
                <w:szCs w:val="21"/>
              </w:rPr>
              <w:t>联系方式</w:t>
            </w:r>
          </w:p>
        </w:tc>
        <w:tc>
          <w:tcPr>
            <w:tcW w:w="2725"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13317347393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auto"/>
                <w:szCs w:val="21"/>
              </w:rPr>
            </w:pPr>
            <w:r>
              <w:rPr>
                <w:color w:val="auto"/>
                <w:szCs w:val="21"/>
              </w:rPr>
              <w:t>建设地点</w:t>
            </w:r>
          </w:p>
        </w:tc>
        <w:tc>
          <w:tcPr>
            <w:tcW w:w="6488" w:type="dxa"/>
            <w:gridSpan w:val="3"/>
            <w:vAlign w:val="center"/>
          </w:tcPr>
          <w:p>
            <w:pPr>
              <w:adjustRightInd w:val="0"/>
              <w:snapToGrid w:val="0"/>
              <w:jc w:val="center"/>
              <w:rPr>
                <w:color w:val="auto"/>
                <w:szCs w:val="21"/>
              </w:rPr>
            </w:pPr>
            <w:r>
              <w:rPr>
                <w:color w:val="auto"/>
                <w:szCs w:val="21"/>
                <w:u w:val="none"/>
              </w:rPr>
              <w:t>湖南省 衡阳市</w:t>
            </w:r>
            <w:r>
              <w:rPr>
                <w:rFonts w:hint="eastAsia"/>
                <w:color w:val="auto"/>
                <w:szCs w:val="21"/>
                <w:u w:val="none"/>
                <w:lang w:val="en-US" w:eastAsia="zh-CN"/>
              </w:rPr>
              <w:t xml:space="preserve"> </w:t>
            </w:r>
            <w:r>
              <w:rPr>
                <w:color w:val="auto"/>
                <w:szCs w:val="21"/>
                <w:u w:val="none"/>
              </w:rPr>
              <w:t>衡阳县</w:t>
            </w:r>
            <w:r>
              <w:rPr>
                <w:rFonts w:hint="eastAsia"/>
                <w:color w:val="auto"/>
                <w:szCs w:val="21"/>
                <w:u w:val="none"/>
                <w:lang w:val="en-US" w:eastAsia="zh-CN"/>
              </w:rPr>
              <w:t xml:space="preserve"> </w:t>
            </w:r>
            <w:r>
              <w:rPr>
                <w:rFonts w:hint="eastAsia"/>
                <w:color w:val="auto"/>
                <w:szCs w:val="21"/>
                <w:u w:val="none"/>
                <w:lang w:eastAsia="zh-CN"/>
              </w:rPr>
              <w:t>西渡镇</w:t>
            </w:r>
            <w:r>
              <w:rPr>
                <w:rFonts w:hint="eastAsia"/>
                <w:color w:val="auto"/>
                <w:szCs w:val="21"/>
                <w:u w:val="none"/>
                <w:lang w:val="en-US" w:eastAsia="zh-CN"/>
              </w:rPr>
              <w:t xml:space="preserve"> </w:t>
            </w:r>
            <w:r>
              <w:rPr>
                <w:rFonts w:hint="eastAsia"/>
                <w:color w:val="auto"/>
                <w:szCs w:val="21"/>
                <w:u w:val="none"/>
                <w:lang w:eastAsia="zh-CN"/>
              </w:rPr>
              <w:t>咸中亭村</w:t>
            </w:r>
            <w:r>
              <w:rPr>
                <w:rFonts w:hint="eastAsia"/>
                <w:color w:val="auto"/>
                <w:szCs w:val="21"/>
                <w:u w:val="none"/>
                <w:lang w:val="en-US" w:eastAsia="zh-CN"/>
              </w:rPr>
              <w:t xml:space="preserve"> </w:t>
            </w:r>
            <w:r>
              <w:rPr>
                <w:rFonts w:hint="eastAsia"/>
                <w:color w:val="auto"/>
                <w:szCs w:val="21"/>
                <w:u w:val="none"/>
                <w:lang w:eastAsia="zh-CN"/>
              </w:rPr>
              <w:t>佳培小组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auto"/>
                <w:szCs w:val="21"/>
              </w:rPr>
            </w:pPr>
            <w:r>
              <w:rPr>
                <w:color w:val="auto"/>
                <w:szCs w:val="21"/>
              </w:rPr>
              <w:t>地理坐标</w:t>
            </w:r>
          </w:p>
        </w:tc>
        <w:tc>
          <w:tcPr>
            <w:tcW w:w="6488" w:type="dxa"/>
            <w:gridSpan w:val="3"/>
            <w:vAlign w:val="center"/>
          </w:tcPr>
          <w:p>
            <w:pPr>
              <w:jc w:val="center"/>
              <w:rPr>
                <w:color w:val="auto"/>
                <w:szCs w:val="21"/>
              </w:rPr>
            </w:pPr>
            <w:r>
              <w:rPr>
                <w:color w:val="auto"/>
                <w:szCs w:val="21"/>
              </w:rPr>
              <w:t>（</w:t>
            </w:r>
            <w:r>
              <w:rPr>
                <w:color w:val="auto"/>
                <w:szCs w:val="21"/>
                <w:u w:val="single"/>
              </w:rPr>
              <w:t>112</w:t>
            </w:r>
            <w:r>
              <w:rPr>
                <w:color w:val="auto"/>
                <w:szCs w:val="21"/>
              </w:rPr>
              <w:t>度</w:t>
            </w:r>
            <w:r>
              <w:rPr>
                <w:rFonts w:hint="eastAsia"/>
                <w:color w:val="auto"/>
                <w:szCs w:val="21"/>
                <w:u w:val="single"/>
                <w:lang w:val="en-US" w:eastAsia="zh-CN"/>
              </w:rPr>
              <w:t>20</w:t>
            </w:r>
            <w:r>
              <w:rPr>
                <w:color w:val="auto"/>
                <w:szCs w:val="21"/>
              </w:rPr>
              <w:t>分</w:t>
            </w:r>
            <w:r>
              <w:rPr>
                <w:rFonts w:hint="eastAsia"/>
                <w:color w:val="auto"/>
                <w:szCs w:val="21"/>
                <w:u w:val="single"/>
                <w:lang w:val="en-US" w:eastAsia="zh-CN"/>
              </w:rPr>
              <w:t>19.</w:t>
            </w:r>
            <w:r>
              <w:rPr>
                <w:rFonts w:hint="default"/>
                <w:color w:val="auto"/>
                <w:szCs w:val="21"/>
                <w:u w:val="single"/>
                <w:lang w:val="en-US" w:eastAsia="zh-CN"/>
              </w:rPr>
              <w:t>606</w:t>
            </w:r>
            <w:r>
              <w:rPr>
                <w:color w:val="auto"/>
                <w:szCs w:val="21"/>
              </w:rPr>
              <w:t>秒，</w:t>
            </w:r>
            <w:r>
              <w:rPr>
                <w:color w:val="auto"/>
                <w:szCs w:val="21"/>
                <w:u w:val="single"/>
              </w:rPr>
              <w:t>2</w:t>
            </w:r>
            <w:r>
              <w:rPr>
                <w:rFonts w:hint="eastAsia"/>
                <w:color w:val="auto"/>
                <w:szCs w:val="21"/>
                <w:u w:val="single"/>
                <w:lang w:val="en-US" w:eastAsia="zh-CN"/>
              </w:rPr>
              <w:t>6</w:t>
            </w:r>
            <w:r>
              <w:rPr>
                <w:color w:val="auto"/>
                <w:szCs w:val="21"/>
              </w:rPr>
              <w:t>度</w:t>
            </w:r>
            <w:r>
              <w:rPr>
                <w:rFonts w:hint="eastAsia"/>
                <w:color w:val="auto"/>
                <w:szCs w:val="21"/>
                <w:u w:val="single"/>
                <w:lang w:val="en-US" w:eastAsia="zh-CN"/>
              </w:rPr>
              <w:t>59</w:t>
            </w:r>
            <w:r>
              <w:rPr>
                <w:color w:val="auto"/>
                <w:szCs w:val="21"/>
              </w:rPr>
              <w:t>分</w:t>
            </w:r>
            <w:r>
              <w:rPr>
                <w:rFonts w:hint="eastAsia"/>
                <w:color w:val="auto"/>
                <w:szCs w:val="21"/>
                <w:u w:val="single"/>
                <w:lang w:val="en-US" w:eastAsia="zh-CN"/>
              </w:rPr>
              <w:t>42.</w:t>
            </w:r>
            <w:r>
              <w:rPr>
                <w:rFonts w:hint="default"/>
                <w:color w:val="auto"/>
                <w:szCs w:val="21"/>
                <w:u w:val="single"/>
                <w:lang w:val="en-US" w:eastAsia="zh-CN"/>
              </w:rPr>
              <w:t>661</w:t>
            </w:r>
            <w:r>
              <w:rPr>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pPr>
              <w:adjustRightInd w:val="0"/>
              <w:snapToGrid w:val="0"/>
              <w:jc w:val="center"/>
              <w:rPr>
                <w:color w:val="auto"/>
                <w:szCs w:val="21"/>
              </w:rPr>
            </w:pPr>
            <w:r>
              <w:rPr>
                <w:color w:val="auto"/>
                <w:szCs w:val="21"/>
              </w:rPr>
              <w:t>国民经济</w:t>
            </w:r>
          </w:p>
          <w:p>
            <w:pPr>
              <w:adjustRightInd w:val="0"/>
              <w:snapToGrid w:val="0"/>
              <w:jc w:val="center"/>
              <w:rPr>
                <w:color w:val="auto"/>
                <w:szCs w:val="21"/>
              </w:rPr>
            </w:pPr>
            <w:r>
              <w:rPr>
                <w:color w:val="auto"/>
                <w:szCs w:val="21"/>
              </w:rPr>
              <w:t>行业类别</w:t>
            </w:r>
          </w:p>
        </w:tc>
        <w:tc>
          <w:tcPr>
            <w:tcW w:w="1723" w:type="dxa"/>
            <w:vAlign w:val="center"/>
          </w:tcPr>
          <w:p>
            <w:pPr>
              <w:adjustRightInd w:val="0"/>
              <w:snapToGrid w:val="0"/>
              <w:jc w:val="center"/>
              <w:rPr>
                <w:rFonts w:hint="default"/>
                <w:color w:val="auto"/>
                <w:szCs w:val="21"/>
                <w:lang w:val="en-US"/>
              </w:rPr>
            </w:pPr>
            <w:r>
              <w:rPr>
                <w:rFonts w:hint="eastAsia" w:ascii="Times New Roman" w:hAnsi="Times New Roman" w:cs="Times New Roman"/>
                <w:color w:val="auto"/>
                <w:szCs w:val="21"/>
              </w:rPr>
              <w:t>C</w:t>
            </w:r>
            <w:r>
              <w:rPr>
                <w:rFonts w:hint="eastAsia" w:cs="Times New Roman"/>
                <w:color w:val="auto"/>
                <w:szCs w:val="21"/>
                <w:lang w:val="en-US" w:eastAsia="zh-CN"/>
              </w:rPr>
              <w:t>4210</w:t>
            </w:r>
            <w:r>
              <w:rPr>
                <w:rFonts w:hint="eastAsia"/>
                <w:color w:val="auto"/>
                <w:szCs w:val="21"/>
                <w:lang w:val="en-US" w:eastAsia="zh-CN"/>
              </w:rPr>
              <w:t>金属废料和碎屑加工处理；</w:t>
            </w:r>
            <w:r>
              <w:rPr>
                <w:rFonts w:hint="eastAsia" w:ascii="Times New Roman" w:hAnsi="Times New Roman" w:cs="Times New Roman"/>
                <w:color w:val="auto"/>
                <w:szCs w:val="21"/>
              </w:rPr>
              <w:t>C</w:t>
            </w:r>
            <w:r>
              <w:rPr>
                <w:rFonts w:hint="eastAsia" w:cs="Times New Roman"/>
                <w:color w:val="auto"/>
                <w:szCs w:val="21"/>
                <w:lang w:val="en-US" w:eastAsia="zh-CN"/>
              </w:rPr>
              <w:t>4220</w:t>
            </w:r>
            <w:r>
              <w:rPr>
                <w:rFonts w:hint="eastAsia"/>
                <w:color w:val="auto"/>
                <w:szCs w:val="21"/>
                <w:lang w:val="en-US" w:eastAsia="zh-CN"/>
              </w:rPr>
              <w:t>非金属废料和碎屑加工处理</w:t>
            </w:r>
          </w:p>
        </w:tc>
        <w:tc>
          <w:tcPr>
            <w:tcW w:w="2040" w:type="dxa"/>
            <w:vAlign w:val="center"/>
          </w:tcPr>
          <w:p>
            <w:pPr>
              <w:adjustRightInd w:val="0"/>
              <w:snapToGrid w:val="0"/>
              <w:jc w:val="center"/>
              <w:rPr>
                <w:color w:val="auto"/>
                <w:szCs w:val="21"/>
              </w:rPr>
            </w:pPr>
            <w:bookmarkStart w:id="3" w:name="_Hlk49843745"/>
            <w:r>
              <w:rPr>
                <w:color w:val="auto"/>
                <w:szCs w:val="21"/>
              </w:rPr>
              <w:t>建设项目</w:t>
            </w:r>
          </w:p>
          <w:p>
            <w:pPr>
              <w:adjustRightInd w:val="0"/>
              <w:snapToGrid w:val="0"/>
              <w:jc w:val="center"/>
              <w:rPr>
                <w:color w:val="auto"/>
                <w:szCs w:val="21"/>
              </w:rPr>
            </w:pPr>
            <w:r>
              <w:rPr>
                <w:color w:val="auto"/>
                <w:szCs w:val="21"/>
              </w:rPr>
              <w:t>行业类别</w:t>
            </w:r>
            <w:bookmarkEnd w:id="3"/>
          </w:p>
        </w:tc>
        <w:tc>
          <w:tcPr>
            <w:tcW w:w="2725" w:type="dxa"/>
            <w:vAlign w:val="center"/>
          </w:tcPr>
          <w:p>
            <w:pPr>
              <w:keepNext w:val="0"/>
              <w:keepLines w:val="0"/>
              <w:pageBreakBefore w:val="0"/>
              <w:widowControl w:val="0"/>
              <w:kinsoku/>
              <w:wordWrap/>
              <w:overflowPunct/>
              <w:topLinePunct w:val="0"/>
              <w:autoSpaceDE/>
              <w:autoSpaceDN/>
              <w:bidi w:val="0"/>
              <w:adjustRightInd w:val="0"/>
              <w:snapToGrid w:val="0"/>
              <w:ind w:left="105" w:leftChars="50"/>
              <w:textAlignment w:val="auto"/>
              <w:rPr>
                <w:rFonts w:hint="default" w:eastAsia="宋体"/>
                <w:color w:val="auto"/>
                <w:szCs w:val="21"/>
                <w:lang w:val="en-US" w:eastAsia="zh-CN"/>
              </w:rPr>
            </w:pPr>
            <w:r>
              <w:rPr>
                <w:rFonts w:hint="eastAsia"/>
                <w:color w:val="auto"/>
                <w:szCs w:val="21"/>
                <w:lang w:eastAsia="zh-CN"/>
              </w:rPr>
              <w:t>三十九、废弃资源综合利用业</w:t>
            </w:r>
            <w:r>
              <w:rPr>
                <w:rFonts w:hint="eastAsia"/>
                <w:color w:val="auto"/>
                <w:szCs w:val="21"/>
                <w:lang w:val="en-US" w:eastAsia="zh-CN"/>
              </w:rPr>
              <w:t>42；85.金属废料和碎屑加工处理421；非金属废料和碎屑加工处理422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pPr>
              <w:adjustRightInd w:val="0"/>
              <w:snapToGrid w:val="0"/>
              <w:jc w:val="center"/>
              <w:rPr>
                <w:color w:val="auto"/>
                <w:szCs w:val="21"/>
              </w:rPr>
            </w:pPr>
            <w:r>
              <w:rPr>
                <w:color w:val="auto"/>
                <w:szCs w:val="21"/>
              </w:rPr>
              <w:t>建设性质</w:t>
            </w:r>
          </w:p>
        </w:tc>
        <w:tc>
          <w:tcPr>
            <w:tcW w:w="1723" w:type="dxa"/>
            <w:vAlign w:val="center"/>
          </w:tcPr>
          <w:p>
            <w:pPr>
              <w:jc w:val="left"/>
              <w:rPr>
                <w:color w:val="auto"/>
                <w:szCs w:val="21"/>
              </w:rPr>
            </w:pPr>
            <w:r>
              <w:rPr>
                <w:color w:val="auto"/>
                <w:szCs w:val="21"/>
              </w:rPr>
              <w:sym w:font="Wingdings" w:char="00FE"/>
            </w:r>
            <w:r>
              <w:rPr>
                <w:color w:val="auto"/>
                <w:szCs w:val="21"/>
              </w:rPr>
              <w:t>新建（迁建）</w:t>
            </w:r>
          </w:p>
          <w:p>
            <w:pPr>
              <w:jc w:val="left"/>
              <w:rPr>
                <w:color w:val="auto"/>
                <w:szCs w:val="21"/>
              </w:rPr>
            </w:pPr>
            <w:r>
              <w:rPr>
                <w:color w:val="auto"/>
                <w:szCs w:val="21"/>
              </w:rPr>
              <w:sym w:font="Wingdings" w:char="00A8"/>
            </w:r>
            <w:r>
              <w:rPr>
                <w:color w:val="auto"/>
                <w:szCs w:val="21"/>
              </w:rPr>
              <w:t>改建</w:t>
            </w:r>
          </w:p>
          <w:p>
            <w:pPr>
              <w:jc w:val="left"/>
              <w:rPr>
                <w:color w:val="auto"/>
                <w:szCs w:val="21"/>
              </w:rPr>
            </w:pPr>
            <w:r>
              <w:rPr>
                <w:color w:val="auto"/>
                <w:szCs w:val="21"/>
              </w:rPr>
              <w:sym w:font="Wingdings" w:char="00A8"/>
            </w:r>
            <w:r>
              <w:rPr>
                <w:color w:val="auto"/>
                <w:szCs w:val="21"/>
              </w:rPr>
              <w:t>扩建</w:t>
            </w:r>
          </w:p>
          <w:p>
            <w:pPr>
              <w:jc w:val="left"/>
              <w:rPr>
                <w:color w:val="auto"/>
                <w:szCs w:val="21"/>
              </w:rPr>
            </w:pPr>
            <w:r>
              <w:rPr>
                <w:color w:val="auto"/>
                <w:szCs w:val="21"/>
              </w:rPr>
              <w:sym w:font="Wingdings" w:char="00A8"/>
            </w:r>
            <w:r>
              <w:rPr>
                <w:color w:val="auto"/>
                <w:szCs w:val="21"/>
              </w:rPr>
              <w:t>技术改造</w:t>
            </w:r>
          </w:p>
        </w:tc>
        <w:tc>
          <w:tcPr>
            <w:tcW w:w="2040" w:type="dxa"/>
            <w:vAlign w:val="center"/>
          </w:tcPr>
          <w:p>
            <w:pPr>
              <w:adjustRightInd w:val="0"/>
              <w:snapToGrid w:val="0"/>
              <w:jc w:val="center"/>
              <w:rPr>
                <w:color w:val="auto"/>
                <w:szCs w:val="21"/>
              </w:rPr>
            </w:pPr>
            <w:r>
              <w:rPr>
                <w:color w:val="auto"/>
                <w:szCs w:val="21"/>
              </w:rPr>
              <w:t>建设项目</w:t>
            </w:r>
          </w:p>
          <w:p>
            <w:pPr>
              <w:adjustRightInd w:val="0"/>
              <w:snapToGrid w:val="0"/>
              <w:jc w:val="center"/>
              <w:rPr>
                <w:color w:val="auto"/>
                <w:szCs w:val="21"/>
              </w:rPr>
            </w:pPr>
            <w:r>
              <w:rPr>
                <w:color w:val="auto"/>
                <w:szCs w:val="21"/>
              </w:rPr>
              <w:t>申报情形</w:t>
            </w:r>
          </w:p>
        </w:tc>
        <w:tc>
          <w:tcPr>
            <w:tcW w:w="2725" w:type="dxa"/>
            <w:vAlign w:val="center"/>
          </w:tcPr>
          <w:p>
            <w:pPr>
              <w:jc w:val="left"/>
              <w:rPr>
                <w:color w:val="auto"/>
                <w:szCs w:val="21"/>
              </w:rPr>
            </w:pPr>
            <w:r>
              <w:rPr>
                <w:color w:val="auto"/>
                <w:szCs w:val="21"/>
              </w:rPr>
              <w:sym w:font="Wingdings" w:char="00FE"/>
            </w:r>
            <w:r>
              <w:rPr>
                <w:color w:val="auto"/>
                <w:szCs w:val="21"/>
              </w:rPr>
              <w:t xml:space="preserve">首次申报项目             </w:t>
            </w:r>
          </w:p>
          <w:p>
            <w:pPr>
              <w:jc w:val="left"/>
              <w:rPr>
                <w:color w:val="auto"/>
                <w:szCs w:val="21"/>
              </w:rPr>
            </w:pPr>
            <w:r>
              <w:rPr>
                <w:color w:val="auto"/>
                <w:szCs w:val="21"/>
              </w:rPr>
              <w:sym w:font="Wingdings" w:char="00A8"/>
            </w:r>
            <w:r>
              <w:rPr>
                <w:color w:val="auto"/>
                <w:szCs w:val="21"/>
              </w:rPr>
              <w:t>不予批准后再次申报项目</w:t>
            </w:r>
          </w:p>
          <w:p>
            <w:pPr>
              <w:jc w:val="left"/>
              <w:rPr>
                <w:color w:val="auto"/>
                <w:szCs w:val="21"/>
              </w:rPr>
            </w:pPr>
            <w:r>
              <w:rPr>
                <w:color w:val="auto"/>
                <w:szCs w:val="21"/>
              </w:rPr>
              <w:sym w:font="Wingdings" w:char="00A8"/>
            </w:r>
            <w:r>
              <w:rPr>
                <w:color w:val="auto"/>
                <w:szCs w:val="21"/>
              </w:rPr>
              <w:t xml:space="preserve">超五年重新审核项目     </w:t>
            </w:r>
          </w:p>
          <w:p>
            <w:pPr>
              <w:jc w:val="left"/>
              <w:rPr>
                <w:color w:val="auto"/>
                <w:szCs w:val="21"/>
              </w:rPr>
            </w:pPr>
            <w:r>
              <w:rPr>
                <w:color w:val="auto"/>
                <w:szCs w:val="21"/>
              </w:rPr>
              <w:sym w:font="Wingdings" w:char="00A8"/>
            </w:r>
            <w:r>
              <w:rPr>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pPr>
              <w:adjustRightInd w:val="0"/>
              <w:snapToGrid w:val="0"/>
              <w:jc w:val="center"/>
              <w:rPr>
                <w:color w:val="auto"/>
                <w:szCs w:val="21"/>
              </w:rPr>
            </w:pPr>
            <w:r>
              <w:rPr>
                <w:color w:val="auto"/>
                <w:szCs w:val="21"/>
              </w:rPr>
              <w:t>项目审批（核准/</w:t>
            </w:r>
          </w:p>
          <w:p>
            <w:pPr>
              <w:adjustRightInd w:val="0"/>
              <w:snapToGrid w:val="0"/>
              <w:jc w:val="center"/>
              <w:rPr>
                <w:color w:val="auto"/>
                <w:szCs w:val="21"/>
              </w:rPr>
            </w:pPr>
            <w:r>
              <w:rPr>
                <w:color w:val="auto"/>
                <w:szCs w:val="21"/>
              </w:rPr>
              <w:t>备案）部门（选填）</w:t>
            </w:r>
          </w:p>
        </w:tc>
        <w:tc>
          <w:tcPr>
            <w:tcW w:w="1723" w:type="dxa"/>
            <w:vAlign w:val="center"/>
          </w:tcPr>
          <w:p>
            <w:pPr>
              <w:adjustRightInd w:val="0"/>
              <w:snapToGrid w:val="0"/>
              <w:jc w:val="center"/>
              <w:rPr>
                <w:rFonts w:hint="eastAsia"/>
                <w:color w:val="auto"/>
                <w:szCs w:val="21"/>
                <w:lang w:val="en-US" w:eastAsia="zh-CN"/>
              </w:rPr>
            </w:pPr>
            <w:r>
              <w:rPr>
                <w:rFonts w:hint="eastAsia"/>
                <w:color w:val="auto"/>
                <w:szCs w:val="21"/>
                <w:lang w:val="en-US" w:eastAsia="zh-CN"/>
              </w:rPr>
              <w:t>衡阳县发展</w:t>
            </w:r>
          </w:p>
          <w:p>
            <w:pPr>
              <w:adjustRightInd w:val="0"/>
              <w:snapToGrid w:val="0"/>
              <w:jc w:val="center"/>
              <w:rPr>
                <w:rFonts w:hint="default" w:eastAsia="宋体"/>
                <w:color w:val="auto"/>
                <w:szCs w:val="21"/>
                <w:lang w:val="en-US" w:eastAsia="zh-CN"/>
              </w:rPr>
            </w:pPr>
            <w:r>
              <w:rPr>
                <w:rFonts w:hint="eastAsia"/>
                <w:color w:val="auto"/>
                <w:szCs w:val="21"/>
                <w:lang w:val="en-US" w:eastAsia="zh-CN"/>
              </w:rPr>
              <w:t>和改革局</w:t>
            </w:r>
          </w:p>
        </w:tc>
        <w:tc>
          <w:tcPr>
            <w:tcW w:w="2040" w:type="dxa"/>
            <w:vAlign w:val="center"/>
          </w:tcPr>
          <w:p>
            <w:pPr>
              <w:adjustRightInd w:val="0"/>
              <w:snapToGrid w:val="0"/>
              <w:jc w:val="center"/>
              <w:rPr>
                <w:color w:val="auto"/>
                <w:szCs w:val="21"/>
              </w:rPr>
            </w:pPr>
            <w:r>
              <w:rPr>
                <w:color w:val="auto"/>
                <w:szCs w:val="21"/>
              </w:rPr>
              <w:t>项目审批（核准/</w:t>
            </w:r>
          </w:p>
          <w:p>
            <w:pPr>
              <w:adjustRightInd w:val="0"/>
              <w:snapToGrid w:val="0"/>
              <w:jc w:val="center"/>
              <w:rPr>
                <w:color w:val="auto"/>
                <w:szCs w:val="21"/>
              </w:rPr>
            </w:pPr>
            <w:r>
              <w:rPr>
                <w:color w:val="auto"/>
                <w:szCs w:val="21"/>
              </w:rPr>
              <w:t>备案）文号（选填）</w:t>
            </w:r>
          </w:p>
        </w:tc>
        <w:tc>
          <w:tcPr>
            <w:tcW w:w="2725" w:type="dxa"/>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auto"/>
                <w:szCs w:val="21"/>
              </w:rPr>
            </w:pPr>
            <w:r>
              <w:rPr>
                <w:color w:val="auto"/>
                <w:szCs w:val="21"/>
              </w:rPr>
              <w:t>总投资（万元）</w:t>
            </w:r>
          </w:p>
        </w:tc>
        <w:tc>
          <w:tcPr>
            <w:tcW w:w="1723"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2000</w:t>
            </w:r>
          </w:p>
        </w:tc>
        <w:tc>
          <w:tcPr>
            <w:tcW w:w="2040" w:type="dxa"/>
            <w:tcMar>
              <w:top w:w="16" w:type="dxa"/>
              <w:left w:w="16" w:type="dxa"/>
              <w:right w:w="16" w:type="dxa"/>
            </w:tcMar>
            <w:vAlign w:val="center"/>
          </w:tcPr>
          <w:p>
            <w:pPr>
              <w:adjustRightInd w:val="0"/>
              <w:snapToGrid w:val="0"/>
              <w:jc w:val="center"/>
              <w:rPr>
                <w:color w:val="auto"/>
                <w:szCs w:val="21"/>
              </w:rPr>
            </w:pPr>
            <w:r>
              <w:rPr>
                <w:color w:val="auto"/>
                <w:szCs w:val="21"/>
              </w:rPr>
              <w:t>环保投资（万元）</w:t>
            </w:r>
          </w:p>
        </w:tc>
        <w:tc>
          <w:tcPr>
            <w:tcW w:w="2725" w:type="dxa"/>
            <w:vAlign w:val="center"/>
          </w:tcPr>
          <w:p>
            <w:pPr>
              <w:adjustRightInd w:val="0"/>
              <w:snapToGrid w:val="0"/>
              <w:jc w:val="center"/>
              <w:rPr>
                <w:rFonts w:hint="default"/>
                <w:color w:val="auto"/>
                <w:szCs w:val="21"/>
                <w:lang w:val="en-US"/>
              </w:rPr>
            </w:pPr>
            <w:r>
              <w:rPr>
                <w:rFonts w:hint="default"/>
                <w:color w:val="auto"/>
                <w:szCs w:val="21"/>
                <w:lang w:val="en-US"/>
              </w:rPr>
              <w:t>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auto"/>
                <w:szCs w:val="21"/>
              </w:rPr>
            </w:pPr>
            <w:r>
              <w:rPr>
                <w:color w:val="auto"/>
                <w:szCs w:val="21"/>
              </w:rPr>
              <w:t>环保投资占比（%）</w:t>
            </w:r>
          </w:p>
        </w:tc>
        <w:tc>
          <w:tcPr>
            <w:tcW w:w="1723" w:type="dxa"/>
            <w:vAlign w:val="center"/>
          </w:tcPr>
          <w:p>
            <w:pPr>
              <w:adjustRightInd w:val="0"/>
              <w:snapToGrid w:val="0"/>
              <w:jc w:val="center"/>
              <w:rPr>
                <w:rFonts w:hint="default"/>
                <w:color w:val="auto"/>
                <w:szCs w:val="21"/>
                <w:lang w:val="en-US"/>
              </w:rPr>
            </w:pPr>
            <w:r>
              <w:rPr>
                <w:rFonts w:hint="default"/>
                <w:color w:val="auto"/>
                <w:szCs w:val="21"/>
                <w:lang w:val="en-US"/>
              </w:rPr>
              <w:t>10%</w:t>
            </w:r>
          </w:p>
        </w:tc>
        <w:tc>
          <w:tcPr>
            <w:tcW w:w="2040" w:type="dxa"/>
            <w:tcMar>
              <w:top w:w="16" w:type="dxa"/>
              <w:left w:w="16" w:type="dxa"/>
              <w:right w:w="16" w:type="dxa"/>
            </w:tcMar>
            <w:vAlign w:val="center"/>
          </w:tcPr>
          <w:p>
            <w:pPr>
              <w:adjustRightInd w:val="0"/>
              <w:snapToGrid w:val="0"/>
              <w:jc w:val="center"/>
              <w:rPr>
                <w:color w:val="auto"/>
                <w:szCs w:val="21"/>
              </w:rPr>
            </w:pPr>
            <w:r>
              <w:rPr>
                <w:color w:val="auto"/>
                <w:szCs w:val="21"/>
              </w:rPr>
              <w:t>施工工期</w:t>
            </w:r>
          </w:p>
        </w:tc>
        <w:tc>
          <w:tcPr>
            <w:tcW w:w="2725" w:type="dxa"/>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auto"/>
                <w:szCs w:val="21"/>
              </w:rPr>
            </w:pPr>
            <w:r>
              <w:rPr>
                <w:color w:val="auto"/>
                <w:szCs w:val="21"/>
              </w:rPr>
              <w:t>是否开工建设</w:t>
            </w:r>
          </w:p>
        </w:tc>
        <w:tc>
          <w:tcPr>
            <w:tcW w:w="1723" w:type="dxa"/>
            <w:vAlign w:val="center"/>
          </w:tcPr>
          <w:p>
            <w:pPr>
              <w:adjustRightInd w:val="0"/>
              <w:snapToGrid w:val="0"/>
              <w:rPr>
                <w:color w:val="auto"/>
                <w:szCs w:val="21"/>
              </w:rPr>
            </w:pPr>
            <w:r>
              <w:rPr>
                <w:color w:val="auto"/>
                <w:szCs w:val="21"/>
              </w:rPr>
              <w:sym w:font="Wingdings" w:char="00FE"/>
            </w:r>
            <w:r>
              <w:rPr>
                <w:color w:val="auto"/>
                <w:szCs w:val="21"/>
              </w:rPr>
              <w:t>否</w:t>
            </w:r>
          </w:p>
          <w:p>
            <w:pPr>
              <w:adjustRightInd w:val="0"/>
              <w:snapToGrid w:val="0"/>
              <w:rPr>
                <w:color w:val="auto"/>
                <w:szCs w:val="21"/>
              </w:rPr>
            </w:pPr>
            <w:r>
              <w:rPr>
                <w:color w:val="auto"/>
                <w:szCs w:val="21"/>
              </w:rPr>
              <w:sym w:font="Wingdings" w:char="00A8"/>
            </w:r>
            <w:r>
              <w:rPr>
                <w:color w:val="auto"/>
                <w:szCs w:val="21"/>
              </w:rPr>
              <w:t>是</w:t>
            </w:r>
          </w:p>
        </w:tc>
        <w:tc>
          <w:tcPr>
            <w:tcW w:w="2040" w:type="dxa"/>
            <w:tcMar>
              <w:top w:w="16" w:type="dxa"/>
              <w:left w:w="16" w:type="dxa"/>
              <w:right w:w="16" w:type="dxa"/>
            </w:tcMar>
            <w:vAlign w:val="center"/>
          </w:tcPr>
          <w:p>
            <w:pPr>
              <w:adjustRightInd w:val="0"/>
              <w:snapToGrid w:val="0"/>
              <w:jc w:val="center"/>
              <w:rPr>
                <w:color w:val="auto"/>
                <w:spacing w:val="0"/>
                <w:sz w:val="21"/>
                <w:szCs w:val="21"/>
              </w:rPr>
            </w:pPr>
            <w:r>
              <w:rPr>
                <w:color w:val="auto"/>
                <w:spacing w:val="0"/>
                <w:sz w:val="21"/>
                <w:szCs w:val="21"/>
              </w:rPr>
              <w:t>用地（用海）</w:t>
            </w:r>
          </w:p>
          <w:p>
            <w:pPr>
              <w:adjustRightInd w:val="0"/>
              <w:snapToGrid w:val="0"/>
              <w:jc w:val="center"/>
              <w:rPr>
                <w:color w:val="auto"/>
                <w:szCs w:val="21"/>
              </w:rPr>
            </w:pPr>
            <w:r>
              <w:rPr>
                <w:color w:val="auto"/>
                <w:spacing w:val="0"/>
                <w:sz w:val="21"/>
                <w:szCs w:val="21"/>
              </w:rPr>
              <w:t>面积（m</w:t>
            </w:r>
            <w:r>
              <w:rPr>
                <w:color w:val="auto"/>
                <w:spacing w:val="0"/>
                <w:sz w:val="21"/>
                <w:szCs w:val="21"/>
                <w:vertAlign w:val="superscript"/>
              </w:rPr>
              <w:t>2</w:t>
            </w:r>
            <w:r>
              <w:rPr>
                <w:color w:val="auto"/>
                <w:spacing w:val="0"/>
                <w:sz w:val="21"/>
                <w:szCs w:val="21"/>
              </w:rPr>
              <w:t>）</w:t>
            </w:r>
          </w:p>
        </w:tc>
        <w:tc>
          <w:tcPr>
            <w:tcW w:w="2725"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16650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color w:val="auto"/>
                <w:kern w:val="0"/>
                <w:szCs w:val="21"/>
              </w:rPr>
            </w:pPr>
            <w:r>
              <w:rPr>
                <w:color w:val="auto"/>
                <w:kern w:val="0"/>
                <w:szCs w:val="21"/>
              </w:rPr>
              <w:t>专项评价设置情况</w:t>
            </w:r>
          </w:p>
        </w:tc>
        <w:tc>
          <w:tcPr>
            <w:tcW w:w="6488" w:type="dxa"/>
            <w:gridSpan w:val="3"/>
            <w:vAlign w:val="center"/>
          </w:tcPr>
          <w:p>
            <w:pPr>
              <w:autoSpaceDE w:val="0"/>
              <w:autoSpaceDN w:val="0"/>
              <w:adjustRightInd w:val="0"/>
              <w:snapToGrid w:val="0"/>
              <w:jc w:val="center"/>
              <w:rPr>
                <w:color w:val="auto"/>
                <w:kern w:val="0"/>
                <w:szCs w:val="21"/>
              </w:rPr>
            </w:pPr>
            <w:r>
              <w:rPr>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color w:val="auto"/>
                <w:kern w:val="0"/>
                <w:szCs w:val="21"/>
              </w:rPr>
            </w:pPr>
            <w:r>
              <w:rPr>
                <w:color w:val="auto"/>
                <w:szCs w:val="21"/>
              </w:rPr>
              <w:t>规划情况</w:t>
            </w:r>
          </w:p>
        </w:tc>
        <w:tc>
          <w:tcPr>
            <w:tcW w:w="6488" w:type="dxa"/>
            <w:gridSpan w:val="3"/>
            <w:vAlign w:val="center"/>
          </w:tcPr>
          <w:p>
            <w:pPr>
              <w:autoSpaceDE w:val="0"/>
              <w:autoSpaceDN w:val="0"/>
              <w:adjustRightInd w:val="0"/>
              <w:snapToGrid w:val="0"/>
              <w:jc w:val="center"/>
              <w:rPr>
                <w:color w:val="auto"/>
                <w:kern w:val="0"/>
                <w:szCs w:val="21"/>
              </w:rPr>
            </w:pPr>
            <w:r>
              <w:rPr>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djustRightInd w:val="0"/>
              <w:snapToGrid w:val="0"/>
              <w:jc w:val="center"/>
              <w:rPr>
                <w:color w:val="auto"/>
                <w:szCs w:val="21"/>
              </w:rPr>
            </w:pPr>
            <w:r>
              <w:rPr>
                <w:color w:val="auto"/>
                <w:szCs w:val="21"/>
              </w:rPr>
              <w:t>规划环境影响</w:t>
            </w:r>
          </w:p>
          <w:p>
            <w:pPr>
              <w:adjustRightInd w:val="0"/>
              <w:snapToGrid w:val="0"/>
              <w:jc w:val="center"/>
              <w:rPr>
                <w:color w:val="auto"/>
                <w:kern w:val="0"/>
                <w:szCs w:val="21"/>
              </w:rPr>
            </w:pPr>
            <w:r>
              <w:rPr>
                <w:color w:val="auto"/>
                <w:szCs w:val="21"/>
              </w:rPr>
              <w:t>评价情况</w:t>
            </w:r>
          </w:p>
        </w:tc>
        <w:tc>
          <w:tcPr>
            <w:tcW w:w="6488" w:type="dxa"/>
            <w:gridSpan w:val="3"/>
            <w:vAlign w:val="center"/>
          </w:tcPr>
          <w:p>
            <w:pPr>
              <w:autoSpaceDE w:val="0"/>
              <w:autoSpaceDN w:val="0"/>
              <w:adjustRightInd w:val="0"/>
              <w:snapToGrid w:val="0"/>
              <w:jc w:val="center"/>
              <w:rPr>
                <w:color w:val="auto"/>
                <w:kern w:val="0"/>
                <w:szCs w:val="21"/>
              </w:rPr>
            </w:pPr>
            <w:r>
              <w:rPr>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color w:val="auto"/>
                <w:kern w:val="0"/>
                <w:szCs w:val="21"/>
              </w:rPr>
            </w:pPr>
            <w:r>
              <w:rPr>
                <w:color w:val="auto"/>
                <w:kern w:val="0"/>
                <w:szCs w:val="21"/>
              </w:rPr>
              <w:t>规划及规划环境</w:t>
            </w:r>
          </w:p>
          <w:p>
            <w:pPr>
              <w:autoSpaceDE w:val="0"/>
              <w:autoSpaceDN w:val="0"/>
              <w:adjustRightInd w:val="0"/>
              <w:snapToGrid w:val="0"/>
              <w:jc w:val="center"/>
              <w:rPr>
                <w:color w:val="auto"/>
                <w:kern w:val="0"/>
                <w:szCs w:val="21"/>
              </w:rPr>
            </w:pPr>
            <w:r>
              <w:rPr>
                <w:color w:val="auto"/>
                <w:kern w:val="0"/>
                <w:szCs w:val="21"/>
              </w:rPr>
              <w:t>影响评价符合性分析</w:t>
            </w:r>
          </w:p>
        </w:tc>
        <w:tc>
          <w:tcPr>
            <w:tcW w:w="6488" w:type="dxa"/>
            <w:gridSpan w:val="3"/>
            <w:vAlign w:val="center"/>
          </w:tcPr>
          <w:p>
            <w:pPr>
              <w:autoSpaceDE w:val="0"/>
              <w:autoSpaceDN w:val="0"/>
              <w:adjustRightInd w:val="0"/>
              <w:snapToGrid w:val="0"/>
              <w:jc w:val="center"/>
              <w:rPr>
                <w:color w:val="auto"/>
                <w:kern w:val="0"/>
                <w:szCs w:val="21"/>
              </w:rPr>
            </w:pPr>
            <w:r>
              <w:rPr>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color w:val="auto"/>
                <w:kern w:val="0"/>
                <w:szCs w:val="21"/>
              </w:rPr>
            </w:pPr>
            <w:r>
              <w:rPr>
                <w:color w:val="auto"/>
                <w:kern w:val="0"/>
                <w:szCs w:val="21"/>
              </w:rPr>
              <w:t>其他符合性分析</w:t>
            </w:r>
          </w:p>
        </w:tc>
        <w:tc>
          <w:tcPr>
            <w:tcW w:w="6488" w:type="dxa"/>
            <w:gridSpan w:val="3"/>
            <w:vAlign w:val="center"/>
          </w:tcPr>
          <w:p>
            <w:pPr>
              <w:pStyle w:val="6"/>
              <w:keepNext w:val="0"/>
              <w:keepLines w:val="0"/>
              <w:pageBreakBefore w:val="0"/>
              <w:kinsoku/>
              <w:wordWrap/>
              <w:overflowPunct/>
              <w:topLinePunct w:val="0"/>
              <w:autoSpaceDE/>
              <w:autoSpaceDN/>
              <w:bidi w:val="0"/>
              <w:adjustRightInd/>
              <w:snapToGrid/>
              <w:spacing w:after="0" w:line="360" w:lineRule="auto"/>
              <w:ind w:firstLine="0" w:firstLineChars="0"/>
              <w:textAlignment w:val="auto"/>
              <w:rPr>
                <w:b/>
                <w:color w:val="auto"/>
                <w:szCs w:val="21"/>
              </w:rPr>
            </w:pPr>
            <w:r>
              <w:rPr>
                <w:b/>
                <w:color w:val="auto"/>
                <w:szCs w:val="21"/>
              </w:rPr>
              <w:t>1、产业政策符合性分析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Cs w:val="21"/>
                <w:lang w:val="en-US" w:eastAsia="zh-CN"/>
              </w:rPr>
            </w:pPr>
            <w:r>
              <w:rPr>
                <w:color w:val="auto"/>
              </w:rPr>
              <w:t>本项目属于</w:t>
            </w:r>
            <w:r>
              <w:rPr>
                <w:rFonts w:hint="eastAsia"/>
                <w:color w:val="auto"/>
                <w:szCs w:val="21"/>
                <w:lang w:eastAsia="zh-CN"/>
              </w:rPr>
              <w:t>废弃资源综合利用</w:t>
            </w:r>
            <w:r>
              <w:rPr>
                <w:color w:val="auto"/>
              </w:rPr>
              <w:t>项目</w:t>
            </w:r>
            <w:r>
              <w:rPr>
                <w:color w:val="auto"/>
                <w:szCs w:val="21"/>
              </w:rPr>
              <w:t>，根据《产业结构调整指导目录》（2019年本），本项目属于《产业结构调整指导目录（2019年本）》中的</w:t>
            </w:r>
            <w:r>
              <w:rPr>
                <w:rFonts w:hint="eastAsia"/>
                <w:color w:val="auto"/>
                <w:szCs w:val="21"/>
                <w:lang w:eastAsia="zh-CN"/>
              </w:rPr>
              <w:t>鼓励类“四十三、</w:t>
            </w:r>
            <w:r>
              <w:rPr>
                <w:color w:val="auto"/>
                <w:szCs w:val="21"/>
                <w:lang w:val="en-US" w:eastAsia="zh-CN"/>
              </w:rPr>
              <w:t>环境保护与资源节约综合利用</w:t>
            </w:r>
            <w:r>
              <w:rPr>
                <w:rFonts w:hint="eastAsia"/>
                <w:color w:val="auto"/>
                <w:szCs w:val="21"/>
                <w:lang w:val="en-US" w:eastAsia="zh-CN"/>
              </w:rPr>
              <w:t>28.</w:t>
            </w:r>
            <w:r>
              <w:rPr>
                <w:color w:val="auto"/>
                <w:szCs w:val="21"/>
                <w:lang w:val="en-US" w:eastAsia="zh-CN"/>
              </w:rPr>
              <w:t>废旧汽车、工程机械、矿山机械、机床产品、农业机械、</w:t>
            </w:r>
            <w:r>
              <w:rPr>
                <w:rFonts w:hint="default"/>
                <w:color w:val="auto"/>
                <w:szCs w:val="21"/>
                <w:lang w:val="en-US" w:eastAsia="zh-CN"/>
              </w:rPr>
              <w:t>船舶等废旧机电产品及零部件再利用、再制造，墨盒、有机光导鼓的再制造（再填充），退役民用大型飞机及发动机、零部件拆解、再利用、再制造</w:t>
            </w:r>
            <w:r>
              <w:rPr>
                <w:rFonts w:hint="eastAsia"/>
                <w:color w:val="auto"/>
                <w:szCs w:val="21"/>
                <w:lang w:val="en-US" w:eastAsia="zh-CN"/>
              </w:rPr>
              <w:t>”项目。</w:t>
            </w:r>
          </w:p>
          <w:p>
            <w:pPr>
              <w:pStyle w:val="6"/>
              <w:keepNext w:val="0"/>
              <w:keepLines w:val="0"/>
              <w:pageBreakBefore w:val="0"/>
              <w:kinsoku/>
              <w:wordWrap/>
              <w:overflowPunct/>
              <w:topLinePunct w:val="0"/>
              <w:autoSpaceDE/>
              <w:autoSpaceDN/>
              <w:bidi w:val="0"/>
              <w:adjustRightInd/>
              <w:snapToGrid/>
              <w:spacing w:after="0" w:line="360" w:lineRule="auto"/>
              <w:ind w:left="0" w:leftChars="0" w:firstLine="630" w:firstLineChars="300"/>
              <w:textAlignment w:val="auto"/>
              <w:rPr>
                <w:color w:val="auto"/>
                <w:szCs w:val="21"/>
              </w:rPr>
            </w:pPr>
            <w:r>
              <w:rPr>
                <w:color w:val="auto"/>
                <w:szCs w:val="21"/>
              </w:rPr>
              <w:t>因此，本项目符合国家相关产业政策。</w:t>
            </w:r>
          </w:p>
          <w:p>
            <w:pPr>
              <w:pStyle w:val="6"/>
              <w:keepNext w:val="0"/>
              <w:keepLines w:val="0"/>
              <w:pageBreakBefore w:val="0"/>
              <w:kinsoku/>
              <w:wordWrap/>
              <w:overflowPunct/>
              <w:topLinePunct w:val="0"/>
              <w:autoSpaceDE/>
              <w:autoSpaceDN/>
              <w:bidi w:val="0"/>
              <w:adjustRightInd/>
              <w:snapToGrid/>
              <w:spacing w:after="0" w:line="360" w:lineRule="auto"/>
              <w:ind w:firstLine="0" w:firstLineChars="0"/>
              <w:textAlignment w:val="auto"/>
              <w:rPr>
                <w:rFonts w:hint="eastAsia"/>
                <w:b/>
                <w:color w:val="auto"/>
                <w:szCs w:val="21"/>
              </w:rPr>
            </w:pPr>
            <w:r>
              <w:rPr>
                <w:rFonts w:hint="eastAsia"/>
                <w:b/>
                <w:color w:val="auto"/>
                <w:szCs w:val="21"/>
                <w:lang w:val="en-US" w:eastAsia="zh-CN"/>
              </w:rPr>
              <w:t>2</w:t>
            </w:r>
            <w:r>
              <w:rPr>
                <w:rFonts w:hint="eastAsia"/>
                <w:b/>
                <w:color w:val="auto"/>
                <w:szCs w:val="21"/>
              </w:rPr>
              <w:t>、与“三线一单”符合性分析</w:t>
            </w:r>
          </w:p>
          <w:p>
            <w:pPr>
              <w:pStyle w:val="6"/>
              <w:keepNext w:val="0"/>
              <w:keepLines w:val="0"/>
              <w:pageBreakBefore w:val="0"/>
              <w:kinsoku/>
              <w:wordWrap/>
              <w:overflowPunct/>
              <w:topLinePunct w:val="0"/>
              <w:autoSpaceDE/>
              <w:autoSpaceDN/>
              <w:bidi w:val="0"/>
              <w:adjustRightInd/>
              <w:snapToGrid/>
              <w:spacing w:after="0" w:line="360" w:lineRule="auto"/>
              <w:ind w:left="0" w:leftChars="0" w:firstLine="630" w:firstLineChars="300"/>
              <w:textAlignment w:val="auto"/>
              <w:rPr>
                <w:rFonts w:hint="eastAsia"/>
                <w:color w:val="auto"/>
                <w:szCs w:val="21"/>
              </w:rPr>
            </w:pPr>
            <w:r>
              <w:rPr>
                <w:rFonts w:hint="eastAsia"/>
                <w:color w:val="auto"/>
                <w:szCs w:val="21"/>
              </w:rPr>
              <w:t xml:space="preserve">（1）生态红线相符性 </w:t>
            </w:r>
          </w:p>
          <w:p>
            <w:pPr>
              <w:pStyle w:val="6"/>
              <w:keepNext w:val="0"/>
              <w:keepLines w:val="0"/>
              <w:pageBreakBefore w:val="0"/>
              <w:kinsoku/>
              <w:wordWrap/>
              <w:overflowPunct/>
              <w:topLinePunct w:val="0"/>
              <w:autoSpaceDE/>
              <w:autoSpaceDN/>
              <w:bidi w:val="0"/>
              <w:adjustRightInd/>
              <w:snapToGrid/>
              <w:spacing w:after="0" w:line="360" w:lineRule="auto"/>
              <w:ind w:left="0" w:leftChars="0" w:firstLine="630" w:firstLineChars="300"/>
              <w:textAlignment w:val="auto"/>
              <w:rPr>
                <w:rFonts w:hint="eastAsia"/>
                <w:color w:val="auto"/>
                <w:szCs w:val="21"/>
              </w:rPr>
            </w:pPr>
            <w:r>
              <w:rPr>
                <w:rFonts w:hint="eastAsia"/>
                <w:color w:val="auto"/>
                <w:szCs w:val="21"/>
              </w:rPr>
              <w:t xml:space="preserve">根据《湖南省生态保护红线》，湖南省生态保护红线划定面积为4.28万平方公里，占全省国土面积的20.23%。全省生态保护红线空间格局为“一湖三山四水”：“一湖”为洞庭湖（主要包括东洞庭湖、南洞庭湖、横岭湖、西洞庭湖等自然保护区和长江岸线），主要生态功能为生物多样性维护、洪水调蓄。“三山”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带的重要组成部分。“四水”为湘资沅澧（湘江、资水、沅江、澧水）的源头区及重要水域。 </w:t>
            </w:r>
          </w:p>
          <w:p>
            <w:pPr>
              <w:pStyle w:val="6"/>
              <w:keepNext w:val="0"/>
              <w:keepLines w:val="0"/>
              <w:pageBreakBefore w:val="0"/>
              <w:kinsoku/>
              <w:wordWrap/>
              <w:overflowPunct/>
              <w:topLinePunct w:val="0"/>
              <w:autoSpaceDE/>
              <w:autoSpaceDN/>
              <w:bidi w:val="0"/>
              <w:adjustRightInd/>
              <w:snapToGrid/>
              <w:spacing w:after="0" w:line="360" w:lineRule="auto"/>
              <w:ind w:left="0" w:leftChars="0" w:firstLine="630" w:firstLineChars="300"/>
              <w:textAlignment w:val="auto"/>
              <w:rPr>
                <w:rFonts w:hint="eastAsia"/>
                <w:color w:val="auto"/>
                <w:szCs w:val="21"/>
              </w:rPr>
            </w:pPr>
            <w:r>
              <w:rPr>
                <w:rFonts w:hint="eastAsia"/>
                <w:color w:val="auto"/>
                <w:szCs w:val="21"/>
              </w:rPr>
              <w:t>本项目位于湖南省衡阳市衡阳县</w:t>
            </w:r>
            <w:r>
              <w:rPr>
                <w:color w:val="auto"/>
                <w:szCs w:val="21"/>
                <w:u w:val="none"/>
              </w:rPr>
              <w:t>衡阳县</w:t>
            </w:r>
            <w:r>
              <w:rPr>
                <w:rFonts w:hint="eastAsia"/>
                <w:color w:val="auto"/>
                <w:szCs w:val="21"/>
                <w:u w:val="none"/>
                <w:lang w:eastAsia="zh-CN"/>
              </w:rPr>
              <w:t>西渡镇咸中亭村佳培小组</w:t>
            </w:r>
            <w:r>
              <w:rPr>
                <w:rFonts w:hint="eastAsia"/>
                <w:color w:val="auto"/>
                <w:szCs w:val="21"/>
              </w:rPr>
              <w:t>，不在上述生态保护红线范围内（见附件5</w:t>
            </w:r>
            <w:r>
              <w:rPr>
                <w:rFonts w:hint="eastAsia"/>
                <w:color w:val="auto"/>
                <w:szCs w:val="21"/>
                <w:lang w:eastAsia="zh-CN"/>
              </w:rPr>
              <w:t>）衡阳县自然资源局</w:t>
            </w:r>
            <w:r>
              <w:rPr>
                <w:rFonts w:hint="eastAsia"/>
                <w:color w:val="auto"/>
                <w:szCs w:val="21"/>
              </w:rPr>
              <w:t>关于衡阳县西渡镇废旧收集和综合利用建设项目用地预审和规划选址意见的函），符合《湖南省生态保护红线》要求。</w:t>
            </w:r>
          </w:p>
          <w:p>
            <w:pPr>
              <w:pStyle w:val="6"/>
              <w:keepNext w:val="0"/>
              <w:keepLines w:val="0"/>
              <w:pageBreakBefore w:val="0"/>
              <w:kinsoku/>
              <w:wordWrap/>
              <w:overflowPunct/>
              <w:topLinePunct w:val="0"/>
              <w:autoSpaceDE/>
              <w:autoSpaceDN/>
              <w:bidi w:val="0"/>
              <w:adjustRightInd/>
              <w:snapToGrid/>
              <w:spacing w:after="0" w:line="360" w:lineRule="auto"/>
              <w:ind w:left="0" w:leftChars="0" w:firstLine="630" w:firstLineChars="300"/>
              <w:textAlignment w:val="auto"/>
              <w:rPr>
                <w:rFonts w:hint="eastAsia"/>
                <w:color w:val="auto"/>
                <w:szCs w:val="21"/>
              </w:rPr>
            </w:pPr>
            <w:r>
              <w:rPr>
                <w:rFonts w:hint="eastAsia"/>
                <w:color w:val="auto"/>
                <w:szCs w:val="21"/>
              </w:rPr>
              <w:t xml:space="preserve">（2）环境质量底线相符性分析 </w:t>
            </w:r>
          </w:p>
          <w:p>
            <w:pPr>
              <w:pStyle w:val="6"/>
              <w:keepNext w:val="0"/>
              <w:keepLines w:val="0"/>
              <w:pageBreakBefore w:val="0"/>
              <w:kinsoku/>
              <w:wordWrap/>
              <w:overflowPunct/>
              <w:topLinePunct w:val="0"/>
              <w:autoSpaceDE/>
              <w:autoSpaceDN/>
              <w:bidi w:val="0"/>
              <w:adjustRightInd/>
              <w:snapToGrid/>
              <w:spacing w:after="0" w:line="360" w:lineRule="auto"/>
              <w:ind w:left="0" w:leftChars="0" w:firstLine="630" w:firstLineChars="300"/>
              <w:textAlignment w:val="auto"/>
              <w:rPr>
                <w:rFonts w:hint="eastAsia"/>
                <w:color w:val="auto"/>
                <w:szCs w:val="21"/>
              </w:rPr>
            </w:pPr>
            <w:r>
              <w:rPr>
                <w:rFonts w:hint="eastAsia"/>
                <w:color w:val="auto"/>
                <w:szCs w:val="21"/>
              </w:rPr>
              <w:t>本报告以环境质量评价标准作为环境质量底线，环境空气质量目标为《环境空气质量标准》（GB3095-2012及2018修改单）二级标准，地表水环境质量目标为《地表水环境质量标准》（GB3838-2002）Ⅲ类标准。生活污水经现有隔油池、化粪池后用于农肥，不外排，</w:t>
            </w:r>
            <w:r>
              <w:rPr>
                <w:rFonts w:hint="eastAsia"/>
                <w:color w:val="auto"/>
                <w:szCs w:val="21"/>
                <w:lang w:eastAsia="zh-CN"/>
              </w:rPr>
              <w:t>生产废水经三级隔油池处理后经过一体化设备处理达</w:t>
            </w:r>
            <w:r>
              <w:rPr>
                <w:rFonts w:hint="eastAsia"/>
                <w:color w:val="auto"/>
                <w:szCs w:val="21"/>
                <w:lang w:val="en-US" w:eastAsia="zh-CN"/>
              </w:rPr>
              <w:t>GB8978-1996一级标准后回用于绿化浇灌。</w:t>
            </w:r>
            <w:r>
              <w:rPr>
                <w:rFonts w:hint="eastAsia"/>
                <w:color w:val="auto"/>
                <w:szCs w:val="21"/>
              </w:rPr>
              <w:t>废气采取防治措施后均可实现达标排放，各项固体废物均可得到妥善处置。落实本环评提出的相关环保措施后，扩建项目污染物排放不会对区域环境质量底线造成冲击。综上，扩建项目建设符合环境质量底线要求的。</w:t>
            </w:r>
          </w:p>
          <w:p>
            <w:pPr>
              <w:pStyle w:val="6"/>
              <w:keepNext w:val="0"/>
              <w:keepLines w:val="0"/>
              <w:pageBreakBefore w:val="0"/>
              <w:kinsoku/>
              <w:wordWrap/>
              <w:overflowPunct/>
              <w:topLinePunct w:val="0"/>
              <w:autoSpaceDE/>
              <w:autoSpaceDN/>
              <w:bidi w:val="0"/>
              <w:adjustRightInd/>
              <w:snapToGrid/>
              <w:spacing w:after="0" w:line="360" w:lineRule="auto"/>
              <w:ind w:left="0" w:leftChars="0" w:firstLine="630" w:firstLineChars="300"/>
              <w:textAlignment w:val="auto"/>
              <w:rPr>
                <w:rFonts w:hint="eastAsia"/>
                <w:color w:val="auto"/>
                <w:szCs w:val="21"/>
              </w:rPr>
            </w:pPr>
            <w:r>
              <w:rPr>
                <w:rFonts w:hint="eastAsia"/>
                <w:color w:val="auto"/>
                <w:szCs w:val="21"/>
              </w:rPr>
              <w:t xml:space="preserve">（3）资源利用上线相符性 </w:t>
            </w:r>
          </w:p>
          <w:p>
            <w:pPr>
              <w:pStyle w:val="6"/>
              <w:keepNext w:val="0"/>
              <w:keepLines w:val="0"/>
              <w:pageBreakBefore w:val="0"/>
              <w:kinsoku/>
              <w:wordWrap/>
              <w:overflowPunct/>
              <w:topLinePunct w:val="0"/>
              <w:autoSpaceDE/>
              <w:autoSpaceDN/>
              <w:bidi w:val="0"/>
              <w:adjustRightInd/>
              <w:snapToGrid/>
              <w:spacing w:after="0" w:line="360" w:lineRule="auto"/>
              <w:ind w:left="0" w:leftChars="0" w:firstLine="630" w:firstLineChars="300"/>
              <w:textAlignment w:val="auto"/>
              <w:rPr>
                <w:rFonts w:hint="eastAsia"/>
                <w:color w:val="auto"/>
                <w:szCs w:val="21"/>
              </w:rPr>
            </w:pPr>
            <w:r>
              <w:rPr>
                <w:rFonts w:hint="eastAsia"/>
                <w:color w:val="auto"/>
                <w:szCs w:val="21"/>
              </w:rPr>
              <w:t>本项目不属于高耗能、高污染型企业。本项目建设过程中所利用的资源主要为水、电，均为清洁能源，项目建成运行后通过内部管理、设备选择</w:t>
            </w:r>
            <w:r>
              <w:rPr>
                <w:rFonts w:hint="eastAsia"/>
                <w:color w:val="auto"/>
                <w:szCs w:val="21"/>
                <w:lang w:eastAsia="zh-CN"/>
              </w:rPr>
              <w:t>、</w:t>
            </w:r>
            <w:r>
              <w:rPr>
                <w:rFonts w:hint="eastAsia"/>
                <w:color w:val="auto"/>
                <w:szCs w:val="21"/>
              </w:rPr>
              <w:t>污染治理等多方面采取合理可行的防治措施，以“节能、降耗、减污”为目标，有效的控制污染。项目的水、电等资源利用不会突破区域的资源利用上线。</w:t>
            </w:r>
          </w:p>
          <w:p>
            <w:pPr>
              <w:pStyle w:val="6"/>
              <w:keepNext w:val="0"/>
              <w:keepLines w:val="0"/>
              <w:pageBreakBefore w:val="0"/>
              <w:kinsoku/>
              <w:wordWrap/>
              <w:overflowPunct/>
              <w:topLinePunct w:val="0"/>
              <w:autoSpaceDE/>
              <w:autoSpaceDN/>
              <w:bidi w:val="0"/>
              <w:adjustRightInd/>
              <w:snapToGrid/>
              <w:spacing w:after="0" w:line="360" w:lineRule="auto"/>
              <w:ind w:left="0" w:leftChars="0" w:firstLine="630" w:firstLineChars="300"/>
              <w:textAlignment w:val="auto"/>
              <w:rPr>
                <w:rFonts w:hint="eastAsia"/>
                <w:color w:val="auto"/>
                <w:szCs w:val="21"/>
              </w:rPr>
            </w:pPr>
            <w:r>
              <w:rPr>
                <w:rFonts w:hint="eastAsia"/>
                <w:color w:val="auto"/>
                <w:szCs w:val="21"/>
              </w:rPr>
              <w:t xml:space="preserve">（4）生态环境准入清单相符性 </w:t>
            </w:r>
          </w:p>
          <w:p>
            <w:pPr>
              <w:pStyle w:val="6"/>
              <w:spacing w:after="0" w:line="360" w:lineRule="auto"/>
              <w:ind w:firstLineChars="200"/>
              <w:rPr>
                <w:color w:val="auto"/>
                <w:szCs w:val="21"/>
              </w:rPr>
            </w:pPr>
            <w:r>
              <w:rPr>
                <w:color w:val="auto"/>
                <w:szCs w:val="21"/>
              </w:rPr>
              <w:t>根据《衡阳市人民政府关于实施“三线一单”生态环境分区管控的意见（衡政发〔2020〕9号）》中附件1：衡阳市环境管控单元图，可知本项目属于衡阳市一般管控单元。本环评对照衡阳市生态环境准入清单分析本项目是否与生态环境分区管控相适应，具体内容如下：</w:t>
            </w:r>
          </w:p>
          <w:p>
            <w:pPr>
              <w:pStyle w:val="9"/>
              <w:ind w:firstLine="210"/>
              <w:rPr>
                <w:color w:val="auto"/>
                <w:sz w:val="21"/>
                <w:szCs w:val="21"/>
              </w:rPr>
            </w:pPr>
            <w:r>
              <w:rPr>
                <w:color w:val="auto"/>
                <w:sz w:val="21"/>
                <w:szCs w:val="21"/>
              </w:rPr>
              <w:t>表</w:t>
            </w:r>
            <w:r>
              <w:rPr>
                <w:color w:val="auto"/>
                <w:sz w:val="21"/>
                <w:szCs w:val="21"/>
                <w:lang w:eastAsia="zh-CN"/>
              </w:rPr>
              <w:t>1</w:t>
            </w:r>
            <w:r>
              <w:rPr>
                <w:color w:val="auto"/>
                <w:sz w:val="21"/>
                <w:szCs w:val="21"/>
              </w:rPr>
              <w:t>-1   建设项目与衡阳县环境管控要求对照一览表</w:t>
            </w:r>
          </w:p>
          <w:tbl>
            <w:tblPr>
              <w:tblStyle w:val="21"/>
              <w:tblpPr w:leftFromText="180" w:rightFromText="180" w:vertAnchor="text" w:horzAnchor="page" w:tblpX="186" w:tblpY="85"/>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3685"/>
              <w:gridCol w:w="1276"/>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8" w:type="pct"/>
                  <w:shd w:val="clear" w:color="auto" w:fill="auto"/>
                  <w:vAlign w:val="center"/>
                </w:tcPr>
                <w:p>
                  <w:pPr>
                    <w:pStyle w:val="47"/>
                    <w:rPr>
                      <w:color w:val="auto"/>
                      <w:sz w:val="18"/>
                      <w:szCs w:val="18"/>
                    </w:rPr>
                  </w:pPr>
                  <w:r>
                    <w:rPr>
                      <w:color w:val="auto"/>
                      <w:sz w:val="18"/>
                      <w:szCs w:val="18"/>
                    </w:rPr>
                    <w:t>管控维度</w:t>
                  </w:r>
                </w:p>
              </w:tc>
              <w:tc>
                <w:tcPr>
                  <w:tcW w:w="2942" w:type="pct"/>
                  <w:shd w:val="clear" w:color="auto" w:fill="auto"/>
                  <w:vAlign w:val="center"/>
                </w:tcPr>
                <w:p>
                  <w:pPr>
                    <w:pStyle w:val="47"/>
                    <w:rPr>
                      <w:color w:val="auto"/>
                      <w:sz w:val="18"/>
                      <w:szCs w:val="18"/>
                    </w:rPr>
                  </w:pPr>
                  <w:r>
                    <w:rPr>
                      <w:color w:val="auto"/>
                      <w:sz w:val="18"/>
                      <w:szCs w:val="18"/>
                    </w:rPr>
                    <w:t>管控要求</w:t>
                  </w:r>
                </w:p>
              </w:tc>
              <w:tc>
                <w:tcPr>
                  <w:tcW w:w="1018" w:type="pct"/>
                  <w:shd w:val="clear" w:color="auto" w:fill="auto"/>
                  <w:vAlign w:val="center"/>
                </w:tcPr>
                <w:p>
                  <w:pPr>
                    <w:pStyle w:val="47"/>
                    <w:rPr>
                      <w:color w:val="auto"/>
                      <w:sz w:val="18"/>
                      <w:szCs w:val="18"/>
                    </w:rPr>
                  </w:pPr>
                  <w:r>
                    <w:rPr>
                      <w:color w:val="auto"/>
                      <w:sz w:val="18"/>
                      <w:szCs w:val="18"/>
                    </w:rPr>
                    <w:t>本项目情况</w:t>
                  </w:r>
                </w:p>
              </w:tc>
              <w:tc>
                <w:tcPr>
                  <w:tcW w:w="530" w:type="pct"/>
                  <w:shd w:val="clear" w:color="auto" w:fill="auto"/>
                  <w:vAlign w:val="center"/>
                </w:tcPr>
                <w:p>
                  <w:pPr>
                    <w:pStyle w:val="47"/>
                    <w:rPr>
                      <w:color w:val="auto"/>
                      <w:sz w:val="18"/>
                      <w:szCs w:val="18"/>
                    </w:rPr>
                  </w:pPr>
                  <w:r>
                    <w:rPr>
                      <w:color w:val="auto"/>
                      <w:sz w:val="18"/>
                      <w:szCs w:val="18"/>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8" w:type="pct"/>
                  <w:shd w:val="clear" w:color="auto" w:fill="auto"/>
                  <w:vAlign w:val="center"/>
                </w:tcPr>
                <w:p>
                  <w:pPr>
                    <w:pStyle w:val="47"/>
                    <w:rPr>
                      <w:color w:val="auto"/>
                      <w:sz w:val="18"/>
                      <w:szCs w:val="18"/>
                    </w:rPr>
                  </w:pPr>
                  <w:r>
                    <w:rPr>
                      <w:color w:val="auto"/>
                      <w:sz w:val="18"/>
                      <w:szCs w:val="18"/>
                    </w:rPr>
                    <w:t>空间布局约束</w:t>
                  </w:r>
                </w:p>
              </w:tc>
              <w:tc>
                <w:tcPr>
                  <w:tcW w:w="2942" w:type="pct"/>
                  <w:shd w:val="clear" w:color="auto" w:fill="auto"/>
                  <w:vAlign w:val="center"/>
                </w:tcPr>
                <w:p>
                  <w:pPr>
                    <w:pStyle w:val="47"/>
                    <w:jc w:val="both"/>
                    <w:rPr>
                      <w:color w:val="auto"/>
                      <w:sz w:val="18"/>
                      <w:szCs w:val="18"/>
                    </w:rPr>
                  </w:pPr>
                  <w:r>
                    <w:rPr>
                      <w:rFonts w:hint="eastAsia" w:ascii="宋体" w:hAnsi="宋体" w:cs="宋体"/>
                      <w:color w:val="auto"/>
                      <w:sz w:val="18"/>
                      <w:szCs w:val="18"/>
                      <w:lang w:eastAsia="zh-CN"/>
                    </w:rPr>
                    <w:t>①</w:t>
                  </w:r>
                  <w:r>
                    <w:rPr>
                      <w:color w:val="auto"/>
                      <w:sz w:val="18"/>
                      <w:szCs w:val="18"/>
                    </w:rPr>
                    <w:t>新建涉VOCs排放的工业企业要入园区；</w:t>
                  </w:r>
                </w:p>
                <w:p>
                  <w:pPr>
                    <w:pStyle w:val="47"/>
                    <w:jc w:val="both"/>
                    <w:rPr>
                      <w:color w:val="auto"/>
                      <w:sz w:val="18"/>
                      <w:szCs w:val="18"/>
                    </w:rPr>
                  </w:pPr>
                  <w:r>
                    <w:rPr>
                      <w:rFonts w:hint="eastAsia" w:ascii="宋体" w:hAnsi="宋体" w:cs="宋体"/>
                      <w:color w:val="auto"/>
                      <w:sz w:val="18"/>
                      <w:szCs w:val="18"/>
                      <w:lang w:eastAsia="zh-CN"/>
                    </w:rPr>
                    <w:t>②</w:t>
                  </w:r>
                  <w:r>
                    <w:rPr>
                      <w:color w:val="auto"/>
                      <w:sz w:val="18"/>
                      <w:szCs w:val="18"/>
                    </w:rPr>
                    <w:t>养殖业按划定的禁养区、限养区、适养区实施分类管理。</w:t>
                  </w:r>
                </w:p>
              </w:tc>
              <w:tc>
                <w:tcPr>
                  <w:tcW w:w="1018" w:type="pct"/>
                  <w:shd w:val="clear" w:color="auto" w:fill="auto"/>
                  <w:vAlign w:val="center"/>
                </w:tcPr>
                <w:p>
                  <w:pPr>
                    <w:pStyle w:val="47"/>
                    <w:rPr>
                      <w:rFonts w:hint="default"/>
                      <w:color w:val="auto"/>
                      <w:sz w:val="18"/>
                      <w:szCs w:val="18"/>
                      <w:lang w:val="en-US" w:eastAsia="zh-CN"/>
                    </w:rPr>
                  </w:pPr>
                  <w:r>
                    <w:rPr>
                      <w:rFonts w:hint="eastAsia"/>
                      <w:color w:val="auto"/>
                      <w:sz w:val="18"/>
                      <w:szCs w:val="18"/>
                      <w:lang w:eastAsia="zh-CN"/>
                    </w:rPr>
                    <w:t>本项目不属于高</w:t>
                  </w:r>
                  <w:r>
                    <w:rPr>
                      <w:rFonts w:hint="eastAsia"/>
                      <w:color w:val="auto"/>
                      <w:sz w:val="18"/>
                      <w:szCs w:val="18"/>
                      <w:lang w:val="en-US" w:eastAsia="zh-CN"/>
                    </w:rPr>
                    <w:t>VOCs排放的建设项目，即石化、化工、包装印刷、工业涂装等重点行业及其他工业行业VOCs排放量大、排放强度高的新建项目。</w:t>
                  </w:r>
                </w:p>
              </w:tc>
              <w:tc>
                <w:tcPr>
                  <w:tcW w:w="530" w:type="pct"/>
                  <w:shd w:val="clear" w:color="auto" w:fill="auto"/>
                  <w:vAlign w:val="center"/>
                </w:tcPr>
                <w:p>
                  <w:pPr>
                    <w:pStyle w:val="47"/>
                    <w:rPr>
                      <w:color w:val="auto"/>
                      <w:sz w:val="18"/>
                      <w:szCs w:val="18"/>
                      <w:lang w:eastAsia="zh-CN"/>
                    </w:rPr>
                  </w:pPr>
                  <w:r>
                    <w:rPr>
                      <w:color w:val="auto"/>
                      <w:sz w:val="18"/>
                      <w:szCs w:val="18"/>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8" w:type="pct"/>
                  <w:shd w:val="clear" w:color="auto" w:fill="auto"/>
                  <w:vAlign w:val="center"/>
                </w:tcPr>
                <w:p>
                  <w:pPr>
                    <w:pStyle w:val="47"/>
                    <w:rPr>
                      <w:color w:val="auto"/>
                      <w:sz w:val="18"/>
                      <w:szCs w:val="18"/>
                    </w:rPr>
                  </w:pPr>
                  <w:r>
                    <w:rPr>
                      <w:color w:val="auto"/>
                      <w:sz w:val="18"/>
                      <w:szCs w:val="18"/>
                    </w:rPr>
                    <w:t>污染物排放管控</w:t>
                  </w:r>
                </w:p>
              </w:tc>
              <w:tc>
                <w:tcPr>
                  <w:tcW w:w="2942" w:type="pct"/>
                  <w:shd w:val="clear" w:color="auto" w:fill="auto"/>
                  <w:vAlign w:val="center"/>
                </w:tcPr>
                <w:p>
                  <w:pPr>
                    <w:pStyle w:val="47"/>
                    <w:jc w:val="both"/>
                    <w:rPr>
                      <w:color w:val="auto"/>
                      <w:sz w:val="18"/>
                      <w:szCs w:val="18"/>
                      <w:lang w:eastAsia="zh-CN"/>
                    </w:rPr>
                  </w:pPr>
                  <w:r>
                    <w:rPr>
                      <w:rFonts w:hint="eastAsia" w:ascii="宋体" w:hAnsi="宋体" w:cs="宋体"/>
                      <w:color w:val="auto"/>
                      <w:sz w:val="18"/>
                      <w:szCs w:val="18"/>
                      <w:lang w:eastAsia="zh-CN"/>
                    </w:rPr>
                    <w:t>①</w:t>
                  </w:r>
                  <w:r>
                    <w:rPr>
                      <w:color w:val="auto"/>
                      <w:sz w:val="18"/>
                      <w:szCs w:val="18"/>
                      <w:lang w:eastAsia="zh-CN"/>
                    </w:rPr>
                    <w:t>完善污水收集配套管网，工业集聚区要建立水环境管理档案，实现“一园一档”。新建、升级园区应同步规划和建设污水、垃圾集中处理等污染治理设施。加强城镇污水管网建设，提高城镇污水处理率。启动乡镇污水处理设施及配套管网建设，建制镇污水处理率达到55%，污水处理设施产生的污泥应进行稳定化、无害化和资源化处理处置。</w:t>
                  </w:r>
                </w:p>
                <w:p>
                  <w:pPr>
                    <w:pStyle w:val="47"/>
                    <w:jc w:val="both"/>
                    <w:rPr>
                      <w:color w:val="auto"/>
                      <w:sz w:val="18"/>
                      <w:szCs w:val="18"/>
                      <w:lang w:eastAsia="zh-CN"/>
                    </w:rPr>
                  </w:pPr>
                  <w:r>
                    <w:rPr>
                      <w:rFonts w:hint="eastAsia" w:ascii="宋体" w:hAnsi="宋体" w:cs="宋体"/>
                      <w:color w:val="auto"/>
                      <w:sz w:val="18"/>
                      <w:szCs w:val="18"/>
                      <w:lang w:eastAsia="zh-CN"/>
                    </w:rPr>
                    <w:t>②</w:t>
                  </w:r>
                  <w:r>
                    <w:rPr>
                      <w:color w:val="auto"/>
                      <w:sz w:val="18"/>
                      <w:szCs w:val="18"/>
                      <w:lang w:eastAsia="zh-CN"/>
                    </w:rPr>
                    <w:t>完成“散乱污”涉气企业整治工作，重点工业企业完成无组织排放治理改造，强制推进清洁生产审核；实行区域内VOCs 排放等量或倍量削减替代，交通运输设备制造、工程机械制造和家具制造行业全面推行油性漆改水性漆。加快推进园区内淘汰取缔燃煤小锅炉、实施集中供热、清洁能源替代。禁止露天烧烤直排，禁止垃圾、秸秆和落叶露天焚烧。</w:t>
                  </w:r>
                </w:p>
                <w:p>
                  <w:pPr>
                    <w:pStyle w:val="47"/>
                    <w:jc w:val="both"/>
                    <w:rPr>
                      <w:color w:val="auto"/>
                      <w:sz w:val="18"/>
                      <w:szCs w:val="18"/>
                      <w:lang w:eastAsia="zh-CN"/>
                    </w:rPr>
                  </w:pPr>
                  <w:r>
                    <w:rPr>
                      <w:rFonts w:hint="eastAsia" w:ascii="宋体" w:hAnsi="宋体" w:cs="宋体"/>
                      <w:color w:val="auto"/>
                      <w:sz w:val="18"/>
                      <w:szCs w:val="18"/>
                      <w:lang w:eastAsia="zh-CN"/>
                    </w:rPr>
                    <w:t>③</w:t>
                  </w:r>
                  <w:r>
                    <w:rPr>
                      <w:color w:val="auto"/>
                      <w:sz w:val="18"/>
                      <w:szCs w:val="18"/>
                      <w:lang w:eastAsia="zh-CN"/>
                    </w:rPr>
                    <w:t>积极推进垃圾收运体系建设，建设覆盖城乡的垃圾收运系统；严格监督分类垃圾分类收集、分类处理。推进农村环境综合整治全县域覆盖；畜禽规模养殖场（小区）配套建设废弃物处理设施的比例达到85%以上。</w:t>
                  </w:r>
                </w:p>
              </w:tc>
              <w:tc>
                <w:tcPr>
                  <w:tcW w:w="1018" w:type="pct"/>
                  <w:shd w:val="clear" w:color="auto" w:fill="auto"/>
                  <w:vAlign w:val="center"/>
                </w:tcPr>
                <w:p>
                  <w:pPr>
                    <w:pStyle w:val="47"/>
                    <w:rPr>
                      <w:color w:val="auto"/>
                      <w:sz w:val="18"/>
                      <w:szCs w:val="18"/>
                      <w:lang w:eastAsia="zh-CN"/>
                    </w:rPr>
                  </w:pPr>
                  <w:r>
                    <w:rPr>
                      <w:color w:val="auto"/>
                      <w:sz w:val="18"/>
                      <w:szCs w:val="18"/>
                      <w:lang w:eastAsia="zh-CN"/>
                    </w:rPr>
                    <w:t>本项目位于衡阳县</w:t>
                  </w:r>
                  <w:r>
                    <w:rPr>
                      <w:rFonts w:hint="eastAsia"/>
                      <w:color w:val="auto"/>
                      <w:sz w:val="18"/>
                      <w:szCs w:val="18"/>
                      <w:lang w:eastAsia="zh-CN"/>
                    </w:rPr>
                    <w:t>西渡镇咸中亭村</w:t>
                  </w:r>
                  <w:r>
                    <w:rPr>
                      <w:color w:val="auto"/>
                      <w:sz w:val="18"/>
                      <w:szCs w:val="18"/>
                      <w:lang w:eastAsia="zh-CN"/>
                    </w:rPr>
                    <w:t>，不属于工业园区范围，同时本项目无生产废水产生</w:t>
                  </w:r>
                  <w:r>
                    <w:rPr>
                      <w:rFonts w:hint="eastAsia"/>
                      <w:color w:val="auto"/>
                      <w:sz w:val="18"/>
                      <w:szCs w:val="18"/>
                      <w:lang w:eastAsia="zh-CN"/>
                    </w:rPr>
                    <w:t>外排</w:t>
                  </w:r>
                  <w:r>
                    <w:rPr>
                      <w:color w:val="auto"/>
                      <w:sz w:val="18"/>
                      <w:szCs w:val="18"/>
                      <w:lang w:eastAsia="zh-CN"/>
                    </w:rPr>
                    <w:t>；本项目不属于重点工业企业，项目区域已覆盖垃圾收运体系</w:t>
                  </w:r>
                </w:p>
              </w:tc>
              <w:tc>
                <w:tcPr>
                  <w:tcW w:w="530" w:type="pct"/>
                  <w:shd w:val="clear" w:color="auto" w:fill="auto"/>
                  <w:vAlign w:val="center"/>
                </w:tcPr>
                <w:p>
                  <w:pPr>
                    <w:pStyle w:val="47"/>
                    <w:rPr>
                      <w:color w:val="auto"/>
                      <w:sz w:val="18"/>
                      <w:szCs w:val="18"/>
                      <w:lang w:eastAsia="zh-CN"/>
                    </w:rPr>
                  </w:pPr>
                  <w:r>
                    <w:rPr>
                      <w:color w:val="auto"/>
                      <w:sz w:val="18"/>
                      <w:szCs w:val="18"/>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8" w:type="pct"/>
                  <w:shd w:val="clear" w:color="auto" w:fill="auto"/>
                  <w:vAlign w:val="center"/>
                </w:tcPr>
                <w:p>
                  <w:pPr>
                    <w:pStyle w:val="47"/>
                    <w:rPr>
                      <w:color w:val="auto"/>
                      <w:sz w:val="18"/>
                      <w:szCs w:val="18"/>
                    </w:rPr>
                  </w:pPr>
                  <w:r>
                    <w:rPr>
                      <w:color w:val="auto"/>
                      <w:sz w:val="18"/>
                      <w:szCs w:val="18"/>
                    </w:rPr>
                    <w:t>环境风险防控</w:t>
                  </w:r>
                </w:p>
              </w:tc>
              <w:tc>
                <w:tcPr>
                  <w:tcW w:w="2942" w:type="pct"/>
                  <w:shd w:val="clear" w:color="auto" w:fill="auto"/>
                  <w:vAlign w:val="center"/>
                </w:tcPr>
                <w:p>
                  <w:pPr>
                    <w:pStyle w:val="47"/>
                    <w:jc w:val="both"/>
                    <w:rPr>
                      <w:color w:val="auto"/>
                      <w:sz w:val="18"/>
                      <w:szCs w:val="18"/>
                      <w:lang w:eastAsia="zh-CN"/>
                    </w:rPr>
                  </w:pPr>
                  <w:r>
                    <w:rPr>
                      <w:rFonts w:hint="eastAsia" w:ascii="宋体" w:hAnsi="宋体" w:cs="宋体"/>
                      <w:color w:val="auto"/>
                      <w:sz w:val="18"/>
                      <w:szCs w:val="18"/>
                      <w:lang w:eastAsia="zh-CN"/>
                    </w:rPr>
                    <w:t>①</w:t>
                  </w:r>
                  <w:r>
                    <w:rPr>
                      <w:color w:val="auto"/>
                      <w:sz w:val="18"/>
                      <w:szCs w:val="18"/>
                    </w:rPr>
                    <w:t>加强环境风险防控和应急管理，制定和完善突发环境事件和饮用水水源地突发环境事件应急预案，加强风险防控和突发环境事件应急处理处置能力。</w:t>
                  </w:r>
                  <w:r>
                    <w:rPr>
                      <w:color w:val="auto"/>
                      <w:sz w:val="18"/>
                      <w:szCs w:val="18"/>
                    </w:rPr>
                    <w:br w:type="textWrapping"/>
                  </w:r>
                  <w:r>
                    <w:rPr>
                      <w:rFonts w:hint="eastAsia" w:ascii="宋体" w:hAnsi="宋体" w:cs="宋体"/>
                      <w:color w:val="auto"/>
                      <w:sz w:val="18"/>
                      <w:szCs w:val="18"/>
                      <w:lang w:eastAsia="zh-CN"/>
                    </w:rPr>
                    <w:t>②</w:t>
                  </w:r>
                  <w:r>
                    <w:rPr>
                      <w:bCs/>
                      <w:color w:val="auto"/>
                      <w:sz w:val="18"/>
                      <w:szCs w:val="18"/>
                    </w:rPr>
                    <w:t>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制定实施受污染耕地安全利用方案，采取农艺调控、化学阻控、替代种植等措施，降低农产品重金属超标风险。</w:t>
                  </w:r>
                  <w:r>
                    <w:rPr>
                      <w:color w:val="auto"/>
                      <w:sz w:val="18"/>
                      <w:szCs w:val="18"/>
                    </w:rPr>
                    <w:t>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p>
              </w:tc>
              <w:tc>
                <w:tcPr>
                  <w:tcW w:w="1018" w:type="pct"/>
                  <w:shd w:val="clear" w:color="auto" w:fill="auto"/>
                  <w:vAlign w:val="center"/>
                </w:tcPr>
                <w:p>
                  <w:pPr>
                    <w:pStyle w:val="47"/>
                    <w:rPr>
                      <w:color w:val="auto"/>
                      <w:sz w:val="18"/>
                      <w:szCs w:val="18"/>
                      <w:lang w:eastAsia="zh-CN"/>
                    </w:rPr>
                  </w:pPr>
                  <w:r>
                    <w:rPr>
                      <w:color w:val="auto"/>
                      <w:sz w:val="18"/>
                      <w:szCs w:val="18"/>
                      <w:lang w:eastAsia="zh-CN"/>
                    </w:rPr>
                    <w:t>本项目原料为固体，对周边环境无影响，</w:t>
                  </w:r>
                  <w:r>
                    <w:rPr>
                      <w:rFonts w:hint="eastAsia"/>
                      <w:color w:val="auto"/>
                      <w:sz w:val="18"/>
                      <w:szCs w:val="18"/>
                      <w:lang w:eastAsia="zh-CN"/>
                    </w:rPr>
                    <w:t>生产过程产生的液体危废可能</w:t>
                  </w:r>
                  <w:r>
                    <w:rPr>
                      <w:color w:val="auto"/>
                      <w:sz w:val="18"/>
                      <w:szCs w:val="18"/>
                      <w:lang w:eastAsia="zh-CN"/>
                    </w:rPr>
                    <w:t>存在泄露风险，建议制定突发环境事件应急预案</w:t>
                  </w:r>
                </w:p>
              </w:tc>
              <w:tc>
                <w:tcPr>
                  <w:tcW w:w="530" w:type="pct"/>
                  <w:shd w:val="clear" w:color="auto" w:fill="auto"/>
                  <w:vAlign w:val="center"/>
                </w:tcPr>
                <w:p>
                  <w:pPr>
                    <w:pStyle w:val="47"/>
                    <w:rPr>
                      <w:color w:val="auto"/>
                      <w:sz w:val="18"/>
                      <w:szCs w:val="18"/>
                      <w:lang w:eastAsia="zh-CN"/>
                    </w:rPr>
                  </w:pPr>
                  <w:r>
                    <w:rPr>
                      <w:color w:val="auto"/>
                      <w:sz w:val="18"/>
                      <w:szCs w:val="18"/>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8" w:type="pct"/>
                  <w:shd w:val="clear" w:color="auto" w:fill="auto"/>
                  <w:vAlign w:val="center"/>
                </w:tcPr>
                <w:p>
                  <w:pPr>
                    <w:pStyle w:val="47"/>
                    <w:rPr>
                      <w:color w:val="auto"/>
                      <w:sz w:val="18"/>
                      <w:szCs w:val="18"/>
                    </w:rPr>
                  </w:pPr>
                  <w:r>
                    <w:rPr>
                      <w:color w:val="auto"/>
                      <w:sz w:val="18"/>
                      <w:szCs w:val="18"/>
                    </w:rPr>
                    <w:t>资源开发效率要求</w:t>
                  </w:r>
                </w:p>
              </w:tc>
              <w:tc>
                <w:tcPr>
                  <w:tcW w:w="2942" w:type="pct"/>
                  <w:shd w:val="clear" w:color="auto" w:fill="auto"/>
                  <w:vAlign w:val="center"/>
                </w:tcPr>
                <w:p>
                  <w:pPr>
                    <w:pStyle w:val="47"/>
                    <w:jc w:val="both"/>
                    <w:rPr>
                      <w:color w:val="auto"/>
                      <w:sz w:val="18"/>
                      <w:szCs w:val="18"/>
                    </w:rPr>
                  </w:pPr>
                  <w:r>
                    <w:rPr>
                      <w:rFonts w:hint="eastAsia" w:ascii="宋体" w:hAnsi="宋体" w:cs="宋体"/>
                      <w:color w:val="auto"/>
                      <w:sz w:val="18"/>
                      <w:szCs w:val="18"/>
                      <w:lang w:eastAsia="zh-CN"/>
                    </w:rPr>
                    <w:t>①</w:t>
                  </w:r>
                  <w:r>
                    <w:rPr>
                      <w:color w:val="auto"/>
                      <w:sz w:val="18"/>
                      <w:szCs w:val="18"/>
                    </w:rPr>
                    <w:t>能源：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w:t>
                  </w:r>
                  <w:r>
                    <w:rPr>
                      <w:color w:val="auto"/>
                      <w:sz w:val="18"/>
                      <w:szCs w:val="18"/>
                    </w:rPr>
                    <w:br w:type="textWrapping"/>
                  </w:r>
                  <w:r>
                    <w:rPr>
                      <w:rFonts w:hint="eastAsia" w:ascii="宋体" w:hAnsi="宋体" w:cs="宋体"/>
                      <w:color w:val="auto"/>
                      <w:sz w:val="18"/>
                      <w:szCs w:val="18"/>
                      <w:lang w:eastAsia="zh-CN"/>
                    </w:rPr>
                    <w:t>②</w:t>
                  </w:r>
                  <w:r>
                    <w:rPr>
                      <w:color w:val="auto"/>
                      <w:sz w:val="18"/>
                      <w:szCs w:val="18"/>
                    </w:rPr>
                    <w:t>水资源：大力推进农业、工业、城镇节水，全面推进节水型社会建设。</w:t>
                  </w:r>
                </w:p>
              </w:tc>
              <w:tc>
                <w:tcPr>
                  <w:tcW w:w="1018" w:type="pct"/>
                  <w:shd w:val="clear" w:color="auto" w:fill="auto"/>
                  <w:vAlign w:val="center"/>
                </w:tcPr>
                <w:p>
                  <w:pPr>
                    <w:pStyle w:val="47"/>
                    <w:jc w:val="both"/>
                    <w:rPr>
                      <w:color w:val="auto"/>
                      <w:sz w:val="18"/>
                      <w:szCs w:val="18"/>
                      <w:lang w:eastAsia="zh-CN"/>
                    </w:rPr>
                  </w:pPr>
                  <w:r>
                    <w:rPr>
                      <w:color w:val="auto"/>
                      <w:sz w:val="18"/>
                      <w:szCs w:val="18"/>
                      <w:lang w:eastAsia="zh-CN"/>
                    </w:rPr>
                    <w:t>本项目涉及的能源为电，</w:t>
                  </w:r>
                  <w:r>
                    <w:rPr>
                      <w:rFonts w:hint="eastAsia"/>
                      <w:color w:val="auto"/>
                      <w:sz w:val="18"/>
                      <w:szCs w:val="18"/>
                      <w:lang w:eastAsia="zh-CN"/>
                    </w:rPr>
                    <w:t>非高耗能行业，</w:t>
                  </w:r>
                  <w:r>
                    <w:rPr>
                      <w:rFonts w:ascii="Times New Roman" w:hAnsi="Times New Roman" w:cs="Times New Roman"/>
                      <w:color w:val="auto"/>
                      <w:sz w:val="18"/>
                      <w:szCs w:val="18"/>
                      <w:lang w:eastAsia="zh-CN"/>
                    </w:rPr>
                    <w:t>区域内水源充足，</w:t>
                  </w:r>
                  <w:r>
                    <w:rPr>
                      <w:rFonts w:hint="eastAsia" w:cs="Times New Roman"/>
                      <w:color w:val="auto"/>
                      <w:sz w:val="18"/>
                      <w:szCs w:val="18"/>
                      <w:lang w:eastAsia="zh-CN"/>
                    </w:rPr>
                    <w:t>仅</w:t>
                  </w:r>
                  <w:r>
                    <w:rPr>
                      <w:rFonts w:ascii="Times New Roman" w:hAnsi="Times New Roman" w:cs="Times New Roman"/>
                      <w:color w:val="auto"/>
                      <w:sz w:val="18"/>
                      <w:szCs w:val="18"/>
                      <w:lang w:eastAsia="zh-CN"/>
                    </w:rPr>
                    <w:t>生活用水</w:t>
                  </w:r>
                  <w:r>
                    <w:rPr>
                      <w:rFonts w:hint="eastAsia" w:cs="Times New Roman"/>
                      <w:color w:val="auto"/>
                      <w:sz w:val="18"/>
                      <w:szCs w:val="18"/>
                      <w:lang w:eastAsia="zh-CN"/>
                    </w:rPr>
                    <w:t>，</w:t>
                  </w:r>
                  <w:r>
                    <w:rPr>
                      <w:rFonts w:ascii="Times New Roman" w:hAnsi="Times New Roman" w:cs="Times New Roman"/>
                      <w:color w:val="auto"/>
                      <w:sz w:val="18"/>
                      <w:szCs w:val="18"/>
                      <w:lang w:eastAsia="zh-CN"/>
                    </w:rPr>
                    <w:t>使用</w:t>
                  </w:r>
                  <w:r>
                    <w:rPr>
                      <w:rFonts w:hint="eastAsia" w:ascii="Times New Roman" w:hAnsi="Times New Roman" w:cs="Times New Roman"/>
                      <w:color w:val="auto"/>
                      <w:sz w:val="18"/>
                      <w:szCs w:val="18"/>
                      <w:lang w:eastAsia="zh-CN"/>
                    </w:rPr>
                    <w:t>井水</w:t>
                  </w:r>
                  <w:r>
                    <w:rPr>
                      <w:rFonts w:hint="eastAsia" w:cs="Times New Roman"/>
                      <w:color w:val="auto"/>
                      <w:sz w:val="18"/>
                      <w:szCs w:val="18"/>
                      <w:lang w:eastAsia="zh-CN"/>
                    </w:rPr>
                    <w:t>，无</w:t>
                  </w:r>
                  <w:r>
                    <w:rPr>
                      <w:rFonts w:ascii="Times New Roman" w:hAnsi="Times New Roman" w:cs="Times New Roman"/>
                      <w:color w:val="auto"/>
                      <w:sz w:val="18"/>
                      <w:szCs w:val="18"/>
                      <w:lang w:eastAsia="zh-CN"/>
                    </w:rPr>
                    <w:t>生产用水</w:t>
                  </w:r>
                  <w:r>
                    <w:rPr>
                      <w:rFonts w:hint="eastAsia" w:ascii="Times New Roman" w:hAnsi="Times New Roman" w:cs="Times New Roman"/>
                      <w:color w:val="auto"/>
                      <w:sz w:val="18"/>
                      <w:szCs w:val="18"/>
                      <w:lang w:eastAsia="zh-CN"/>
                    </w:rPr>
                    <w:t>，</w:t>
                  </w:r>
                  <w:r>
                    <w:rPr>
                      <w:rFonts w:hint="eastAsia" w:cs="Times New Roman"/>
                      <w:color w:val="auto"/>
                      <w:sz w:val="18"/>
                      <w:szCs w:val="18"/>
                      <w:lang w:eastAsia="zh-CN"/>
                    </w:rPr>
                    <w:t>废水</w:t>
                  </w:r>
                  <w:r>
                    <w:rPr>
                      <w:rFonts w:hint="eastAsia" w:ascii="Times New Roman" w:hAnsi="Times New Roman" w:cs="Times New Roman"/>
                      <w:color w:val="auto"/>
                      <w:sz w:val="18"/>
                      <w:szCs w:val="18"/>
                      <w:lang w:eastAsia="zh-CN"/>
                    </w:rPr>
                    <w:t>无外排</w:t>
                  </w:r>
                  <w:r>
                    <w:rPr>
                      <w:rFonts w:hint="eastAsia"/>
                      <w:color w:val="auto"/>
                      <w:lang w:eastAsia="zh-CN"/>
                    </w:rPr>
                    <w:t>。</w:t>
                  </w:r>
                </w:p>
              </w:tc>
              <w:tc>
                <w:tcPr>
                  <w:tcW w:w="530" w:type="pct"/>
                  <w:shd w:val="clear" w:color="auto" w:fill="auto"/>
                  <w:vAlign w:val="center"/>
                </w:tcPr>
                <w:p>
                  <w:pPr>
                    <w:pStyle w:val="47"/>
                    <w:rPr>
                      <w:color w:val="auto"/>
                      <w:sz w:val="18"/>
                      <w:szCs w:val="18"/>
                      <w:lang w:eastAsia="zh-CN"/>
                    </w:rPr>
                  </w:pPr>
                  <w:r>
                    <w:rPr>
                      <w:color w:val="auto"/>
                      <w:sz w:val="18"/>
                      <w:szCs w:val="18"/>
                      <w:lang w:eastAsia="zh-CN"/>
                    </w:rPr>
                    <w:t>符合</w:t>
                  </w:r>
                </w:p>
              </w:tc>
            </w:tr>
          </w:tbl>
          <w:p>
            <w:pPr>
              <w:pStyle w:val="6"/>
              <w:keepNext w:val="0"/>
              <w:keepLines w:val="0"/>
              <w:pageBreakBefore w:val="0"/>
              <w:widowControl w:val="0"/>
              <w:kinsoku/>
              <w:wordWrap/>
              <w:overflowPunct/>
              <w:topLinePunct w:val="0"/>
              <w:autoSpaceDE/>
              <w:autoSpaceDN/>
              <w:bidi w:val="0"/>
              <w:adjustRightInd/>
              <w:snapToGrid/>
              <w:spacing w:before="157" w:beforeLines="50" w:after="0" w:line="360" w:lineRule="auto"/>
              <w:ind w:firstLine="0" w:firstLineChars="0"/>
              <w:textAlignment w:val="auto"/>
              <w:rPr>
                <w:rFonts w:hint="eastAsia"/>
                <w:b/>
                <w:color w:val="auto"/>
                <w:szCs w:val="21"/>
                <w:lang w:val="en-US" w:eastAsia="zh-CN"/>
              </w:rPr>
            </w:pPr>
            <w:r>
              <w:rPr>
                <w:rFonts w:hint="eastAsia"/>
                <w:b/>
                <w:color w:val="auto"/>
                <w:szCs w:val="21"/>
                <w:lang w:val="en-US" w:eastAsia="zh-CN"/>
              </w:rPr>
              <w:t>3、选址合理性分析</w:t>
            </w:r>
          </w:p>
          <w:p>
            <w:pPr>
              <w:pStyle w:val="6"/>
              <w:keepNext w:val="0"/>
              <w:keepLines w:val="0"/>
              <w:pageBreakBefore w:val="0"/>
              <w:kinsoku/>
              <w:wordWrap/>
              <w:overflowPunct/>
              <w:topLinePunct w:val="0"/>
              <w:autoSpaceDE/>
              <w:autoSpaceDN/>
              <w:bidi w:val="0"/>
              <w:adjustRightInd/>
              <w:snapToGrid/>
              <w:spacing w:after="0" w:line="360" w:lineRule="auto"/>
              <w:ind w:left="0" w:leftChars="0" w:firstLine="630" w:firstLineChars="300"/>
              <w:textAlignment w:val="auto"/>
              <w:rPr>
                <w:rFonts w:hint="eastAsia"/>
                <w:color w:val="auto"/>
                <w:szCs w:val="21"/>
              </w:rPr>
            </w:pPr>
            <w:r>
              <w:rPr>
                <w:rFonts w:hint="eastAsia"/>
                <w:color w:val="auto"/>
                <w:szCs w:val="21"/>
              </w:rPr>
              <w:t>本项目位于衡阳县</w:t>
            </w:r>
            <w:r>
              <w:rPr>
                <w:rFonts w:hint="eastAsia"/>
                <w:color w:val="auto"/>
                <w:szCs w:val="21"/>
                <w:lang w:eastAsia="zh-CN"/>
              </w:rPr>
              <w:t>西渡镇咸中亭村佳培小组</w:t>
            </w:r>
            <w:r>
              <w:rPr>
                <w:rFonts w:hint="eastAsia"/>
                <w:color w:val="auto"/>
                <w:szCs w:val="21"/>
              </w:rPr>
              <w:t>，</w:t>
            </w:r>
            <w:r>
              <w:rPr>
                <w:rFonts w:hint="eastAsia"/>
                <w:color w:val="auto"/>
                <w:szCs w:val="21"/>
                <w:lang w:eastAsia="zh-CN"/>
              </w:rPr>
              <w:t>用地性质：工矿仓储用地，该项目符合《衡阳县西渡镇土地利用工体规划（</w:t>
            </w:r>
            <w:r>
              <w:rPr>
                <w:rFonts w:hint="eastAsia"/>
                <w:color w:val="auto"/>
                <w:szCs w:val="21"/>
                <w:lang w:val="en-US" w:eastAsia="zh-CN"/>
              </w:rPr>
              <w:t>2006-2020年</w:t>
            </w:r>
            <w:r>
              <w:rPr>
                <w:rFonts w:hint="eastAsia"/>
                <w:color w:val="auto"/>
                <w:szCs w:val="21"/>
                <w:lang w:eastAsia="zh-CN"/>
              </w:rPr>
              <w:t>）》（</w:t>
            </w:r>
            <w:r>
              <w:rPr>
                <w:rFonts w:hint="eastAsia"/>
                <w:color w:val="auto"/>
                <w:szCs w:val="21"/>
                <w:lang w:val="en-US" w:eastAsia="zh-CN"/>
              </w:rPr>
              <w:t>2016年修订版</w:t>
            </w:r>
            <w:r>
              <w:rPr>
                <w:rFonts w:hint="eastAsia"/>
                <w:color w:val="auto"/>
                <w:szCs w:val="21"/>
                <w:lang w:eastAsia="zh-CN"/>
              </w:rPr>
              <w:t>）（见附件</w:t>
            </w:r>
            <w:r>
              <w:rPr>
                <w:rFonts w:hint="eastAsia"/>
                <w:color w:val="auto"/>
                <w:szCs w:val="21"/>
                <w:lang w:val="en-US" w:eastAsia="zh-CN"/>
              </w:rPr>
              <w:t>5衡阳县自然资源局关于衡阳县西渡镇废旧收集和综合利用建设项目选址意见函</w:t>
            </w:r>
            <w:r>
              <w:rPr>
                <w:rFonts w:hint="eastAsia"/>
                <w:color w:val="auto"/>
                <w:szCs w:val="21"/>
                <w:lang w:eastAsia="zh-CN"/>
              </w:rPr>
              <w:t>）</w:t>
            </w:r>
            <w:r>
              <w:rPr>
                <w:rFonts w:hint="eastAsia"/>
                <w:color w:val="auto"/>
                <w:szCs w:val="21"/>
              </w:rPr>
              <w:t>，用地较为合理。厂区外与</w:t>
            </w:r>
            <w:r>
              <w:rPr>
                <w:rFonts w:hint="eastAsia"/>
                <w:color w:val="auto"/>
                <w:szCs w:val="21"/>
                <w:lang w:val="en-US" w:eastAsia="zh-CN"/>
              </w:rPr>
              <w:t>S336</w:t>
            </w:r>
            <w:r>
              <w:rPr>
                <w:rFonts w:hint="eastAsia"/>
                <w:color w:val="auto"/>
                <w:szCs w:val="21"/>
              </w:rPr>
              <w:t>县道相</w:t>
            </w:r>
            <w:r>
              <w:rPr>
                <w:rFonts w:hint="eastAsia"/>
                <w:color w:val="auto"/>
                <w:szCs w:val="21"/>
                <w:lang w:eastAsia="zh-CN"/>
              </w:rPr>
              <w:t>距</w:t>
            </w:r>
            <w:r>
              <w:rPr>
                <w:rFonts w:hint="eastAsia"/>
                <w:color w:val="auto"/>
                <w:szCs w:val="21"/>
                <w:lang w:val="en-US" w:eastAsia="zh-CN"/>
              </w:rPr>
              <w:t>1</w:t>
            </w:r>
            <w:r>
              <w:rPr>
                <w:rFonts w:hint="default"/>
                <w:color w:val="auto"/>
                <w:szCs w:val="21"/>
                <w:lang w:val="en-US" w:eastAsia="zh-CN"/>
              </w:rPr>
              <w:t>20</w:t>
            </w:r>
            <w:r>
              <w:rPr>
                <w:rFonts w:hint="eastAsia"/>
                <w:color w:val="auto"/>
                <w:szCs w:val="21"/>
                <w:lang w:val="en-US" w:eastAsia="zh-CN"/>
              </w:rPr>
              <w:t>米</w:t>
            </w:r>
            <w:r>
              <w:rPr>
                <w:rFonts w:hint="eastAsia"/>
                <w:color w:val="auto"/>
                <w:szCs w:val="21"/>
              </w:rPr>
              <w:t>，交通运输条件方便，可以节省运输费用和时间；项目选址不在风景名胜区内，评价区域内无国家和省级保护野生动物、植物及古树名木；场址所在地水、电供应均有保证，满足本项目生产及生活需求；项目排放的污染物少，环保措施合理可行，污染程度和范围均十分有限，因此，项目生产后对周围环境质量的影响小，不会改变当地的环境功能区划。</w:t>
            </w:r>
          </w:p>
          <w:p>
            <w:pPr>
              <w:pStyle w:val="6"/>
              <w:keepNext w:val="0"/>
              <w:keepLines w:val="0"/>
              <w:pageBreakBefore w:val="0"/>
              <w:kinsoku/>
              <w:wordWrap/>
              <w:overflowPunct/>
              <w:topLinePunct w:val="0"/>
              <w:autoSpaceDE/>
              <w:autoSpaceDN/>
              <w:bidi w:val="0"/>
              <w:adjustRightInd/>
              <w:snapToGrid/>
              <w:spacing w:after="0" w:line="360" w:lineRule="auto"/>
              <w:ind w:left="0" w:leftChars="0" w:firstLine="630" w:firstLineChars="300"/>
              <w:textAlignment w:val="auto"/>
              <w:rPr>
                <w:rFonts w:hint="eastAsia"/>
                <w:color w:val="auto"/>
                <w:szCs w:val="21"/>
              </w:rPr>
            </w:pPr>
            <w:r>
              <w:rPr>
                <w:rFonts w:hint="eastAsia"/>
                <w:color w:val="auto"/>
                <w:szCs w:val="21"/>
              </w:rPr>
              <w:t>综上所述，项目不与区域环境相冲突，项目的建设符合当地环境的要求，该项目选址合理可行的。</w:t>
            </w:r>
          </w:p>
          <w:p>
            <w:pPr>
              <w:pStyle w:val="6"/>
              <w:rPr>
                <w:color w:val="auto"/>
              </w:rPr>
            </w:pPr>
          </w:p>
          <w:p>
            <w:pPr>
              <w:autoSpaceDE w:val="0"/>
              <w:autoSpaceDN w:val="0"/>
              <w:adjustRightInd w:val="0"/>
              <w:snapToGrid w:val="0"/>
              <w:jc w:val="center"/>
              <w:rPr>
                <w:color w:val="auto"/>
                <w:kern w:val="0"/>
                <w:szCs w:val="21"/>
              </w:rPr>
            </w:pPr>
          </w:p>
        </w:tc>
      </w:tr>
    </w:tbl>
    <w:p>
      <w:pPr>
        <w:spacing w:line="360" w:lineRule="auto"/>
        <w:outlineLvl w:val="0"/>
        <w:rPr>
          <w:rFonts w:eastAsia="黑体"/>
          <w:color w:val="auto"/>
          <w:sz w:val="30"/>
        </w:rPr>
        <w:sectPr>
          <w:footerReference r:id="rId1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9"/>
        <w:gridCol w:w="11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noWrap w:val="0"/>
            <w:vAlign w:val="top"/>
          </w:tcPr>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p>
          <w:p>
            <w:pPr>
              <w:autoSpaceDE w:val="0"/>
              <w:autoSpaceDN w:val="0"/>
              <w:adjustRightInd w:val="0"/>
              <w:snapToGrid w:val="0"/>
              <w:jc w:val="center"/>
              <w:rPr>
                <w:color w:val="auto"/>
                <w:kern w:val="0"/>
                <w:szCs w:val="21"/>
              </w:rPr>
            </w:pPr>
            <w:r>
              <w:rPr>
                <w:color w:val="auto"/>
                <w:kern w:val="0"/>
                <w:szCs w:val="21"/>
              </w:rPr>
              <w:t>其他符合性</w:t>
            </w:r>
          </w:p>
          <w:p>
            <w:pPr>
              <w:autoSpaceDE w:val="0"/>
              <w:autoSpaceDN w:val="0"/>
              <w:adjustRightInd w:val="0"/>
              <w:snapToGrid w:val="0"/>
              <w:jc w:val="center"/>
              <w:rPr>
                <w:color w:val="auto"/>
                <w:szCs w:val="21"/>
              </w:rPr>
            </w:pPr>
            <w:r>
              <w:rPr>
                <w:color w:val="auto"/>
                <w:kern w:val="0"/>
                <w:szCs w:val="21"/>
              </w:rPr>
              <w:t>分析</w:t>
            </w:r>
          </w:p>
        </w:tc>
        <w:tc>
          <w:tcPr>
            <w:tcW w:w="11903" w:type="dxa"/>
            <w:noWrap w:val="0"/>
            <w:vAlign w:val="top"/>
          </w:tcPr>
          <w:p>
            <w:pPr>
              <w:pStyle w:val="2"/>
              <w:keepNext/>
              <w:keepLines/>
              <w:pageBreakBefore w:val="0"/>
              <w:widowControl w:val="0"/>
              <w:kinsoku/>
              <w:wordWrap/>
              <w:overflowPunct/>
              <w:topLinePunct w:val="0"/>
              <w:autoSpaceDE/>
              <w:autoSpaceDN/>
              <w:bidi w:val="0"/>
              <w:adjustRightInd/>
              <w:snapToGrid/>
              <w:spacing w:before="140" w:after="140" w:line="360" w:lineRule="auto"/>
              <w:textAlignment w:val="auto"/>
              <w:rPr>
                <w:rFonts w:ascii="Times New Roman" w:hAnsi="Times New Roman"/>
                <w:b/>
                <w:color w:val="auto"/>
                <w:sz w:val="21"/>
                <w:szCs w:val="21"/>
              </w:rPr>
            </w:pPr>
            <w:r>
              <w:rPr>
                <w:rFonts w:hint="eastAsia" w:ascii="Times New Roman" w:hAnsi="Times New Roman"/>
                <w:b/>
                <w:color w:val="auto"/>
                <w:sz w:val="21"/>
                <w:szCs w:val="21"/>
                <w:lang w:val="en-US" w:eastAsia="zh-CN"/>
              </w:rPr>
              <w:t>4</w:t>
            </w:r>
            <w:r>
              <w:rPr>
                <w:rFonts w:ascii="Times New Roman" w:hAnsi="Times New Roman"/>
                <w:b/>
                <w:color w:val="auto"/>
                <w:sz w:val="21"/>
                <w:szCs w:val="21"/>
              </w:rPr>
              <w:t>、与《报废机动车拆解环境保护技术规范》相符性分析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bCs/>
                <w:color w:val="auto"/>
                <w:szCs w:val="21"/>
              </w:rPr>
            </w:pPr>
            <w:r>
              <w:rPr>
                <w:bCs/>
                <w:color w:val="auto"/>
                <w:szCs w:val="21"/>
              </w:rPr>
              <w:t>为贯彻《中华人民共和国固体废物污染环境防治法》及相关法律法规，落实《汽车产品回收利用技术政策》，防治报废机动车拆解过程的环境污染，保护环境，促进资源的循环利用，国家环保总局公布了《报废机动车拆解环境保护技术规范》（HJ348-2007），于2007年4月9日起实施。该标准适用于报废机动车拆解和破碎过程的污染防治和环境保护，强制执行。</w:t>
            </w:r>
          </w:p>
          <w:p>
            <w:pPr>
              <w:autoSpaceDE w:val="0"/>
              <w:autoSpaceDN w:val="0"/>
              <w:spacing w:line="360" w:lineRule="auto"/>
              <w:jc w:val="center"/>
              <w:rPr>
                <w:b/>
                <w:color w:val="auto"/>
                <w:szCs w:val="21"/>
              </w:rPr>
            </w:pPr>
            <w:r>
              <w:rPr>
                <w:b/>
                <w:color w:val="auto"/>
                <w:szCs w:val="21"/>
              </w:rPr>
              <w:t>表1-</w:t>
            </w:r>
            <w:r>
              <w:rPr>
                <w:rFonts w:hint="eastAsia"/>
                <w:b/>
                <w:color w:val="auto"/>
                <w:szCs w:val="21"/>
              </w:rPr>
              <w:t>2</w:t>
            </w:r>
            <w:r>
              <w:rPr>
                <w:b/>
                <w:color w:val="auto"/>
                <w:szCs w:val="21"/>
              </w:rPr>
              <w:t xml:space="preserve"> 本项目与《报废机动车拆解环境保护技术规范》相符性分析</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4522"/>
              <w:gridCol w:w="5071"/>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noWrap w:val="0"/>
                  <w:vAlign w:val="center"/>
                </w:tcPr>
                <w:p>
                  <w:pPr>
                    <w:autoSpaceDE w:val="0"/>
                    <w:autoSpaceDN w:val="0"/>
                    <w:rPr>
                      <w:color w:val="auto"/>
                      <w:kern w:val="0"/>
                      <w:sz w:val="18"/>
                      <w:szCs w:val="18"/>
                    </w:rPr>
                  </w:pPr>
                  <w:r>
                    <w:rPr>
                      <w:color w:val="auto"/>
                      <w:kern w:val="0"/>
                      <w:sz w:val="18"/>
                      <w:szCs w:val="18"/>
                    </w:rPr>
                    <w:t>内容</w:t>
                  </w:r>
                </w:p>
              </w:tc>
              <w:tc>
                <w:tcPr>
                  <w:tcW w:w="4522" w:type="dxa"/>
                  <w:noWrap w:val="0"/>
                  <w:vAlign w:val="center"/>
                </w:tcPr>
                <w:p>
                  <w:pPr>
                    <w:autoSpaceDE w:val="0"/>
                    <w:autoSpaceDN w:val="0"/>
                    <w:rPr>
                      <w:color w:val="auto"/>
                      <w:kern w:val="0"/>
                      <w:sz w:val="18"/>
                      <w:szCs w:val="18"/>
                    </w:rPr>
                  </w:pPr>
                  <w:r>
                    <w:rPr>
                      <w:color w:val="auto"/>
                      <w:kern w:val="0"/>
                      <w:sz w:val="18"/>
                      <w:szCs w:val="18"/>
                    </w:rPr>
                    <w:t xml:space="preserve">行业规范要求 </w:t>
                  </w:r>
                </w:p>
              </w:tc>
              <w:tc>
                <w:tcPr>
                  <w:tcW w:w="5071" w:type="dxa"/>
                  <w:noWrap w:val="0"/>
                  <w:vAlign w:val="center"/>
                </w:tcPr>
                <w:p>
                  <w:pPr>
                    <w:autoSpaceDE w:val="0"/>
                    <w:autoSpaceDN w:val="0"/>
                    <w:rPr>
                      <w:color w:val="auto"/>
                      <w:kern w:val="0"/>
                      <w:sz w:val="18"/>
                      <w:szCs w:val="18"/>
                    </w:rPr>
                  </w:pPr>
                  <w:r>
                    <w:rPr>
                      <w:color w:val="auto"/>
                      <w:kern w:val="0"/>
                      <w:sz w:val="18"/>
                      <w:szCs w:val="18"/>
                    </w:rPr>
                    <w:t xml:space="preserve">本项目情况 </w:t>
                  </w:r>
                </w:p>
              </w:tc>
              <w:tc>
                <w:tcPr>
                  <w:tcW w:w="691" w:type="dxa"/>
                  <w:noWrap w:val="0"/>
                  <w:vAlign w:val="center"/>
                </w:tcPr>
                <w:p>
                  <w:pPr>
                    <w:autoSpaceDE w:val="0"/>
                    <w:autoSpaceDN w:val="0"/>
                    <w:ind w:left="-105" w:leftChars="-50" w:right="-105" w:rightChars="-50"/>
                    <w:rPr>
                      <w:color w:val="auto"/>
                      <w:kern w:val="0"/>
                      <w:sz w:val="18"/>
                      <w:szCs w:val="18"/>
                    </w:rPr>
                  </w:pPr>
                  <w:r>
                    <w:rPr>
                      <w:color w:val="auto"/>
                      <w:kern w:val="0"/>
                      <w:sz w:val="18"/>
                      <w:szCs w:val="18"/>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7" w:type="dxa"/>
                  <w:gridSpan w:val="4"/>
                  <w:noWrap w:val="0"/>
                  <w:vAlign w:val="center"/>
                </w:tcPr>
                <w:p>
                  <w:pPr>
                    <w:autoSpaceDE w:val="0"/>
                    <w:autoSpaceDN w:val="0"/>
                    <w:rPr>
                      <w:b/>
                      <w:bCs/>
                      <w:color w:val="auto"/>
                      <w:kern w:val="0"/>
                      <w:sz w:val="18"/>
                      <w:szCs w:val="18"/>
                    </w:rPr>
                  </w:pPr>
                  <w:r>
                    <w:rPr>
                      <w:b/>
                      <w:bCs/>
                      <w:color w:val="auto"/>
                      <w:kern w:val="0"/>
                      <w:sz w:val="18"/>
                      <w:szCs w:val="18"/>
                    </w:rPr>
                    <w:t>4、报废机动车拆解环境保护基本要求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4.1 报废机动车拆解企业的建设与运行应以环境无害化方式进行，不能产生二次污染。</w:t>
                  </w:r>
                </w:p>
              </w:tc>
              <w:tc>
                <w:tcPr>
                  <w:tcW w:w="5071" w:type="dxa"/>
                  <w:noWrap w:val="0"/>
                  <w:vAlign w:val="center"/>
                </w:tcPr>
                <w:p>
                  <w:pPr>
                    <w:autoSpaceDE w:val="0"/>
                    <w:autoSpaceDN w:val="0"/>
                    <w:rPr>
                      <w:color w:val="auto"/>
                      <w:kern w:val="0"/>
                      <w:sz w:val="18"/>
                      <w:szCs w:val="18"/>
                    </w:rPr>
                  </w:pPr>
                  <w:r>
                    <w:rPr>
                      <w:color w:val="auto"/>
                      <w:kern w:val="0"/>
                      <w:sz w:val="18"/>
                      <w:szCs w:val="18"/>
                    </w:rPr>
                    <w:t>本项目为报废机动车拆解企业，汽车堆场与车间地面均进行了防渗处理；</w:t>
                  </w:r>
                  <w:r>
                    <w:rPr>
                      <w:rFonts w:hint="eastAsia"/>
                      <w:color w:val="auto"/>
                      <w:kern w:val="0"/>
                      <w:sz w:val="18"/>
                      <w:szCs w:val="18"/>
                      <w:lang w:eastAsia="zh-CN"/>
                    </w:rPr>
                    <w:t>抽取残油过程抽油装置附有油气回收装置，</w:t>
                  </w:r>
                  <w:r>
                    <w:rPr>
                      <w:color w:val="auto"/>
                      <w:kern w:val="0"/>
                      <w:sz w:val="18"/>
                      <w:szCs w:val="18"/>
                    </w:rPr>
                    <w:t>本项目为汽车拆解后资源再利用项目，是减少废物的循环经济产业。</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4.2 报废机动车的拆解、破碎应以材料回收为主要目的，应最大限度保证拆解、破碎产物的循环利用。</w:t>
                  </w:r>
                </w:p>
              </w:tc>
              <w:tc>
                <w:tcPr>
                  <w:tcW w:w="5071" w:type="dxa"/>
                  <w:noWrap w:val="0"/>
                  <w:vAlign w:val="center"/>
                </w:tcPr>
                <w:p>
                  <w:pPr>
                    <w:autoSpaceDE w:val="0"/>
                    <w:autoSpaceDN w:val="0"/>
                    <w:rPr>
                      <w:color w:val="auto"/>
                      <w:kern w:val="0"/>
                      <w:sz w:val="18"/>
                      <w:szCs w:val="18"/>
                    </w:rPr>
                  </w:pPr>
                  <w:r>
                    <w:rPr>
                      <w:color w:val="auto"/>
                      <w:kern w:val="0"/>
                      <w:sz w:val="18"/>
                      <w:szCs w:val="18"/>
                    </w:rPr>
                    <w:t>本项目报废机动车的拆解以材料回收为主要目的，最大限度保证拆解产物的循环利用。</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4.3 报废机动车拆解产生的废液化气罐、废安全气囊、废蓄电池、含多氯联苯的废电容器、废尾气净化催化剂、废油液（包括汽油、柴油、机油、润滑剂、液压油、制动液、防冻剂等，下同）、废空调制冷剂等属于危险废物，应按照危险废物的有关规定进行管理和处置。</w:t>
                  </w:r>
                </w:p>
              </w:tc>
              <w:tc>
                <w:tcPr>
                  <w:tcW w:w="5071" w:type="dxa"/>
                  <w:noWrap w:val="0"/>
                  <w:vAlign w:val="center"/>
                </w:tcPr>
                <w:p>
                  <w:pPr>
                    <w:autoSpaceDE w:val="0"/>
                    <w:autoSpaceDN w:val="0"/>
                    <w:rPr>
                      <w:color w:val="auto"/>
                      <w:kern w:val="0"/>
                      <w:sz w:val="18"/>
                      <w:szCs w:val="18"/>
                    </w:rPr>
                  </w:pPr>
                  <w:r>
                    <w:rPr>
                      <w:color w:val="auto"/>
                      <w:kern w:val="0"/>
                      <w:sz w:val="18"/>
                      <w:szCs w:val="18"/>
                    </w:rPr>
                    <w:t>本项目拆解产生的废蓄电池、废尾气净化催化剂、非燃料油液、等危险废物按照危险废物的有关规定进行管理，分类、合理储存，委托具有资质的处理单位处理；废液化气罐、废空调制冷剂属于危险化学品，暂存于危化品库定期外售资质单位回收利用；安全气囊引爆后不再有环境危害，作为尼龙料外售利用；本项目汽车拆解基本不含多氯联苯的废电容器。</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7" w:type="dxa"/>
                  <w:gridSpan w:val="4"/>
                  <w:noWrap w:val="0"/>
                  <w:vAlign w:val="center"/>
                </w:tcPr>
                <w:p>
                  <w:pPr>
                    <w:autoSpaceDE w:val="0"/>
                    <w:autoSpaceDN w:val="0"/>
                    <w:rPr>
                      <w:b/>
                      <w:bCs/>
                      <w:color w:val="auto"/>
                      <w:kern w:val="0"/>
                      <w:sz w:val="18"/>
                      <w:szCs w:val="18"/>
                    </w:rPr>
                  </w:pPr>
                  <w:r>
                    <w:rPr>
                      <w:b/>
                      <w:bCs/>
                      <w:color w:val="auto"/>
                      <w:kern w:val="0"/>
                      <w:sz w:val="18"/>
                      <w:szCs w:val="18"/>
                    </w:rPr>
                    <w:t>5、报废机动车拆解、破碎企业建设环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5.1 新建报废机动车拆解、破碎企业应经过环评审批，选址合理，不得建在城市居民区、商业区及其他环境敏感区内；原有报废机动车拆解、破碎企业如果在这一区域内，应按照当地规划和环境保护行政主管部门要求限期搬迁。</w:t>
                  </w:r>
                </w:p>
              </w:tc>
              <w:tc>
                <w:tcPr>
                  <w:tcW w:w="5071" w:type="dxa"/>
                  <w:noWrap w:val="0"/>
                  <w:vAlign w:val="center"/>
                </w:tcPr>
                <w:p>
                  <w:pPr>
                    <w:autoSpaceDE w:val="0"/>
                    <w:autoSpaceDN w:val="0"/>
                    <w:rPr>
                      <w:color w:val="auto"/>
                      <w:kern w:val="0"/>
                      <w:sz w:val="18"/>
                      <w:szCs w:val="18"/>
                    </w:rPr>
                  </w:pPr>
                  <w:r>
                    <w:rPr>
                      <w:color w:val="auto"/>
                      <w:kern w:val="0"/>
                      <w:sz w:val="18"/>
                      <w:szCs w:val="18"/>
                    </w:rPr>
                    <w:t>本项目为新建报废机动车拆解项目，选址位于</w:t>
                  </w:r>
                  <w:r>
                    <w:rPr>
                      <w:color w:val="auto"/>
                      <w:sz w:val="18"/>
                      <w:szCs w:val="18"/>
                      <w:u w:val="none"/>
                    </w:rPr>
                    <w:t>衡阳县</w:t>
                  </w:r>
                  <w:r>
                    <w:rPr>
                      <w:rFonts w:hint="eastAsia"/>
                      <w:color w:val="auto"/>
                      <w:sz w:val="18"/>
                      <w:szCs w:val="18"/>
                      <w:u w:val="none"/>
                      <w:lang w:eastAsia="zh-CN"/>
                    </w:rPr>
                    <w:t>西渡镇咸中亭村</w:t>
                  </w:r>
                  <w:r>
                    <w:rPr>
                      <w:color w:val="auto"/>
                      <w:kern w:val="0"/>
                      <w:sz w:val="18"/>
                      <w:szCs w:val="18"/>
                    </w:rPr>
                    <w:t>，不在城市居民集中区、商业区等环境敏感区，选址合理，本项目执行了环境影响评价制度。</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5.2 报废机动车拆解、破碎企业应建有封闭的围墙并设有门，禁止无关人员进入。</w:t>
                  </w:r>
                </w:p>
              </w:tc>
              <w:tc>
                <w:tcPr>
                  <w:tcW w:w="5071" w:type="dxa"/>
                  <w:noWrap w:val="0"/>
                  <w:vAlign w:val="center"/>
                </w:tcPr>
                <w:p>
                  <w:pPr>
                    <w:autoSpaceDE w:val="0"/>
                    <w:autoSpaceDN w:val="0"/>
                    <w:rPr>
                      <w:rFonts w:hint="eastAsia" w:eastAsia="宋体"/>
                      <w:color w:val="auto"/>
                      <w:kern w:val="0"/>
                      <w:sz w:val="18"/>
                      <w:szCs w:val="18"/>
                      <w:lang w:eastAsia="zh-CN"/>
                    </w:rPr>
                  </w:pPr>
                  <w:r>
                    <w:rPr>
                      <w:color w:val="auto"/>
                      <w:kern w:val="0"/>
                      <w:sz w:val="18"/>
                      <w:szCs w:val="18"/>
                    </w:rPr>
                    <w:t>本项目厂区建有封闭的围墙，出入口设有门卫进行管理，禁止无关人员进入</w:t>
                  </w:r>
                  <w:r>
                    <w:rPr>
                      <w:rFonts w:hint="eastAsia"/>
                      <w:color w:val="auto"/>
                      <w:kern w:val="0"/>
                      <w:sz w:val="18"/>
                      <w:szCs w:val="18"/>
                      <w:lang w:eastAsia="zh-CN"/>
                    </w:rPr>
                    <w:t>。</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5.3 报废机动车拆解、破碎企业内的道路应采取硬化措施，并确保在其运营期间无破损。</w:t>
                  </w:r>
                </w:p>
              </w:tc>
              <w:tc>
                <w:tcPr>
                  <w:tcW w:w="5071" w:type="dxa"/>
                  <w:noWrap w:val="0"/>
                  <w:vAlign w:val="center"/>
                </w:tcPr>
                <w:p>
                  <w:pPr>
                    <w:autoSpaceDE w:val="0"/>
                    <w:autoSpaceDN w:val="0"/>
                    <w:rPr>
                      <w:rFonts w:hint="eastAsia" w:eastAsia="宋体"/>
                      <w:color w:val="auto"/>
                      <w:kern w:val="0"/>
                      <w:sz w:val="18"/>
                      <w:szCs w:val="18"/>
                      <w:lang w:eastAsia="zh-CN"/>
                    </w:rPr>
                  </w:pPr>
                  <w:r>
                    <w:rPr>
                      <w:color w:val="auto"/>
                      <w:kern w:val="0"/>
                      <w:sz w:val="18"/>
                      <w:szCs w:val="18"/>
                    </w:rPr>
                    <w:t>本项目对拆解厂房、堆场、厂区道路进行硬化、防渗处理，定期维护，避免破损</w:t>
                  </w:r>
                  <w:r>
                    <w:rPr>
                      <w:rFonts w:hint="eastAsia"/>
                      <w:color w:val="auto"/>
                      <w:kern w:val="0"/>
                      <w:sz w:val="18"/>
                      <w:szCs w:val="18"/>
                      <w:lang w:eastAsia="zh-CN"/>
                    </w:rPr>
                    <w:t>。</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5.4 报废机动车拆解企业的厂区应划分为不同的功能区，包括管理区；未拆解的报废机动车贮存区；拆解作业区；产品（半成品）贮存区；污染控制区（各类废物的收集、贮存和处理区，下同）。</w:t>
                  </w:r>
                </w:p>
              </w:tc>
              <w:tc>
                <w:tcPr>
                  <w:tcW w:w="5071" w:type="dxa"/>
                  <w:noWrap w:val="0"/>
                  <w:vAlign w:val="center"/>
                </w:tcPr>
                <w:p>
                  <w:pPr>
                    <w:autoSpaceDE w:val="0"/>
                    <w:autoSpaceDN w:val="0"/>
                    <w:rPr>
                      <w:rFonts w:hint="eastAsia" w:eastAsia="宋体"/>
                      <w:color w:val="auto"/>
                      <w:kern w:val="0"/>
                      <w:sz w:val="18"/>
                      <w:szCs w:val="18"/>
                      <w:lang w:eastAsia="zh-CN"/>
                    </w:rPr>
                  </w:pPr>
                  <w:r>
                    <w:rPr>
                      <w:color w:val="auto"/>
                      <w:kern w:val="0"/>
                      <w:sz w:val="18"/>
                      <w:szCs w:val="18"/>
                    </w:rPr>
                    <w:t>本项目按功能分类设置</w:t>
                  </w:r>
                  <w:r>
                    <w:rPr>
                      <w:rFonts w:hint="eastAsia"/>
                      <w:color w:val="auto"/>
                      <w:kern w:val="0"/>
                      <w:sz w:val="18"/>
                      <w:szCs w:val="18"/>
                    </w:rPr>
                    <w:t>贮存区</w:t>
                  </w:r>
                  <w:r>
                    <w:rPr>
                      <w:color w:val="auto"/>
                      <w:kern w:val="0"/>
                      <w:sz w:val="18"/>
                      <w:szCs w:val="18"/>
                    </w:rPr>
                    <w:t>、拆解区</w:t>
                  </w:r>
                  <w:r>
                    <w:rPr>
                      <w:rFonts w:hint="eastAsia"/>
                      <w:color w:val="auto"/>
                      <w:kern w:val="0"/>
                      <w:sz w:val="18"/>
                      <w:szCs w:val="18"/>
                    </w:rPr>
                    <w:t>、</w:t>
                  </w:r>
                  <w:r>
                    <w:rPr>
                      <w:color w:val="auto"/>
                      <w:kern w:val="0"/>
                      <w:sz w:val="18"/>
                      <w:szCs w:val="18"/>
                    </w:rPr>
                    <w:t>产品库、报废汽车堆场、危废暂存库以及相应的废液导流沟、初期雨水收集池、排水管道、污水处理站等污染控制区</w:t>
                  </w:r>
                  <w:r>
                    <w:rPr>
                      <w:rFonts w:hint="eastAsia"/>
                      <w:color w:val="auto"/>
                      <w:kern w:val="0"/>
                      <w:sz w:val="18"/>
                      <w:szCs w:val="18"/>
                      <w:lang w:eastAsia="zh-CN"/>
                    </w:rPr>
                    <w:t>。</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5.5 报废机动车拆解企业厂区内各功能区的设计和建设应满足以下要求：</w:t>
                  </w:r>
                </w:p>
                <w:p>
                  <w:pPr>
                    <w:autoSpaceDE w:val="0"/>
                    <w:autoSpaceDN w:val="0"/>
                    <w:rPr>
                      <w:color w:val="auto"/>
                      <w:kern w:val="0"/>
                      <w:sz w:val="18"/>
                      <w:szCs w:val="18"/>
                    </w:rPr>
                  </w:pPr>
                  <w:r>
                    <w:rPr>
                      <w:color w:val="auto"/>
                      <w:kern w:val="0"/>
                      <w:sz w:val="18"/>
                      <w:szCs w:val="18"/>
                    </w:rPr>
                    <w:t>（1）各功能区的大小和分区应适合企业的设计拆解能力；</w:t>
                  </w:r>
                </w:p>
                <w:p>
                  <w:pPr>
                    <w:autoSpaceDE w:val="0"/>
                    <w:autoSpaceDN w:val="0"/>
                    <w:rPr>
                      <w:color w:val="auto"/>
                      <w:kern w:val="0"/>
                      <w:sz w:val="18"/>
                      <w:szCs w:val="18"/>
                    </w:rPr>
                  </w:pPr>
                  <w:r>
                    <w:rPr>
                      <w:color w:val="auto"/>
                      <w:kern w:val="0"/>
                      <w:sz w:val="18"/>
                      <w:szCs w:val="18"/>
                    </w:rPr>
                    <w:t>（2）各功能区应有明确的界线和明显的标识；</w:t>
                  </w:r>
                </w:p>
                <w:p>
                  <w:pPr>
                    <w:autoSpaceDE w:val="0"/>
                    <w:autoSpaceDN w:val="0"/>
                    <w:rPr>
                      <w:color w:val="auto"/>
                      <w:kern w:val="0"/>
                      <w:sz w:val="18"/>
                      <w:szCs w:val="18"/>
                    </w:rPr>
                  </w:pPr>
                  <w:r>
                    <w:rPr>
                      <w:color w:val="auto"/>
                      <w:kern w:val="0"/>
                      <w:sz w:val="18"/>
                      <w:szCs w:val="18"/>
                    </w:rPr>
                    <w:t>（3）未拆解的报废机动车贮存区、拆解作业区、产品（半成品）贮存区、污染控制区应具有防渗地面和油水收集设施；</w:t>
                  </w:r>
                </w:p>
                <w:p>
                  <w:pPr>
                    <w:autoSpaceDE w:val="0"/>
                    <w:autoSpaceDN w:val="0"/>
                    <w:rPr>
                      <w:color w:val="auto"/>
                      <w:kern w:val="0"/>
                      <w:sz w:val="18"/>
                      <w:szCs w:val="18"/>
                    </w:rPr>
                  </w:pPr>
                  <w:r>
                    <w:rPr>
                      <w:color w:val="auto"/>
                      <w:kern w:val="0"/>
                      <w:sz w:val="18"/>
                      <w:szCs w:val="18"/>
                    </w:rPr>
                    <w:t>（4）拆解作业区、产品（半成品）贮存区、污染控制区应设有防雨、防风设施。</w:t>
                  </w:r>
                </w:p>
              </w:tc>
              <w:tc>
                <w:tcPr>
                  <w:tcW w:w="5071" w:type="dxa"/>
                  <w:noWrap w:val="0"/>
                  <w:vAlign w:val="center"/>
                </w:tcPr>
                <w:p>
                  <w:pPr>
                    <w:autoSpaceDE w:val="0"/>
                    <w:autoSpaceDN w:val="0"/>
                    <w:rPr>
                      <w:color w:val="auto"/>
                      <w:kern w:val="0"/>
                      <w:sz w:val="18"/>
                      <w:szCs w:val="18"/>
                    </w:rPr>
                  </w:pPr>
                  <w:r>
                    <w:rPr>
                      <w:color w:val="auto"/>
                      <w:kern w:val="0"/>
                      <w:sz w:val="18"/>
                      <w:szCs w:val="18"/>
                    </w:rPr>
                    <w:t>本项目：</w:t>
                  </w:r>
                </w:p>
                <w:p>
                  <w:pPr>
                    <w:autoSpaceDE w:val="0"/>
                    <w:autoSpaceDN w:val="0"/>
                    <w:rPr>
                      <w:color w:val="auto"/>
                      <w:kern w:val="0"/>
                      <w:sz w:val="18"/>
                      <w:szCs w:val="18"/>
                    </w:rPr>
                  </w:pPr>
                  <w:r>
                    <w:rPr>
                      <w:color w:val="auto"/>
                      <w:kern w:val="0"/>
                      <w:sz w:val="18"/>
                      <w:szCs w:val="18"/>
                    </w:rPr>
                    <w:t>（1）各功能区的大小和分区适合设计拆解能力；</w:t>
                  </w:r>
                </w:p>
                <w:p>
                  <w:pPr>
                    <w:autoSpaceDE w:val="0"/>
                    <w:autoSpaceDN w:val="0"/>
                    <w:rPr>
                      <w:color w:val="auto"/>
                      <w:kern w:val="0"/>
                      <w:sz w:val="18"/>
                      <w:szCs w:val="18"/>
                    </w:rPr>
                  </w:pPr>
                  <w:r>
                    <w:rPr>
                      <w:color w:val="auto"/>
                      <w:kern w:val="0"/>
                      <w:sz w:val="18"/>
                      <w:szCs w:val="18"/>
                    </w:rPr>
                    <w:t>（2）各功能区有明确的界线和的标识；</w:t>
                  </w:r>
                </w:p>
                <w:p>
                  <w:pPr>
                    <w:autoSpaceDE w:val="0"/>
                    <w:autoSpaceDN w:val="0"/>
                    <w:rPr>
                      <w:color w:val="auto"/>
                      <w:kern w:val="0"/>
                      <w:sz w:val="18"/>
                      <w:szCs w:val="18"/>
                    </w:rPr>
                  </w:pPr>
                  <w:r>
                    <w:rPr>
                      <w:color w:val="auto"/>
                      <w:kern w:val="0"/>
                      <w:sz w:val="18"/>
                      <w:szCs w:val="18"/>
                    </w:rPr>
                    <w:t>（3）未拆解的报废机动车贮存场、拆解作业区、产品库、污染控制区进行地面防渗，车间污水池设有油水收集设施；</w:t>
                  </w:r>
                </w:p>
                <w:p>
                  <w:pPr>
                    <w:autoSpaceDE w:val="0"/>
                    <w:autoSpaceDN w:val="0"/>
                    <w:rPr>
                      <w:color w:val="auto"/>
                      <w:kern w:val="0"/>
                      <w:sz w:val="18"/>
                      <w:szCs w:val="18"/>
                    </w:rPr>
                  </w:pPr>
                  <w:r>
                    <w:rPr>
                      <w:color w:val="auto"/>
                      <w:kern w:val="0"/>
                      <w:sz w:val="18"/>
                      <w:szCs w:val="18"/>
                    </w:rPr>
                    <w:t>（4）拆解作业、产品库、危废库均设于封闭的产房内。</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5.6 报废机动车破碎企业的厂区应划分为不同功能区，包括管理区；原料贮存区；破碎分选区；产品（半成品）贮存区；污染控制区。</w:t>
                  </w:r>
                </w:p>
              </w:tc>
              <w:tc>
                <w:tcPr>
                  <w:tcW w:w="5071" w:type="dxa"/>
                  <w:noWrap w:val="0"/>
                  <w:vAlign w:val="center"/>
                </w:tcPr>
                <w:p>
                  <w:pPr>
                    <w:autoSpaceDE w:val="0"/>
                    <w:autoSpaceDN w:val="0"/>
                    <w:rPr>
                      <w:color w:val="auto"/>
                      <w:kern w:val="0"/>
                      <w:sz w:val="18"/>
                      <w:szCs w:val="18"/>
                    </w:rPr>
                  </w:pPr>
                  <w:r>
                    <w:rPr>
                      <w:color w:val="auto"/>
                      <w:kern w:val="0"/>
                      <w:sz w:val="18"/>
                      <w:szCs w:val="18"/>
                    </w:rPr>
                    <w:t>本项目分为办公区、报废汽车堆场、预处理区、拆解区、产品库区、危废库区、一般固废堆场以及污水收集处理系统（含初期雨水）</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5.7 报废机动车破碎企业厂区内各功能区的设计和建设应满足以下要求：</w:t>
                  </w:r>
                </w:p>
                <w:p>
                  <w:pPr>
                    <w:autoSpaceDE w:val="0"/>
                    <w:autoSpaceDN w:val="0"/>
                    <w:rPr>
                      <w:color w:val="auto"/>
                      <w:kern w:val="0"/>
                      <w:sz w:val="18"/>
                      <w:szCs w:val="18"/>
                    </w:rPr>
                  </w:pPr>
                  <w:r>
                    <w:rPr>
                      <w:color w:val="auto"/>
                      <w:kern w:val="0"/>
                      <w:sz w:val="18"/>
                      <w:szCs w:val="18"/>
                    </w:rPr>
                    <w:t>（1）各功能区的大小和分区应适合企业的设计破碎能力；</w:t>
                  </w:r>
                </w:p>
                <w:p>
                  <w:pPr>
                    <w:autoSpaceDE w:val="0"/>
                    <w:autoSpaceDN w:val="0"/>
                    <w:rPr>
                      <w:color w:val="auto"/>
                      <w:kern w:val="0"/>
                      <w:sz w:val="18"/>
                      <w:szCs w:val="18"/>
                    </w:rPr>
                  </w:pPr>
                  <w:r>
                    <w:rPr>
                      <w:color w:val="auto"/>
                      <w:kern w:val="0"/>
                      <w:sz w:val="18"/>
                      <w:szCs w:val="18"/>
                    </w:rPr>
                    <w:t>（2）各功能区应有明确的界线和明显的标识；</w:t>
                  </w:r>
                </w:p>
                <w:p>
                  <w:pPr>
                    <w:autoSpaceDE w:val="0"/>
                    <w:autoSpaceDN w:val="0"/>
                    <w:rPr>
                      <w:color w:val="auto"/>
                      <w:kern w:val="0"/>
                      <w:sz w:val="18"/>
                      <w:szCs w:val="18"/>
                    </w:rPr>
                  </w:pPr>
                  <w:r>
                    <w:rPr>
                      <w:color w:val="auto"/>
                      <w:kern w:val="0"/>
                      <w:sz w:val="18"/>
                      <w:szCs w:val="18"/>
                    </w:rPr>
                    <w:t>（3）原料贮存区、破碎分选区、产品（半成品）贮存区、污染控制区应具有防渗地面和油水收集设施，并设有防雨、防风设施。</w:t>
                  </w:r>
                </w:p>
              </w:tc>
              <w:tc>
                <w:tcPr>
                  <w:tcW w:w="5071" w:type="dxa"/>
                  <w:noWrap w:val="0"/>
                  <w:vAlign w:val="center"/>
                </w:tcPr>
                <w:p>
                  <w:pPr>
                    <w:autoSpaceDE w:val="0"/>
                    <w:autoSpaceDN w:val="0"/>
                    <w:rPr>
                      <w:color w:val="auto"/>
                      <w:kern w:val="0"/>
                      <w:sz w:val="18"/>
                      <w:szCs w:val="18"/>
                    </w:rPr>
                  </w:pPr>
                  <w:r>
                    <w:rPr>
                      <w:color w:val="auto"/>
                      <w:kern w:val="0"/>
                      <w:sz w:val="18"/>
                      <w:szCs w:val="18"/>
                    </w:rPr>
                    <w:t>本项目</w:t>
                  </w:r>
                  <w:r>
                    <w:rPr>
                      <w:rFonts w:hint="eastAsia"/>
                      <w:color w:val="auto"/>
                      <w:kern w:val="0"/>
                      <w:sz w:val="18"/>
                      <w:szCs w:val="18"/>
                    </w:rPr>
                    <w:t>仅进行拆解作业，不进行破碎生产</w:t>
                  </w:r>
                  <w:r>
                    <w:rPr>
                      <w:color w:val="auto"/>
                      <w:kern w:val="0"/>
                      <w:sz w:val="18"/>
                      <w:szCs w:val="18"/>
                    </w:rPr>
                    <w:t>。</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5.8 报废机动车拆解应实行清污分流，在厂区内（除管理区外）收集的雨水、清洗水和其他非生活废水应设置专门的收集设施和污水处理设施。</w:t>
                  </w:r>
                </w:p>
              </w:tc>
              <w:tc>
                <w:tcPr>
                  <w:tcW w:w="5071" w:type="dxa"/>
                  <w:noWrap w:val="0"/>
                  <w:vAlign w:val="center"/>
                </w:tcPr>
                <w:p>
                  <w:pPr>
                    <w:autoSpaceDE w:val="0"/>
                    <w:autoSpaceDN w:val="0"/>
                    <w:rPr>
                      <w:color w:val="auto"/>
                      <w:kern w:val="0"/>
                      <w:sz w:val="18"/>
                      <w:szCs w:val="18"/>
                    </w:rPr>
                  </w:pPr>
                  <w:r>
                    <w:rPr>
                      <w:color w:val="auto"/>
                      <w:kern w:val="0"/>
                      <w:sz w:val="18"/>
                      <w:szCs w:val="18"/>
                    </w:rPr>
                    <w:t>本项目实行清污分流，设初期雨水收集池收集汽车堆场的初期雨水，清洗水设废水收集管沟及废水池，生活污水化粪池收集，各类废水利用污水处理设施处理后回用或作为绿化用水，不外排。</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5.9 报废机动车拆解、破碎企业应有符合相关要求的消防设施，并有足够的疏散通道。</w:t>
                  </w:r>
                </w:p>
              </w:tc>
              <w:tc>
                <w:tcPr>
                  <w:tcW w:w="5071" w:type="dxa"/>
                  <w:noWrap w:val="0"/>
                  <w:vAlign w:val="center"/>
                </w:tcPr>
                <w:p>
                  <w:pPr>
                    <w:autoSpaceDE w:val="0"/>
                    <w:autoSpaceDN w:val="0"/>
                    <w:rPr>
                      <w:color w:val="auto"/>
                      <w:kern w:val="0"/>
                      <w:sz w:val="18"/>
                      <w:szCs w:val="18"/>
                    </w:rPr>
                  </w:pPr>
                  <w:r>
                    <w:rPr>
                      <w:color w:val="auto"/>
                      <w:kern w:val="0"/>
                      <w:sz w:val="18"/>
                      <w:szCs w:val="18"/>
                    </w:rPr>
                    <w:t>本项目按规范建设消防设施，并有足够的疏散通道。</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5.10 报废机动车拆解、破碎企业应有完备的污染防治机制和处理环境污染事故的应急预案。</w:t>
                  </w:r>
                </w:p>
              </w:tc>
              <w:tc>
                <w:tcPr>
                  <w:tcW w:w="5071" w:type="dxa"/>
                  <w:noWrap w:val="0"/>
                  <w:vAlign w:val="center"/>
                </w:tcPr>
                <w:p>
                  <w:pPr>
                    <w:autoSpaceDE w:val="0"/>
                    <w:autoSpaceDN w:val="0"/>
                    <w:rPr>
                      <w:color w:val="auto"/>
                      <w:kern w:val="0"/>
                      <w:sz w:val="18"/>
                      <w:szCs w:val="18"/>
                    </w:rPr>
                  </w:pPr>
                  <w:r>
                    <w:rPr>
                      <w:color w:val="auto"/>
                      <w:kern w:val="0"/>
                      <w:sz w:val="18"/>
                      <w:szCs w:val="18"/>
                    </w:rPr>
                    <w:t>本项目按规定制定污染防治机制，并编制应急预案后方开展生产活动。</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7" w:type="dxa"/>
                  <w:gridSpan w:val="4"/>
                  <w:noWrap w:val="0"/>
                  <w:vAlign w:val="center"/>
                </w:tcPr>
                <w:p>
                  <w:pPr>
                    <w:autoSpaceDE w:val="0"/>
                    <w:autoSpaceDN w:val="0"/>
                    <w:rPr>
                      <w:color w:val="auto"/>
                      <w:kern w:val="0"/>
                      <w:sz w:val="18"/>
                      <w:szCs w:val="18"/>
                    </w:rPr>
                  </w:pPr>
                  <w:r>
                    <w:rPr>
                      <w:b/>
                      <w:bCs/>
                      <w:color w:val="auto"/>
                      <w:kern w:val="0"/>
                      <w:sz w:val="18"/>
                      <w:szCs w:val="18"/>
                    </w:rPr>
                    <w:t xml:space="preserve"> 6、报废机动车拆解、破碎企业运行环境保护要求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6.1 报废机动车拆解企业应向汽车生产企业要求获得《汽车拆解指导手册》及相关技术信息。</w:t>
                  </w:r>
                </w:p>
              </w:tc>
              <w:tc>
                <w:tcPr>
                  <w:tcW w:w="5071" w:type="dxa"/>
                  <w:noWrap w:val="0"/>
                  <w:vAlign w:val="center"/>
                </w:tcPr>
                <w:p>
                  <w:pPr>
                    <w:autoSpaceDE w:val="0"/>
                    <w:autoSpaceDN w:val="0"/>
                    <w:rPr>
                      <w:color w:val="auto"/>
                      <w:kern w:val="0"/>
                      <w:sz w:val="18"/>
                      <w:szCs w:val="18"/>
                    </w:rPr>
                  </w:pPr>
                  <w:r>
                    <w:rPr>
                      <w:color w:val="auto"/>
                      <w:kern w:val="0"/>
                      <w:sz w:val="18"/>
                      <w:szCs w:val="18"/>
                    </w:rPr>
                    <w:t>公司制定拆解流程管理制度，未获得《汽车拆解指导手册》及相关技术信息的禁止拆解。</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6.2 报废机动车拆解企业应采用对环境污染程度最低的方式拆解、破碎报废机动车。鼓励采用固体废物产生量少、资源回收利用率高的拆解、破碎工艺。</w:t>
                  </w:r>
                </w:p>
              </w:tc>
              <w:tc>
                <w:tcPr>
                  <w:tcW w:w="5071" w:type="dxa"/>
                  <w:noWrap w:val="0"/>
                  <w:vAlign w:val="center"/>
                </w:tcPr>
                <w:p>
                  <w:pPr>
                    <w:autoSpaceDE w:val="0"/>
                    <w:autoSpaceDN w:val="0"/>
                    <w:rPr>
                      <w:color w:val="auto"/>
                      <w:kern w:val="0"/>
                      <w:sz w:val="18"/>
                      <w:szCs w:val="18"/>
                    </w:rPr>
                  </w:pPr>
                  <w:r>
                    <w:rPr>
                      <w:color w:val="auto"/>
                      <w:kern w:val="0"/>
                      <w:sz w:val="18"/>
                      <w:szCs w:val="18"/>
                    </w:rPr>
                    <w:t>本项目按规范进行报废机动车的拆解，尽量减少固废产生量，提高资源回收率。</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6.3 应在报废机动车进入拆解企业后检查是否有废油液的泄漏。如发现有废油液的泄漏应立即采取有效的收集措施。</w:t>
                  </w:r>
                </w:p>
              </w:tc>
              <w:tc>
                <w:tcPr>
                  <w:tcW w:w="5071" w:type="dxa"/>
                  <w:noWrap w:val="0"/>
                  <w:vAlign w:val="center"/>
                </w:tcPr>
                <w:p>
                  <w:pPr>
                    <w:autoSpaceDE w:val="0"/>
                    <w:autoSpaceDN w:val="0"/>
                    <w:rPr>
                      <w:color w:val="auto"/>
                      <w:kern w:val="0"/>
                      <w:sz w:val="18"/>
                      <w:szCs w:val="18"/>
                    </w:rPr>
                  </w:pPr>
                  <w:r>
                    <w:rPr>
                      <w:color w:val="auto"/>
                      <w:kern w:val="0"/>
                      <w:sz w:val="18"/>
                      <w:szCs w:val="18"/>
                    </w:rPr>
                    <w:t>项目报废汽车入厂后首先进行检查，检查总成部件的密封、破损情况。对于出现泄漏的部件，采用有效的收集及封漏措施，防止废液渗入地下。</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6.4 报废机动车在进行拆解作业之前不得侧放、倒放。</w:t>
                  </w:r>
                </w:p>
              </w:tc>
              <w:tc>
                <w:tcPr>
                  <w:tcW w:w="5071" w:type="dxa"/>
                  <w:noWrap w:val="0"/>
                  <w:vAlign w:val="center"/>
                </w:tcPr>
                <w:p>
                  <w:pPr>
                    <w:autoSpaceDE w:val="0"/>
                    <w:autoSpaceDN w:val="0"/>
                    <w:rPr>
                      <w:color w:val="auto"/>
                      <w:kern w:val="0"/>
                      <w:sz w:val="18"/>
                      <w:szCs w:val="18"/>
                    </w:rPr>
                  </w:pPr>
                  <w:r>
                    <w:rPr>
                      <w:color w:val="auto"/>
                      <w:kern w:val="0"/>
                      <w:sz w:val="18"/>
                      <w:szCs w:val="18"/>
                    </w:rPr>
                    <w:t>本项目制定相关制度及操作手册，禁止在机动车拆解作业之前侧放、倒放。</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6.5禁止露天拆解、破碎报废机动车。</w:t>
                  </w:r>
                </w:p>
              </w:tc>
              <w:tc>
                <w:tcPr>
                  <w:tcW w:w="5071" w:type="dxa"/>
                  <w:noWrap w:val="0"/>
                  <w:vAlign w:val="center"/>
                </w:tcPr>
                <w:p>
                  <w:pPr>
                    <w:autoSpaceDE w:val="0"/>
                    <w:autoSpaceDN w:val="0"/>
                    <w:rPr>
                      <w:color w:val="auto"/>
                      <w:kern w:val="0"/>
                      <w:sz w:val="18"/>
                      <w:szCs w:val="18"/>
                    </w:rPr>
                  </w:pPr>
                  <w:r>
                    <w:rPr>
                      <w:color w:val="auto"/>
                      <w:kern w:val="0"/>
                      <w:sz w:val="18"/>
                      <w:szCs w:val="18"/>
                    </w:rPr>
                    <w:t>本项机动车拆解作业在厂房内进行。</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6.6 报废机动车应依照下列顺序进行拆解：</w:t>
                  </w:r>
                </w:p>
                <w:p>
                  <w:pPr>
                    <w:autoSpaceDE w:val="0"/>
                    <w:autoSpaceDN w:val="0"/>
                    <w:rPr>
                      <w:color w:val="auto"/>
                      <w:kern w:val="0"/>
                      <w:sz w:val="18"/>
                      <w:szCs w:val="18"/>
                    </w:rPr>
                  </w:pPr>
                  <w:r>
                    <w:rPr>
                      <w:color w:val="auto"/>
                      <w:kern w:val="0"/>
                      <w:sz w:val="18"/>
                      <w:szCs w:val="18"/>
                    </w:rPr>
                    <w:t>（1）拆除蓄电池；</w:t>
                  </w:r>
                </w:p>
                <w:p>
                  <w:pPr>
                    <w:autoSpaceDE w:val="0"/>
                    <w:autoSpaceDN w:val="0"/>
                    <w:rPr>
                      <w:color w:val="auto"/>
                      <w:kern w:val="0"/>
                      <w:sz w:val="18"/>
                      <w:szCs w:val="18"/>
                    </w:rPr>
                  </w:pPr>
                  <w:r>
                    <w:rPr>
                      <w:color w:val="auto"/>
                      <w:kern w:val="0"/>
                      <w:sz w:val="18"/>
                      <w:szCs w:val="18"/>
                    </w:rPr>
                    <w:t>（2）拆除液化气罐；</w:t>
                  </w:r>
                </w:p>
                <w:p>
                  <w:pPr>
                    <w:autoSpaceDE w:val="0"/>
                    <w:autoSpaceDN w:val="0"/>
                    <w:rPr>
                      <w:color w:val="auto"/>
                      <w:kern w:val="0"/>
                      <w:sz w:val="18"/>
                      <w:szCs w:val="18"/>
                    </w:rPr>
                  </w:pPr>
                  <w:r>
                    <w:rPr>
                      <w:color w:val="auto"/>
                      <w:kern w:val="0"/>
                      <w:sz w:val="18"/>
                      <w:szCs w:val="18"/>
                    </w:rPr>
                    <w:t>（3）拆除安全气囊；</w:t>
                  </w:r>
                </w:p>
                <w:p>
                  <w:pPr>
                    <w:autoSpaceDE w:val="0"/>
                    <w:autoSpaceDN w:val="0"/>
                    <w:rPr>
                      <w:color w:val="auto"/>
                      <w:kern w:val="0"/>
                      <w:sz w:val="18"/>
                      <w:szCs w:val="18"/>
                    </w:rPr>
                  </w:pPr>
                  <w:r>
                    <w:rPr>
                      <w:color w:val="auto"/>
                      <w:kern w:val="0"/>
                      <w:sz w:val="18"/>
                      <w:szCs w:val="18"/>
                    </w:rPr>
                    <w:t>（4）拆除含多氯联苯的废电容器和尾气净化催化剂；</w:t>
                  </w:r>
                </w:p>
                <w:p>
                  <w:pPr>
                    <w:autoSpaceDE w:val="0"/>
                    <w:autoSpaceDN w:val="0"/>
                    <w:rPr>
                      <w:color w:val="auto"/>
                      <w:kern w:val="0"/>
                      <w:sz w:val="18"/>
                      <w:szCs w:val="18"/>
                    </w:rPr>
                  </w:pPr>
                  <w:r>
                    <w:rPr>
                      <w:color w:val="auto"/>
                      <w:kern w:val="0"/>
                      <w:sz w:val="18"/>
                      <w:szCs w:val="18"/>
                    </w:rPr>
                    <w:t>（5）排除残留的各种废油液；</w:t>
                  </w:r>
                </w:p>
                <w:p>
                  <w:pPr>
                    <w:autoSpaceDE w:val="0"/>
                    <w:autoSpaceDN w:val="0"/>
                    <w:rPr>
                      <w:color w:val="auto"/>
                      <w:kern w:val="0"/>
                      <w:sz w:val="18"/>
                      <w:szCs w:val="18"/>
                    </w:rPr>
                  </w:pPr>
                  <w:r>
                    <w:rPr>
                      <w:color w:val="auto"/>
                      <w:kern w:val="0"/>
                      <w:sz w:val="18"/>
                      <w:szCs w:val="18"/>
                    </w:rPr>
                    <w:t>（6）拆除空调器；</w:t>
                  </w:r>
                </w:p>
                <w:p>
                  <w:pPr>
                    <w:autoSpaceDE w:val="0"/>
                    <w:autoSpaceDN w:val="0"/>
                    <w:rPr>
                      <w:color w:val="auto"/>
                      <w:kern w:val="0"/>
                      <w:sz w:val="18"/>
                      <w:szCs w:val="18"/>
                    </w:rPr>
                  </w:pPr>
                  <w:r>
                    <w:rPr>
                      <w:color w:val="auto"/>
                      <w:kern w:val="0"/>
                      <w:sz w:val="18"/>
                      <w:szCs w:val="18"/>
                    </w:rPr>
                    <w:t>（7）拆除各种电子电器部件，包括仪表盘、音响、车载电台电话、电子导航设备、电动机和发电机、电线电缆以及其他电子电器；</w:t>
                  </w:r>
                </w:p>
                <w:p>
                  <w:pPr>
                    <w:autoSpaceDE w:val="0"/>
                    <w:autoSpaceDN w:val="0"/>
                    <w:rPr>
                      <w:color w:val="auto"/>
                      <w:kern w:val="0"/>
                      <w:sz w:val="18"/>
                      <w:szCs w:val="18"/>
                    </w:rPr>
                  </w:pPr>
                  <w:r>
                    <w:rPr>
                      <w:color w:val="auto"/>
                      <w:kern w:val="0"/>
                      <w:sz w:val="18"/>
                      <w:szCs w:val="18"/>
                    </w:rPr>
                    <w:t>（8）拆除其他零部件。</w:t>
                  </w:r>
                </w:p>
              </w:tc>
              <w:tc>
                <w:tcPr>
                  <w:tcW w:w="5071" w:type="dxa"/>
                  <w:noWrap w:val="0"/>
                  <w:vAlign w:val="center"/>
                </w:tcPr>
                <w:p>
                  <w:pPr>
                    <w:autoSpaceDE w:val="0"/>
                    <w:autoSpaceDN w:val="0"/>
                    <w:rPr>
                      <w:color w:val="auto"/>
                      <w:kern w:val="0"/>
                      <w:sz w:val="18"/>
                      <w:szCs w:val="18"/>
                    </w:rPr>
                  </w:pPr>
                  <w:r>
                    <w:rPr>
                      <w:color w:val="auto"/>
                      <w:kern w:val="0"/>
                      <w:sz w:val="18"/>
                      <w:szCs w:val="18"/>
                    </w:rPr>
                    <w:t>本项目制定车间操作规范，工作人员按规范和规定的顺序进行报废汽车拆解。</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6.7 在完成第6.6 条各项拆解作业后，应按照资源最大化的原则拆解报废机动车的其余部分。</w:t>
                  </w:r>
                </w:p>
              </w:tc>
              <w:tc>
                <w:tcPr>
                  <w:tcW w:w="5071" w:type="dxa"/>
                  <w:noWrap w:val="0"/>
                  <w:vAlign w:val="center"/>
                </w:tcPr>
                <w:p>
                  <w:pPr>
                    <w:autoSpaceDE w:val="0"/>
                    <w:autoSpaceDN w:val="0"/>
                    <w:rPr>
                      <w:color w:val="auto"/>
                      <w:kern w:val="0"/>
                      <w:sz w:val="18"/>
                      <w:szCs w:val="18"/>
                    </w:rPr>
                  </w:pPr>
                  <w:r>
                    <w:rPr>
                      <w:color w:val="auto"/>
                      <w:kern w:val="0"/>
                      <w:sz w:val="18"/>
                      <w:szCs w:val="18"/>
                    </w:rPr>
                    <w:t>本项目拆解作业按照资源最大化原则进行。</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6.8 禁止在未完成 6.6 条各项拆解作业前对报废机动车进行破碎处理或者直接进行熔炼处理。</w:t>
                  </w:r>
                </w:p>
              </w:tc>
              <w:tc>
                <w:tcPr>
                  <w:tcW w:w="5071" w:type="dxa"/>
                  <w:noWrap w:val="0"/>
                  <w:vAlign w:val="center"/>
                </w:tcPr>
                <w:p>
                  <w:pPr>
                    <w:autoSpaceDE w:val="0"/>
                    <w:autoSpaceDN w:val="0"/>
                    <w:rPr>
                      <w:color w:val="auto"/>
                      <w:kern w:val="0"/>
                      <w:sz w:val="18"/>
                      <w:szCs w:val="18"/>
                    </w:rPr>
                  </w:pPr>
                  <w:r>
                    <w:rPr>
                      <w:color w:val="auto"/>
                      <w:kern w:val="0"/>
                      <w:sz w:val="18"/>
                      <w:szCs w:val="18"/>
                    </w:rPr>
                    <w:t>本项目对整车进行拆解后，对部分金属件进行</w:t>
                  </w:r>
                  <w:r>
                    <w:rPr>
                      <w:rFonts w:hint="eastAsia"/>
                      <w:color w:val="auto"/>
                      <w:kern w:val="0"/>
                      <w:sz w:val="18"/>
                      <w:szCs w:val="18"/>
                    </w:rPr>
                    <w:t>切割</w:t>
                  </w:r>
                  <w:r>
                    <w:rPr>
                      <w:color w:val="auto"/>
                      <w:kern w:val="0"/>
                      <w:sz w:val="18"/>
                      <w:szCs w:val="18"/>
                    </w:rPr>
                    <w:t>、打包，不进行熔炼处理。</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6.9 报废机动车拆解企业在拆解作业过程中拆除下来的第 4.3 条中所列的各种危险废物，应由具有《危险废物经营许可证》并可以处置该类废物的单位进行处理处置，并严格执行危险废物转移联单制度。</w:t>
                  </w:r>
                </w:p>
              </w:tc>
              <w:tc>
                <w:tcPr>
                  <w:tcW w:w="5071" w:type="dxa"/>
                  <w:noWrap w:val="0"/>
                  <w:vAlign w:val="center"/>
                </w:tcPr>
                <w:p>
                  <w:pPr>
                    <w:autoSpaceDE w:val="0"/>
                    <w:autoSpaceDN w:val="0"/>
                    <w:rPr>
                      <w:color w:val="auto"/>
                      <w:kern w:val="0"/>
                      <w:sz w:val="18"/>
                      <w:szCs w:val="18"/>
                    </w:rPr>
                  </w:pPr>
                  <w:r>
                    <w:rPr>
                      <w:color w:val="auto"/>
                      <w:kern w:val="0"/>
                      <w:sz w:val="18"/>
                      <w:szCs w:val="18"/>
                    </w:rPr>
                    <w:t>本项目产生的各种危险废物委托具有《危险废物经营许可证》的单位处理，执行转移联单制度。</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6.10 报废机动车中的废制冷剂应用专用工具拆除并收集在密闭容器中，并按照第 6.9 条规定进行处理，不得向大气排放。</w:t>
                  </w:r>
                </w:p>
              </w:tc>
              <w:tc>
                <w:tcPr>
                  <w:tcW w:w="5071" w:type="dxa"/>
                  <w:noWrap w:val="0"/>
                  <w:vAlign w:val="center"/>
                </w:tcPr>
                <w:p>
                  <w:pPr>
                    <w:autoSpaceDE w:val="0"/>
                    <w:autoSpaceDN w:val="0"/>
                    <w:rPr>
                      <w:color w:val="auto"/>
                      <w:kern w:val="0"/>
                      <w:sz w:val="18"/>
                      <w:szCs w:val="18"/>
                    </w:rPr>
                  </w:pPr>
                  <w:r>
                    <w:rPr>
                      <w:color w:val="auto"/>
                      <w:kern w:val="0"/>
                      <w:sz w:val="18"/>
                      <w:szCs w:val="18"/>
                    </w:rPr>
                    <w:t>用冷媒真空回收机收集汽车空调制冷剂，不同类型的制冷剂分别存放。专用设备通过专用连接管路与报废车辆空调系统的表管进行连接，设备另一连接管与制冷剂回收罐连接，分别打开两个连接管阀门，然后开启抽取机进行抽取，当设备指数显示空调系统为真空时，关闭两个连接管阀门，断开与表管和回收罐的连接，完成制冷剂的抽取工作。在制冷剂的收集过程中，在连接、储存过程中会有少量制冷剂通过管线、阀门等以无组织形式释放到环境空气中。</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6.11 禁止在未获得相应资质的报废机动车拆解、破碎企业内拆解废蓄电池和含多氯联苯的废电容器，禁止将蓄电池内的液态废物倾倒出来。应将废蓄电池和含多氯联苯的废电容器贮存在耐酸容器中或者具有耐酸地面的专用区域内，并按照第6.9 条规定进行处理。</w:t>
                  </w:r>
                </w:p>
              </w:tc>
              <w:tc>
                <w:tcPr>
                  <w:tcW w:w="5071" w:type="dxa"/>
                  <w:noWrap w:val="0"/>
                  <w:vAlign w:val="center"/>
                </w:tcPr>
                <w:p>
                  <w:pPr>
                    <w:autoSpaceDE w:val="0"/>
                    <w:autoSpaceDN w:val="0"/>
                    <w:rPr>
                      <w:color w:val="auto"/>
                      <w:kern w:val="0"/>
                      <w:sz w:val="18"/>
                      <w:szCs w:val="18"/>
                    </w:rPr>
                  </w:pPr>
                  <w:r>
                    <w:rPr>
                      <w:color w:val="auto"/>
                      <w:kern w:val="0"/>
                      <w:sz w:val="18"/>
                      <w:szCs w:val="18"/>
                    </w:rPr>
                    <w:t>本项目对将废蓄电池从汽车上拆解下来后，不开展进一步的拆解活动。废蓄电池存放于危废库内的耐酸容器中，尽快交给有资质单位处理。</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6.12 报废机动车拆解、破碎企业产生的各种危险废物在厂区内的贮存时间不得超过 1 年。</w:t>
                  </w:r>
                </w:p>
                <w:p>
                  <w:pPr>
                    <w:autoSpaceDE w:val="0"/>
                    <w:autoSpaceDN w:val="0"/>
                    <w:rPr>
                      <w:color w:val="auto"/>
                      <w:kern w:val="0"/>
                      <w:sz w:val="18"/>
                      <w:szCs w:val="18"/>
                    </w:rPr>
                  </w:pPr>
                  <w:r>
                    <w:rPr>
                      <w:color w:val="auto"/>
                      <w:kern w:val="0"/>
                      <w:sz w:val="18"/>
                      <w:szCs w:val="18"/>
                    </w:rPr>
                    <w:t>拆解过程产生的危险废物应按照类别分别放置在专门的收集容器和贮存设施内，有危险废物识别标志、标明具体物质名称，并设置危险废物警示标志。液态废物应在不同的专用容器中分别贮存。</w:t>
                  </w:r>
                </w:p>
              </w:tc>
              <w:tc>
                <w:tcPr>
                  <w:tcW w:w="5071" w:type="dxa"/>
                  <w:noWrap w:val="0"/>
                  <w:vAlign w:val="center"/>
                </w:tcPr>
                <w:p>
                  <w:pPr>
                    <w:autoSpaceDE w:val="0"/>
                    <w:autoSpaceDN w:val="0"/>
                    <w:rPr>
                      <w:color w:val="auto"/>
                      <w:kern w:val="0"/>
                      <w:sz w:val="18"/>
                      <w:szCs w:val="18"/>
                    </w:rPr>
                  </w:pPr>
                  <w:r>
                    <w:rPr>
                      <w:color w:val="auto"/>
                      <w:kern w:val="0"/>
                      <w:sz w:val="18"/>
                      <w:szCs w:val="18"/>
                    </w:rPr>
                    <w:t>本项目产生的各种危险废物按性质分别放置在专门的收集容器，贴有危险废物识别标签、警示标志。及时委托外运，在厂区内的贮存时间为30d，不超过1年。</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6.13 拆除的各种废弃电子电器部件，应交由具有资质的处置单位进行处理处置。</w:t>
                  </w:r>
                </w:p>
              </w:tc>
              <w:tc>
                <w:tcPr>
                  <w:tcW w:w="5071" w:type="dxa"/>
                  <w:noWrap w:val="0"/>
                  <w:vAlign w:val="center"/>
                </w:tcPr>
                <w:p>
                  <w:pPr>
                    <w:autoSpaceDE w:val="0"/>
                    <w:autoSpaceDN w:val="0"/>
                    <w:rPr>
                      <w:color w:val="auto"/>
                      <w:kern w:val="0"/>
                      <w:sz w:val="18"/>
                      <w:szCs w:val="18"/>
                    </w:rPr>
                  </w:pPr>
                  <w:r>
                    <w:rPr>
                      <w:color w:val="auto"/>
                      <w:kern w:val="0"/>
                      <w:sz w:val="18"/>
                      <w:szCs w:val="18"/>
                    </w:rPr>
                    <w:t>本项目各种废弃电子电器部件交由具有资质的处置单位进行处理。</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6.14 在拆解、破碎过程中产生的不可回收利用的工业固体废物应在符合国家标准建设、运行的处理处置设施进行处置。</w:t>
                  </w:r>
                </w:p>
              </w:tc>
              <w:tc>
                <w:tcPr>
                  <w:tcW w:w="5071" w:type="dxa"/>
                  <w:noWrap w:val="0"/>
                  <w:vAlign w:val="center"/>
                </w:tcPr>
                <w:p>
                  <w:pPr>
                    <w:autoSpaceDE w:val="0"/>
                    <w:autoSpaceDN w:val="0"/>
                    <w:rPr>
                      <w:color w:val="auto"/>
                      <w:kern w:val="0"/>
                      <w:sz w:val="18"/>
                      <w:szCs w:val="18"/>
                    </w:rPr>
                  </w:pPr>
                  <w:r>
                    <w:rPr>
                      <w:color w:val="auto"/>
                      <w:kern w:val="0"/>
                      <w:sz w:val="18"/>
                      <w:szCs w:val="18"/>
                    </w:rPr>
                    <w:t>本项目产生的不可回收利用的一般固体废物暂存于一般固废仓库，建设和运行符合国家标准。</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6.15 禁止采用露天焚烧或简易焚烧的方式处理报废机动车拆解、破碎过程中产生的废电线电缆、废轮胎和其他废物。</w:t>
                  </w:r>
                </w:p>
              </w:tc>
              <w:tc>
                <w:tcPr>
                  <w:tcW w:w="5071" w:type="dxa"/>
                  <w:noWrap w:val="0"/>
                  <w:vAlign w:val="center"/>
                </w:tcPr>
                <w:p>
                  <w:pPr>
                    <w:autoSpaceDE w:val="0"/>
                    <w:autoSpaceDN w:val="0"/>
                    <w:rPr>
                      <w:color w:val="auto"/>
                      <w:kern w:val="0"/>
                      <w:sz w:val="18"/>
                      <w:szCs w:val="18"/>
                    </w:rPr>
                  </w:pPr>
                  <w:r>
                    <w:rPr>
                      <w:color w:val="auto"/>
                      <w:kern w:val="0"/>
                      <w:sz w:val="18"/>
                      <w:szCs w:val="18"/>
                    </w:rPr>
                    <w:t>废电线电缆、废轮胎和其他废物可利用的作为物资外售。</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6.16 拆解得到的可回收利用的零部件、再生材料与不可回收利用的废物应按种类分别收集在不同的专用容器或固定区域，并设立明显的区分标识。</w:t>
                  </w:r>
                </w:p>
              </w:tc>
              <w:tc>
                <w:tcPr>
                  <w:tcW w:w="5071" w:type="dxa"/>
                  <w:noWrap w:val="0"/>
                  <w:vAlign w:val="center"/>
                </w:tcPr>
                <w:p>
                  <w:pPr>
                    <w:autoSpaceDE w:val="0"/>
                    <w:autoSpaceDN w:val="0"/>
                    <w:rPr>
                      <w:color w:val="auto"/>
                      <w:kern w:val="0"/>
                      <w:sz w:val="18"/>
                      <w:szCs w:val="18"/>
                    </w:rPr>
                  </w:pPr>
                  <w:r>
                    <w:rPr>
                      <w:color w:val="auto"/>
                      <w:kern w:val="0"/>
                      <w:sz w:val="18"/>
                      <w:szCs w:val="18"/>
                    </w:rPr>
                    <w:t>本项目产生的可回收部件、不可回收废物按规范分类分区暂存，并设明的标识。</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6.17 拆解得到的轮胎和塑料部件的贮存区域应具消防设施，并尽量避免大量堆放。</w:t>
                  </w:r>
                </w:p>
              </w:tc>
              <w:tc>
                <w:tcPr>
                  <w:tcW w:w="5071" w:type="dxa"/>
                  <w:noWrap w:val="0"/>
                  <w:vAlign w:val="center"/>
                </w:tcPr>
                <w:p>
                  <w:pPr>
                    <w:autoSpaceDE w:val="0"/>
                    <w:autoSpaceDN w:val="0"/>
                    <w:rPr>
                      <w:color w:val="auto"/>
                      <w:kern w:val="0"/>
                      <w:sz w:val="18"/>
                      <w:szCs w:val="18"/>
                    </w:rPr>
                  </w:pPr>
                  <w:r>
                    <w:rPr>
                      <w:color w:val="auto"/>
                      <w:kern w:val="0"/>
                      <w:sz w:val="18"/>
                      <w:szCs w:val="18"/>
                    </w:rPr>
                    <w:t>本项目产生的轮胎和塑料部件贮存于仓库，建设相应规模的消防设施，及时外运，尽量避免大量堆放。</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6.18 报废机动车拆解、破碎企业厂区收集的雨水、清洗水和其他非生活废水等应通过收集管道（井）收集后进入污水处理设施进行处理，并达到排放标准后方可排放。</w:t>
                  </w:r>
                </w:p>
              </w:tc>
              <w:tc>
                <w:tcPr>
                  <w:tcW w:w="5071" w:type="dxa"/>
                  <w:noWrap w:val="0"/>
                  <w:vAlign w:val="center"/>
                </w:tcPr>
                <w:p>
                  <w:pPr>
                    <w:autoSpaceDE w:val="0"/>
                    <w:autoSpaceDN w:val="0"/>
                    <w:rPr>
                      <w:color w:val="auto"/>
                      <w:kern w:val="0"/>
                      <w:sz w:val="18"/>
                      <w:szCs w:val="18"/>
                    </w:rPr>
                  </w:pPr>
                  <w:r>
                    <w:rPr>
                      <w:color w:val="auto"/>
                      <w:kern w:val="0"/>
                      <w:sz w:val="18"/>
                      <w:szCs w:val="18"/>
                    </w:rPr>
                    <w:t>本项目初期雨水、清洗水、生活污水等分别通过专门收集管道、废水池收集后进入污水处理设施进行处理。</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6.19 报废机动车拆解、破碎企业应采取隔音降噪措施。</w:t>
                  </w:r>
                </w:p>
              </w:tc>
              <w:tc>
                <w:tcPr>
                  <w:tcW w:w="5071" w:type="dxa"/>
                  <w:noWrap w:val="0"/>
                  <w:vAlign w:val="center"/>
                </w:tcPr>
                <w:p>
                  <w:pPr>
                    <w:autoSpaceDE w:val="0"/>
                    <w:autoSpaceDN w:val="0"/>
                    <w:rPr>
                      <w:color w:val="auto"/>
                      <w:kern w:val="0"/>
                      <w:sz w:val="18"/>
                      <w:szCs w:val="18"/>
                    </w:rPr>
                  </w:pPr>
                  <w:r>
                    <w:rPr>
                      <w:color w:val="auto"/>
                      <w:kern w:val="0"/>
                      <w:sz w:val="18"/>
                      <w:szCs w:val="18"/>
                    </w:rPr>
                    <w:t>项目采取隔音降噪措施，噪声达标排放。</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6.20 报废机动车拆解、破碎企业应按照环境保护措施验收的要求对污染物排放进行日常监测；应建立拆解、破碎报废机动车经营情况的记录制度，如实记载每批报废机动车的来源、类型、重量（数量），收集（接收）、拆解、破碎、贮存、处置的时间，运输单位的名称和联系方式，拆解、破碎得到的产品和不可回收利用的废物的数量和去向等。监测报告和经营情况记录应至少保存 3年。</w:t>
                  </w:r>
                </w:p>
              </w:tc>
              <w:tc>
                <w:tcPr>
                  <w:tcW w:w="5071" w:type="dxa"/>
                  <w:noWrap w:val="0"/>
                  <w:vAlign w:val="center"/>
                </w:tcPr>
                <w:p>
                  <w:pPr>
                    <w:autoSpaceDE w:val="0"/>
                    <w:autoSpaceDN w:val="0"/>
                    <w:rPr>
                      <w:color w:val="auto"/>
                      <w:kern w:val="0"/>
                      <w:sz w:val="18"/>
                      <w:szCs w:val="18"/>
                    </w:rPr>
                  </w:pPr>
                  <w:r>
                    <w:rPr>
                      <w:color w:val="auto"/>
                      <w:kern w:val="0"/>
                      <w:sz w:val="18"/>
                      <w:szCs w:val="18"/>
                    </w:rPr>
                    <w:t>本项目制定并严格执行经营记录、环境管理监测计划等，如实记载每批报废机动车的来源、类型、重量，接收、拆解、贮存、处置的时间和去向等。监测报告和经营情况记录按规定保存。</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7" w:type="dxa"/>
                  <w:gridSpan w:val="4"/>
                  <w:noWrap w:val="0"/>
                  <w:vAlign w:val="center"/>
                </w:tcPr>
                <w:p>
                  <w:pPr>
                    <w:autoSpaceDE w:val="0"/>
                    <w:autoSpaceDN w:val="0"/>
                    <w:rPr>
                      <w:b/>
                      <w:bCs/>
                      <w:color w:val="auto"/>
                      <w:kern w:val="0"/>
                      <w:sz w:val="18"/>
                      <w:szCs w:val="18"/>
                    </w:rPr>
                  </w:pPr>
                  <w:r>
                    <w:rPr>
                      <w:b/>
                      <w:bCs/>
                      <w:color w:val="auto"/>
                      <w:kern w:val="0"/>
                      <w:sz w:val="18"/>
                      <w:szCs w:val="18"/>
                    </w:rPr>
                    <w:t>7、污染控制要求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7.1 拆解、破碎过程不得对空气、土壤、地表水和地下水造成污染。</w:t>
                  </w:r>
                </w:p>
              </w:tc>
              <w:tc>
                <w:tcPr>
                  <w:tcW w:w="5071" w:type="dxa"/>
                  <w:noWrap w:val="0"/>
                  <w:vAlign w:val="center"/>
                </w:tcPr>
                <w:p>
                  <w:pPr>
                    <w:autoSpaceDE w:val="0"/>
                    <w:autoSpaceDN w:val="0"/>
                    <w:rPr>
                      <w:color w:val="auto"/>
                      <w:kern w:val="0"/>
                      <w:sz w:val="18"/>
                      <w:szCs w:val="18"/>
                    </w:rPr>
                  </w:pPr>
                  <w:r>
                    <w:rPr>
                      <w:color w:val="auto"/>
                      <w:kern w:val="0"/>
                      <w:sz w:val="18"/>
                      <w:szCs w:val="18"/>
                    </w:rPr>
                    <w:t>本项目采取相应的污染防治措施，避免或降低对环境空气、土壤、地表水和地下水污染。</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7.2 报废机动车拆解企业的污水经处理后直接排入水体的水质应满足GB8978中的1998年1月1日起建设（包括改、扩建）的单位的水污染物的一级排放标准要求；经处理后排入城市管网的水质应满足GB8978中的1998年1月1日起建设（包括改、扩建）的单位的水污染物的三级排放标准要求。</w:t>
                  </w:r>
                </w:p>
              </w:tc>
              <w:tc>
                <w:tcPr>
                  <w:tcW w:w="5071" w:type="dxa"/>
                  <w:noWrap w:val="0"/>
                  <w:vAlign w:val="center"/>
                </w:tcPr>
                <w:p>
                  <w:pPr>
                    <w:autoSpaceDE w:val="0"/>
                    <w:autoSpaceDN w:val="0"/>
                    <w:rPr>
                      <w:color w:val="auto"/>
                      <w:kern w:val="0"/>
                      <w:sz w:val="18"/>
                      <w:szCs w:val="18"/>
                    </w:rPr>
                  </w:pPr>
                  <w:r>
                    <w:rPr>
                      <w:color w:val="auto"/>
                      <w:kern w:val="0"/>
                      <w:sz w:val="18"/>
                      <w:szCs w:val="18"/>
                    </w:rPr>
                    <w:t>本项目初期雨水、清洗水等生产废水分别通过专门收集管道、废水池收集后进入污水处理设施进行处理。</w:t>
                  </w:r>
                </w:p>
              </w:tc>
              <w:tc>
                <w:tcPr>
                  <w:tcW w:w="691" w:type="dxa"/>
                  <w:noWrap w:val="0"/>
                  <w:vAlign w:val="center"/>
                </w:tcPr>
                <w:p>
                  <w:pPr>
                    <w:autoSpaceDE w:val="0"/>
                    <w:autoSpaceDN w:val="0"/>
                    <w:ind w:left="-105" w:leftChars="-50" w:right="-105" w:rightChars="-50"/>
                    <w:jc w:val="center"/>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7.3 报废机动车拆解、破碎企业产生的危险废物的贮存应满足GB 18597 的要求。</w:t>
                  </w:r>
                </w:p>
              </w:tc>
              <w:tc>
                <w:tcPr>
                  <w:tcW w:w="5071" w:type="dxa"/>
                  <w:noWrap w:val="0"/>
                  <w:vAlign w:val="center"/>
                </w:tcPr>
                <w:p>
                  <w:pPr>
                    <w:autoSpaceDE w:val="0"/>
                    <w:autoSpaceDN w:val="0"/>
                    <w:rPr>
                      <w:color w:val="auto"/>
                      <w:kern w:val="0"/>
                      <w:sz w:val="18"/>
                      <w:szCs w:val="18"/>
                    </w:rPr>
                  </w:pPr>
                  <w:r>
                    <w:rPr>
                      <w:color w:val="auto"/>
                      <w:kern w:val="0"/>
                      <w:sz w:val="18"/>
                      <w:szCs w:val="18"/>
                    </w:rPr>
                    <w:t>本项目危险废物的贮存满足《危险废物贮存污染控制标准》（GB18597-2001）及其修改单要求。</w:t>
                  </w:r>
                </w:p>
              </w:tc>
              <w:tc>
                <w:tcPr>
                  <w:tcW w:w="691" w:type="dxa"/>
                  <w:noWrap w:val="0"/>
                  <w:vAlign w:val="center"/>
                </w:tcPr>
                <w:p>
                  <w:pPr>
                    <w:autoSpaceDE w:val="0"/>
                    <w:autoSpaceDN w:val="0"/>
                    <w:ind w:left="-105" w:leftChars="-50" w:right="-105" w:rightChars="-50"/>
                    <w:jc w:val="center"/>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7.4 报废机动车拆解、破碎企业产生的工业固体废物的贮存、填埋设施应满足 GB18599 的要求，焚烧设施应满足 GB18484 的要求。</w:t>
                  </w:r>
                </w:p>
              </w:tc>
              <w:tc>
                <w:tcPr>
                  <w:tcW w:w="5071" w:type="dxa"/>
                  <w:noWrap w:val="0"/>
                  <w:vAlign w:val="center"/>
                </w:tcPr>
                <w:p>
                  <w:pPr>
                    <w:autoSpaceDE w:val="0"/>
                    <w:autoSpaceDN w:val="0"/>
                    <w:rPr>
                      <w:color w:val="auto"/>
                      <w:kern w:val="0"/>
                      <w:sz w:val="18"/>
                      <w:szCs w:val="18"/>
                    </w:rPr>
                  </w:pPr>
                  <w:r>
                    <w:rPr>
                      <w:color w:val="auto"/>
                      <w:kern w:val="0"/>
                      <w:sz w:val="18"/>
                      <w:szCs w:val="18"/>
                    </w:rPr>
                    <w:t>本项目固体废物的贮存设施满足《一般工业固体废物贮存和填埋污染控制标准》（GB18599-</w:t>
                  </w:r>
                  <w:r>
                    <w:rPr>
                      <w:rFonts w:hint="eastAsia"/>
                      <w:color w:val="auto"/>
                      <w:kern w:val="0"/>
                      <w:sz w:val="18"/>
                      <w:szCs w:val="18"/>
                    </w:rPr>
                    <w:t>2020</w:t>
                  </w:r>
                  <w:r>
                    <w:rPr>
                      <w:color w:val="auto"/>
                      <w:kern w:val="0"/>
                      <w:sz w:val="18"/>
                      <w:szCs w:val="18"/>
                    </w:rPr>
                    <w:t>）及其修改单的要求，外运处置，严禁焚烧。</w:t>
                  </w:r>
                </w:p>
              </w:tc>
              <w:tc>
                <w:tcPr>
                  <w:tcW w:w="691" w:type="dxa"/>
                  <w:noWrap w:val="0"/>
                  <w:vAlign w:val="center"/>
                </w:tcPr>
                <w:p>
                  <w:pPr>
                    <w:autoSpaceDE w:val="0"/>
                    <w:autoSpaceDN w:val="0"/>
                    <w:ind w:left="-105" w:leftChars="-50" w:right="-105" w:rightChars="-50"/>
                    <w:jc w:val="center"/>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7.5 报废机动车拆解、破碎企业产生的危险废物的焚烧设施应满足 GB18484 的要求，填埋设施应满足 GB18598 的要求。</w:t>
                  </w:r>
                </w:p>
              </w:tc>
              <w:tc>
                <w:tcPr>
                  <w:tcW w:w="5071" w:type="dxa"/>
                  <w:noWrap w:val="0"/>
                  <w:vAlign w:val="center"/>
                </w:tcPr>
                <w:p>
                  <w:pPr>
                    <w:autoSpaceDE w:val="0"/>
                    <w:autoSpaceDN w:val="0"/>
                    <w:rPr>
                      <w:color w:val="auto"/>
                      <w:kern w:val="0"/>
                      <w:sz w:val="18"/>
                      <w:szCs w:val="18"/>
                    </w:rPr>
                  </w:pPr>
                  <w:r>
                    <w:rPr>
                      <w:color w:val="auto"/>
                      <w:kern w:val="0"/>
                      <w:sz w:val="18"/>
                      <w:szCs w:val="18"/>
                    </w:rPr>
                    <w:t>本项目不进行焚烧、填埋。</w:t>
                  </w:r>
                </w:p>
              </w:tc>
              <w:tc>
                <w:tcPr>
                  <w:tcW w:w="691" w:type="dxa"/>
                  <w:noWrap w:val="0"/>
                  <w:vAlign w:val="center"/>
                </w:tcPr>
                <w:p>
                  <w:pPr>
                    <w:autoSpaceDE w:val="0"/>
                    <w:autoSpaceDN w:val="0"/>
                    <w:ind w:left="-105" w:leftChars="-50" w:right="-105" w:rightChars="-50"/>
                    <w:jc w:val="center"/>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7.6 报废机动车拆解、破碎企业除满足第 7.4、7.5条规定外，其他烟气排放设施排放的废气应满足GB16297 中新污染源大气污染物最高允许排放浓度的要求</w:t>
                  </w:r>
                </w:p>
              </w:tc>
              <w:tc>
                <w:tcPr>
                  <w:tcW w:w="5071" w:type="dxa"/>
                  <w:noWrap w:val="0"/>
                  <w:vAlign w:val="center"/>
                </w:tcPr>
                <w:p>
                  <w:pPr>
                    <w:autoSpaceDE w:val="0"/>
                    <w:autoSpaceDN w:val="0"/>
                    <w:rPr>
                      <w:color w:val="auto"/>
                      <w:kern w:val="0"/>
                      <w:sz w:val="18"/>
                      <w:szCs w:val="18"/>
                    </w:rPr>
                  </w:pPr>
                  <w:r>
                    <w:rPr>
                      <w:color w:val="auto"/>
                      <w:kern w:val="0"/>
                      <w:sz w:val="18"/>
                      <w:szCs w:val="18"/>
                    </w:rPr>
                    <w:t>本项目运营期产生少量的烟尘颗粒物、非甲烷总烃，排放满足</w:t>
                  </w:r>
                  <w:r>
                    <w:rPr>
                      <w:color w:val="auto"/>
                      <w:sz w:val="18"/>
                      <w:szCs w:val="18"/>
                    </w:rPr>
                    <w:t>标准《大气污染物综合排放标准》</w:t>
                  </w:r>
                  <w:r>
                    <w:rPr>
                      <w:rFonts w:hint="eastAsia"/>
                      <w:color w:val="auto"/>
                      <w:kern w:val="0"/>
                      <w:sz w:val="18"/>
                      <w:szCs w:val="18"/>
                      <w:u w:val="none"/>
                    </w:rPr>
                    <w:t>（GB16297-1996）</w:t>
                  </w:r>
                  <w:r>
                    <w:rPr>
                      <w:color w:val="auto"/>
                      <w:kern w:val="0"/>
                      <w:sz w:val="18"/>
                      <w:szCs w:val="18"/>
                    </w:rPr>
                    <w:t>大气污染物最高允许排放浓度的要求。</w:t>
                  </w:r>
                </w:p>
              </w:tc>
              <w:tc>
                <w:tcPr>
                  <w:tcW w:w="691"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7.7 报废机动车拆解、破碎企业的恶臭污染物排放应满足 GB14554 中新、改、扩建企业的恶臭污染物厂界排放限值的二级标准要求。</w:t>
                  </w:r>
                </w:p>
              </w:tc>
              <w:tc>
                <w:tcPr>
                  <w:tcW w:w="5071" w:type="dxa"/>
                  <w:noWrap w:val="0"/>
                  <w:vAlign w:val="center"/>
                </w:tcPr>
                <w:p>
                  <w:pPr>
                    <w:autoSpaceDE w:val="0"/>
                    <w:autoSpaceDN w:val="0"/>
                    <w:rPr>
                      <w:color w:val="auto"/>
                      <w:kern w:val="0"/>
                      <w:sz w:val="18"/>
                      <w:szCs w:val="18"/>
                    </w:rPr>
                  </w:pPr>
                  <w:r>
                    <w:rPr>
                      <w:color w:val="auto"/>
                      <w:kern w:val="0"/>
                      <w:sz w:val="18"/>
                      <w:szCs w:val="18"/>
                    </w:rPr>
                    <w:t>项目各类大气污染物排放满足相关排放标准要求。</w:t>
                  </w:r>
                </w:p>
              </w:tc>
              <w:tc>
                <w:tcPr>
                  <w:tcW w:w="691" w:type="dxa"/>
                  <w:noWrap w:val="0"/>
                  <w:vAlign w:val="center"/>
                </w:tcPr>
                <w:p>
                  <w:pPr>
                    <w:autoSpaceDE w:val="0"/>
                    <w:autoSpaceDN w:val="0"/>
                    <w:ind w:left="-105" w:leftChars="-50" w:right="-105" w:rightChars="-50"/>
                    <w:jc w:val="center"/>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5" w:type="dxa"/>
                  <w:gridSpan w:val="2"/>
                  <w:noWrap w:val="0"/>
                  <w:vAlign w:val="center"/>
                </w:tcPr>
                <w:p>
                  <w:pPr>
                    <w:autoSpaceDE w:val="0"/>
                    <w:autoSpaceDN w:val="0"/>
                    <w:rPr>
                      <w:color w:val="auto"/>
                      <w:kern w:val="0"/>
                      <w:sz w:val="18"/>
                      <w:szCs w:val="18"/>
                    </w:rPr>
                  </w:pPr>
                  <w:r>
                    <w:rPr>
                      <w:color w:val="auto"/>
                      <w:kern w:val="0"/>
                      <w:sz w:val="18"/>
                      <w:szCs w:val="18"/>
                    </w:rPr>
                    <w:t>7.8 报废机动车拆解、破碎企业的厂界噪声应满足GB12348 中的II类标准要求。</w:t>
                  </w:r>
                </w:p>
              </w:tc>
              <w:tc>
                <w:tcPr>
                  <w:tcW w:w="5071" w:type="dxa"/>
                  <w:noWrap w:val="0"/>
                  <w:vAlign w:val="center"/>
                </w:tcPr>
                <w:p>
                  <w:pPr>
                    <w:autoSpaceDE w:val="0"/>
                    <w:autoSpaceDN w:val="0"/>
                    <w:rPr>
                      <w:color w:val="auto"/>
                      <w:kern w:val="0"/>
                      <w:sz w:val="18"/>
                      <w:szCs w:val="18"/>
                    </w:rPr>
                  </w:pPr>
                  <w:r>
                    <w:rPr>
                      <w:color w:val="auto"/>
                      <w:kern w:val="0"/>
                      <w:sz w:val="18"/>
                      <w:szCs w:val="18"/>
                    </w:rPr>
                    <w:t>企业将加强噪声防治措施，降低生产活动中产生的噪声，使得厂界噪声满足《工业企业厂界环境噪声排放标准》(GB12348-2008)中的2类标准。</w:t>
                  </w:r>
                </w:p>
              </w:tc>
              <w:tc>
                <w:tcPr>
                  <w:tcW w:w="691" w:type="dxa"/>
                  <w:noWrap w:val="0"/>
                  <w:vAlign w:val="center"/>
                </w:tcPr>
                <w:p>
                  <w:pPr>
                    <w:autoSpaceDE w:val="0"/>
                    <w:autoSpaceDN w:val="0"/>
                    <w:jc w:val="center"/>
                    <w:rPr>
                      <w:color w:val="auto"/>
                      <w:kern w:val="0"/>
                      <w:sz w:val="18"/>
                      <w:szCs w:val="18"/>
                    </w:rPr>
                  </w:pPr>
                  <w:r>
                    <w:rPr>
                      <w:color w:val="auto"/>
                      <w:kern w:val="0"/>
                      <w:sz w:val="18"/>
                      <w:szCs w:val="18"/>
                    </w:rPr>
                    <w:t>符合</w:t>
                  </w:r>
                </w:p>
              </w:tc>
            </w:tr>
          </w:tbl>
          <w:p>
            <w:pPr>
              <w:pStyle w:val="2"/>
              <w:keepNext/>
              <w:keepLines/>
              <w:pageBreakBefore w:val="0"/>
              <w:widowControl w:val="0"/>
              <w:kinsoku/>
              <w:wordWrap/>
              <w:overflowPunct/>
              <w:topLinePunct w:val="0"/>
              <w:autoSpaceDE/>
              <w:autoSpaceDN/>
              <w:bidi w:val="0"/>
              <w:adjustRightInd/>
              <w:snapToGrid/>
              <w:spacing w:before="140" w:after="140" w:line="360" w:lineRule="auto"/>
              <w:textAlignment w:val="auto"/>
              <w:rPr>
                <w:rFonts w:ascii="Times New Roman" w:hAnsi="Times New Roman"/>
                <w:b/>
                <w:color w:val="auto"/>
                <w:sz w:val="21"/>
                <w:szCs w:val="21"/>
              </w:rPr>
            </w:pPr>
            <w:r>
              <w:rPr>
                <w:rFonts w:hint="eastAsia" w:ascii="Times New Roman" w:hAnsi="Times New Roman"/>
                <w:b/>
                <w:color w:val="auto"/>
                <w:sz w:val="21"/>
                <w:szCs w:val="21"/>
                <w:lang w:val="en-US" w:eastAsia="zh-CN"/>
              </w:rPr>
              <w:t>5</w:t>
            </w:r>
            <w:r>
              <w:rPr>
                <w:rFonts w:ascii="Times New Roman" w:hAnsi="Times New Roman"/>
                <w:b/>
                <w:color w:val="auto"/>
                <w:sz w:val="21"/>
                <w:szCs w:val="21"/>
              </w:rPr>
              <w:t>、与《报废机动车回收拆解企业技术规范》（GB22128-2019）相符性分析</w:t>
            </w:r>
          </w:p>
          <w:p>
            <w:pPr>
              <w:spacing w:line="360" w:lineRule="auto"/>
              <w:ind w:firstLine="420" w:firstLineChars="200"/>
              <w:rPr>
                <w:bCs/>
                <w:color w:val="auto"/>
                <w:szCs w:val="21"/>
              </w:rPr>
            </w:pPr>
            <w:r>
              <w:rPr>
                <w:bCs/>
                <w:color w:val="auto"/>
                <w:szCs w:val="21"/>
              </w:rPr>
              <w:t>《报废机动车回收拆解企业技术规范》（GB22128-2019）由国家市场监督管理总局、国家标准化管理委员会联合发布。根据《报废机动车回收拆解企业技术规范》（GB22128-2019）对企业的要求，结合项目实际情况，相符性分析详见下表。</w:t>
            </w:r>
          </w:p>
          <w:p>
            <w:pPr>
              <w:autoSpaceDE w:val="0"/>
              <w:autoSpaceDN w:val="0"/>
              <w:spacing w:line="360" w:lineRule="auto"/>
              <w:jc w:val="center"/>
              <w:rPr>
                <w:b/>
                <w:color w:val="auto"/>
                <w:szCs w:val="21"/>
              </w:rPr>
            </w:pPr>
            <w:r>
              <w:rPr>
                <w:b/>
                <w:color w:val="auto"/>
                <w:szCs w:val="21"/>
              </w:rPr>
              <w:t>表1-</w:t>
            </w:r>
            <w:r>
              <w:rPr>
                <w:rFonts w:hint="eastAsia"/>
                <w:b/>
                <w:color w:val="auto"/>
                <w:szCs w:val="21"/>
              </w:rPr>
              <w:t>3</w:t>
            </w:r>
            <w:r>
              <w:rPr>
                <w:b/>
                <w:color w:val="auto"/>
                <w:szCs w:val="21"/>
              </w:rPr>
              <w:t>本项目与《 报废汽车回收拆解企业技术规范》</w:t>
            </w:r>
            <w:r>
              <w:rPr>
                <w:bCs/>
                <w:color w:val="auto"/>
                <w:szCs w:val="21"/>
              </w:rPr>
              <w:t>（GB22128-2019）</w:t>
            </w:r>
            <w:r>
              <w:rPr>
                <w:b/>
                <w:color w:val="auto"/>
                <w:szCs w:val="21"/>
              </w:rPr>
              <w:t>相符性分析</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5040"/>
              <w:gridCol w:w="4957"/>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noWrap w:val="0"/>
                  <w:vAlign w:val="center"/>
                </w:tcPr>
                <w:p>
                  <w:pPr>
                    <w:autoSpaceDE w:val="0"/>
                    <w:autoSpaceDN w:val="0"/>
                    <w:rPr>
                      <w:color w:val="auto"/>
                      <w:kern w:val="0"/>
                      <w:sz w:val="18"/>
                      <w:szCs w:val="18"/>
                    </w:rPr>
                  </w:pPr>
                  <w:r>
                    <w:rPr>
                      <w:color w:val="auto"/>
                      <w:kern w:val="0"/>
                      <w:sz w:val="18"/>
                      <w:szCs w:val="18"/>
                    </w:rPr>
                    <w:t>内容</w:t>
                  </w:r>
                </w:p>
              </w:tc>
              <w:tc>
                <w:tcPr>
                  <w:tcW w:w="5040" w:type="dxa"/>
                  <w:noWrap w:val="0"/>
                  <w:vAlign w:val="center"/>
                </w:tcPr>
                <w:p>
                  <w:pPr>
                    <w:autoSpaceDE w:val="0"/>
                    <w:autoSpaceDN w:val="0"/>
                    <w:rPr>
                      <w:color w:val="auto"/>
                      <w:kern w:val="0"/>
                      <w:sz w:val="18"/>
                      <w:szCs w:val="18"/>
                    </w:rPr>
                  </w:pPr>
                  <w:r>
                    <w:rPr>
                      <w:color w:val="auto"/>
                      <w:kern w:val="0"/>
                      <w:sz w:val="18"/>
                      <w:szCs w:val="18"/>
                    </w:rPr>
                    <w:t>行业规范要求</w:t>
                  </w:r>
                </w:p>
              </w:tc>
              <w:tc>
                <w:tcPr>
                  <w:tcW w:w="4957" w:type="dxa"/>
                  <w:noWrap w:val="0"/>
                  <w:vAlign w:val="center"/>
                </w:tcPr>
                <w:p>
                  <w:pPr>
                    <w:autoSpaceDE w:val="0"/>
                    <w:autoSpaceDN w:val="0"/>
                    <w:rPr>
                      <w:color w:val="auto"/>
                      <w:kern w:val="0"/>
                      <w:sz w:val="18"/>
                      <w:szCs w:val="18"/>
                    </w:rPr>
                  </w:pPr>
                  <w:r>
                    <w:rPr>
                      <w:color w:val="auto"/>
                      <w:kern w:val="0"/>
                      <w:sz w:val="18"/>
                      <w:szCs w:val="18"/>
                    </w:rPr>
                    <w:t>本项目情况</w:t>
                  </w:r>
                </w:p>
              </w:tc>
              <w:tc>
                <w:tcPr>
                  <w:tcW w:w="740" w:type="dxa"/>
                  <w:noWrap w:val="0"/>
                  <w:vAlign w:val="center"/>
                </w:tcPr>
                <w:p>
                  <w:pPr>
                    <w:autoSpaceDE w:val="0"/>
                    <w:autoSpaceDN w:val="0"/>
                    <w:ind w:left="-105" w:leftChars="-50" w:right="-105" w:rightChars="-50"/>
                    <w:rPr>
                      <w:color w:val="auto"/>
                      <w:kern w:val="0"/>
                      <w:sz w:val="18"/>
                      <w:szCs w:val="18"/>
                    </w:rPr>
                  </w:pPr>
                  <w:r>
                    <w:rPr>
                      <w:color w:val="auto"/>
                      <w:kern w:val="0"/>
                      <w:sz w:val="18"/>
                      <w:szCs w:val="18"/>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77" w:type="dxa"/>
                  <w:gridSpan w:val="4"/>
                  <w:noWrap w:val="0"/>
                  <w:vAlign w:val="center"/>
                </w:tcPr>
                <w:p>
                  <w:pPr>
                    <w:autoSpaceDE w:val="0"/>
                    <w:autoSpaceDN w:val="0"/>
                    <w:rPr>
                      <w:color w:val="auto"/>
                      <w:kern w:val="0"/>
                      <w:sz w:val="18"/>
                      <w:szCs w:val="18"/>
                    </w:rPr>
                  </w:pPr>
                  <w:r>
                    <w:rPr>
                      <w:b/>
                      <w:bCs/>
                      <w:color w:val="auto"/>
                      <w:kern w:val="0"/>
                      <w:sz w:val="18"/>
                      <w:szCs w:val="18"/>
                    </w:rPr>
                    <w:t>一、报废汽车回收拆解企业的要求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0" w:type="dxa"/>
                  <w:vMerge w:val="restart"/>
                  <w:noWrap w:val="0"/>
                  <w:vAlign w:val="center"/>
                </w:tcPr>
                <w:p>
                  <w:pPr>
                    <w:autoSpaceDE w:val="0"/>
                    <w:autoSpaceDN w:val="0"/>
                    <w:rPr>
                      <w:color w:val="auto"/>
                      <w:kern w:val="0"/>
                      <w:sz w:val="18"/>
                      <w:szCs w:val="18"/>
                    </w:rPr>
                  </w:pPr>
                  <w:r>
                    <w:rPr>
                      <w:color w:val="auto"/>
                      <w:kern w:val="0"/>
                      <w:sz w:val="18"/>
                      <w:szCs w:val="18"/>
                    </w:rPr>
                    <w:t>1.场地</w:t>
                  </w:r>
                </w:p>
              </w:tc>
              <w:tc>
                <w:tcPr>
                  <w:tcW w:w="5040" w:type="dxa"/>
                  <w:noWrap w:val="0"/>
                  <w:vAlign w:val="center"/>
                </w:tcPr>
                <w:p>
                  <w:pPr>
                    <w:autoSpaceDE w:val="0"/>
                    <w:autoSpaceDN w:val="0"/>
                    <w:rPr>
                      <w:color w:val="auto"/>
                      <w:kern w:val="0"/>
                      <w:sz w:val="18"/>
                      <w:szCs w:val="18"/>
                    </w:rPr>
                  </w:pPr>
                  <w:r>
                    <w:rPr>
                      <w:color w:val="auto"/>
                      <w:kern w:val="0"/>
                      <w:sz w:val="18"/>
                      <w:szCs w:val="18"/>
                    </w:rPr>
                    <w:t>a) 符合所在地城市总体规划或国土空间规划；</w:t>
                  </w:r>
                </w:p>
                <w:p>
                  <w:pPr>
                    <w:autoSpaceDE w:val="0"/>
                    <w:autoSpaceDN w:val="0"/>
                    <w:rPr>
                      <w:color w:val="auto"/>
                      <w:kern w:val="0"/>
                      <w:sz w:val="18"/>
                      <w:szCs w:val="18"/>
                    </w:rPr>
                  </w:pPr>
                  <w:r>
                    <w:rPr>
                      <w:color w:val="auto"/>
                      <w:kern w:val="0"/>
                      <w:sz w:val="18"/>
                      <w:szCs w:val="18"/>
                    </w:rPr>
                    <w:t>b) 符合GB 50187、HJ 348的选址要求，不得建在城市居民区、商业区、饮用水水源保护区及其他环境敏感区内，且避开受环境威胁的地带、地段和地区；</w:t>
                  </w:r>
                </w:p>
                <w:p>
                  <w:pPr>
                    <w:autoSpaceDE w:val="0"/>
                    <w:autoSpaceDN w:val="0"/>
                    <w:rPr>
                      <w:color w:val="auto"/>
                      <w:kern w:val="0"/>
                      <w:sz w:val="18"/>
                      <w:szCs w:val="18"/>
                    </w:rPr>
                  </w:pPr>
                  <w:r>
                    <w:rPr>
                      <w:color w:val="auto"/>
                      <w:kern w:val="0"/>
                      <w:sz w:val="18"/>
                      <w:szCs w:val="18"/>
                    </w:rPr>
                    <w:t>c) 项目所在地有工业园区或再生利用园区的应建设在园区内</w:t>
                  </w:r>
                </w:p>
              </w:tc>
              <w:tc>
                <w:tcPr>
                  <w:tcW w:w="4957" w:type="dxa"/>
                  <w:noWrap w:val="0"/>
                  <w:vAlign w:val="center"/>
                </w:tcPr>
                <w:p>
                  <w:pPr>
                    <w:autoSpaceDE w:val="0"/>
                    <w:autoSpaceDN w:val="0"/>
                    <w:rPr>
                      <w:rFonts w:hint="eastAsia" w:eastAsia="宋体"/>
                      <w:color w:val="auto"/>
                      <w:kern w:val="0"/>
                      <w:sz w:val="18"/>
                      <w:szCs w:val="18"/>
                      <w:lang w:eastAsia="zh-CN"/>
                    </w:rPr>
                  </w:pPr>
                  <w:r>
                    <w:rPr>
                      <w:color w:val="auto"/>
                      <w:kern w:val="0"/>
                      <w:sz w:val="18"/>
                      <w:szCs w:val="18"/>
                    </w:rPr>
                    <w:t>本工程符合所在地城市总体规划或国土空间规划；符合 GB 50187、HJ348的选址要求；项目所在地属于工业用地。</w:t>
                  </w:r>
                  <w:r>
                    <w:rPr>
                      <w:rFonts w:hint="eastAsia"/>
                      <w:color w:val="auto"/>
                      <w:kern w:val="0"/>
                      <w:sz w:val="18"/>
                      <w:szCs w:val="18"/>
                      <w:lang w:eastAsia="zh-CN"/>
                    </w:rPr>
                    <w:t>根据本地工业园区的产业定位，本项目不适合建设园区内。</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0" w:type="dxa"/>
                  <w:vMerge w:val="continue"/>
                  <w:noWrap w:val="0"/>
                  <w:vAlign w:val="center"/>
                </w:tcPr>
                <w:p>
                  <w:pPr>
                    <w:autoSpaceDE w:val="0"/>
                    <w:autoSpaceDN w:val="0"/>
                    <w:rPr>
                      <w:color w:val="auto"/>
                      <w:kern w:val="0"/>
                      <w:sz w:val="18"/>
                      <w:szCs w:val="18"/>
                    </w:rPr>
                  </w:pPr>
                </w:p>
              </w:tc>
              <w:tc>
                <w:tcPr>
                  <w:tcW w:w="5040" w:type="dxa"/>
                  <w:noWrap w:val="0"/>
                  <w:vAlign w:val="center"/>
                </w:tcPr>
                <w:p>
                  <w:pPr>
                    <w:autoSpaceDE w:val="0"/>
                    <w:autoSpaceDN w:val="0"/>
                    <w:rPr>
                      <w:color w:val="auto"/>
                      <w:kern w:val="0"/>
                      <w:sz w:val="18"/>
                      <w:szCs w:val="18"/>
                    </w:rPr>
                  </w:pPr>
                  <w:r>
                    <w:rPr>
                      <w:color w:val="auto"/>
                      <w:kern w:val="0"/>
                      <w:sz w:val="18"/>
                      <w:szCs w:val="18"/>
                    </w:rPr>
                    <w:t>最低经营面积（占地面积〉 应满足如下要求：a ) I 档-II 档地区为20000m</w:t>
                  </w:r>
                  <w:r>
                    <w:rPr>
                      <w:color w:val="auto"/>
                      <w:kern w:val="0"/>
                      <w:sz w:val="18"/>
                      <w:szCs w:val="18"/>
                      <w:vertAlign w:val="superscript"/>
                    </w:rPr>
                    <w:t>2</w:t>
                  </w:r>
                  <w:r>
                    <w:rPr>
                      <w:color w:val="auto"/>
                      <w:kern w:val="0"/>
                      <w:sz w:val="18"/>
                      <w:szCs w:val="18"/>
                    </w:rPr>
                    <w:t>，III 档-IV 档地区为15000m</w:t>
                  </w:r>
                  <w:r>
                    <w:rPr>
                      <w:color w:val="auto"/>
                      <w:kern w:val="0"/>
                      <w:sz w:val="18"/>
                      <w:szCs w:val="18"/>
                      <w:vertAlign w:val="superscript"/>
                    </w:rPr>
                    <w:t>2</w:t>
                  </w:r>
                  <w:r>
                    <w:rPr>
                      <w:color w:val="auto"/>
                      <w:kern w:val="0"/>
                      <w:sz w:val="18"/>
                      <w:szCs w:val="18"/>
                    </w:rPr>
                    <w:t>，V档-VI档地区为10000m</w:t>
                  </w:r>
                  <w:r>
                    <w:rPr>
                      <w:color w:val="auto"/>
                      <w:kern w:val="0"/>
                      <w:sz w:val="18"/>
                      <w:szCs w:val="18"/>
                      <w:vertAlign w:val="superscript"/>
                    </w:rPr>
                    <w:t>2</w:t>
                  </w:r>
                  <w:r>
                    <w:rPr>
                      <w:color w:val="auto"/>
                      <w:kern w:val="0"/>
                      <w:sz w:val="18"/>
                      <w:szCs w:val="18"/>
                    </w:rPr>
                    <w:t>；b) 其中作业场地（包括拆解和贮存场地）面积不低于经营面积的60%。</w:t>
                  </w:r>
                </w:p>
              </w:tc>
              <w:tc>
                <w:tcPr>
                  <w:tcW w:w="4957" w:type="dxa"/>
                  <w:noWrap w:val="0"/>
                  <w:vAlign w:val="center"/>
                </w:tcPr>
                <w:p>
                  <w:pPr>
                    <w:autoSpaceDE w:val="0"/>
                    <w:autoSpaceDN w:val="0"/>
                    <w:rPr>
                      <w:color w:val="auto"/>
                      <w:kern w:val="0"/>
                      <w:sz w:val="18"/>
                      <w:szCs w:val="18"/>
                    </w:rPr>
                  </w:pPr>
                  <w:r>
                    <w:rPr>
                      <w:color w:val="auto"/>
                      <w:kern w:val="0"/>
                      <w:sz w:val="18"/>
                      <w:szCs w:val="18"/>
                    </w:rPr>
                    <w:t>项目区域属于V档地区类型，本项目经营面积（占地面积）</w:t>
                  </w:r>
                  <w:r>
                    <w:rPr>
                      <w:rFonts w:hint="eastAsia"/>
                      <w:color w:val="auto"/>
                      <w:kern w:val="0"/>
                      <w:sz w:val="18"/>
                      <w:szCs w:val="18"/>
                      <w:lang w:val="en-US" w:eastAsia="zh-CN"/>
                    </w:rPr>
                    <w:t>16650</w:t>
                  </w:r>
                  <w:r>
                    <w:rPr>
                      <w:color w:val="auto"/>
                      <w:kern w:val="0"/>
                      <w:sz w:val="18"/>
                      <w:szCs w:val="18"/>
                    </w:rPr>
                    <w:t>m</w:t>
                  </w:r>
                  <w:r>
                    <w:rPr>
                      <w:color w:val="auto"/>
                      <w:kern w:val="0"/>
                      <w:sz w:val="18"/>
                      <w:szCs w:val="18"/>
                      <w:vertAlign w:val="superscript"/>
                    </w:rPr>
                    <w:t>2</w:t>
                  </w:r>
                  <w:r>
                    <w:rPr>
                      <w:color w:val="auto"/>
                      <w:kern w:val="0"/>
                      <w:sz w:val="18"/>
                      <w:szCs w:val="18"/>
                    </w:rPr>
                    <w:t>；</w:t>
                  </w:r>
                  <w:r>
                    <w:rPr>
                      <w:rFonts w:hint="eastAsia"/>
                      <w:bCs/>
                      <w:color w:val="auto"/>
                      <w:sz w:val="18"/>
                      <w:szCs w:val="18"/>
                    </w:rPr>
                    <w:t>其中</w:t>
                  </w:r>
                  <w:r>
                    <w:rPr>
                      <w:rFonts w:hint="eastAsia"/>
                      <w:bCs/>
                      <w:color w:val="auto"/>
                      <w:sz w:val="18"/>
                      <w:szCs w:val="18"/>
                      <w:lang w:eastAsia="zh-CN"/>
                    </w:rPr>
                    <w:t>有效作业面积为</w:t>
                  </w:r>
                  <w:r>
                    <w:rPr>
                      <w:rFonts w:hint="eastAsia"/>
                      <w:bCs/>
                      <w:color w:val="auto"/>
                      <w:sz w:val="18"/>
                      <w:szCs w:val="18"/>
                      <w:lang w:val="en-US" w:eastAsia="zh-CN"/>
                    </w:rPr>
                    <w:t>12000</w:t>
                  </w:r>
                  <w:r>
                    <w:rPr>
                      <w:color w:val="auto"/>
                      <w:kern w:val="0"/>
                      <w:sz w:val="18"/>
                      <w:szCs w:val="18"/>
                    </w:rPr>
                    <w:t>m</w:t>
                  </w:r>
                  <w:r>
                    <w:rPr>
                      <w:rFonts w:hint="eastAsia"/>
                      <w:color w:val="auto"/>
                      <w:kern w:val="0"/>
                      <w:sz w:val="18"/>
                      <w:szCs w:val="18"/>
                      <w:vertAlign w:val="superscript"/>
                      <w:lang w:val="en-US" w:eastAsia="zh-CN"/>
                    </w:rPr>
                    <w:t>2</w:t>
                  </w:r>
                  <w:r>
                    <w:rPr>
                      <w:rFonts w:hint="eastAsia"/>
                      <w:bCs/>
                      <w:color w:val="auto"/>
                      <w:sz w:val="18"/>
                      <w:szCs w:val="18"/>
                    </w:rPr>
                    <w:t>，</w:t>
                  </w:r>
                  <w:r>
                    <w:rPr>
                      <w:bCs/>
                      <w:color w:val="auto"/>
                      <w:sz w:val="18"/>
                      <w:szCs w:val="18"/>
                    </w:rPr>
                    <w:t>作业场地</w:t>
                  </w:r>
                  <w:r>
                    <w:rPr>
                      <w:rFonts w:hint="eastAsia"/>
                      <w:bCs/>
                      <w:color w:val="auto"/>
                      <w:sz w:val="18"/>
                      <w:szCs w:val="18"/>
                    </w:rPr>
                    <w:t>面积占营业面积的</w:t>
                  </w:r>
                  <w:r>
                    <w:rPr>
                      <w:rFonts w:hint="eastAsia"/>
                      <w:bCs/>
                      <w:color w:val="auto"/>
                      <w:sz w:val="18"/>
                      <w:szCs w:val="18"/>
                      <w:lang w:val="en-US" w:eastAsia="zh-CN"/>
                    </w:rPr>
                    <w:t>72.07</w:t>
                  </w:r>
                  <w:r>
                    <w:rPr>
                      <w:rFonts w:hint="eastAsia"/>
                      <w:bCs/>
                      <w:color w:val="auto"/>
                      <w:sz w:val="18"/>
                      <w:szCs w:val="18"/>
                    </w:rPr>
                    <w:t>%。</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continue"/>
                  <w:noWrap w:val="0"/>
                  <w:vAlign w:val="center"/>
                </w:tcPr>
                <w:p>
                  <w:pPr>
                    <w:autoSpaceDE w:val="0"/>
                    <w:autoSpaceDN w:val="0"/>
                    <w:rPr>
                      <w:color w:val="auto"/>
                      <w:kern w:val="0"/>
                      <w:sz w:val="18"/>
                      <w:szCs w:val="18"/>
                    </w:rPr>
                  </w:pPr>
                </w:p>
              </w:tc>
              <w:tc>
                <w:tcPr>
                  <w:tcW w:w="5040" w:type="dxa"/>
                  <w:noWrap w:val="0"/>
                  <w:vAlign w:val="center"/>
                </w:tcPr>
                <w:p>
                  <w:pPr>
                    <w:autoSpaceDE w:val="0"/>
                    <w:autoSpaceDN w:val="0"/>
                    <w:rPr>
                      <w:color w:val="auto"/>
                      <w:kern w:val="0"/>
                      <w:sz w:val="18"/>
                      <w:szCs w:val="18"/>
                    </w:rPr>
                  </w:pPr>
                  <w:r>
                    <w:rPr>
                      <w:color w:val="auto"/>
                      <w:kern w:val="0"/>
                      <w:sz w:val="18"/>
                      <w:szCs w:val="18"/>
                    </w:rPr>
                    <w:t>严格执行《工业项目建设用地控制指标》建设用地标准，且场地建设符合HJ 348的企业建设环境保护要求。场地应具备拆解场地、贮存场地和办公场地。其中，拆解场地和贮存场地（包括临时贮存）的地面应硬化并防渗漏，满足GB 50037的防油渗地面要求。</w:t>
                  </w:r>
                </w:p>
              </w:tc>
              <w:tc>
                <w:tcPr>
                  <w:tcW w:w="4957" w:type="dxa"/>
                  <w:noWrap w:val="0"/>
                  <w:vAlign w:val="center"/>
                </w:tcPr>
                <w:p>
                  <w:pPr>
                    <w:autoSpaceDE w:val="0"/>
                    <w:autoSpaceDN w:val="0"/>
                    <w:rPr>
                      <w:color w:val="auto"/>
                      <w:kern w:val="0"/>
                      <w:sz w:val="18"/>
                      <w:szCs w:val="18"/>
                    </w:rPr>
                  </w:pPr>
                  <w:r>
                    <w:rPr>
                      <w:color w:val="auto"/>
                      <w:kern w:val="0"/>
                      <w:sz w:val="18"/>
                      <w:szCs w:val="18"/>
                    </w:rPr>
                    <w:t>本项目报废汽车存堆场进行了地面硬化，并做了防渗漏处理。</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continue"/>
                  <w:noWrap w:val="0"/>
                  <w:vAlign w:val="center"/>
                </w:tcPr>
                <w:p>
                  <w:pPr>
                    <w:autoSpaceDE w:val="0"/>
                    <w:autoSpaceDN w:val="0"/>
                    <w:rPr>
                      <w:color w:val="auto"/>
                      <w:kern w:val="0"/>
                      <w:sz w:val="18"/>
                      <w:szCs w:val="18"/>
                    </w:rPr>
                  </w:pPr>
                </w:p>
              </w:tc>
              <w:tc>
                <w:tcPr>
                  <w:tcW w:w="5040" w:type="dxa"/>
                  <w:noWrap w:val="0"/>
                  <w:vAlign w:val="center"/>
                </w:tcPr>
                <w:p>
                  <w:pPr>
                    <w:autoSpaceDE w:val="0"/>
                    <w:autoSpaceDN w:val="0"/>
                    <w:rPr>
                      <w:color w:val="auto"/>
                      <w:kern w:val="0"/>
                      <w:sz w:val="18"/>
                      <w:szCs w:val="18"/>
                    </w:rPr>
                  </w:pPr>
                  <w:r>
                    <w:rPr>
                      <w:color w:val="auto"/>
                      <w:kern w:val="0"/>
                      <w:sz w:val="18"/>
                      <w:szCs w:val="18"/>
                    </w:rPr>
                    <w:t>拆解场地应为封闭或半封闭构建物，应通风、光线良好，安全环保设施设备齐全。</w:t>
                  </w:r>
                </w:p>
              </w:tc>
              <w:tc>
                <w:tcPr>
                  <w:tcW w:w="4957" w:type="dxa"/>
                  <w:noWrap w:val="0"/>
                  <w:vAlign w:val="center"/>
                </w:tcPr>
                <w:p>
                  <w:pPr>
                    <w:autoSpaceDE w:val="0"/>
                    <w:autoSpaceDN w:val="0"/>
                    <w:rPr>
                      <w:color w:val="auto"/>
                      <w:kern w:val="0"/>
                      <w:sz w:val="18"/>
                      <w:szCs w:val="18"/>
                    </w:rPr>
                  </w:pPr>
                  <w:r>
                    <w:rPr>
                      <w:color w:val="auto"/>
                      <w:kern w:val="0"/>
                      <w:sz w:val="18"/>
                      <w:szCs w:val="18"/>
                    </w:rPr>
                    <w:t>本项目拆解在封闭厂房内进行，地面做了防渗措施，周围设置了导流槽收集车间废水/液。</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continue"/>
                  <w:noWrap w:val="0"/>
                  <w:vAlign w:val="center"/>
                </w:tcPr>
                <w:p>
                  <w:pPr>
                    <w:autoSpaceDE w:val="0"/>
                    <w:autoSpaceDN w:val="0"/>
                    <w:rPr>
                      <w:color w:val="auto"/>
                      <w:kern w:val="0"/>
                      <w:sz w:val="18"/>
                      <w:szCs w:val="18"/>
                    </w:rPr>
                  </w:pPr>
                </w:p>
              </w:tc>
              <w:tc>
                <w:tcPr>
                  <w:tcW w:w="5040" w:type="dxa"/>
                  <w:noWrap w:val="0"/>
                  <w:vAlign w:val="center"/>
                </w:tcPr>
                <w:p>
                  <w:pPr>
                    <w:autoSpaceDE w:val="0"/>
                    <w:autoSpaceDN w:val="0"/>
                    <w:rPr>
                      <w:color w:val="auto"/>
                      <w:kern w:val="0"/>
                      <w:sz w:val="18"/>
                      <w:szCs w:val="18"/>
                    </w:rPr>
                  </w:pPr>
                  <w:r>
                    <w:rPr>
                      <w:color w:val="auto"/>
                      <w:kern w:val="0"/>
                      <w:sz w:val="18"/>
                      <w:szCs w:val="18"/>
                    </w:rPr>
                    <w:t>贮存场地应分为报废机动车贮存场地、回用件贮存场地及固体废物贮存场地。固体废物贮存场地应具有满足GB 18599 要求的一般工业固体废物贮存设施和满足GB 18597 要求的危险废物贮存设施。</w:t>
                  </w:r>
                </w:p>
              </w:tc>
              <w:tc>
                <w:tcPr>
                  <w:tcW w:w="4957" w:type="dxa"/>
                  <w:noWrap w:val="0"/>
                  <w:vAlign w:val="center"/>
                </w:tcPr>
                <w:p>
                  <w:pPr>
                    <w:autoSpaceDE w:val="0"/>
                    <w:autoSpaceDN w:val="0"/>
                    <w:rPr>
                      <w:color w:val="auto"/>
                      <w:kern w:val="0"/>
                      <w:sz w:val="18"/>
                      <w:szCs w:val="18"/>
                    </w:rPr>
                  </w:pPr>
                  <w:r>
                    <w:rPr>
                      <w:color w:val="auto"/>
                      <w:kern w:val="0"/>
                      <w:sz w:val="18"/>
                      <w:szCs w:val="18"/>
                    </w:rPr>
                    <w:t>本工程报废机动车贮存场地为硬化堆场、回用件贮存场地及固体废物贮存场地设置在拆解车间内部，固体废物贮存场地满足GB 18599要求的一般工业固体废物贮存设施和满足GB 18597要求的危险废物贮存设施。</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restart"/>
                  <w:noWrap w:val="0"/>
                  <w:vAlign w:val="center"/>
                </w:tcPr>
                <w:p>
                  <w:pPr>
                    <w:autoSpaceDE w:val="0"/>
                    <w:autoSpaceDN w:val="0"/>
                    <w:rPr>
                      <w:color w:val="auto"/>
                      <w:kern w:val="0"/>
                      <w:sz w:val="18"/>
                      <w:szCs w:val="18"/>
                    </w:rPr>
                  </w:pPr>
                  <w:r>
                    <w:rPr>
                      <w:color w:val="auto"/>
                      <w:kern w:val="0"/>
                      <w:sz w:val="18"/>
                      <w:szCs w:val="18"/>
                    </w:rPr>
                    <w:t>2.设施设备</w:t>
                  </w:r>
                </w:p>
              </w:tc>
              <w:tc>
                <w:tcPr>
                  <w:tcW w:w="5040" w:type="dxa"/>
                  <w:noWrap w:val="0"/>
                  <w:vAlign w:val="center"/>
                </w:tcPr>
                <w:p>
                  <w:pPr>
                    <w:autoSpaceDE w:val="0"/>
                    <w:autoSpaceDN w:val="0"/>
                    <w:rPr>
                      <w:color w:val="auto"/>
                      <w:kern w:val="0"/>
                      <w:sz w:val="18"/>
                      <w:szCs w:val="18"/>
                    </w:rPr>
                  </w:pPr>
                  <w:r>
                    <w:rPr>
                      <w:color w:val="auto"/>
                      <w:kern w:val="0"/>
                      <w:sz w:val="18"/>
                      <w:szCs w:val="18"/>
                    </w:rPr>
                    <w:t>应具备以下一般拆解设施设备：</w:t>
                  </w:r>
                </w:p>
                <w:p>
                  <w:pPr>
                    <w:autoSpaceDE w:val="0"/>
                    <w:autoSpaceDN w:val="0"/>
                    <w:rPr>
                      <w:color w:val="auto"/>
                      <w:kern w:val="0"/>
                      <w:sz w:val="18"/>
                      <w:szCs w:val="18"/>
                    </w:rPr>
                  </w:pPr>
                  <w:r>
                    <w:rPr>
                      <w:color w:val="auto"/>
                      <w:kern w:val="0"/>
                      <w:sz w:val="18"/>
                      <w:szCs w:val="18"/>
                    </w:rPr>
                    <w:t>a)车辆称重设备；b)室内或有防雨顶棚的拆解预处理平台；c)车架（车身）剪断、切割设备或压扁设备，不得仅以氧割设备代替；d)起重、运输或专用拖车等设备；e)总成拆解平台；f)气动拆解工具；g)简易拆解工具。</w:t>
                  </w:r>
                </w:p>
              </w:tc>
              <w:tc>
                <w:tcPr>
                  <w:tcW w:w="4957" w:type="dxa"/>
                  <w:noWrap w:val="0"/>
                  <w:vAlign w:val="center"/>
                </w:tcPr>
                <w:p>
                  <w:pPr>
                    <w:autoSpaceDE w:val="0"/>
                    <w:autoSpaceDN w:val="0"/>
                    <w:rPr>
                      <w:color w:val="auto"/>
                      <w:kern w:val="0"/>
                      <w:sz w:val="18"/>
                      <w:szCs w:val="18"/>
                    </w:rPr>
                  </w:pPr>
                  <w:r>
                    <w:rPr>
                      <w:color w:val="auto"/>
                      <w:kern w:val="0"/>
                      <w:sz w:val="18"/>
                      <w:szCs w:val="18"/>
                    </w:rPr>
                    <w:t>本项目设施了地磅用于车辆的称重。具有室内的拆解预处理平台；设置有剪断、切割等设备；设置有起重、运输及专用拖车等设备，总成拆解平台，气动拆解工具，简易拆解工具。</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continue"/>
                  <w:noWrap w:val="0"/>
                  <w:vAlign w:val="center"/>
                </w:tcPr>
                <w:p>
                  <w:pPr>
                    <w:autoSpaceDE w:val="0"/>
                    <w:autoSpaceDN w:val="0"/>
                    <w:rPr>
                      <w:color w:val="auto"/>
                      <w:kern w:val="0"/>
                      <w:sz w:val="18"/>
                      <w:szCs w:val="18"/>
                    </w:rPr>
                  </w:pPr>
                </w:p>
              </w:tc>
              <w:tc>
                <w:tcPr>
                  <w:tcW w:w="5040" w:type="dxa"/>
                  <w:noWrap w:val="0"/>
                  <w:vAlign w:val="center"/>
                </w:tcPr>
                <w:p>
                  <w:pPr>
                    <w:autoSpaceDE w:val="0"/>
                    <w:autoSpaceDN w:val="0"/>
                    <w:rPr>
                      <w:color w:val="auto"/>
                      <w:kern w:val="0"/>
                      <w:sz w:val="18"/>
                      <w:szCs w:val="18"/>
                    </w:rPr>
                  </w:pPr>
                  <w:r>
                    <w:rPr>
                      <w:color w:val="auto"/>
                      <w:kern w:val="0"/>
                      <w:sz w:val="18"/>
                      <w:szCs w:val="18"/>
                    </w:rPr>
                    <w:t>应具备以下安全设施设备：</w:t>
                  </w:r>
                </w:p>
                <w:p>
                  <w:pPr>
                    <w:autoSpaceDE w:val="0"/>
                    <w:autoSpaceDN w:val="0"/>
                    <w:rPr>
                      <w:color w:val="auto"/>
                      <w:kern w:val="0"/>
                      <w:sz w:val="18"/>
                      <w:szCs w:val="18"/>
                    </w:rPr>
                  </w:pPr>
                  <w:r>
                    <w:rPr>
                      <w:color w:val="auto"/>
                      <w:kern w:val="0"/>
                      <w:sz w:val="18"/>
                      <w:szCs w:val="18"/>
                    </w:rPr>
                    <w:t>a)安全气囊直接引爆装置或者拆除、贮存、引爆装置；</w:t>
                  </w:r>
                </w:p>
                <w:p>
                  <w:pPr>
                    <w:autoSpaceDE w:val="0"/>
                    <w:autoSpaceDN w:val="0"/>
                    <w:rPr>
                      <w:color w:val="auto"/>
                      <w:kern w:val="0"/>
                      <w:sz w:val="18"/>
                      <w:szCs w:val="18"/>
                    </w:rPr>
                  </w:pPr>
                  <w:r>
                    <w:rPr>
                      <w:color w:val="auto"/>
                      <w:kern w:val="0"/>
                      <w:sz w:val="18"/>
                      <w:szCs w:val="18"/>
                    </w:rPr>
                    <w:t>b)满足GB 50016规定的消防设施设备；</w:t>
                  </w:r>
                </w:p>
                <w:p>
                  <w:pPr>
                    <w:autoSpaceDE w:val="0"/>
                    <w:autoSpaceDN w:val="0"/>
                    <w:rPr>
                      <w:color w:val="auto"/>
                      <w:kern w:val="0"/>
                      <w:sz w:val="18"/>
                      <w:szCs w:val="18"/>
                    </w:rPr>
                  </w:pPr>
                  <w:r>
                    <w:rPr>
                      <w:color w:val="auto"/>
                      <w:kern w:val="0"/>
                      <w:sz w:val="18"/>
                      <w:szCs w:val="18"/>
                    </w:rPr>
                    <w:t>c)应急救援设备 。</w:t>
                  </w:r>
                </w:p>
              </w:tc>
              <w:tc>
                <w:tcPr>
                  <w:tcW w:w="4957" w:type="dxa"/>
                  <w:noWrap w:val="0"/>
                  <w:vAlign w:val="center"/>
                </w:tcPr>
                <w:p>
                  <w:pPr>
                    <w:autoSpaceDE w:val="0"/>
                    <w:autoSpaceDN w:val="0"/>
                    <w:rPr>
                      <w:color w:val="auto"/>
                      <w:kern w:val="0"/>
                      <w:sz w:val="18"/>
                      <w:szCs w:val="18"/>
                    </w:rPr>
                  </w:pPr>
                  <w:r>
                    <w:rPr>
                      <w:color w:val="auto"/>
                      <w:kern w:val="0"/>
                      <w:sz w:val="18"/>
                      <w:szCs w:val="18"/>
                    </w:rPr>
                    <w:t>项目机动车拆解处设置专用设备专门用于安全气囊的引爆，报废机动车拆下得气囊置于引爆容器内，使用电子引爆器进行引爆，引爆容器为封闭箱式装置，可起到阻隔噪音的作用，且可有效保证车间内操作人员安全。</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continue"/>
                  <w:noWrap w:val="0"/>
                  <w:vAlign w:val="center"/>
                </w:tcPr>
                <w:p>
                  <w:pPr>
                    <w:autoSpaceDE w:val="0"/>
                    <w:autoSpaceDN w:val="0"/>
                    <w:rPr>
                      <w:color w:val="auto"/>
                      <w:kern w:val="0"/>
                      <w:sz w:val="18"/>
                      <w:szCs w:val="18"/>
                    </w:rPr>
                  </w:pPr>
                </w:p>
              </w:tc>
              <w:tc>
                <w:tcPr>
                  <w:tcW w:w="5040" w:type="dxa"/>
                  <w:noWrap w:val="0"/>
                  <w:vAlign w:val="center"/>
                </w:tcPr>
                <w:p>
                  <w:pPr>
                    <w:autoSpaceDE w:val="0"/>
                    <w:autoSpaceDN w:val="0"/>
                    <w:rPr>
                      <w:color w:val="auto"/>
                      <w:kern w:val="0"/>
                      <w:sz w:val="18"/>
                      <w:szCs w:val="18"/>
                    </w:rPr>
                  </w:pPr>
                  <w:r>
                    <w:rPr>
                      <w:color w:val="auto"/>
                      <w:kern w:val="0"/>
                      <w:sz w:val="18"/>
                      <w:szCs w:val="18"/>
                    </w:rPr>
                    <w:t>具备以下环保设施设备：</w:t>
                  </w:r>
                </w:p>
                <w:p>
                  <w:pPr>
                    <w:autoSpaceDE w:val="0"/>
                    <w:autoSpaceDN w:val="0"/>
                    <w:rPr>
                      <w:color w:val="auto"/>
                      <w:kern w:val="0"/>
                      <w:sz w:val="18"/>
                      <w:szCs w:val="18"/>
                    </w:rPr>
                  </w:pPr>
                  <w:r>
                    <w:rPr>
                      <w:color w:val="auto"/>
                      <w:kern w:val="0"/>
                      <w:sz w:val="18"/>
                      <w:szCs w:val="18"/>
                    </w:rPr>
                    <w:t>a )满足HJ 348要求的油水分离器等企业建设环境保护设备；b)配有专用废液收集装置和分类存放各种废液的专用密闭容器；c)机动车空调制冷剂收集装置和分类存放各种制冷剂的密闭容器；d)分类存放机油滤清器和铅酸蓄电池的容器。</w:t>
                  </w:r>
                </w:p>
              </w:tc>
              <w:tc>
                <w:tcPr>
                  <w:tcW w:w="4957" w:type="dxa"/>
                  <w:noWrap w:val="0"/>
                  <w:vAlign w:val="center"/>
                </w:tcPr>
                <w:p>
                  <w:pPr>
                    <w:autoSpaceDE w:val="0"/>
                    <w:autoSpaceDN w:val="0"/>
                    <w:rPr>
                      <w:color w:val="auto"/>
                      <w:kern w:val="0"/>
                      <w:sz w:val="18"/>
                      <w:szCs w:val="18"/>
                    </w:rPr>
                  </w:pPr>
                  <w:r>
                    <w:rPr>
                      <w:color w:val="auto"/>
                      <w:kern w:val="0"/>
                      <w:sz w:val="18"/>
                      <w:szCs w:val="18"/>
                    </w:rPr>
                    <w:t>项目环保设备满足HJ 348要求的油水分离，配有专用废液收集装置和分类存放各种废液的专用密闭容器，设置有空调制冷剂收集装置和分类存放各种制冷剂的密闭容器，分类存放机油滤清器和铅酸蓄电池的容器。</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continue"/>
                  <w:noWrap w:val="0"/>
                  <w:vAlign w:val="center"/>
                </w:tcPr>
                <w:p>
                  <w:pPr>
                    <w:autoSpaceDE w:val="0"/>
                    <w:autoSpaceDN w:val="0"/>
                    <w:rPr>
                      <w:color w:val="auto"/>
                      <w:kern w:val="0"/>
                      <w:sz w:val="18"/>
                      <w:szCs w:val="18"/>
                    </w:rPr>
                  </w:pPr>
                </w:p>
              </w:tc>
              <w:tc>
                <w:tcPr>
                  <w:tcW w:w="5040" w:type="dxa"/>
                  <w:noWrap w:val="0"/>
                  <w:vAlign w:val="center"/>
                </w:tcPr>
                <w:p>
                  <w:pPr>
                    <w:autoSpaceDE w:val="0"/>
                    <w:autoSpaceDN w:val="0"/>
                    <w:rPr>
                      <w:color w:val="auto"/>
                      <w:kern w:val="0"/>
                      <w:sz w:val="18"/>
                      <w:szCs w:val="18"/>
                    </w:rPr>
                  </w:pPr>
                  <w:r>
                    <w:rPr>
                      <w:color w:val="auto"/>
                      <w:kern w:val="0"/>
                      <w:sz w:val="18"/>
                      <w:szCs w:val="18"/>
                    </w:rPr>
                    <w:t>应具备电脑、拍照设备、电子监控等设施设备</w:t>
                  </w:r>
                </w:p>
              </w:tc>
              <w:tc>
                <w:tcPr>
                  <w:tcW w:w="4957" w:type="dxa"/>
                  <w:noWrap w:val="0"/>
                  <w:vAlign w:val="center"/>
                </w:tcPr>
                <w:p>
                  <w:pPr>
                    <w:autoSpaceDE w:val="0"/>
                    <w:autoSpaceDN w:val="0"/>
                    <w:rPr>
                      <w:color w:val="auto"/>
                      <w:kern w:val="0"/>
                      <w:sz w:val="18"/>
                      <w:szCs w:val="18"/>
                    </w:rPr>
                  </w:pPr>
                  <w:r>
                    <w:rPr>
                      <w:color w:val="auto"/>
                      <w:kern w:val="0"/>
                      <w:sz w:val="18"/>
                      <w:szCs w:val="18"/>
                    </w:rPr>
                    <w:t>按设计内容可知，企业设置有电脑、拍照设备、电子监控等设施设备装置。</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continue"/>
                  <w:noWrap w:val="0"/>
                  <w:vAlign w:val="center"/>
                </w:tcPr>
                <w:p>
                  <w:pPr>
                    <w:autoSpaceDE w:val="0"/>
                    <w:autoSpaceDN w:val="0"/>
                    <w:rPr>
                      <w:color w:val="auto"/>
                      <w:kern w:val="0"/>
                      <w:sz w:val="18"/>
                      <w:szCs w:val="18"/>
                    </w:rPr>
                  </w:pPr>
                </w:p>
              </w:tc>
              <w:tc>
                <w:tcPr>
                  <w:tcW w:w="5040" w:type="dxa"/>
                  <w:noWrap w:val="0"/>
                  <w:vAlign w:val="center"/>
                </w:tcPr>
                <w:p>
                  <w:pPr>
                    <w:autoSpaceDE w:val="0"/>
                    <w:autoSpaceDN w:val="0"/>
                    <w:rPr>
                      <w:color w:val="auto"/>
                      <w:kern w:val="0"/>
                      <w:sz w:val="18"/>
                      <w:szCs w:val="18"/>
                    </w:rPr>
                  </w:pPr>
                  <w:r>
                    <w:rPr>
                      <w:color w:val="auto"/>
                      <w:kern w:val="0"/>
                      <w:sz w:val="18"/>
                      <w:szCs w:val="18"/>
                    </w:rPr>
                    <w:t>I 档-II 档地区的企业还应具备以下高效拆解设施设备：a)精细拆解平台及相应的设备工装；b)解体机或拆解线等拆解设备；c)大型高效剪断、切割设备；d)集中高效废液回收设备。</w:t>
                  </w:r>
                </w:p>
              </w:tc>
              <w:tc>
                <w:tcPr>
                  <w:tcW w:w="4957" w:type="dxa"/>
                  <w:noWrap w:val="0"/>
                  <w:vAlign w:val="center"/>
                </w:tcPr>
                <w:p>
                  <w:pPr>
                    <w:autoSpaceDE w:val="0"/>
                    <w:autoSpaceDN w:val="0"/>
                    <w:rPr>
                      <w:color w:val="auto"/>
                      <w:kern w:val="0"/>
                      <w:sz w:val="18"/>
                      <w:szCs w:val="18"/>
                    </w:rPr>
                  </w:pPr>
                  <w:r>
                    <w:rPr>
                      <w:color w:val="auto"/>
                      <w:kern w:val="0"/>
                      <w:sz w:val="18"/>
                      <w:szCs w:val="18"/>
                    </w:rPr>
                    <w:t>本项目不涉及。</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continue"/>
                  <w:noWrap w:val="0"/>
                  <w:vAlign w:val="center"/>
                </w:tcPr>
                <w:p>
                  <w:pPr>
                    <w:autoSpaceDE w:val="0"/>
                    <w:autoSpaceDN w:val="0"/>
                    <w:rPr>
                      <w:color w:val="auto"/>
                      <w:kern w:val="0"/>
                      <w:sz w:val="18"/>
                      <w:szCs w:val="18"/>
                    </w:rPr>
                  </w:pPr>
                </w:p>
              </w:tc>
              <w:tc>
                <w:tcPr>
                  <w:tcW w:w="5040" w:type="dxa"/>
                  <w:noWrap w:val="0"/>
                  <w:vAlign w:val="center"/>
                </w:tcPr>
                <w:p>
                  <w:pPr>
                    <w:autoSpaceDE w:val="0"/>
                    <w:autoSpaceDN w:val="0"/>
                    <w:rPr>
                      <w:color w:val="auto"/>
                      <w:kern w:val="0"/>
                      <w:sz w:val="18"/>
                      <w:szCs w:val="18"/>
                    </w:rPr>
                  </w:pPr>
                  <w:r>
                    <w:rPr>
                      <w:color w:val="auto"/>
                      <w:kern w:val="0"/>
                      <w:sz w:val="18"/>
                      <w:szCs w:val="18"/>
                    </w:rPr>
                    <w:t>拆解电动汽车的企业还应具备以下设施设备及材料：a)绝缘检测设备等安全评估设备；b)动力蓄电池断电设备；c)吊具、夹臂、机械手</w:t>
                  </w:r>
                </w:p>
                <w:p>
                  <w:pPr>
                    <w:autoSpaceDE w:val="0"/>
                    <w:autoSpaceDN w:val="0"/>
                    <w:rPr>
                      <w:color w:val="auto"/>
                      <w:kern w:val="0"/>
                      <w:sz w:val="18"/>
                      <w:szCs w:val="18"/>
                    </w:rPr>
                  </w:pPr>
                  <w:r>
                    <w:rPr>
                      <w:color w:val="auto"/>
                      <w:kern w:val="0"/>
                      <w:sz w:val="18"/>
                      <w:szCs w:val="18"/>
                    </w:rPr>
                    <w:t>和升降工装等动力蓄电池拆卸设备；d)防静电废液、空调制冷剂抽排设备；e)绝缘工作服等安全防护及救援设备；f)绝缘气动工具；g)绝缘辅助工具；h)动力蓄电池绝缘处理材料；I)放电设施设备。</w:t>
                  </w:r>
                </w:p>
              </w:tc>
              <w:tc>
                <w:tcPr>
                  <w:tcW w:w="4957" w:type="dxa"/>
                  <w:noWrap w:val="0"/>
                  <w:vAlign w:val="center"/>
                </w:tcPr>
                <w:p>
                  <w:pPr>
                    <w:autoSpaceDE w:val="0"/>
                    <w:autoSpaceDN w:val="0"/>
                    <w:rPr>
                      <w:rFonts w:hint="eastAsia" w:eastAsia="宋体"/>
                      <w:color w:val="auto"/>
                      <w:kern w:val="0"/>
                      <w:sz w:val="18"/>
                      <w:szCs w:val="18"/>
                      <w:lang w:eastAsia="zh-CN"/>
                    </w:rPr>
                  </w:pPr>
                  <w:r>
                    <w:rPr>
                      <w:rFonts w:hint="eastAsia"/>
                      <w:color w:val="auto"/>
                      <w:kern w:val="0"/>
                      <w:sz w:val="18"/>
                      <w:szCs w:val="18"/>
                      <w:lang w:eastAsia="zh-CN"/>
                    </w:rPr>
                    <w:t>按设施设备要求进行配备。</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restart"/>
                  <w:noWrap w:val="0"/>
                  <w:vAlign w:val="center"/>
                </w:tcPr>
                <w:p>
                  <w:pPr>
                    <w:autoSpaceDE w:val="0"/>
                    <w:autoSpaceDN w:val="0"/>
                    <w:rPr>
                      <w:color w:val="auto"/>
                      <w:kern w:val="0"/>
                      <w:sz w:val="18"/>
                      <w:szCs w:val="18"/>
                    </w:rPr>
                  </w:pPr>
                  <w:r>
                    <w:rPr>
                      <w:color w:val="auto"/>
                      <w:kern w:val="0"/>
                      <w:sz w:val="18"/>
                      <w:szCs w:val="18"/>
                    </w:rPr>
                    <w:t>3.人员</w:t>
                  </w:r>
                </w:p>
              </w:tc>
              <w:tc>
                <w:tcPr>
                  <w:tcW w:w="5040" w:type="dxa"/>
                  <w:noWrap w:val="0"/>
                  <w:vAlign w:val="center"/>
                </w:tcPr>
                <w:p>
                  <w:pPr>
                    <w:autoSpaceDE w:val="0"/>
                    <w:autoSpaceDN w:val="0"/>
                    <w:rPr>
                      <w:color w:val="auto"/>
                      <w:kern w:val="0"/>
                      <w:sz w:val="18"/>
                      <w:szCs w:val="18"/>
                    </w:rPr>
                  </w:pPr>
                  <w:r>
                    <w:rPr>
                      <w:color w:val="auto"/>
                      <w:kern w:val="0"/>
                      <w:sz w:val="18"/>
                      <w:szCs w:val="18"/>
                    </w:rPr>
                    <w:t>企业技术人员应经过岗前培训，其专业技能应能满足规范拆解、环保作业、安全操作等相应要求，并配备专业安全生产管理人员和环保管理人员，国家有持证上岗规定的，应持证上岗。</w:t>
                  </w:r>
                </w:p>
              </w:tc>
              <w:tc>
                <w:tcPr>
                  <w:tcW w:w="4957" w:type="dxa"/>
                  <w:noWrap w:val="0"/>
                  <w:vAlign w:val="center"/>
                </w:tcPr>
                <w:p>
                  <w:pPr>
                    <w:autoSpaceDE w:val="0"/>
                    <w:autoSpaceDN w:val="0"/>
                    <w:rPr>
                      <w:color w:val="auto"/>
                      <w:kern w:val="0"/>
                      <w:sz w:val="18"/>
                      <w:szCs w:val="18"/>
                    </w:rPr>
                  </w:pPr>
                  <w:r>
                    <w:rPr>
                      <w:color w:val="auto"/>
                      <w:kern w:val="0"/>
                      <w:sz w:val="18"/>
                      <w:szCs w:val="18"/>
                    </w:rPr>
                    <w:t>本工程专业技术人员5人，其专业技能均能满足规范拆解、环保作业、安全操作等要求，持证上岗。</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continue"/>
                  <w:noWrap w:val="0"/>
                  <w:vAlign w:val="center"/>
                </w:tcPr>
                <w:p>
                  <w:pPr>
                    <w:autoSpaceDE w:val="0"/>
                    <w:autoSpaceDN w:val="0"/>
                    <w:rPr>
                      <w:color w:val="auto"/>
                      <w:kern w:val="0"/>
                      <w:sz w:val="18"/>
                      <w:szCs w:val="18"/>
                    </w:rPr>
                  </w:pPr>
                </w:p>
              </w:tc>
              <w:tc>
                <w:tcPr>
                  <w:tcW w:w="5040" w:type="dxa"/>
                  <w:noWrap w:val="0"/>
                  <w:vAlign w:val="center"/>
                </w:tcPr>
                <w:p>
                  <w:pPr>
                    <w:autoSpaceDE w:val="0"/>
                    <w:autoSpaceDN w:val="0"/>
                    <w:rPr>
                      <w:color w:val="auto"/>
                      <w:kern w:val="0"/>
                      <w:sz w:val="18"/>
                      <w:szCs w:val="18"/>
                    </w:rPr>
                  </w:pPr>
                  <w:r>
                    <w:rPr>
                      <w:color w:val="auto"/>
                      <w:kern w:val="0"/>
                      <w:sz w:val="18"/>
                      <w:szCs w:val="18"/>
                    </w:rPr>
                    <w:t>具有电动汽车拆解业务的企业应具有动力蓄电池贮存管理人员及2人以上持电工特种作业操作证人员。动力蓄电池贮存管理人员应具有动力蓄电池防火、防世漏、防短路等相关专业知识。拆解人员应在汽车生产企业提供的拆解信息或手册的指导下进行拆解。</w:t>
                  </w:r>
                </w:p>
              </w:tc>
              <w:tc>
                <w:tcPr>
                  <w:tcW w:w="4957" w:type="dxa"/>
                  <w:noWrap w:val="0"/>
                  <w:vAlign w:val="center"/>
                </w:tcPr>
                <w:p>
                  <w:pPr>
                    <w:autoSpaceDE w:val="0"/>
                    <w:autoSpaceDN w:val="0"/>
                    <w:rPr>
                      <w:rFonts w:hint="eastAsia" w:eastAsia="宋体"/>
                      <w:color w:val="auto"/>
                      <w:kern w:val="0"/>
                      <w:sz w:val="18"/>
                      <w:szCs w:val="18"/>
                      <w:lang w:eastAsia="zh-CN"/>
                    </w:rPr>
                  </w:pPr>
                  <w:r>
                    <w:rPr>
                      <w:rFonts w:hint="eastAsia"/>
                      <w:color w:val="auto"/>
                      <w:kern w:val="0"/>
                      <w:sz w:val="18"/>
                      <w:szCs w:val="18"/>
                      <w:lang w:eastAsia="zh-CN"/>
                    </w:rPr>
                    <w:t>将按要求具备相关管理人员及特种作业操作人员。</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restart"/>
                  <w:noWrap w:val="0"/>
                  <w:vAlign w:val="center"/>
                </w:tcPr>
                <w:p>
                  <w:pPr>
                    <w:autoSpaceDE w:val="0"/>
                    <w:autoSpaceDN w:val="0"/>
                    <w:rPr>
                      <w:color w:val="auto"/>
                      <w:kern w:val="0"/>
                      <w:sz w:val="18"/>
                      <w:szCs w:val="18"/>
                    </w:rPr>
                  </w:pPr>
                  <w:r>
                    <w:rPr>
                      <w:color w:val="auto"/>
                      <w:kern w:val="0"/>
                      <w:sz w:val="18"/>
                      <w:szCs w:val="18"/>
                    </w:rPr>
                    <w:t>4.安全</w:t>
                  </w:r>
                </w:p>
              </w:tc>
              <w:tc>
                <w:tcPr>
                  <w:tcW w:w="5040" w:type="dxa"/>
                  <w:noWrap w:val="0"/>
                  <w:vAlign w:val="center"/>
                </w:tcPr>
                <w:p>
                  <w:pPr>
                    <w:autoSpaceDE w:val="0"/>
                    <w:autoSpaceDN w:val="0"/>
                    <w:rPr>
                      <w:color w:val="auto"/>
                      <w:kern w:val="0"/>
                      <w:sz w:val="18"/>
                      <w:szCs w:val="18"/>
                    </w:rPr>
                  </w:pPr>
                  <w:r>
                    <w:rPr>
                      <w:color w:val="auto"/>
                      <w:kern w:val="0"/>
                      <w:sz w:val="18"/>
                      <w:szCs w:val="18"/>
                    </w:rPr>
                    <w:t>应实施满足GB/T33000要求的安全管理制度，具有水、电、气等安全使用说明，安全生产规程，防火、防汛、应急预案等。拆除的安全气囊组件应在易燃、易爆等危险品仓库及高压输电线路防护区域以外引爆，并在引爆区域设有爆炸物安全警示标志和隔离栏。</w:t>
                  </w:r>
                </w:p>
              </w:tc>
              <w:tc>
                <w:tcPr>
                  <w:tcW w:w="4957" w:type="dxa"/>
                  <w:noWrap w:val="0"/>
                  <w:vAlign w:val="center"/>
                </w:tcPr>
                <w:p>
                  <w:pPr>
                    <w:autoSpaceDE w:val="0"/>
                    <w:autoSpaceDN w:val="0"/>
                    <w:rPr>
                      <w:color w:val="auto"/>
                      <w:kern w:val="0"/>
                      <w:sz w:val="18"/>
                      <w:szCs w:val="18"/>
                    </w:rPr>
                  </w:pPr>
                  <w:r>
                    <w:rPr>
                      <w:color w:val="auto"/>
                      <w:kern w:val="0"/>
                      <w:sz w:val="18"/>
                      <w:szCs w:val="18"/>
                    </w:rPr>
                    <w:t>企业具有水、电、气等安全使用说明，环评要求企业按安全生产规程操作，防火、防汛、同时编制应急预案，要求拆除的安全气囊组件不应在易燃、易爆等危险品仓库及高压输电线路防护区域引爆，设安全警示标志和隔离栏。</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continue"/>
                  <w:noWrap w:val="0"/>
                  <w:vAlign w:val="center"/>
                </w:tcPr>
                <w:p>
                  <w:pPr>
                    <w:autoSpaceDE w:val="0"/>
                    <w:autoSpaceDN w:val="0"/>
                    <w:rPr>
                      <w:color w:val="auto"/>
                      <w:kern w:val="0"/>
                      <w:sz w:val="18"/>
                      <w:szCs w:val="18"/>
                    </w:rPr>
                  </w:pPr>
                </w:p>
              </w:tc>
              <w:tc>
                <w:tcPr>
                  <w:tcW w:w="5040" w:type="dxa"/>
                  <w:noWrap w:val="0"/>
                  <w:vAlign w:val="center"/>
                </w:tcPr>
                <w:p>
                  <w:pPr>
                    <w:autoSpaceDE w:val="0"/>
                    <w:autoSpaceDN w:val="0"/>
                    <w:rPr>
                      <w:color w:val="auto"/>
                      <w:kern w:val="0"/>
                      <w:sz w:val="18"/>
                      <w:szCs w:val="18"/>
                    </w:rPr>
                  </w:pPr>
                  <w:r>
                    <w:rPr>
                      <w:color w:val="auto"/>
                      <w:kern w:val="0"/>
                      <w:sz w:val="18"/>
                      <w:szCs w:val="18"/>
                    </w:rPr>
                    <w:t>场地内应设置相应的安全标志，安全标志的使用应满足 GB 2894 中关于禁止、警告、指令、提示标志的要求</w:t>
                  </w:r>
                </w:p>
              </w:tc>
              <w:tc>
                <w:tcPr>
                  <w:tcW w:w="4957" w:type="dxa"/>
                  <w:noWrap w:val="0"/>
                  <w:vAlign w:val="center"/>
                </w:tcPr>
                <w:p>
                  <w:pPr>
                    <w:autoSpaceDE w:val="0"/>
                    <w:autoSpaceDN w:val="0"/>
                    <w:rPr>
                      <w:color w:val="auto"/>
                      <w:kern w:val="0"/>
                      <w:sz w:val="18"/>
                      <w:szCs w:val="18"/>
                    </w:rPr>
                  </w:pPr>
                  <w:r>
                    <w:rPr>
                      <w:color w:val="auto"/>
                      <w:kern w:val="0"/>
                      <w:sz w:val="18"/>
                      <w:szCs w:val="18"/>
                    </w:rPr>
                    <w:t>要求企业场地内设置禁止、警告、指令、提示相应的安全标志。</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continue"/>
                  <w:noWrap w:val="0"/>
                  <w:vAlign w:val="center"/>
                </w:tcPr>
                <w:p>
                  <w:pPr>
                    <w:autoSpaceDE w:val="0"/>
                    <w:autoSpaceDN w:val="0"/>
                    <w:rPr>
                      <w:color w:val="auto"/>
                      <w:kern w:val="0"/>
                      <w:sz w:val="18"/>
                      <w:szCs w:val="18"/>
                    </w:rPr>
                  </w:pPr>
                </w:p>
              </w:tc>
              <w:tc>
                <w:tcPr>
                  <w:tcW w:w="5040" w:type="dxa"/>
                  <w:noWrap w:val="0"/>
                  <w:vAlign w:val="center"/>
                </w:tcPr>
                <w:p>
                  <w:pPr>
                    <w:autoSpaceDE w:val="0"/>
                    <w:autoSpaceDN w:val="0"/>
                    <w:rPr>
                      <w:color w:val="auto"/>
                      <w:kern w:val="0"/>
                      <w:sz w:val="18"/>
                      <w:szCs w:val="18"/>
                    </w:rPr>
                  </w:pPr>
                  <w:r>
                    <w:rPr>
                      <w:color w:val="auto"/>
                      <w:kern w:val="0"/>
                      <w:sz w:val="18"/>
                      <w:szCs w:val="18"/>
                    </w:rPr>
                    <w:t>应按照 GBZ 188 的规定对接触汽油等有害化学因素，噪声、手传振动等有害物理因素的作业人员及粉尘、电工、压力容器等作业人员进行监护</w:t>
                  </w:r>
                </w:p>
              </w:tc>
              <w:tc>
                <w:tcPr>
                  <w:tcW w:w="4957" w:type="dxa"/>
                  <w:noWrap w:val="0"/>
                  <w:vAlign w:val="center"/>
                </w:tcPr>
                <w:p>
                  <w:pPr>
                    <w:autoSpaceDE w:val="0"/>
                    <w:autoSpaceDN w:val="0"/>
                    <w:rPr>
                      <w:color w:val="auto"/>
                      <w:kern w:val="0"/>
                      <w:sz w:val="18"/>
                      <w:szCs w:val="18"/>
                    </w:rPr>
                  </w:pPr>
                  <w:r>
                    <w:rPr>
                      <w:color w:val="auto"/>
                      <w:kern w:val="0"/>
                      <w:sz w:val="18"/>
                      <w:szCs w:val="18"/>
                    </w:rPr>
                    <w:t>要求对接触汽油等有害化学因素，噪声、手传振动等有害物理因素的作业人员及粉尘、电工、压力容器等作业人员进行监护。</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restart"/>
                  <w:noWrap w:val="0"/>
                  <w:vAlign w:val="center"/>
                </w:tcPr>
                <w:p>
                  <w:pPr>
                    <w:autoSpaceDE w:val="0"/>
                    <w:autoSpaceDN w:val="0"/>
                    <w:rPr>
                      <w:color w:val="auto"/>
                      <w:kern w:val="0"/>
                      <w:sz w:val="18"/>
                      <w:szCs w:val="18"/>
                    </w:rPr>
                  </w:pPr>
                  <w:r>
                    <w:rPr>
                      <w:color w:val="auto"/>
                      <w:kern w:val="0"/>
                      <w:sz w:val="18"/>
                      <w:szCs w:val="18"/>
                    </w:rPr>
                    <w:t>5.信息管理</w:t>
                  </w:r>
                </w:p>
              </w:tc>
              <w:tc>
                <w:tcPr>
                  <w:tcW w:w="5040" w:type="dxa"/>
                  <w:noWrap w:val="0"/>
                  <w:vAlign w:val="center"/>
                </w:tcPr>
                <w:p>
                  <w:pPr>
                    <w:autoSpaceDE w:val="0"/>
                    <w:autoSpaceDN w:val="0"/>
                    <w:rPr>
                      <w:color w:val="auto"/>
                      <w:kern w:val="0"/>
                      <w:sz w:val="18"/>
                      <w:szCs w:val="18"/>
                    </w:rPr>
                  </w:pPr>
                  <w:r>
                    <w:rPr>
                      <w:color w:val="auto"/>
                      <w:kern w:val="0"/>
                      <w:sz w:val="18"/>
                      <w:szCs w:val="18"/>
                    </w:rPr>
                    <w:t>应建立电子信息档案，按以下方式记录报废机动车回收登记、固体废物信息:对回收的报废机动车进行逐车登记，并按要求将报废机动车所有人(单位)名称、有效证件号码、牌照号码、车型、品牌型号、车身颜色、重量、发动机号和/或动力蓄电池编码、车辆识别代码、出厂年份、接收或收购且期等相关信息录入“全国汽车流通信息管理应用服务”系统，信息保存期限不低于3年</w:t>
                  </w:r>
                </w:p>
              </w:tc>
              <w:tc>
                <w:tcPr>
                  <w:tcW w:w="4957" w:type="dxa"/>
                  <w:noWrap w:val="0"/>
                  <w:vAlign w:val="center"/>
                </w:tcPr>
                <w:p>
                  <w:pPr>
                    <w:autoSpaceDE w:val="0"/>
                    <w:autoSpaceDN w:val="0"/>
                    <w:rPr>
                      <w:color w:val="auto"/>
                      <w:kern w:val="0"/>
                      <w:sz w:val="18"/>
                      <w:szCs w:val="18"/>
                    </w:rPr>
                  </w:pPr>
                  <w:r>
                    <w:rPr>
                      <w:color w:val="auto"/>
                      <w:kern w:val="0"/>
                      <w:sz w:val="18"/>
                      <w:szCs w:val="18"/>
                    </w:rPr>
                    <w:t>按照信息管理要求，建立电子信息档.案，并将相关信息录入“全国汽车流通值息管理应用服务”系统，信息保存期限不低于3年。</w:t>
                  </w:r>
                </w:p>
                <w:p>
                  <w:pPr>
                    <w:autoSpaceDE w:val="0"/>
                    <w:autoSpaceDN w:val="0"/>
                    <w:rPr>
                      <w:color w:val="auto"/>
                      <w:kern w:val="0"/>
                      <w:sz w:val="18"/>
                      <w:szCs w:val="18"/>
                    </w:rPr>
                  </w:pP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continue"/>
                  <w:noWrap w:val="0"/>
                  <w:vAlign w:val="center"/>
                </w:tcPr>
                <w:p>
                  <w:pPr>
                    <w:autoSpaceDE w:val="0"/>
                    <w:autoSpaceDN w:val="0"/>
                    <w:rPr>
                      <w:color w:val="auto"/>
                      <w:kern w:val="0"/>
                      <w:sz w:val="18"/>
                      <w:szCs w:val="18"/>
                    </w:rPr>
                  </w:pPr>
                </w:p>
              </w:tc>
              <w:tc>
                <w:tcPr>
                  <w:tcW w:w="5040" w:type="dxa"/>
                  <w:noWrap w:val="0"/>
                  <w:vAlign w:val="center"/>
                </w:tcPr>
                <w:p>
                  <w:pPr>
                    <w:autoSpaceDE w:val="0"/>
                    <w:autoSpaceDN w:val="0"/>
                    <w:rPr>
                      <w:color w:val="auto"/>
                      <w:kern w:val="0"/>
                      <w:sz w:val="18"/>
                      <w:szCs w:val="18"/>
                    </w:rPr>
                  </w:pPr>
                  <w:r>
                    <w:rPr>
                      <w:color w:val="auto"/>
                      <w:kern w:val="0"/>
                      <w:sz w:val="18"/>
                      <w:szCs w:val="18"/>
                    </w:rPr>
                    <w:t>将固体废物的来源、种类、产生量、产生时间及处理(流向)等数据，录入到“全国固体废物管理信息系统”或省级省级生态环境主管部门自建与其联网的相关系统，其中危险废物处理(流向)信息保存期限为3年</w:t>
                  </w:r>
                </w:p>
              </w:tc>
              <w:tc>
                <w:tcPr>
                  <w:tcW w:w="4957" w:type="dxa"/>
                  <w:noWrap w:val="0"/>
                  <w:vAlign w:val="center"/>
                </w:tcPr>
                <w:p>
                  <w:pPr>
                    <w:autoSpaceDE w:val="0"/>
                    <w:autoSpaceDN w:val="0"/>
                    <w:rPr>
                      <w:color w:val="auto"/>
                      <w:kern w:val="0"/>
                      <w:sz w:val="18"/>
                      <w:szCs w:val="18"/>
                    </w:rPr>
                  </w:pPr>
                  <w:r>
                    <w:rPr>
                      <w:color w:val="auto"/>
                      <w:kern w:val="0"/>
                      <w:sz w:val="18"/>
                      <w:szCs w:val="18"/>
                    </w:rPr>
                    <w:t>规范一般固体废物和危险废物的管理，严格执行危险废物的处置要求，并与</w:t>
                  </w:r>
                  <w:r>
                    <w:rPr>
                      <w:rFonts w:hint="eastAsia"/>
                      <w:color w:val="auto"/>
                      <w:kern w:val="0"/>
                      <w:sz w:val="18"/>
                      <w:szCs w:val="18"/>
                      <w:lang w:eastAsia="zh-CN"/>
                    </w:rPr>
                    <w:t>湖南</w:t>
                  </w:r>
                  <w:r>
                    <w:rPr>
                      <w:color w:val="auto"/>
                      <w:kern w:val="0"/>
                      <w:sz w:val="18"/>
                      <w:szCs w:val="18"/>
                    </w:rPr>
                    <w:t>省固体废物管理信息系统联网，相关数据保存不低于3年。</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continue"/>
                  <w:noWrap w:val="0"/>
                  <w:vAlign w:val="center"/>
                </w:tcPr>
                <w:p>
                  <w:pPr>
                    <w:autoSpaceDE w:val="0"/>
                    <w:autoSpaceDN w:val="0"/>
                    <w:rPr>
                      <w:color w:val="auto"/>
                      <w:kern w:val="0"/>
                      <w:sz w:val="18"/>
                      <w:szCs w:val="18"/>
                    </w:rPr>
                  </w:pPr>
                </w:p>
              </w:tc>
              <w:tc>
                <w:tcPr>
                  <w:tcW w:w="5040" w:type="dxa"/>
                  <w:noWrap w:val="0"/>
                  <w:vAlign w:val="center"/>
                </w:tcPr>
                <w:p>
                  <w:pPr>
                    <w:autoSpaceDE w:val="0"/>
                    <w:autoSpaceDN w:val="0"/>
                    <w:rPr>
                      <w:color w:val="auto"/>
                      <w:kern w:val="0"/>
                      <w:sz w:val="18"/>
                      <w:szCs w:val="18"/>
                    </w:rPr>
                  </w:pPr>
                  <w:r>
                    <w:rPr>
                      <w:color w:val="auto"/>
                      <w:kern w:val="0"/>
                      <w:sz w:val="18"/>
                      <w:szCs w:val="18"/>
                    </w:rPr>
                    <w:t>生产经营场所应设置全覆盖的电子监控系统，实时记录报废机动车回收和拆解过程，相关信息保存期限不低于1年</w:t>
                  </w:r>
                </w:p>
              </w:tc>
              <w:tc>
                <w:tcPr>
                  <w:tcW w:w="4957" w:type="dxa"/>
                  <w:noWrap w:val="0"/>
                  <w:vAlign w:val="center"/>
                </w:tcPr>
                <w:p>
                  <w:pPr>
                    <w:autoSpaceDE w:val="0"/>
                    <w:autoSpaceDN w:val="0"/>
                    <w:rPr>
                      <w:color w:val="auto"/>
                      <w:kern w:val="0"/>
                      <w:sz w:val="18"/>
                      <w:szCs w:val="18"/>
                    </w:rPr>
                  </w:pPr>
                  <w:r>
                    <w:rPr>
                      <w:color w:val="auto"/>
                      <w:kern w:val="0"/>
                      <w:sz w:val="18"/>
                      <w:szCs w:val="18"/>
                    </w:rPr>
                    <w:t>拆解车间设置全覆盖的电子摄像监控系统，实时记录报废机动车回收和拆解过程，相关信息保存期限不低于1年。</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restart"/>
                  <w:noWrap w:val="0"/>
                  <w:vAlign w:val="center"/>
                </w:tcPr>
                <w:p>
                  <w:pPr>
                    <w:autoSpaceDE w:val="0"/>
                    <w:autoSpaceDN w:val="0"/>
                    <w:rPr>
                      <w:color w:val="auto"/>
                      <w:kern w:val="0"/>
                      <w:sz w:val="18"/>
                      <w:szCs w:val="18"/>
                    </w:rPr>
                  </w:pPr>
                  <w:r>
                    <w:rPr>
                      <w:color w:val="auto"/>
                      <w:kern w:val="0"/>
                      <w:sz w:val="18"/>
                      <w:szCs w:val="18"/>
                    </w:rPr>
                    <w:t>6.环保要求</w:t>
                  </w:r>
                </w:p>
              </w:tc>
              <w:tc>
                <w:tcPr>
                  <w:tcW w:w="5040" w:type="dxa"/>
                  <w:noWrap w:val="0"/>
                  <w:vAlign w:val="center"/>
                </w:tcPr>
                <w:p>
                  <w:pPr>
                    <w:autoSpaceDE w:val="0"/>
                    <w:autoSpaceDN w:val="0"/>
                    <w:rPr>
                      <w:color w:val="auto"/>
                      <w:kern w:val="0"/>
                      <w:sz w:val="18"/>
                      <w:szCs w:val="18"/>
                    </w:rPr>
                  </w:pPr>
                  <w:r>
                    <w:rPr>
                      <w:color w:val="auto"/>
                      <w:kern w:val="0"/>
                      <w:sz w:val="18"/>
                      <w:szCs w:val="18"/>
                    </w:rPr>
                    <w:t>报废机动车拆解过程应满足HJ348中所规定的清污分流、污水达标排放等环境保护和污染控制的相关要求</w:t>
                  </w:r>
                </w:p>
              </w:tc>
              <w:tc>
                <w:tcPr>
                  <w:tcW w:w="4957" w:type="dxa"/>
                  <w:noWrap w:val="0"/>
                  <w:vAlign w:val="center"/>
                </w:tcPr>
                <w:p>
                  <w:pPr>
                    <w:autoSpaceDE w:val="0"/>
                    <w:autoSpaceDN w:val="0"/>
                    <w:rPr>
                      <w:rFonts w:hint="eastAsia" w:eastAsia="宋体"/>
                      <w:color w:val="auto"/>
                      <w:kern w:val="0"/>
                      <w:sz w:val="18"/>
                      <w:szCs w:val="18"/>
                      <w:lang w:eastAsia="zh-CN"/>
                    </w:rPr>
                  </w:pPr>
                  <w:r>
                    <w:rPr>
                      <w:color w:val="auto"/>
                      <w:kern w:val="0"/>
                      <w:sz w:val="18"/>
                      <w:szCs w:val="18"/>
                    </w:rPr>
                    <w:t>项且雨污分流、废水经</w:t>
                  </w:r>
                  <w:r>
                    <w:rPr>
                      <w:rFonts w:hint="eastAsia"/>
                      <w:color w:val="auto"/>
                      <w:kern w:val="0"/>
                      <w:sz w:val="18"/>
                      <w:szCs w:val="18"/>
                      <w:lang w:eastAsia="zh-CN"/>
                    </w:rPr>
                    <w:t>化粪池</w:t>
                  </w:r>
                  <w:r>
                    <w:rPr>
                      <w:color w:val="auto"/>
                      <w:kern w:val="0"/>
                      <w:sz w:val="18"/>
                      <w:szCs w:val="18"/>
                    </w:rPr>
                    <w:t>进行进一步处理</w:t>
                  </w:r>
                  <w:r>
                    <w:rPr>
                      <w:rFonts w:hint="eastAsia"/>
                      <w:color w:val="auto"/>
                      <w:kern w:val="0"/>
                      <w:sz w:val="18"/>
                      <w:szCs w:val="18"/>
                      <w:lang w:eastAsia="zh-CN"/>
                    </w:rPr>
                    <w:t>，达到相关环保标准，作为农肥使用。</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continue"/>
                  <w:noWrap w:val="0"/>
                  <w:vAlign w:val="center"/>
                </w:tcPr>
                <w:p>
                  <w:pPr>
                    <w:autoSpaceDE w:val="0"/>
                    <w:autoSpaceDN w:val="0"/>
                    <w:rPr>
                      <w:color w:val="auto"/>
                      <w:kern w:val="0"/>
                      <w:sz w:val="18"/>
                      <w:szCs w:val="18"/>
                    </w:rPr>
                  </w:pPr>
                </w:p>
              </w:tc>
              <w:tc>
                <w:tcPr>
                  <w:tcW w:w="5040" w:type="dxa"/>
                  <w:noWrap w:val="0"/>
                  <w:vAlign w:val="center"/>
                </w:tcPr>
                <w:p>
                  <w:pPr>
                    <w:autoSpaceDE w:val="0"/>
                    <w:autoSpaceDN w:val="0"/>
                    <w:rPr>
                      <w:color w:val="auto"/>
                      <w:kern w:val="0"/>
                      <w:sz w:val="18"/>
                      <w:szCs w:val="18"/>
                    </w:rPr>
                  </w:pPr>
                  <w:r>
                    <w:rPr>
                      <w:color w:val="auto"/>
                      <w:kern w:val="0"/>
                      <w:sz w:val="18"/>
                      <w:szCs w:val="18"/>
                    </w:rPr>
                    <w:t>应实施满足危险废物规范化管理要求的环境管理制度，其中对列入《国家危险废物名录》的危险废物应严格按照有关规定进行管理</w:t>
                  </w:r>
                </w:p>
              </w:tc>
              <w:tc>
                <w:tcPr>
                  <w:tcW w:w="4957" w:type="dxa"/>
                  <w:noWrap w:val="0"/>
                  <w:vAlign w:val="center"/>
                </w:tcPr>
                <w:p>
                  <w:pPr>
                    <w:autoSpaceDE w:val="0"/>
                    <w:autoSpaceDN w:val="0"/>
                    <w:rPr>
                      <w:color w:val="auto"/>
                      <w:kern w:val="0"/>
                      <w:sz w:val="18"/>
                      <w:szCs w:val="18"/>
                    </w:rPr>
                  </w:pPr>
                  <w:r>
                    <w:rPr>
                      <w:color w:val="auto"/>
                      <w:kern w:val="0"/>
                      <w:sz w:val="18"/>
                      <w:szCs w:val="18"/>
                    </w:rPr>
                    <w:t>项目建立了严格的一般固废和危险废物管理制度，并于有资质的单位签订危废处置合同，按照《报废机动车拆解环境保护技术规范》(GB22128-2008)、《危险废物贮存污染控制标准》(GB18597-2001)有关要求及《危险废物管理制度》中贮存、运输、处理规定进行管理。</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0" w:type="dxa"/>
                  <w:vMerge w:val="continue"/>
                  <w:noWrap w:val="0"/>
                  <w:vAlign w:val="center"/>
                </w:tcPr>
                <w:p>
                  <w:pPr>
                    <w:autoSpaceDE w:val="0"/>
                    <w:autoSpaceDN w:val="0"/>
                    <w:rPr>
                      <w:color w:val="auto"/>
                      <w:kern w:val="0"/>
                      <w:sz w:val="18"/>
                      <w:szCs w:val="18"/>
                    </w:rPr>
                  </w:pPr>
                </w:p>
              </w:tc>
              <w:tc>
                <w:tcPr>
                  <w:tcW w:w="5040" w:type="dxa"/>
                  <w:noWrap w:val="0"/>
                  <w:vAlign w:val="center"/>
                </w:tcPr>
                <w:p>
                  <w:pPr>
                    <w:autoSpaceDE w:val="0"/>
                    <w:autoSpaceDN w:val="0"/>
                    <w:rPr>
                      <w:color w:val="auto"/>
                      <w:kern w:val="0"/>
                      <w:sz w:val="18"/>
                      <w:szCs w:val="18"/>
                    </w:rPr>
                  </w:pPr>
                  <w:r>
                    <w:rPr>
                      <w:color w:val="auto"/>
                      <w:kern w:val="0"/>
                      <w:sz w:val="18"/>
                      <w:szCs w:val="18"/>
                    </w:rPr>
                    <w:t>应满足GB12348中所规定的2类声环境功能区工业企业厂界环境噪声排放限值要求</w:t>
                  </w:r>
                </w:p>
              </w:tc>
              <w:tc>
                <w:tcPr>
                  <w:tcW w:w="4957" w:type="dxa"/>
                  <w:noWrap w:val="0"/>
                  <w:vAlign w:val="center"/>
                </w:tcPr>
                <w:p>
                  <w:pPr>
                    <w:autoSpaceDE w:val="0"/>
                    <w:autoSpaceDN w:val="0"/>
                    <w:rPr>
                      <w:color w:val="auto"/>
                      <w:kern w:val="0"/>
                      <w:sz w:val="18"/>
                      <w:szCs w:val="18"/>
                    </w:rPr>
                  </w:pPr>
                  <w:r>
                    <w:rPr>
                      <w:color w:val="auto"/>
                      <w:kern w:val="0"/>
                      <w:sz w:val="18"/>
                      <w:szCs w:val="18"/>
                    </w:rPr>
                    <w:t>根据预测，项目四周厂界噪声能够满足《工业企业厂界环境噪声排放标准》(GB12348-2008) 2类区标准限值要求。</w:t>
                  </w:r>
                </w:p>
              </w:tc>
              <w:tc>
                <w:tcPr>
                  <w:tcW w:w="740" w:type="dxa"/>
                  <w:noWrap w:val="0"/>
                  <w:vAlign w:val="center"/>
                </w:tcPr>
                <w:p>
                  <w:pPr>
                    <w:autoSpaceDE w:val="0"/>
                    <w:autoSpaceDN w:val="0"/>
                    <w:rPr>
                      <w:color w:val="auto"/>
                      <w:kern w:val="0"/>
                      <w:sz w:val="18"/>
                      <w:szCs w:val="18"/>
                    </w:rPr>
                  </w:pPr>
                  <w:r>
                    <w:rPr>
                      <w:color w:val="auto"/>
                      <w:kern w:val="0"/>
                      <w:sz w:val="18"/>
                      <w:szCs w:val="18"/>
                    </w:rPr>
                    <w:t>符合</w:t>
                  </w:r>
                </w:p>
              </w:tc>
            </w:tr>
          </w:tbl>
          <w:p>
            <w:pPr>
              <w:autoSpaceDE w:val="0"/>
              <w:autoSpaceDN w:val="0"/>
              <w:spacing w:line="360" w:lineRule="auto"/>
              <w:ind w:firstLine="420" w:firstLineChars="200"/>
              <w:rPr>
                <w:color w:val="auto"/>
                <w:szCs w:val="21"/>
              </w:rPr>
            </w:pPr>
            <w:r>
              <w:rPr>
                <w:bCs/>
                <w:color w:val="auto"/>
                <w:szCs w:val="21"/>
              </w:rPr>
              <w:t>由表1-2可以看出，从场地选择、设施设备、技术人员信息管理、环保要求等几个方面来分析，本项且的建设符合《报废机动车回收拆解企业技术规范》(GB22128-2019) 的要求。</w:t>
            </w:r>
          </w:p>
          <w:p>
            <w:pPr>
              <w:pStyle w:val="2"/>
              <w:keepNext/>
              <w:keepLines/>
              <w:pageBreakBefore w:val="0"/>
              <w:widowControl w:val="0"/>
              <w:kinsoku/>
              <w:wordWrap/>
              <w:overflowPunct/>
              <w:topLinePunct w:val="0"/>
              <w:autoSpaceDE/>
              <w:autoSpaceDN/>
              <w:bidi w:val="0"/>
              <w:adjustRightInd/>
              <w:snapToGrid/>
              <w:spacing w:before="100" w:after="0" w:line="360" w:lineRule="auto"/>
              <w:textAlignment w:val="auto"/>
              <w:rPr>
                <w:rFonts w:ascii="Times New Roman" w:hAnsi="Times New Roman"/>
                <w:b/>
                <w:color w:val="auto"/>
                <w:sz w:val="21"/>
                <w:szCs w:val="21"/>
              </w:rPr>
            </w:pPr>
            <w:r>
              <w:rPr>
                <w:rFonts w:hint="eastAsia" w:ascii="Times New Roman" w:hAnsi="Times New Roman"/>
                <w:b/>
                <w:color w:val="auto"/>
                <w:sz w:val="21"/>
                <w:szCs w:val="21"/>
                <w:lang w:val="en-US" w:eastAsia="zh-CN"/>
              </w:rPr>
              <w:t>6</w:t>
            </w:r>
            <w:r>
              <w:rPr>
                <w:rFonts w:ascii="Times New Roman" w:hAnsi="Times New Roman"/>
                <w:b/>
                <w:color w:val="auto"/>
                <w:sz w:val="21"/>
                <w:szCs w:val="21"/>
              </w:rPr>
              <w:t>、与《</w:t>
            </w:r>
            <w:r>
              <w:rPr>
                <w:rFonts w:hint="eastAsia" w:ascii="Times New Roman" w:hAnsi="Times New Roman"/>
                <w:b/>
                <w:color w:val="auto"/>
                <w:sz w:val="21"/>
                <w:szCs w:val="21"/>
              </w:rPr>
              <w:t>报废机动车回收管理办法（国务院令第715号）</w:t>
            </w:r>
            <w:r>
              <w:rPr>
                <w:rFonts w:ascii="Times New Roman" w:hAnsi="Times New Roman"/>
                <w:b/>
                <w:color w:val="auto"/>
                <w:sz w:val="21"/>
                <w:szCs w:val="21"/>
              </w:rPr>
              <w:t>》相符性分析</w:t>
            </w:r>
          </w:p>
          <w:p>
            <w:pPr>
              <w:spacing w:line="360" w:lineRule="auto"/>
              <w:ind w:firstLine="420" w:firstLineChars="200"/>
              <w:rPr>
                <w:bCs/>
                <w:color w:val="auto"/>
                <w:szCs w:val="21"/>
              </w:rPr>
            </w:pPr>
            <w:r>
              <w:rPr>
                <w:bCs/>
                <w:color w:val="auto"/>
                <w:szCs w:val="21"/>
              </w:rPr>
              <w:t>为了规范报废机动车回收活动，保护环境，促进循环经济发展，保障道路交通安全。《</w:t>
            </w:r>
            <w:r>
              <w:rPr>
                <w:rFonts w:hint="eastAsia"/>
                <w:bCs/>
                <w:color w:val="auto"/>
                <w:szCs w:val="21"/>
              </w:rPr>
              <w:t>报废机动车回收管理办法（国务院令第715号）</w:t>
            </w:r>
            <w:r>
              <w:rPr>
                <w:bCs/>
                <w:color w:val="auto"/>
                <w:szCs w:val="21"/>
              </w:rPr>
              <w:t>》对企业的要求，结合项目实际情况，相符性分析详见下表。</w:t>
            </w:r>
          </w:p>
          <w:p>
            <w:pPr>
              <w:autoSpaceDE w:val="0"/>
              <w:autoSpaceDN w:val="0"/>
              <w:spacing w:line="360" w:lineRule="auto"/>
              <w:jc w:val="center"/>
              <w:rPr>
                <w:b/>
                <w:color w:val="auto"/>
                <w:szCs w:val="21"/>
              </w:rPr>
            </w:pPr>
            <w:r>
              <w:rPr>
                <w:b/>
                <w:color w:val="auto"/>
                <w:szCs w:val="21"/>
              </w:rPr>
              <w:t>表1-</w:t>
            </w:r>
            <w:r>
              <w:rPr>
                <w:rFonts w:hint="eastAsia"/>
                <w:b/>
                <w:color w:val="auto"/>
                <w:szCs w:val="21"/>
              </w:rPr>
              <w:t>4</w:t>
            </w:r>
            <w:r>
              <w:rPr>
                <w:b/>
                <w:color w:val="auto"/>
                <w:szCs w:val="21"/>
              </w:rPr>
              <w:t xml:space="preserve"> 本项目与《</w:t>
            </w:r>
            <w:r>
              <w:rPr>
                <w:rFonts w:hint="eastAsia"/>
                <w:b/>
                <w:color w:val="auto"/>
                <w:szCs w:val="21"/>
              </w:rPr>
              <w:t>报废机动车回收管理办法（国务院令第715号）</w:t>
            </w:r>
            <w:r>
              <w:rPr>
                <w:b/>
                <w:color w:val="auto"/>
                <w:szCs w:val="21"/>
              </w:rPr>
              <w:t>》相符性分析</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2"/>
              <w:gridCol w:w="5090"/>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autoSpaceDE w:val="0"/>
                    <w:autoSpaceDN w:val="0"/>
                    <w:jc w:val="center"/>
                    <w:rPr>
                      <w:b/>
                      <w:bCs/>
                      <w:color w:val="auto"/>
                      <w:kern w:val="0"/>
                      <w:sz w:val="18"/>
                      <w:szCs w:val="18"/>
                    </w:rPr>
                  </w:pPr>
                  <w:r>
                    <w:rPr>
                      <w:b/>
                      <w:bCs/>
                      <w:color w:val="auto"/>
                      <w:kern w:val="0"/>
                      <w:sz w:val="18"/>
                      <w:szCs w:val="18"/>
                    </w:rPr>
                    <w:t>规范要求</w:t>
                  </w:r>
                </w:p>
              </w:tc>
              <w:tc>
                <w:tcPr>
                  <w:tcW w:w="5090" w:type="dxa"/>
                  <w:noWrap w:val="0"/>
                  <w:vAlign w:val="center"/>
                </w:tcPr>
                <w:p>
                  <w:pPr>
                    <w:autoSpaceDE w:val="0"/>
                    <w:autoSpaceDN w:val="0"/>
                    <w:jc w:val="center"/>
                    <w:rPr>
                      <w:b/>
                      <w:bCs/>
                      <w:color w:val="auto"/>
                      <w:kern w:val="0"/>
                      <w:sz w:val="18"/>
                      <w:szCs w:val="18"/>
                    </w:rPr>
                  </w:pPr>
                  <w:r>
                    <w:rPr>
                      <w:b/>
                      <w:bCs/>
                      <w:color w:val="auto"/>
                      <w:kern w:val="0"/>
                      <w:sz w:val="18"/>
                      <w:szCs w:val="18"/>
                    </w:rPr>
                    <w:t>本项目情况</w:t>
                  </w:r>
                </w:p>
              </w:tc>
              <w:tc>
                <w:tcPr>
                  <w:tcW w:w="805" w:type="dxa"/>
                  <w:noWrap w:val="0"/>
                  <w:vAlign w:val="center"/>
                </w:tcPr>
                <w:p>
                  <w:pPr>
                    <w:autoSpaceDE w:val="0"/>
                    <w:autoSpaceDN w:val="0"/>
                    <w:ind w:left="-105" w:leftChars="-50" w:right="-105" w:rightChars="-50"/>
                    <w:jc w:val="center"/>
                    <w:rPr>
                      <w:b/>
                      <w:bCs/>
                      <w:color w:val="auto"/>
                      <w:kern w:val="0"/>
                      <w:sz w:val="18"/>
                      <w:szCs w:val="18"/>
                    </w:rPr>
                  </w:pPr>
                  <w:r>
                    <w:rPr>
                      <w:b/>
                      <w:bCs/>
                      <w:color w:val="auto"/>
                      <w:kern w:val="0"/>
                      <w:sz w:val="18"/>
                      <w:szCs w:val="18"/>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autoSpaceDE w:val="0"/>
                    <w:autoSpaceDN w:val="0"/>
                    <w:rPr>
                      <w:color w:val="auto"/>
                      <w:kern w:val="0"/>
                      <w:sz w:val="18"/>
                      <w:szCs w:val="18"/>
                    </w:rPr>
                  </w:pPr>
                  <w:r>
                    <w:rPr>
                      <w:color w:val="auto"/>
                      <w:kern w:val="0"/>
                      <w:sz w:val="18"/>
                      <w:szCs w:val="18"/>
                    </w:rPr>
                    <w:t>报废机动车回收企业对回收的报废机动车，应当向机动车所有人出具《报废机动车回收证明》，收回机动车登记证书、号牌、行驶证，并按照国家有关规定及时向公安机关交通管理部门办理注销登记，将注销证明转交机动车所有人</w:t>
                  </w:r>
                </w:p>
              </w:tc>
              <w:tc>
                <w:tcPr>
                  <w:tcW w:w="5090" w:type="dxa"/>
                  <w:noWrap w:val="0"/>
                  <w:vAlign w:val="center"/>
                </w:tcPr>
                <w:p>
                  <w:pPr>
                    <w:autoSpaceDE w:val="0"/>
                    <w:autoSpaceDN w:val="0"/>
                    <w:rPr>
                      <w:rFonts w:hint="eastAsia"/>
                      <w:color w:val="auto"/>
                      <w:kern w:val="0"/>
                      <w:sz w:val="18"/>
                      <w:szCs w:val="18"/>
                    </w:rPr>
                  </w:pPr>
                  <w:r>
                    <w:rPr>
                      <w:rFonts w:hint="eastAsia"/>
                      <w:color w:val="auto"/>
                      <w:kern w:val="0"/>
                      <w:sz w:val="18"/>
                      <w:szCs w:val="18"/>
                    </w:rPr>
                    <w:t>对于进厂的报废机动车出具国务院负责报废机动车回收管理的部门规定的</w:t>
                  </w:r>
                  <w:r>
                    <w:rPr>
                      <w:color w:val="auto"/>
                      <w:kern w:val="0"/>
                      <w:sz w:val="18"/>
                      <w:szCs w:val="18"/>
                    </w:rPr>
                    <w:t>《报废机动车回收证明》</w:t>
                  </w:r>
                  <w:r>
                    <w:rPr>
                      <w:rFonts w:hint="eastAsia"/>
                      <w:color w:val="auto"/>
                      <w:kern w:val="0"/>
                      <w:sz w:val="18"/>
                      <w:szCs w:val="18"/>
                    </w:rPr>
                    <w:t>，同时</w:t>
                  </w:r>
                  <w:r>
                    <w:rPr>
                      <w:color w:val="auto"/>
                      <w:kern w:val="0"/>
                      <w:sz w:val="18"/>
                      <w:szCs w:val="18"/>
                    </w:rPr>
                    <w:t>收回机动车登记证书、号牌、行驶证</w:t>
                  </w:r>
                  <w:r>
                    <w:rPr>
                      <w:rFonts w:hint="eastAsia"/>
                      <w:color w:val="auto"/>
                      <w:kern w:val="0"/>
                      <w:sz w:val="18"/>
                      <w:szCs w:val="18"/>
                    </w:rPr>
                    <w:t>，并办理注销登记，</w:t>
                  </w:r>
                  <w:r>
                    <w:rPr>
                      <w:color w:val="auto"/>
                      <w:kern w:val="0"/>
                      <w:sz w:val="18"/>
                      <w:szCs w:val="18"/>
                    </w:rPr>
                    <w:t>将注销证明转交机动车所有人</w:t>
                  </w:r>
                </w:p>
              </w:tc>
              <w:tc>
                <w:tcPr>
                  <w:tcW w:w="805"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autoSpaceDE w:val="0"/>
                    <w:autoSpaceDN w:val="0"/>
                    <w:rPr>
                      <w:color w:val="auto"/>
                      <w:kern w:val="0"/>
                      <w:sz w:val="18"/>
                      <w:szCs w:val="18"/>
                    </w:rPr>
                  </w:pPr>
                  <w:r>
                    <w:rPr>
                      <w:rFonts w:hint="eastAsia"/>
                      <w:color w:val="auto"/>
                      <w:kern w:val="0"/>
                      <w:sz w:val="18"/>
                      <w:szCs w:val="18"/>
                    </w:rPr>
                    <w:t>报废机动车回收企业对回收的报废机动车，应当逐车登记机动车的型号、号牌号码、发动机号码、车辆识别代号等信息；发现回收的报废机动车疑似赃物或者用于盗窃、抢劫等犯罪活动的犯罪工具的，应当及时向公安机关报告。</w:t>
                  </w:r>
                </w:p>
                <w:p>
                  <w:pPr>
                    <w:autoSpaceDE w:val="0"/>
                    <w:autoSpaceDN w:val="0"/>
                    <w:rPr>
                      <w:color w:val="auto"/>
                      <w:kern w:val="0"/>
                      <w:sz w:val="18"/>
                      <w:szCs w:val="18"/>
                    </w:rPr>
                  </w:pPr>
                  <w:r>
                    <w:rPr>
                      <w:rFonts w:hint="eastAsia"/>
                      <w:color w:val="auto"/>
                      <w:kern w:val="0"/>
                      <w:sz w:val="18"/>
                      <w:szCs w:val="18"/>
                    </w:rPr>
                    <w:t>报废机动车回收企业不得拆解、改装、拼装、倒卖疑似赃物或者犯罪工具的机动车或者其发动机、方向机、变速器、前后桥、车架（以下统称“五大总成”）和其他零部件。</w:t>
                  </w:r>
                </w:p>
              </w:tc>
              <w:tc>
                <w:tcPr>
                  <w:tcW w:w="5090" w:type="dxa"/>
                  <w:noWrap w:val="0"/>
                  <w:vAlign w:val="center"/>
                </w:tcPr>
                <w:p>
                  <w:pPr>
                    <w:autoSpaceDE w:val="0"/>
                    <w:autoSpaceDN w:val="0"/>
                    <w:rPr>
                      <w:rFonts w:hint="eastAsia"/>
                      <w:color w:val="auto"/>
                      <w:kern w:val="0"/>
                      <w:sz w:val="18"/>
                      <w:szCs w:val="18"/>
                    </w:rPr>
                  </w:pPr>
                  <w:r>
                    <w:rPr>
                      <w:rFonts w:hint="eastAsia"/>
                      <w:color w:val="auto"/>
                      <w:kern w:val="0"/>
                      <w:sz w:val="18"/>
                      <w:szCs w:val="18"/>
                    </w:rPr>
                    <w:t>明确进厂报废机动车来源，发现回收的报废机动车疑似赃物或者用于盗窃、抢劫等犯罪活动的犯罪工具的，及时向公安机关报告。</w:t>
                  </w:r>
                </w:p>
              </w:tc>
              <w:tc>
                <w:tcPr>
                  <w:tcW w:w="805"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autoSpaceDE w:val="0"/>
                    <w:autoSpaceDN w:val="0"/>
                    <w:rPr>
                      <w:color w:val="auto"/>
                      <w:kern w:val="0"/>
                      <w:sz w:val="18"/>
                      <w:szCs w:val="18"/>
                    </w:rPr>
                  </w:pPr>
                  <w:r>
                    <w:rPr>
                      <w:rFonts w:hint="eastAsia"/>
                      <w:color w:val="auto"/>
                      <w:kern w:val="0"/>
                      <w:sz w:val="18"/>
                      <w:szCs w:val="18"/>
                    </w:rPr>
                    <w:t>回收的报废机动车必须按照有关规定予以拆解；其中，回收的报废大型客车、货车等营运车辆和校车，应当在公安机关的监督下解体。</w:t>
                  </w:r>
                </w:p>
              </w:tc>
              <w:tc>
                <w:tcPr>
                  <w:tcW w:w="5090" w:type="dxa"/>
                  <w:noWrap w:val="0"/>
                  <w:vAlign w:val="center"/>
                </w:tcPr>
                <w:p>
                  <w:pPr>
                    <w:autoSpaceDE w:val="0"/>
                    <w:autoSpaceDN w:val="0"/>
                    <w:rPr>
                      <w:rFonts w:hint="eastAsia"/>
                      <w:color w:val="auto"/>
                      <w:kern w:val="0"/>
                      <w:sz w:val="18"/>
                      <w:szCs w:val="18"/>
                    </w:rPr>
                  </w:pPr>
                  <w:r>
                    <w:rPr>
                      <w:rFonts w:hint="eastAsia"/>
                      <w:color w:val="auto"/>
                      <w:kern w:val="0"/>
                      <w:sz w:val="18"/>
                      <w:szCs w:val="18"/>
                    </w:rPr>
                    <w:t>厂区大型大型客车、货车等营运车辆的拆解场所，设置监控视频并与公安系统联网。</w:t>
                  </w:r>
                </w:p>
              </w:tc>
              <w:tc>
                <w:tcPr>
                  <w:tcW w:w="805"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autoSpaceDE w:val="0"/>
                    <w:autoSpaceDN w:val="0"/>
                    <w:rPr>
                      <w:color w:val="auto"/>
                      <w:sz w:val="18"/>
                      <w:szCs w:val="18"/>
                    </w:rPr>
                  </w:pPr>
                  <w:r>
                    <w:rPr>
                      <w:color w:val="auto"/>
                      <w:sz w:val="18"/>
                      <w:szCs w:val="18"/>
                    </w:rPr>
                    <w:t>拆解的报废机动车“五大总成”具备再制造条件的，可以按照国家有关规定出售给具有再制造能力的企业经过再制造予以循环利用；不具备再制造条件的，应当作为废金属，交售给钢铁企业作为冶炼原料。</w:t>
                  </w:r>
                </w:p>
                <w:p>
                  <w:pPr>
                    <w:pStyle w:val="7"/>
                    <w:snapToGrid/>
                    <w:spacing w:before="0" w:after="0"/>
                    <w:ind w:right="0"/>
                    <w:rPr>
                      <w:color w:val="auto"/>
                      <w:sz w:val="18"/>
                      <w:szCs w:val="18"/>
                      <w:lang w:val="en-US" w:eastAsia="zh-CN"/>
                    </w:rPr>
                  </w:pPr>
                  <w:r>
                    <w:rPr>
                      <w:color w:val="auto"/>
                      <w:kern w:val="2"/>
                      <w:sz w:val="18"/>
                      <w:szCs w:val="18"/>
                      <w:lang w:val="en-US" w:eastAsia="zh-CN"/>
                    </w:rPr>
                    <w:t>拆解的报废机动车“五大总成”以外的零部件符合保障人身和财产安全等强制性国家标准，能够继续使用的，可以出售，但应当标明“报废机动车回用件”。</w:t>
                  </w:r>
                </w:p>
              </w:tc>
              <w:tc>
                <w:tcPr>
                  <w:tcW w:w="5090" w:type="dxa"/>
                  <w:noWrap w:val="0"/>
                  <w:vAlign w:val="center"/>
                </w:tcPr>
                <w:p>
                  <w:pPr>
                    <w:autoSpaceDE w:val="0"/>
                    <w:autoSpaceDN w:val="0"/>
                    <w:rPr>
                      <w:color w:val="auto"/>
                      <w:kern w:val="0"/>
                      <w:sz w:val="18"/>
                      <w:szCs w:val="18"/>
                    </w:rPr>
                  </w:pPr>
                  <w:r>
                    <w:rPr>
                      <w:rFonts w:hint="eastAsia"/>
                      <w:color w:val="auto"/>
                      <w:kern w:val="0"/>
                      <w:sz w:val="18"/>
                      <w:szCs w:val="18"/>
                    </w:rPr>
                    <w:t>项目拆解的</w:t>
                  </w:r>
                  <w:r>
                    <w:rPr>
                      <w:color w:val="auto"/>
                      <w:kern w:val="0"/>
                      <w:sz w:val="18"/>
                      <w:szCs w:val="18"/>
                    </w:rPr>
                    <w:t>“五大总成”具备再制造条件的</w:t>
                  </w:r>
                  <w:r>
                    <w:rPr>
                      <w:rFonts w:hint="eastAsia"/>
                      <w:color w:val="auto"/>
                      <w:kern w:val="0"/>
                      <w:sz w:val="18"/>
                      <w:szCs w:val="18"/>
                    </w:rPr>
                    <w:t>，</w:t>
                  </w:r>
                  <w:r>
                    <w:rPr>
                      <w:color w:val="auto"/>
                      <w:kern w:val="0"/>
                      <w:sz w:val="18"/>
                      <w:szCs w:val="18"/>
                    </w:rPr>
                    <w:t>按照国家有关规定出售给具有再制造能力的企业经过再制造予以循环利用</w:t>
                  </w:r>
                  <w:r>
                    <w:rPr>
                      <w:rFonts w:hint="eastAsia"/>
                      <w:color w:val="auto"/>
                      <w:kern w:val="0"/>
                      <w:sz w:val="18"/>
                      <w:szCs w:val="18"/>
                    </w:rPr>
                    <w:t>，</w:t>
                  </w:r>
                  <w:r>
                    <w:rPr>
                      <w:color w:val="auto"/>
                      <w:kern w:val="0"/>
                      <w:sz w:val="18"/>
                      <w:szCs w:val="18"/>
                    </w:rPr>
                    <w:t>不具备再制造条件的，作为废金属，交售给钢铁企业作为冶炼原料。</w:t>
                  </w:r>
                </w:p>
                <w:p>
                  <w:pPr>
                    <w:autoSpaceDE w:val="0"/>
                    <w:autoSpaceDN w:val="0"/>
                    <w:rPr>
                      <w:rFonts w:hint="eastAsia"/>
                      <w:color w:val="auto"/>
                      <w:kern w:val="0"/>
                      <w:sz w:val="18"/>
                      <w:szCs w:val="18"/>
                    </w:rPr>
                  </w:pPr>
                  <w:r>
                    <w:rPr>
                      <w:rFonts w:hint="eastAsia"/>
                      <w:color w:val="auto"/>
                      <w:sz w:val="18"/>
                      <w:szCs w:val="18"/>
                    </w:rPr>
                    <w:t>“</w:t>
                  </w:r>
                  <w:r>
                    <w:rPr>
                      <w:color w:val="auto"/>
                      <w:sz w:val="18"/>
                      <w:szCs w:val="18"/>
                    </w:rPr>
                    <w:t>五大总成</w:t>
                  </w:r>
                  <w:r>
                    <w:rPr>
                      <w:rFonts w:hint="eastAsia"/>
                      <w:color w:val="auto"/>
                      <w:sz w:val="18"/>
                      <w:szCs w:val="18"/>
                    </w:rPr>
                    <w:t>”</w:t>
                  </w:r>
                  <w:r>
                    <w:rPr>
                      <w:color w:val="auto"/>
                      <w:sz w:val="18"/>
                      <w:szCs w:val="18"/>
                    </w:rPr>
                    <w:t>以外能够继续使用的零部件</w:t>
                  </w:r>
                  <w:r>
                    <w:rPr>
                      <w:rFonts w:hint="eastAsia"/>
                      <w:color w:val="auto"/>
                      <w:sz w:val="18"/>
                      <w:szCs w:val="18"/>
                    </w:rPr>
                    <w:t>，标明“</w:t>
                  </w:r>
                  <w:r>
                    <w:rPr>
                      <w:color w:val="auto"/>
                      <w:sz w:val="18"/>
                      <w:szCs w:val="18"/>
                    </w:rPr>
                    <w:t>报废机动车回用件</w:t>
                  </w:r>
                  <w:r>
                    <w:rPr>
                      <w:rFonts w:hint="eastAsia"/>
                      <w:color w:val="auto"/>
                      <w:sz w:val="18"/>
                      <w:szCs w:val="18"/>
                    </w:rPr>
                    <w:t>”后出售</w:t>
                  </w:r>
                </w:p>
              </w:tc>
              <w:tc>
                <w:tcPr>
                  <w:tcW w:w="805"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autoSpaceDE w:val="0"/>
                    <w:autoSpaceDN w:val="0"/>
                    <w:rPr>
                      <w:color w:val="auto"/>
                      <w:kern w:val="0"/>
                      <w:sz w:val="18"/>
                      <w:szCs w:val="18"/>
                    </w:rPr>
                  </w:pPr>
                  <w:r>
                    <w:rPr>
                      <w:color w:val="auto"/>
                      <w:sz w:val="18"/>
                      <w:szCs w:val="18"/>
                    </w:rPr>
                    <w:t>报废机动车回收企业应当如实记录本企业回收的报废机动车“五大总成”等主要部件的数量、型号、流向等信息，并上传至报废机动车回收信息系统。</w:t>
                  </w:r>
                </w:p>
              </w:tc>
              <w:tc>
                <w:tcPr>
                  <w:tcW w:w="5090" w:type="dxa"/>
                  <w:noWrap w:val="0"/>
                  <w:vAlign w:val="center"/>
                </w:tcPr>
                <w:p>
                  <w:pPr>
                    <w:autoSpaceDE w:val="0"/>
                    <w:autoSpaceDN w:val="0"/>
                    <w:rPr>
                      <w:rFonts w:hint="eastAsia"/>
                      <w:color w:val="auto"/>
                      <w:kern w:val="0"/>
                      <w:sz w:val="18"/>
                      <w:szCs w:val="18"/>
                    </w:rPr>
                  </w:pPr>
                  <w:r>
                    <w:rPr>
                      <w:rFonts w:hint="eastAsia"/>
                      <w:color w:val="auto"/>
                      <w:kern w:val="0"/>
                      <w:sz w:val="18"/>
                      <w:szCs w:val="18"/>
                    </w:rPr>
                    <w:t>公司做好</w:t>
                  </w:r>
                  <w:r>
                    <w:rPr>
                      <w:color w:val="auto"/>
                      <w:sz w:val="18"/>
                      <w:szCs w:val="18"/>
                    </w:rPr>
                    <w:t>报废机动车</w:t>
                  </w:r>
                  <w:r>
                    <w:rPr>
                      <w:rFonts w:hint="eastAsia"/>
                      <w:color w:val="auto"/>
                      <w:sz w:val="18"/>
                      <w:szCs w:val="18"/>
                    </w:rPr>
                    <w:t>“</w:t>
                  </w:r>
                  <w:r>
                    <w:rPr>
                      <w:color w:val="auto"/>
                      <w:sz w:val="18"/>
                      <w:szCs w:val="18"/>
                    </w:rPr>
                    <w:t>五大总成</w:t>
                  </w:r>
                  <w:r>
                    <w:rPr>
                      <w:rFonts w:hint="eastAsia"/>
                      <w:color w:val="auto"/>
                      <w:sz w:val="18"/>
                      <w:szCs w:val="18"/>
                    </w:rPr>
                    <w:t>”</w:t>
                  </w:r>
                  <w:r>
                    <w:rPr>
                      <w:color w:val="auto"/>
                      <w:sz w:val="18"/>
                      <w:szCs w:val="18"/>
                    </w:rPr>
                    <w:t>等主要部件的数量、型号、流向等信息，并上传至报废机动车回收信息系统。</w:t>
                  </w:r>
                </w:p>
              </w:tc>
              <w:tc>
                <w:tcPr>
                  <w:tcW w:w="805"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autoSpaceDE w:val="0"/>
                    <w:autoSpaceDN w:val="0"/>
                    <w:rPr>
                      <w:color w:val="auto"/>
                      <w:kern w:val="0"/>
                      <w:sz w:val="18"/>
                      <w:szCs w:val="18"/>
                    </w:rPr>
                  </w:pPr>
                  <w:r>
                    <w:rPr>
                      <w:color w:val="auto"/>
                      <w:sz w:val="18"/>
                      <w:szCs w:val="18"/>
                    </w:rPr>
                    <w:t>拆解报废机动车，应当遵守环境保护法律、法规和强制性标准，采取有效措施保护环境，不得造成环境污染。</w:t>
                  </w:r>
                </w:p>
              </w:tc>
              <w:tc>
                <w:tcPr>
                  <w:tcW w:w="5090" w:type="dxa"/>
                  <w:noWrap w:val="0"/>
                  <w:vAlign w:val="center"/>
                </w:tcPr>
                <w:p>
                  <w:pPr>
                    <w:autoSpaceDE w:val="0"/>
                    <w:autoSpaceDN w:val="0"/>
                    <w:rPr>
                      <w:rFonts w:hint="eastAsia"/>
                      <w:color w:val="auto"/>
                      <w:kern w:val="0"/>
                      <w:sz w:val="18"/>
                      <w:szCs w:val="18"/>
                    </w:rPr>
                  </w:pPr>
                  <w:r>
                    <w:rPr>
                      <w:rFonts w:hint="eastAsia"/>
                      <w:color w:val="auto"/>
                      <w:kern w:val="0"/>
                      <w:sz w:val="18"/>
                      <w:szCs w:val="18"/>
                    </w:rPr>
                    <w:t>项目生产过程中各危险废物分类储存在危废库内，定期交资质单位处理，落实污染防治措施后，不会造成环境污染。</w:t>
                  </w:r>
                </w:p>
              </w:tc>
              <w:tc>
                <w:tcPr>
                  <w:tcW w:w="805" w:type="dxa"/>
                  <w:noWrap w:val="0"/>
                  <w:vAlign w:val="center"/>
                </w:tcPr>
                <w:p>
                  <w:pPr>
                    <w:autoSpaceDE w:val="0"/>
                    <w:autoSpaceDN w:val="0"/>
                    <w:rPr>
                      <w:color w:val="auto"/>
                      <w:kern w:val="0"/>
                      <w:sz w:val="18"/>
                      <w:szCs w:val="18"/>
                    </w:rPr>
                  </w:pPr>
                  <w:r>
                    <w:rPr>
                      <w:color w:val="auto"/>
                      <w:kern w:val="0"/>
                      <w:sz w:val="18"/>
                      <w:szCs w:val="18"/>
                    </w:rPr>
                    <w:t>符合</w:t>
                  </w:r>
                </w:p>
              </w:tc>
            </w:tr>
          </w:tbl>
          <w:p>
            <w:pPr>
              <w:autoSpaceDE w:val="0"/>
              <w:autoSpaceDN w:val="0"/>
              <w:spacing w:line="360" w:lineRule="auto"/>
              <w:ind w:firstLine="420" w:firstLineChars="200"/>
              <w:rPr>
                <w:color w:val="auto"/>
                <w:szCs w:val="21"/>
              </w:rPr>
            </w:pPr>
            <w:r>
              <w:rPr>
                <w:bCs/>
                <w:color w:val="auto"/>
                <w:szCs w:val="21"/>
              </w:rPr>
              <w:t>由表1-</w:t>
            </w:r>
            <w:r>
              <w:rPr>
                <w:rFonts w:hint="eastAsia"/>
                <w:bCs/>
                <w:color w:val="auto"/>
                <w:szCs w:val="21"/>
              </w:rPr>
              <w:t>3</w:t>
            </w:r>
            <w:r>
              <w:rPr>
                <w:bCs/>
                <w:color w:val="auto"/>
                <w:szCs w:val="21"/>
              </w:rPr>
              <w:t>可以看出，本项且的建设符合《</w:t>
            </w:r>
            <w:r>
              <w:rPr>
                <w:rFonts w:hint="eastAsia"/>
                <w:bCs/>
                <w:color w:val="auto"/>
                <w:szCs w:val="21"/>
              </w:rPr>
              <w:t>报废机动车回收管理办法（国务院令第715号）</w:t>
            </w:r>
            <w:r>
              <w:rPr>
                <w:bCs/>
                <w:color w:val="auto"/>
                <w:szCs w:val="21"/>
              </w:rPr>
              <w:t>》的要求。</w:t>
            </w:r>
          </w:p>
          <w:p>
            <w:pPr>
              <w:pStyle w:val="2"/>
              <w:keepNext/>
              <w:keepLines/>
              <w:pageBreakBefore w:val="0"/>
              <w:widowControl w:val="0"/>
              <w:kinsoku/>
              <w:wordWrap/>
              <w:overflowPunct/>
              <w:topLinePunct w:val="0"/>
              <w:autoSpaceDE/>
              <w:autoSpaceDN/>
              <w:bidi w:val="0"/>
              <w:adjustRightInd/>
              <w:snapToGrid/>
              <w:spacing w:before="140" w:after="140" w:line="360" w:lineRule="auto"/>
              <w:textAlignment w:val="auto"/>
              <w:rPr>
                <w:rFonts w:ascii="Times New Roman" w:hAnsi="Times New Roman"/>
                <w:b/>
                <w:color w:val="auto"/>
                <w:sz w:val="21"/>
                <w:szCs w:val="21"/>
              </w:rPr>
            </w:pPr>
            <w:r>
              <w:rPr>
                <w:rFonts w:hint="eastAsia" w:ascii="Times New Roman" w:hAnsi="Times New Roman"/>
                <w:b/>
                <w:color w:val="auto"/>
                <w:sz w:val="21"/>
                <w:szCs w:val="21"/>
                <w:lang w:val="en-US" w:eastAsia="zh-CN"/>
              </w:rPr>
              <w:t>7</w:t>
            </w:r>
            <w:r>
              <w:rPr>
                <w:rFonts w:ascii="Times New Roman" w:hAnsi="Times New Roman"/>
                <w:b/>
                <w:color w:val="auto"/>
                <w:sz w:val="21"/>
                <w:szCs w:val="21"/>
              </w:rPr>
              <w:t>、与《</w:t>
            </w:r>
            <w:r>
              <w:rPr>
                <w:rFonts w:hint="eastAsia" w:ascii="Times New Roman" w:hAnsi="Times New Roman"/>
                <w:b/>
                <w:color w:val="auto"/>
                <w:sz w:val="21"/>
                <w:szCs w:val="21"/>
              </w:rPr>
              <w:t>报废机动车回收管理办法实施细则（商务部令2020年第2号）</w:t>
            </w:r>
            <w:r>
              <w:rPr>
                <w:rFonts w:ascii="Times New Roman" w:hAnsi="Times New Roman"/>
                <w:b/>
                <w:color w:val="auto"/>
                <w:sz w:val="21"/>
                <w:szCs w:val="21"/>
              </w:rPr>
              <w:t>》相符性分析</w:t>
            </w:r>
          </w:p>
          <w:p>
            <w:pPr>
              <w:spacing w:line="360" w:lineRule="auto"/>
              <w:ind w:firstLine="420" w:firstLineChars="200"/>
              <w:rPr>
                <w:bCs/>
                <w:color w:val="auto"/>
                <w:szCs w:val="21"/>
              </w:rPr>
            </w:pPr>
            <w:r>
              <w:rPr>
                <w:bCs/>
                <w:color w:val="auto"/>
                <w:szCs w:val="21"/>
              </w:rPr>
              <w:t>为了规范报废机动车回收活动，保护环境，促进循环经济发展，保障道路交通安全。《</w:t>
            </w:r>
            <w:r>
              <w:rPr>
                <w:rFonts w:hint="eastAsia"/>
                <w:bCs/>
                <w:color w:val="auto"/>
                <w:szCs w:val="21"/>
              </w:rPr>
              <w:t>报废机动车回收管理办法实施细则（商务部令2020年第2号）</w:t>
            </w:r>
            <w:r>
              <w:rPr>
                <w:bCs/>
                <w:color w:val="auto"/>
                <w:szCs w:val="21"/>
              </w:rPr>
              <w:t>》对企业的要求，结合项目实际情况，相符性分析详见下表。</w:t>
            </w:r>
          </w:p>
          <w:p>
            <w:pPr>
              <w:autoSpaceDE w:val="0"/>
              <w:autoSpaceDN w:val="0"/>
              <w:spacing w:line="360" w:lineRule="auto"/>
              <w:jc w:val="center"/>
              <w:rPr>
                <w:b/>
                <w:color w:val="auto"/>
                <w:szCs w:val="21"/>
              </w:rPr>
            </w:pPr>
            <w:r>
              <w:rPr>
                <w:b/>
                <w:color w:val="auto"/>
                <w:szCs w:val="21"/>
              </w:rPr>
              <w:t>表1-</w:t>
            </w:r>
            <w:r>
              <w:rPr>
                <w:rFonts w:hint="eastAsia"/>
                <w:b/>
                <w:color w:val="auto"/>
                <w:szCs w:val="21"/>
              </w:rPr>
              <w:t>5</w:t>
            </w:r>
            <w:r>
              <w:rPr>
                <w:b/>
                <w:color w:val="auto"/>
                <w:szCs w:val="21"/>
              </w:rPr>
              <w:t xml:space="preserve"> 本项目与《</w:t>
            </w:r>
            <w:r>
              <w:rPr>
                <w:rFonts w:hint="eastAsia"/>
                <w:b/>
                <w:color w:val="auto"/>
                <w:szCs w:val="21"/>
              </w:rPr>
              <w:t>报废机动车回收管理办法实施细则（商务部令2020年第2号）</w:t>
            </w:r>
            <w:r>
              <w:rPr>
                <w:b/>
                <w:color w:val="auto"/>
                <w:szCs w:val="21"/>
              </w:rPr>
              <w:t>》相符性分析</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2"/>
              <w:gridCol w:w="5090"/>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2" w:type="dxa"/>
                  <w:noWrap w:val="0"/>
                  <w:vAlign w:val="center"/>
                </w:tcPr>
                <w:p>
                  <w:pPr>
                    <w:autoSpaceDE w:val="0"/>
                    <w:autoSpaceDN w:val="0"/>
                    <w:jc w:val="center"/>
                    <w:rPr>
                      <w:b/>
                      <w:bCs/>
                      <w:color w:val="auto"/>
                      <w:kern w:val="0"/>
                      <w:sz w:val="18"/>
                      <w:szCs w:val="18"/>
                    </w:rPr>
                  </w:pPr>
                  <w:r>
                    <w:rPr>
                      <w:b/>
                      <w:bCs/>
                      <w:color w:val="auto"/>
                      <w:kern w:val="0"/>
                      <w:sz w:val="18"/>
                      <w:szCs w:val="18"/>
                    </w:rPr>
                    <w:t>规范要求</w:t>
                  </w:r>
                </w:p>
              </w:tc>
              <w:tc>
                <w:tcPr>
                  <w:tcW w:w="5090" w:type="dxa"/>
                  <w:noWrap w:val="0"/>
                  <w:vAlign w:val="center"/>
                </w:tcPr>
                <w:p>
                  <w:pPr>
                    <w:autoSpaceDE w:val="0"/>
                    <w:autoSpaceDN w:val="0"/>
                    <w:jc w:val="center"/>
                    <w:rPr>
                      <w:b/>
                      <w:bCs/>
                      <w:color w:val="auto"/>
                      <w:kern w:val="0"/>
                      <w:sz w:val="18"/>
                      <w:szCs w:val="18"/>
                    </w:rPr>
                  </w:pPr>
                  <w:r>
                    <w:rPr>
                      <w:b/>
                      <w:bCs/>
                      <w:color w:val="auto"/>
                      <w:kern w:val="0"/>
                      <w:sz w:val="18"/>
                      <w:szCs w:val="18"/>
                    </w:rPr>
                    <w:t>本项目情况</w:t>
                  </w:r>
                </w:p>
              </w:tc>
              <w:tc>
                <w:tcPr>
                  <w:tcW w:w="805" w:type="dxa"/>
                  <w:noWrap w:val="0"/>
                  <w:vAlign w:val="center"/>
                </w:tcPr>
                <w:p>
                  <w:pPr>
                    <w:autoSpaceDE w:val="0"/>
                    <w:autoSpaceDN w:val="0"/>
                    <w:ind w:left="-105" w:leftChars="-50" w:right="-105" w:rightChars="-50"/>
                    <w:jc w:val="center"/>
                    <w:rPr>
                      <w:b/>
                      <w:bCs/>
                      <w:color w:val="auto"/>
                      <w:kern w:val="0"/>
                      <w:sz w:val="18"/>
                      <w:szCs w:val="18"/>
                    </w:rPr>
                  </w:pPr>
                  <w:r>
                    <w:rPr>
                      <w:b/>
                      <w:bCs/>
                      <w:color w:val="auto"/>
                      <w:kern w:val="0"/>
                      <w:sz w:val="18"/>
                      <w:szCs w:val="18"/>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2" w:type="dxa"/>
                  <w:noWrap w:val="0"/>
                  <w:vAlign w:val="center"/>
                </w:tcPr>
                <w:p>
                  <w:pPr>
                    <w:autoSpaceDE w:val="0"/>
                    <w:autoSpaceDN w:val="0"/>
                    <w:rPr>
                      <w:color w:val="auto"/>
                      <w:kern w:val="0"/>
                      <w:sz w:val="18"/>
                      <w:szCs w:val="18"/>
                    </w:rPr>
                  </w:pPr>
                  <w:r>
                    <w:rPr>
                      <w:color w:val="auto"/>
                      <w:kern w:val="0"/>
                      <w:sz w:val="18"/>
                      <w:szCs w:val="18"/>
                    </w:rPr>
                    <w:t>国家对回收拆解企业实行资质认定制度。未经资质认定，任何单位或者个人不得从事报废机动车回收拆解活动。</w:t>
                  </w:r>
                </w:p>
              </w:tc>
              <w:tc>
                <w:tcPr>
                  <w:tcW w:w="5090" w:type="dxa"/>
                  <w:noWrap w:val="0"/>
                  <w:vAlign w:val="center"/>
                </w:tcPr>
                <w:p>
                  <w:pPr>
                    <w:autoSpaceDE w:val="0"/>
                    <w:autoSpaceDN w:val="0"/>
                    <w:rPr>
                      <w:rFonts w:hint="eastAsia" w:eastAsia="微软雅黑"/>
                      <w:color w:val="auto"/>
                      <w:kern w:val="0"/>
                      <w:sz w:val="18"/>
                      <w:szCs w:val="18"/>
                    </w:rPr>
                  </w:pPr>
                  <w:r>
                    <w:rPr>
                      <w:rFonts w:hint="eastAsia"/>
                      <w:color w:val="auto"/>
                      <w:kern w:val="0"/>
                      <w:sz w:val="18"/>
                      <w:szCs w:val="18"/>
                    </w:rPr>
                    <w:t>公司将按照取得报废机动车回收拆解资质认定的要求，取得资质，本次环境影响评价文件的审批文件为资质审定的书面材料之一。</w:t>
                  </w:r>
                </w:p>
              </w:tc>
              <w:tc>
                <w:tcPr>
                  <w:tcW w:w="805" w:type="dxa"/>
                  <w:noWrap w:val="0"/>
                  <w:vAlign w:val="center"/>
                </w:tcPr>
                <w:p>
                  <w:pPr>
                    <w:autoSpaceDE w:val="0"/>
                    <w:autoSpaceDN w:val="0"/>
                    <w:rPr>
                      <w:rFonts w:hint="eastAsia"/>
                      <w:color w:val="auto"/>
                      <w:kern w:val="0"/>
                      <w:sz w:val="18"/>
                      <w:szCs w:val="18"/>
                    </w:rPr>
                  </w:pPr>
                  <w:r>
                    <w:rPr>
                      <w:rFonts w:hint="eastAsia"/>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7" w:type="dxa"/>
                  <w:gridSpan w:val="3"/>
                  <w:noWrap w:val="0"/>
                  <w:vAlign w:val="center"/>
                </w:tcPr>
                <w:p>
                  <w:pPr>
                    <w:autoSpaceDE w:val="0"/>
                    <w:autoSpaceDN w:val="0"/>
                    <w:jc w:val="center"/>
                    <w:rPr>
                      <w:rFonts w:hint="eastAsia"/>
                      <w:color w:val="auto"/>
                      <w:kern w:val="0"/>
                      <w:sz w:val="18"/>
                      <w:szCs w:val="18"/>
                    </w:rPr>
                  </w:pPr>
                  <w:r>
                    <w:rPr>
                      <w:b/>
                      <w:bCs/>
                      <w:color w:val="auto"/>
                      <w:kern w:val="0"/>
                      <w:sz w:val="18"/>
                      <w:szCs w:val="18"/>
                    </w:rPr>
                    <w:t>回收拆解行为规范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2" w:type="dxa"/>
                  <w:noWrap w:val="0"/>
                  <w:vAlign w:val="center"/>
                </w:tcPr>
                <w:p>
                  <w:pPr>
                    <w:autoSpaceDE w:val="0"/>
                    <w:autoSpaceDN w:val="0"/>
                    <w:rPr>
                      <w:color w:val="auto"/>
                      <w:kern w:val="0"/>
                      <w:sz w:val="18"/>
                      <w:szCs w:val="18"/>
                    </w:rPr>
                  </w:pPr>
                  <w:r>
                    <w:rPr>
                      <w:rFonts w:hint="eastAsia"/>
                      <w:color w:val="auto"/>
                      <w:kern w:val="0"/>
                      <w:sz w:val="18"/>
                      <w:szCs w:val="18"/>
                    </w:rPr>
                    <w:t>回收拆解企业在回收报废机动车时，应当核验机动车所有人有效身份证件，逐车登记机动车型号、号牌号码、车辆识别代号、发动机号等信息，并收回下列证牌：</w:t>
                  </w:r>
                </w:p>
                <w:p>
                  <w:pPr>
                    <w:autoSpaceDE w:val="0"/>
                    <w:autoSpaceDN w:val="0"/>
                    <w:rPr>
                      <w:rFonts w:hint="eastAsia"/>
                      <w:color w:val="auto"/>
                      <w:kern w:val="0"/>
                      <w:sz w:val="18"/>
                      <w:szCs w:val="18"/>
                    </w:rPr>
                  </w:pPr>
                  <w:r>
                    <w:rPr>
                      <w:rFonts w:hint="eastAsia"/>
                      <w:color w:val="auto"/>
                      <w:kern w:val="0"/>
                      <w:sz w:val="18"/>
                      <w:szCs w:val="18"/>
                    </w:rPr>
                    <w:t>（一）机动车登记证书原件；</w:t>
                  </w:r>
                </w:p>
                <w:p>
                  <w:pPr>
                    <w:autoSpaceDE w:val="0"/>
                    <w:autoSpaceDN w:val="0"/>
                    <w:rPr>
                      <w:rFonts w:hint="eastAsia"/>
                      <w:color w:val="auto"/>
                      <w:kern w:val="0"/>
                      <w:sz w:val="18"/>
                      <w:szCs w:val="18"/>
                    </w:rPr>
                  </w:pPr>
                  <w:r>
                    <w:rPr>
                      <w:rFonts w:hint="eastAsia"/>
                      <w:color w:val="auto"/>
                      <w:kern w:val="0"/>
                      <w:sz w:val="18"/>
                      <w:szCs w:val="18"/>
                    </w:rPr>
                    <w:t>（二）机动车行驶证原件；</w:t>
                  </w:r>
                </w:p>
                <w:p>
                  <w:pPr>
                    <w:autoSpaceDE w:val="0"/>
                    <w:autoSpaceDN w:val="0"/>
                    <w:rPr>
                      <w:rFonts w:hint="eastAsia"/>
                      <w:color w:val="auto"/>
                      <w:kern w:val="0"/>
                      <w:sz w:val="18"/>
                      <w:szCs w:val="18"/>
                    </w:rPr>
                  </w:pPr>
                  <w:r>
                    <w:rPr>
                      <w:rFonts w:hint="eastAsia"/>
                      <w:color w:val="auto"/>
                      <w:kern w:val="0"/>
                      <w:sz w:val="18"/>
                      <w:szCs w:val="18"/>
                    </w:rPr>
                    <w:t>（三）机动车号牌。</w:t>
                  </w:r>
                </w:p>
                <w:p>
                  <w:pPr>
                    <w:autoSpaceDE w:val="0"/>
                    <w:autoSpaceDN w:val="0"/>
                    <w:rPr>
                      <w:rFonts w:hint="eastAsia"/>
                      <w:color w:val="auto"/>
                      <w:kern w:val="0"/>
                      <w:sz w:val="18"/>
                      <w:szCs w:val="18"/>
                    </w:rPr>
                  </w:pPr>
                  <w:r>
                    <w:rPr>
                      <w:rFonts w:hint="eastAsia"/>
                      <w:color w:val="auto"/>
                      <w:kern w:val="0"/>
                      <w:sz w:val="18"/>
                      <w:szCs w:val="18"/>
                    </w:rPr>
                    <w:t>回收拆解企业应当核对报废机动车的车辆型号、号牌号码、车辆识别代号、发动机号等实车信息是否与机动车登记证书、机动车行驶证记载的信息一致。</w:t>
                  </w:r>
                </w:p>
                <w:p>
                  <w:pPr>
                    <w:autoSpaceDE w:val="0"/>
                    <w:autoSpaceDN w:val="0"/>
                    <w:rPr>
                      <w:rFonts w:hint="eastAsia"/>
                      <w:color w:val="auto"/>
                      <w:kern w:val="0"/>
                      <w:sz w:val="18"/>
                      <w:szCs w:val="18"/>
                    </w:rPr>
                  </w:pPr>
                  <w:r>
                    <w:rPr>
                      <w:rFonts w:hint="eastAsia"/>
                      <w:color w:val="auto"/>
                      <w:kern w:val="0"/>
                      <w:sz w:val="18"/>
                      <w:szCs w:val="18"/>
                    </w:rPr>
                    <w:t>无法提供本条第一款所列三项证牌中任意一项的，应当由机动车所有人出具书面情况说明，并对其真实性负责。</w:t>
                  </w:r>
                </w:p>
                <w:p>
                  <w:pPr>
                    <w:autoSpaceDE w:val="0"/>
                    <w:autoSpaceDN w:val="0"/>
                    <w:rPr>
                      <w:color w:val="auto"/>
                      <w:kern w:val="0"/>
                      <w:sz w:val="18"/>
                      <w:szCs w:val="18"/>
                    </w:rPr>
                  </w:pPr>
                  <w:r>
                    <w:rPr>
                      <w:rFonts w:hint="eastAsia"/>
                      <w:color w:val="auto"/>
                      <w:kern w:val="0"/>
                      <w:sz w:val="18"/>
                      <w:szCs w:val="18"/>
                    </w:rPr>
                    <w:t>机动车所有人为自然人且委托他人代办的，还需提供受委托人有效证件及授权委托书；机动车所有人为机关、企业、事业单位、社会团体等的，需提供加盖单位公章的营业执照复印件、统一社会信用代码证书复印件或者社会团体法人登记证书复印件以及单位授权委托书、经办人身份证件。</w:t>
                  </w:r>
                </w:p>
              </w:tc>
              <w:tc>
                <w:tcPr>
                  <w:tcW w:w="5090" w:type="dxa"/>
                  <w:noWrap w:val="0"/>
                  <w:vAlign w:val="center"/>
                </w:tcPr>
                <w:p>
                  <w:pPr>
                    <w:autoSpaceDE w:val="0"/>
                    <w:autoSpaceDN w:val="0"/>
                    <w:rPr>
                      <w:rFonts w:hint="eastAsia"/>
                      <w:color w:val="auto"/>
                      <w:kern w:val="0"/>
                      <w:sz w:val="18"/>
                      <w:szCs w:val="18"/>
                    </w:rPr>
                  </w:pPr>
                  <w:r>
                    <w:rPr>
                      <w:rFonts w:hint="eastAsia"/>
                      <w:color w:val="auto"/>
                      <w:sz w:val="18"/>
                      <w:szCs w:val="18"/>
                    </w:rPr>
                    <w:t>公司做好报废机动车进厂登记管理，逐车登记机动车型号、号牌号码、车辆识别代号、发动机号等信息，</w:t>
                  </w:r>
                  <w:r>
                    <w:rPr>
                      <w:rFonts w:hint="eastAsia"/>
                      <w:color w:val="auto"/>
                      <w:kern w:val="0"/>
                      <w:sz w:val="18"/>
                      <w:szCs w:val="18"/>
                    </w:rPr>
                    <w:t>并核实是否与机动车登记证书、机动车行驶证记载的信息一致。</w:t>
                  </w:r>
                </w:p>
                <w:p>
                  <w:pPr>
                    <w:autoSpaceDE w:val="0"/>
                    <w:autoSpaceDN w:val="0"/>
                    <w:rPr>
                      <w:rFonts w:hint="eastAsia"/>
                      <w:color w:val="auto"/>
                      <w:kern w:val="0"/>
                      <w:sz w:val="18"/>
                      <w:szCs w:val="18"/>
                    </w:rPr>
                  </w:pPr>
                  <w:r>
                    <w:rPr>
                      <w:rFonts w:hint="eastAsia"/>
                      <w:color w:val="auto"/>
                      <w:kern w:val="0"/>
                      <w:sz w:val="18"/>
                      <w:szCs w:val="18"/>
                    </w:rPr>
                    <w:t>对于无法提供三项证牌中任意一项的，要求机动车所有人出具书面情况说明，并对其真实性负责。</w:t>
                  </w:r>
                </w:p>
                <w:p>
                  <w:pPr>
                    <w:autoSpaceDE w:val="0"/>
                    <w:autoSpaceDN w:val="0"/>
                    <w:rPr>
                      <w:rFonts w:hint="eastAsia"/>
                      <w:color w:val="auto"/>
                      <w:sz w:val="18"/>
                      <w:szCs w:val="18"/>
                    </w:rPr>
                  </w:pPr>
                  <w:r>
                    <w:rPr>
                      <w:rFonts w:hint="eastAsia"/>
                      <w:color w:val="auto"/>
                      <w:kern w:val="0"/>
                      <w:sz w:val="18"/>
                      <w:szCs w:val="18"/>
                    </w:rPr>
                    <w:t>对于机动车所有人为自然人且委托他人代办的，要求提供受委托人有效证件及授权委托书；机动车所有人为机关、企业、事业单位、社会团体等的，要求提供加盖单位公章的营业执照复印件、统一社会信用代码证书复印件或者社会团体法人登记证书复印件以及单位授权委托书、经办人身份证件。</w:t>
                  </w:r>
                </w:p>
              </w:tc>
              <w:tc>
                <w:tcPr>
                  <w:tcW w:w="805"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2" w:type="dxa"/>
                  <w:noWrap w:val="0"/>
                  <w:vAlign w:val="center"/>
                </w:tcPr>
                <w:p>
                  <w:pPr>
                    <w:autoSpaceDE w:val="0"/>
                    <w:autoSpaceDN w:val="0"/>
                    <w:rPr>
                      <w:rFonts w:hint="eastAsia"/>
                      <w:color w:val="auto"/>
                      <w:kern w:val="0"/>
                      <w:sz w:val="18"/>
                      <w:szCs w:val="18"/>
                    </w:rPr>
                  </w:pPr>
                  <w:r>
                    <w:rPr>
                      <w:rFonts w:hint="eastAsia"/>
                      <w:color w:val="auto"/>
                      <w:kern w:val="0"/>
                      <w:sz w:val="18"/>
                      <w:szCs w:val="18"/>
                    </w:rPr>
                    <w:t>回收拆解企业在回收报废机动车后，应当通过“全国汽车流通信息管理应用服务”系统如实录入机动车信息，打印《报废机动车回收证明》，上传机动车拆解前照片，机动车拆解后，上传拆解后照片。上传的照片应当包括机动车拆解前整体外观、拆解后状况以及车辆识别代号等特征。对按照规定应当在公安机关监督下解体的报废机动车，回收拆解企业应当在机动车拆解后，打印《报废机动车回收证明》。</w:t>
                  </w:r>
                </w:p>
                <w:p>
                  <w:pPr>
                    <w:autoSpaceDE w:val="0"/>
                    <w:autoSpaceDN w:val="0"/>
                    <w:rPr>
                      <w:color w:val="auto"/>
                      <w:kern w:val="0"/>
                      <w:sz w:val="18"/>
                      <w:szCs w:val="18"/>
                    </w:rPr>
                  </w:pPr>
                  <w:r>
                    <w:rPr>
                      <w:rFonts w:hint="eastAsia"/>
                      <w:color w:val="auto"/>
                      <w:kern w:val="0"/>
                      <w:sz w:val="18"/>
                      <w:szCs w:val="18"/>
                    </w:rPr>
                    <w:t>回收拆解企业应当按照国家有关规定及时向公安机关交通管理部门申请机动车注销登记，将注销证明及《报废机动车回收证明》交给机动车所有人。</w:t>
                  </w:r>
                </w:p>
              </w:tc>
              <w:tc>
                <w:tcPr>
                  <w:tcW w:w="5090" w:type="dxa"/>
                  <w:noWrap w:val="0"/>
                  <w:vAlign w:val="center"/>
                </w:tcPr>
                <w:p>
                  <w:pPr>
                    <w:autoSpaceDE w:val="0"/>
                    <w:autoSpaceDN w:val="0"/>
                    <w:rPr>
                      <w:rFonts w:hint="eastAsia"/>
                      <w:color w:val="auto"/>
                      <w:kern w:val="0"/>
                      <w:sz w:val="18"/>
                      <w:szCs w:val="18"/>
                    </w:rPr>
                  </w:pPr>
                  <w:r>
                    <w:rPr>
                      <w:rFonts w:hint="eastAsia"/>
                      <w:color w:val="auto"/>
                      <w:kern w:val="0"/>
                      <w:sz w:val="18"/>
                      <w:szCs w:val="18"/>
                    </w:rPr>
                    <w:t>报废机动车按要求进厂后，公司即通过“全国汽车流通信息管理应用服务”系统如实录入机动车信息，打印《报废机动车回收证明》，上传机动车拆解前照片，机动车拆解后，上传拆解后照片。</w:t>
                  </w:r>
                </w:p>
                <w:p>
                  <w:pPr>
                    <w:autoSpaceDE w:val="0"/>
                    <w:autoSpaceDN w:val="0"/>
                    <w:rPr>
                      <w:rFonts w:hint="eastAsia"/>
                      <w:color w:val="auto"/>
                      <w:kern w:val="0"/>
                      <w:sz w:val="18"/>
                      <w:szCs w:val="18"/>
                    </w:rPr>
                  </w:pPr>
                  <w:r>
                    <w:rPr>
                      <w:rFonts w:hint="eastAsia"/>
                      <w:color w:val="auto"/>
                      <w:kern w:val="0"/>
                      <w:sz w:val="18"/>
                      <w:szCs w:val="18"/>
                    </w:rPr>
                    <w:t>厂区大型大型客车、货车等营运车辆的拆解场所，设置监控视频并与公安系统联网。</w:t>
                  </w:r>
                </w:p>
                <w:p>
                  <w:pPr>
                    <w:autoSpaceDE w:val="0"/>
                    <w:autoSpaceDN w:val="0"/>
                    <w:rPr>
                      <w:rFonts w:hint="eastAsia"/>
                      <w:color w:val="auto"/>
                      <w:sz w:val="18"/>
                      <w:szCs w:val="18"/>
                    </w:rPr>
                  </w:pPr>
                  <w:r>
                    <w:rPr>
                      <w:rFonts w:hint="eastAsia"/>
                      <w:color w:val="auto"/>
                      <w:kern w:val="0"/>
                      <w:sz w:val="18"/>
                      <w:szCs w:val="18"/>
                    </w:rPr>
                    <w:t>同时，将注销证明及《报废机动车回收证明》交给机动车所有人。</w:t>
                  </w:r>
                </w:p>
              </w:tc>
              <w:tc>
                <w:tcPr>
                  <w:tcW w:w="805"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2" w:type="dxa"/>
                  <w:noWrap w:val="0"/>
                  <w:vAlign w:val="center"/>
                </w:tcPr>
                <w:p>
                  <w:pPr>
                    <w:pStyle w:val="7"/>
                    <w:snapToGrid/>
                    <w:spacing w:before="0" w:after="0"/>
                    <w:ind w:right="0"/>
                    <w:rPr>
                      <w:color w:val="auto"/>
                      <w:sz w:val="18"/>
                      <w:szCs w:val="18"/>
                      <w:lang w:val="en-US" w:eastAsia="zh-CN"/>
                    </w:rPr>
                  </w:pPr>
                  <w:r>
                    <w:rPr>
                      <w:rFonts w:hint="eastAsia"/>
                      <w:color w:val="auto"/>
                      <w:sz w:val="18"/>
                      <w:szCs w:val="18"/>
                      <w:lang w:val="en-US" w:eastAsia="zh-CN"/>
                    </w:rPr>
                    <w:t>报废机动车“五大总成”和尾气后处理装置，以及新能源汽车动力蓄电池不齐全的，机动车所有人应当书面说明情况，并对其真实性负责。机动车车架（或者车身）或者发动机缺失的应当认定为车辆缺失，回收拆解企业不得出具《报废机动车回收证明》。</w:t>
                  </w:r>
                </w:p>
              </w:tc>
              <w:tc>
                <w:tcPr>
                  <w:tcW w:w="5090" w:type="dxa"/>
                  <w:noWrap w:val="0"/>
                  <w:vAlign w:val="center"/>
                </w:tcPr>
                <w:p>
                  <w:pPr>
                    <w:autoSpaceDE w:val="0"/>
                    <w:autoSpaceDN w:val="0"/>
                    <w:rPr>
                      <w:rFonts w:hint="eastAsia"/>
                      <w:color w:val="auto"/>
                      <w:kern w:val="0"/>
                      <w:sz w:val="18"/>
                      <w:szCs w:val="18"/>
                    </w:rPr>
                  </w:pPr>
                  <w:r>
                    <w:rPr>
                      <w:rFonts w:hint="eastAsia"/>
                      <w:color w:val="auto"/>
                      <w:kern w:val="0"/>
                      <w:sz w:val="18"/>
                      <w:szCs w:val="18"/>
                    </w:rPr>
                    <w:t>对于报废机动车“五大总成”和尾气后处理装置，要求机动车所有人应当书面说明情况，并对其真实性负责。</w:t>
                  </w:r>
                </w:p>
                <w:p>
                  <w:pPr>
                    <w:autoSpaceDE w:val="0"/>
                    <w:autoSpaceDN w:val="0"/>
                    <w:rPr>
                      <w:rFonts w:hint="eastAsia"/>
                      <w:color w:val="auto"/>
                      <w:kern w:val="0"/>
                      <w:sz w:val="18"/>
                      <w:szCs w:val="18"/>
                    </w:rPr>
                  </w:pPr>
                  <w:r>
                    <w:rPr>
                      <w:rFonts w:hint="eastAsia"/>
                      <w:color w:val="auto"/>
                      <w:kern w:val="0"/>
                      <w:sz w:val="18"/>
                      <w:szCs w:val="18"/>
                    </w:rPr>
                    <w:t>对于机动车车架（或者车身）或者发动机缺失的应当认定为车辆缺失，公司将不进行回收拆解处理。</w:t>
                  </w:r>
                </w:p>
              </w:tc>
              <w:tc>
                <w:tcPr>
                  <w:tcW w:w="805"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pStyle w:val="7"/>
                    <w:snapToGrid/>
                    <w:spacing w:before="0" w:after="0"/>
                    <w:ind w:right="0"/>
                    <w:rPr>
                      <w:rFonts w:hint="eastAsia"/>
                      <w:color w:val="auto"/>
                      <w:sz w:val="18"/>
                      <w:szCs w:val="18"/>
                      <w:lang w:val="en-US" w:eastAsia="zh-CN"/>
                    </w:rPr>
                  </w:pPr>
                  <w:r>
                    <w:rPr>
                      <w:rFonts w:hint="eastAsia"/>
                      <w:color w:val="auto"/>
                      <w:sz w:val="18"/>
                      <w:szCs w:val="18"/>
                      <w:lang w:val="en-US" w:eastAsia="zh-CN"/>
                    </w:rPr>
                    <w:t>机动车存在抵押、质押情形的，回收拆解企业不得出具《报废机动车回收证明》。</w:t>
                  </w:r>
                </w:p>
                <w:p>
                  <w:pPr>
                    <w:pStyle w:val="7"/>
                    <w:snapToGrid/>
                    <w:spacing w:before="0" w:after="0"/>
                    <w:ind w:right="0"/>
                    <w:rPr>
                      <w:color w:val="auto"/>
                      <w:sz w:val="18"/>
                      <w:szCs w:val="18"/>
                      <w:lang w:val="en-US" w:eastAsia="zh-CN"/>
                    </w:rPr>
                  </w:pPr>
                  <w:r>
                    <w:rPr>
                      <w:rFonts w:hint="eastAsia"/>
                      <w:color w:val="auto"/>
                      <w:sz w:val="18"/>
                      <w:szCs w:val="18"/>
                      <w:lang w:val="en-US" w:eastAsia="zh-CN"/>
                    </w:rPr>
                    <w:t>发现回收的报废机动车疑似为赃物或者用于盗窃、抢劫等犯罪活动工具的，以及涉嫌伪造变造号牌、车辆识别代号、发动机号的，回收拆解企业应当向公安机关报告。已经打印的《报废机动车回收证明》应当予以作废。</w:t>
                  </w:r>
                </w:p>
              </w:tc>
              <w:tc>
                <w:tcPr>
                  <w:tcW w:w="5090" w:type="dxa"/>
                  <w:noWrap w:val="0"/>
                  <w:vAlign w:val="center"/>
                </w:tcPr>
                <w:p>
                  <w:pPr>
                    <w:autoSpaceDE w:val="0"/>
                    <w:autoSpaceDN w:val="0"/>
                    <w:rPr>
                      <w:rFonts w:hint="eastAsia"/>
                      <w:color w:val="auto"/>
                      <w:kern w:val="0"/>
                      <w:sz w:val="18"/>
                      <w:szCs w:val="18"/>
                    </w:rPr>
                  </w:pPr>
                  <w:r>
                    <w:rPr>
                      <w:rFonts w:hint="eastAsia"/>
                      <w:color w:val="auto"/>
                      <w:kern w:val="0"/>
                      <w:sz w:val="18"/>
                      <w:szCs w:val="18"/>
                    </w:rPr>
                    <w:t>明确进厂报废机动车来源，发现回收的报废机动车疑似赃物或者用于盗窃、抢劫等犯罪活动的犯罪工具的，及时向公安机关报告。公司将不进行回收拆解处理。</w:t>
                  </w:r>
                </w:p>
              </w:tc>
              <w:tc>
                <w:tcPr>
                  <w:tcW w:w="805"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autoSpaceDE w:val="0"/>
                    <w:autoSpaceDN w:val="0"/>
                    <w:rPr>
                      <w:color w:val="auto"/>
                      <w:kern w:val="0"/>
                      <w:sz w:val="18"/>
                      <w:szCs w:val="18"/>
                    </w:rPr>
                  </w:pPr>
                  <w:r>
                    <w:rPr>
                      <w:rFonts w:hint="eastAsia"/>
                      <w:color w:val="auto"/>
                      <w:kern w:val="0"/>
                      <w:sz w:val="18"/>
                      <w:szCs w:val="18"/>
                    </w:rPr>
                    <w:t>回收拆解企业必须在其资质认定的拆解经营场地内对回收的报废机动车予以拆解，禁止以任何方式交易报废机动车整车、拼装车。回收的报废大型客、货车等营运车辆和校车，应当在公安机关现场或者视频监督下解体。回收拆解企业应当积极配合报废机动车监督解体工作。</w:t>
                  </w:r>
                </w:p>
              </w:tc>
              <w:tc>
                <w:tcPr>
                  <w:tcW w:w="5090" w:type="dxa"/>
                  <w:noWrap w:val="0"/>
                  <w:vAlign w:val="center"/>
                </w:tcPr>
                <w:p>
                  <w:pPr>
                    <w:autoSpaceDE w:val="0"/>
                    <w:autoSpaceDN w:val="0"/>
                    <w:rPr>
                      <w:rFonts w:hint="eastAsia"/>
                      <w:color w:val="auto"/>
                      <w:kern w:val="0"/>
                      <w:sz w:val="18"/>
                      <w:szCs w:val="18"/>
                    </w:rPr>
                  </w:pPr>
                  <w:r>
                    <w:rPr>
                      <w:rFonts w:hint="eastAsia"/>
                      <w:color w:val="auto"/>
                      <w:kern w:val="0"/>
                      <w:sz w:val="18"/>
                      <w:szCs w:val="18"/>
                    </w:rPr>
                    <w:t>公司将在资质认定的场地内进行回收、拆解报废机动车，所有回收的报废机动车均进行拆解处理，可回收利用的部件，标明“</w:t>
                  </w:r>
                  <w:r>
                    <w:rPr>
                      <w:color w:val="auto"/>
                      <w:kern w:val="0"/>
                      <w:sz w:val="18"/>
                      <w:szCs w:val="18"/>
                    </w:rPr>
                    <w:t>报废机动车回用件</w:t>
                  </w:r>
                  <w:r>
                    <w:rPr>
                      <w:rFonts w:hint="eastAsia"/>
                      <w:color w:val="auto"/>
                      <w:kern w:val="0"/>
                      <w:sz w:val="18"/>
                      <w:szCs w:val="18"/>
                    </w:rPr>
                    <w:t>”后出售。</w:t>
                  </w:r>
                </w:p>
                <w:p>
                  <w:pPr>
                    <w:autoSpaceDE w:val="0"/>
                    <w:autoSpaceDN w:val="0"/>
                    <w:rPr>
                      <w:rFonts w:hint="eastAsia"/>
                      <w:color w:val="auto"/>
                      <w:kern w:val="0"/>
                      <w:sz w:val="18"/>
                      <w:szCs w:val="18"/>
                    </w:rPr>
                  </w:pPr>
                  <w:r>
                    <w:rPr>
                      <w:rFonts w:hint="eastAsia"/>
                      <w:color w:val="auto"/>
                      <w:kern w:val="0"/>
                      <w:sz w:val="18"/>
                      <w:szCs w:val="18"/>
                    </w:rPr>
                    <w:t>厂区大型大型客车、货车等营运车辆的拆解场所，设置监控视频并与公安系统联网。</w:t>
                  </w:r>
                </w:p>
              </w:tc>
              <w:tc>
                <w:tcPr>
                  <w:tcW w:w="805"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pStyle w:val="7"/>
                    <w:snapToGrid/>
                    <w:spacing w:before="0" w:after="0"/>
                    <w:ind w:right="0"/>
                    <w:rPr>
                      <w:rFonts w:hint="eastAsia"/>
                      <w:color w:val="auto"/>
                      <w:sz w:val="18"/>
                      <w:szCs w:val="18"/>
                      <w:lang w:val="en-US" w:eastAsia="zh-CN"/>
                    </w:rPr>
                  </w:pPr>
                  <w:r>
                    <w:rPr>
                      <w:rFonts w:hint="eastAsia"/>
                      <w:color w:val="auto"/>
                      <w:sz w:val="18"/>
                      <w:szCs w:val="18"/>
                      <w:lang w:val="en-US" w:eastAsia="zh-CN"/>
                    </w:rPr>
                    <w:t> 回收拆解企业拆解报废机动车应当符合国家标准《报废机动车回收拆解企业技术规范》（GB22128）相关要求，并建立生产经营全覆盖的电子监控系统，录像保存至少1年。</w:t>
                  </w:r>
                </w:p>
              </w:tc>
              <w:tc>
                <w:tcPr>
                  <w:tcW w:w="5090" w:type="dxa"/>
                  <w:noWrap w:val="0"/>
                  <w:vAlign w:val="center"/>
                </w:tcPr>
                <w:p>
                  <w:pPr>
                    <w:autoSpaceDE w:val="0"/>
                    <w:autoSpaceDN w:val="0"/>
                    <w:rPr>
                      <w:rFonts w:hint="eastAsia"/>
                      <w:color w:val="auto"/>
                      <w:kern w:val="0"/>
                      <w:sz w:val="18"/>
                      <w:szCs w:val="18"/>
                    </w:rPr>
                  </w:pPr>
                  <w:r>
                    <w:rPr>
                      <w:rFonts w:hint="eastAsia"/>
                      <w:color w:val="auto"/>
                      <w:kern w:val="0"/>
                      <w:sz w:val="18"/>
                      <w:szCs w:val="18"/>
                    </w:rPr>
                    <w:t>根据前章</w:t>
                  </w:r>
                  <w:r>
                    <w:rPr>
                      <w:color w:val="auto"/>
                      <w:kern w:val="0"/>
                      <w:sz w:val="18"/>
                      <w:szCs w:val="18"/>
                    </w:rPr>
                    <w:t>《报废汽车回收拆解企业技术规范》（GB22128-2019）相符性分析</w:t>
                  </w:r>
                  <w:r>
                    <w:rPr>
                      <w:rFonts w:hint="eastAsia"/>
                      <w:color w:val="auto"/>
                      <w:kern w:val="0"/>
                      <w:sz w:val="18"/>
                      <w:szCs w:val="18"/>
                    </w:rPr>
                    <w:t>可知，项目建设符合</w:t>
                  </w:r>
                  <w:r>
                    <w:rPr>
                      <w:color w:val="auto"/>
                      <w:kern w:val="0"/>
                      <w:sz w:val="18"/>
                      <w:szCs w:val="18"/>
                    </w:rPr>
                    <w:t>《报废汽车回收拆解企业技术规范》（GB22128-2019）</w:t>
                  </w:r>
                  <w:r>
                    <w:rPr>
                      <w:rFonts w:hint="eastAsia"/>
                      <w:color w:val="auto"/>
                      <w:kern w:val="0"/>
                      <w:sz w:val="18"/>
                      <w:szCs w:val="18"/>
                    </w:rPr>
                    <w:t>中的相关要求。</w:t>
                  </w:r>
                </w:p>
              </w:tc>
              <w:tc>
                <w:tcPr>
                  <w:tcW w:w="805"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pStyle w:val="7"/>
                    <w:snapToGrid/>
                    <w:spacing w:before="0" w:after="0"/>
                    <w:ind w:right="0"/>
                    <w:rPr>
                      <w:rFonts w:hint="eastAsia"/>
                      <w:color w:val="auto"/>
                      <w:sz w:val="18"/>
                      <w:szCs w:val="18"/>
                      <w:lang w:val="en-US" w:eastAsia="zh-CN"/>
                    </w:rPr>
                  </w:pPr>
                  <w:r>
                    <w:rPr>
                      <w:rFonts w:hint="eastAsia"/>
                      <w:color w:val="auto"/>
                      <w:sz w:val="18"/>
                      <w:szCs w:val="18"/>
                      <w:lang w:val="en-US" w:eastAsia="zh-CN"/>
                    </w:rPr>
                    <w:t>回收拆解企业应当遵守环境保护法律、法规和强制性标准，建立固体废物管理台账，如实记录报废机动车拆解产物的种类、数量、流向、贮存、利用和处置等信息，并通过“全国固体废物管理信息系统”进行填报；制定危险废物管理计划，按照国家有关规定贮存、运输、转移和利用处置危险废物。</w:t>
                  </w:r>
                </w:p>
              </w:tc>
              <w:tc>
                <w:tcPr>
                  <w:tcW w:w="5090" w:type="dxa"/>
                  <w:noWrap w:val="0"/>
                  <w:vAlign w:val="center"/>
                </w:tcPr>
                <w:p>
                  <w:pPr>
                    <w:autoSpaceDE w:val="0"/>
                    <w:autoSpaceDN w:val="0"/>
                    <w:rPr>
                      <w:rFonts w:hint="eastAsia"/>
                      <w:color w:val="auto"/>
                      <w:kern w:val="0"/>
                      <w:sz w:val="18"/>
                      <w:szCs w:val="18"/>
                    </w:rPr>
                  </w:pPr>
                  <w:r>
                    <w:rPr>
                      <w:rFonts w:hint="eastAsia"/>
                      <w:color w:val="auto"/>
                      <w:kern w:val="0"/>
                      <w:sz w:val="18"/>
                      <w:szCs w:val="18"/>
                    </w:rPr>
                    <w:t>项目生产过程中拆解</w:t>
                  </w:r>
                  <w:r>
                    <w:rPr>
                      <w:rFonts w:hint="eastAsia"/>
                      <w:color w:val="auto"/>
                      <w:kern w:val="0"/>
                      <w:sz w:val="18"/>
                      <w:szCs w:val="18"/>
                      <w:lang w:eastAsia="zh-CN"/>
                    </w:rPr>
                    <w:t>的</w:t>
                  </w:r>
                  <w:r>
                    <w:rPr>
                      <w:rFonts w:hint="eastAsia"/>
                      <w:color w:val="auto"/>
                      <w:kern w:val="0"/>
                      <w:sz w:val="18"/>
                      <w:szCs w:val="18"/>
                    </w:rPr>
                    <w:t>危险废物分类储存在危废库内，定期交资质单位处理，落实污染防治措施后，不会造成环境污染。</w:t>
                  </w:r>
                </w:p>
                <w:p>
                  <w:pPr>
                    <w:autoSpaceDE w:val="0"/>
                    <w:autoSpaceDN w:val="0"/>
                    <w:rPr>
                      <w:rFonts w:hint="eastAsia"/>
                      <w:color w:val="auto"/>
                      <w:kern w:val="0"/>
                      <w:sz w:val="18"/>
                      <w:szCs w:val="18"/>
                    </w:rPr>
                  </w:pPr>
                  <w:r>
                    <w:rPr>
                      <w:rFonts w:hint="eastAsia"/>
                      <w:color w:val="auto"/>
                      <w:kern w:val="0"/>
                      <w:sz w:val="18"/>
                      <w:szCs w:val="18"/>
                    </w:rPr>
                    <w:t>待项目建成后，公司将建立固体废物管理台账，如实记录报废机动车拆解产物的种类、数量、流向、贮存、利用和处置等信息，并通过“全国固体废物管理信息系统”进行填报；制定危险废物管理计划，按照国家有关规定贮存、运输、转移和利用处置危险废物。</w:t>
                  </w:r>
                </w:p>
              </w:tc>
              <w:tc>
                <w:tcPr>
                  <w:tcW w:w="805" w:type="dxa"/>
                  <w:noWrap w:val="0"/>
                  <w:vAlign w:val="center"/>
                </w:tcPr>
                <w:p>
                  <w:pPr>
                    <w:autoSpaceDE w:val="0"/>
                    <w:autoSpaceDN w:val="0"/>
                    <w:rPr>
                      <w:color w:val="auto"/>
                      <w:kern w:val="0"/>
                      <w:sz w:val="18"/>
                      <w:szCs w:val="18"/>
                    </w:rPr>
                  </w:pPr>
                  <w:r>
                    <w:rPr>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77" w:type="dxa"/>
                  <w:gridSpan w:val="3"/>
                  <w:noWrap w:val="0"/>
                  <w:vAlign w:val="center"/>
                </w:tcPr>
                <w:p>
                  <w:pPr>
                    <w:pStyle w:val="7"/>
                    <w:snapToGrid/>
                    <w:spacing w:before="0" w:after="0"/>
                    <w:ind w:right="0"/>
                    <w:jc w:val="center"/>
                    <w:rPr>
                      <w:color w:val="auto"/>
                      <w:sz w:val="18"/>
                      <w:szCs w:val="18"/>
                      <w:lang w:val="en-US" w:eastAsia="zh-CN"/>
                    </w:rPr>
                  </w:pPr>
                  <w:r>
                    <w:rPr>
                      <w:rFonts w:hint="eastAsia"/>
                      <w:b/>
                      <w:bCs/>
                      <w:color w:val="auto"/>
                      <w:sz w:val="18"/>
                      <w:szCs w:val="18"/>
                      <w:lang w:val="en-US" w:eastAsia="zh-CN"/>
                    </w:rPr>
                    <w:t>回收利用行为规范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pStyle w:val="7"/>
                    <w:snapToGrid/>
                    <w:spacing w:before="0" w:after="0"/>
                    <w:ind w:right="0"/>
                    <w:rPr>
                      <w:rFonts w:hint="eastAsia"/>
                      <w:color w:val="auto"/>
                      <w:sz w:val="18"/>
                      <w:szCs w:val="18"/>
                      <w:lang w:val="en-US" w:eastAsia="zh-CN"/>
                    </w:rPr>
                  </w:pPr>
                  <w:r>
                    <w:rPr>
                      <w:rFonts w:hint="eastAsia"/>
                      <w:color w:val="auto"/>
                      <w:sz w:val="18"/>
                      <w:szCs w:val="18"/>
                      <w:lang w:val="en-US" w:eastAsia="zh-CN"/>
                    </w:rPr>
                    <w:t>回收拆解企业应当建立报废机动车零部件销售台账，如实记录报废机动车“五大总成”数量、型号、流向等信息，并录入“全国汽车流通信息管理应用服务”系统。</w:t>
                  </w:r>
                </w:p>
                <w:p>
                  <w:pPr>
                    <w:pStyle w:val="7"/>
                    <w:snapToGrid/>
                    <w:spacing w:before="0" w:after="0"/>
                    <w:ind w:right="0"/>
                    <w:rPr>
                      <w:rFonts w:hint="eastAsia"/>
                      <w:color w:val="auto"/>
                      <w:sz w:val="18"/>
                      <w:szCs w:val="18"/>
                      <w:lang w:val="en-US" w:eastAsia="zh-CN"/>
                    </w:rPr>
                  </w:pPr>
                  <w:r>
                    <w:rPr>
                      <w:rFonts w:hint="eastAsia"/>
                      <w:color w:val="auto"/>
                      <w:sz w:val="18"/>
                      <w:szCs w:val="18"/>
                      <w:lang w:val="en-US" w:eastAsia="zh-CN"/>
                    </w:rPr>
                    <w:t>回收拆解企业应当对出售用于再制造的报废机动车“五大总成”按照商务部制定的标识规则编码，其中车架应当录入原车辆识别代号信息。</w:t>
                  </w:r>
                </w:p>
              </w:tc>
              <w:tc>
                <w:tcPr>
                  <w:tcW w:w="5090" w:type="dxa"/>
                  <w:noWrap w:val="0"/>
                  <w:vAlign w:val="center"/>
                </w:tcPr>
                <w:p>
                  <w:pPr>
                    <w:pStyle w:val="7"/>
                    <w:snapToGrid/>
                    <w:spacing w:before="0" w:after="0"/>
                    <w:ind w:right="0"/>
                    <w:rPr>
                      <w:rFonts w:hint="eastAsia"/>
                      <w:color w:val="auto"/>
                      <w:sz w:val="18"/>
                      <w:szCs w:val="18"/>
                      <w:lang w:val="en-US" w:eastAsia="zh-CN"/>
                    </w:rPr>
                  </w:pPr>
                  <w:r>
                    <w:rPr>
                      <w:rFonts w:hint="eastAsia"/>
                      <w:color w:val="auto"/>
                      <w:sz w:val="18"/>
                      <w:szCs w:val="18"/>
                      <w:lang w:val="en-US" w:eastAsia="zh-CN"/>
                    </w:rPr>
                    <w:t>公司将建立台账，记录报废机动车“五大总成”数量、型号、流向等信息，并录入“全国汽车流通信息管理应用服务”系统。</w:t>
                  </w:r>
                </w:p>
                <w:p>
                  <w:pPr>
                    <w:pStyle w:val="7"/>
                    <w:snapToGrid/>
                    <w:spacing w:before="0" w:after="0"/>
                    <w:ind w:right="0"/>
                    <w:rPr>
                      <w:rFonts w:hint="eastAsia"/>
                      <w:color w:val="auto"/>
                      <w:sz w:val="18"/>
                      <w:szCs w:val="18"/>
                      <w:lang w:val="en-US" w:eastAsia="zh-CN"/>
                    </w:rPr>
                  </w:pPr>
                  <w:r>
                    <w:rPr>
                      <w:rFonts w:hint="eastAsia"/>
                      <w:color w:val="auto"/>
                      <w:sz w:val="18"/>
                      <w:szCs w:val="18"/>
                      <w:lang w:val="en-US" w:eastAsia="zh-CN"/>
                    </w:rPr>
                    <w:t>对于可再利用的“五大总成”，按照商务部制定的标识规则编码，其中车架应当录入原车辆识别代号信息。</w:t>
                  </w:r>
                </w:p>
              </w:tc>
              <w:tc>
                <w:tcPr>
                  <w:tcW w:w="805" w:type="dxa"/>
                  <w:noWrap w:val="0"/>
                  <w:vAlign w:val="center"/>
                </w:tcPr>
                <w:p>
                  <w:pPr>
                    <w:pStyle w:val="7"/>
                    <w:snapToGrid/>
                    <w:spacing w:before="0" w:after="0"/>
                    <w:ind w:right="0"/>
                    <w:rPr>
                      <w:color w:val="auto"/>
                      <w:sz w:val="18"/>
                      <w:szCs w:val="18"/>
                      <w:lang w:val="en-US" w:eastAsia="zh-CN"/>
                    </w:rPr>
                  </w:pPr>
                  <w:r>
                    <w:rPr>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pStyle w:val="7"/>
                    <w:snapToGrid/>
                    <w:spacing w:before="0" w:after="0"/>
                    <w:ind w:right="0"/>
                    <w:rPr>
                      <w:rFonts w:hint="eastAsia"/>
                      <w:color w:val="auto"/>
                      <w:sz w:val="18"/>
                      <w:szCs w:val="18"/>
                      <w:lang w:val="en-US" w:eastAsia="zh-CN"/>
                    </w:rPr>
                  </w:pPr>
                  <w:r>
                    <w:rPr>
                      <w:rFonts w:hint="eastAsia"/>
                      <w:color w:val="auto"/>
                      <w:sz w:val="18"/>
                      <w:szCs w:val="18"/>
                      <w:lang w:val="en-US" w:eastAsia="zh-CN"/>
                    </w:rPr>
                    <w:t>回收拆解企业拆解的报废机动车“五大总成”具备再制造条件的，可以按照国家有关规定出售给具有再制造能力的企业经过再制造予以循环利用；不具备再制造条件的，应当作为废金属，交售给冶炼或者破碎企业。</w:t>
                  </w:r>
                </w:p>
              </w:tc>
              <w:tc>
                <w:tcPr>
                  <w:tcW w:w="5090" w:type="dxa"/>
                  <w:noWrap w:val="0"/>
                  <w:vAlign w:val="center"/>
                </w:tcPr>
                <w:p>
                  <w:pPr>
                    <w:autoSpaceDE w:val="0"/>
                    <w:autoSpaceDN w:val="0"/>
                    <w:rPr>
                      <w:rFonts w:hint="eastAsia"/>
                      <w:color w:val="auto"/>
                      <w:kern w:val="0"/>
                      <w:sz w:val="18"/>
                      <w:szCs w:val="18"/>
                    </w:rPr>
                  </w:pPr>
                  <w:r>
                    <w:rPr>
                      <w:rFonts w:hint="eastAsia"/>
                      <w:color w:val="auto"/>
                      <w:kern w:val="0"/>
                      <w:sz w:val="18"/>
                      <w:szCs w:val="18"/>
                    </w:rPr>
                    <w:t>项目拆解的</w:t>
                  </w:r>
                  <w:r>
                    <w:rPr>
                      <w:color w:val="auto"/>
                      <w:kern w:val="0"/>
                      <w:sz w:val="18"/>
                      <w:szCs w:val="18"/>
                    </w:rPr>
                    <w:t>“五大总成”具备再制造条件的</w:t>
                  </w:r>
                  <w:r>
                    <w:rPr>
                      <w:rFonts w:hint="eastAsia"/>
                      <w:color w:val="auto"/>
                      <w:kern w:val="0"/>
                      <w:sz w:val="18"/>
                      <w:szCs w:val="18"/>
                    </w:rPr>
                    <w:t>，</w:t>
                  </w:r>
                  <w:r>
                    <w:rPr>
                      <w:color w:val="auto"/>
                      <w:kern w:val="0"/>
                      <w:sz w:val="18"/>
                      <w:szCs w:val="18"/>
                    </w:rPr>
                    <w:t>按照国家有关规定出售给具有再制造能力的企业经过再制造予以循环利用</w:t>
                  </w:r>
                  <w:r>
                    <w:rPr>
                      <w:rFonts w:hint="eastAsia"/>
                      <w:color w:val="auto"/>
                      <w:kern w:val="0"/>
                      <w:sz w:val="18"/>
                      <w:szCs w:val="18"/>
                    </w:rPr>
                    <w:t>，</w:t>
                  </w:r>
                  <w:r>
                    <w:rPr>
                      <w:color w:val="auto"/>
                      <w:kern w:val="0"/>
                      <w:sz w:val="18"/>
                      <w:szCs w:val="18"/>
                    </w:rPr>
                    <w:t>不具备再制造条件的，作为废金属，交售给钢铁企业作为冶炼原料。</w:t>
                  </w:r>
                </w:p>
              </w:tc>
              <w:tc>
                <w:tcPr>
                  <w:tcW w:w="805" w:type="dxa"/>
                  <w:noWrap w:val="0"/>
                  <w:vAlign w:val="center"/>
                </w:tcPr>
                <w:p>
                  <w:pPr>
                    <w:pStyle w:val="7"/>
                    <w:snapToGrid/>
                    <w:spacing w:before="0" w:after="0"/>
                    <w:ind w:right="0"/>
                    <w:rPr>
                      <w:color w:val="auto"/>
                      <w:sz w:val="18"/>
                      <w:szCs w:val="18"/>
                      <w:lang w:val="en-US" w:eastAsia="zh-CN"/>
                    </w:rPr>
                  </w:pPr>
                  <w:r>
                    <w:rPr>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pStyle w:val="7"/>
                    <w:snapToGrid/>
                    <w:spacing w:before="0" w:after="0"/>
                    <w:ind w:right="0"/>
                    <w:rPr>
                      <w:rFonts w:hint="eastAsia"/>
                      <w:color w:val="auto"/>
                      <w:sz w:val="18"/>
                      <w:szCs w:val="18"/>
                      <w:lang w:val="en-US" w:eastAsia="zh-CN"/>
                    </w:rPr>
                  </w:pPr>
                  <w:r>
                    <w:rPr>
                      <w:rFonts w:hint="eastAsia"/>
                      <w:color w:val="auto"/>
                      <w:sz w:val="18"/>
                      <w:szCs w:val="18"/>
                      <w:lang w:val="en-US" w:eastAsia="zh-CN"/>
                    </w:rPr>
                    <w:t>回收拆解企业拆解的报废机动车“五大总成”以外的零部件符合保障人身和财产安全等强制性国家标准，能够继续使用的，可以出售，但应当标明“报废机动车回用件”。</w:t>
                  </w:r>
                </w:p>
                <w:p>
                  <w:pPr>
                    <w:pStyle w:val="7"/>
                    <w:snapToGrid/>
                    <w:spacing w:before="0" w:after="0"/>
                    <w:ind w:right="0"/>
                    <w:rPr>
                      <w:rFonts w:hint="eastAsia"/>
                      <w:color w:val="auto"/>
                      <w:sz w:val="18"/>
                      <w:szCs w:val="18"/>
                      <w:lang w:val="en-US" w:eastAsia="zh-CN"/>
                    </w:rPr>
                  </w:pPr>
                  <w:r>
                    <w:rPr>
                      <w:rFonts w:hint="eastAsia"/>
                      <w:color w:val="auto"/>
                      <w:sz w:val="18"/>
                      <w:szCs w:val="18"/>
                      <w:lang w:val="en-US" w:eastAsia="zh-CN"/>
                    </w:rPr>
                    <w:t>回收拆解企业拆解的尾气后处理装置、危险废物应当如实记录，并交由有处理资质的企业进行拆解处置，不得向其他企业出售和转卖。</w:t>
                  </w:r>
                </w:p>
                <w:p>
                  <w:pPr>
                    <w:pStyle w:val="7"/>
                    <w:snapToGrid/>
                    <w:spacing w:before="0" w:after="0"/>
                    <w:ind w:right="0"/>
                    <w:rPr>
                      <w:rFonts w:hint="eastAsia"/>
                      <w:color w:val="auto"/>
                      <w:sz w:val="18"/>
                      <w:szCs w:val="18"/>
                      <w:lang w:val="en-US" w:eastAsia="zh-CN"/>
                    </w:rPr>
                  </w:pPr>
                  <w:r>
                    <w:rPr>
                      <w:rFonts w:hint="eastAsia"/>
                      <w:color w:val="auto"/>
                      <w:sz w:val="18"/>
                      <w:szCs w:val="18"/>
                      <w:lang w:val="en-US" w:eastAsia="zh-CN"/>
                    </w:rPr>
                    <w:t>回收拆解企业拆卸的动力蓄电池应当交售给新能源汽车生产企业建立的动力蓄电池回收服务网点，或者符合国家对动力蓄电池梯次利用管理有关要求的梯次利用企业，或者从事废旧动力蓄电池综合利用的企业。</w:t>
                  </w:r>
                </w:p>
              </w:tc>
              <w:tc>
                <w:tcPr>
                  <w:tcW w:w="5090" w:type="dxa"/>
                  <w:noWrap w:val="0"/>
                  <w:vAlign w:val="center"/>
                </w:tcPr>
                <w:p>
                  <w:pPr>
                    <w:autoSpaceDE w:val="0"/>
                    <w:autoSpaceDN w:val="0"/>
                    <w:rPr>
                      <w:rFonts w:hint="eastAsia"/>
                      <w:color w:val="auto"/>
                      <w:sz w:val="18"/>
                      <w:szCs w:val="18"/>
                    </w:rPr>
                  </w:pPr>
                  <w:r>
                    <w:rPr>
                      <w:rFonts w:hint="eastAsia"/>
                      <w:color w:val="auto"/>
                      <w:kern w:val="0"/>
                      <w:sz w:val="18"/>
                      <w:szCs w:val="18"/>
                      <w:lang w:eastAsia="zh-CN"/>
                    </w:rPr>
                    <w:t>项目拆解</w:t>
                  </w:r>
                  <w:r>
                    <w:rPr>
                      <w:rFonts w:hint="eastAsia"/>
                      <w:color w:val="auto"/>
                      <w:kern w:val="0"/>
                      <w:sz w:val="18"/>
                      <w:szCs w:val="18"/>
                    </w:rPr>
                    <w:t>“</w:t>
                  </w:r>
                  <w:r>
                    <w:rPr>
                      <w:color w:val="auto"/>
                      <w:kern w:val="0"/>
                      <w:sz w:val="18"/>
                      <w:szCs w:val="18"/>
                    </w:rPr>
                    <w:t>五大总成</w:t>
                  </w:r>
                  <w:r>
                    <w:rPr>
                      <w:rFonts w:hint="eastAsia"/>
                      <w:color w:val="auto"/>
                      <w:kern w:val="0"/>
                      <w:sz w:val="18"/>
                      <w:szCs w:val="18"/>
                    </w:rPr>
                    <w:t>”</w:t>
                  </w:r>
                  <w:r>
                    <w:rPr>
                      <w:color w:val="auto"/>
                      <w:kern w:val="0"/>
                      <w:sz w:val="18"/>
                      <w:szCs w:val="18"/>
                    </w:rPr>
                    <w:t>以外能够继续使用的零部件</w:t>
                  </w:r>
                  <w:r>
                    <w:rPr>
                      <w:rFonts w:hint="eastAsia"/>
                      <w:color w:val="auto"/>
                      <w:kern w:val="0"/>
                      <w:sz w:val="18"/>
                      <w:szCs w:val="18"/>
                    </w:rPr>
                    <w:t>，标明“</w:t>
                  </w:r>
                  <w:r>
                    <w:rPr>
                      <w:color w:val="auto"/>
                      <w:kern w:val="0"/>
                      <w:sz w:val="18"/>
                      <w:szCs w:val="18"/>
                    </w:rPr>
                    <w:t>报废机动车回用件</w:t>
                  </w:r>
                  <w:r>
                    <w:rPr>
                      <w:rFonts w:hint="eastAsia"/>
                      <w:color w:val="auto"/>
                      <w:kern w:val="0"/>
                      <w:sz w:val="18"/>
                      <w:szCs w:val="18"/>
                    </w:rPr>
                    <w:t>”后出售。同时，公司将建立台账，如实记录拆解的尾气后处理装置、危险废物流向、贮存、利用和处置等信息，并通过“全国固体废物管理信息系统”进行填报；制定危险废物管理计划，按照国家有关规定贮存、运输、转移和利用处置危险废物。</w:t>
                  </w:r>
                </w:p>
              </w:tc>
              <w:tc>
                <w:tcPr>
                  <w:tcW w:w="805" w:type="dxa"/>
                  <w:noWrap w:val="0"/>
                  <w:vAlign w:val="center"/>
                </w:tcPr>
                <w:p>
                  <w:pPr>
                    <w:pStyle w:val="7"/>
                    <w:snapToGrid/>
                    <w:spacing w:before="0" w:after="0"/>
                    <w:ind w:right="0"/>
                    <w:rPr>
                      <w:color w:val="auto"/>
                      <w:sz w:val="18"/>
                      <w:szCs w:val="18"/>
                      <w:lang w:val="en-US" w:eastAsia="zh-CN"/>
                    </w:rPr>
                  </w:pPr>
                  <w:r>
                    <w:rPr>
                      <w:color w:val="auto"/>
                      <w:sz w:val="18"/>
                      <w:szCs w:val="18"/>
                      <w:lang w:val="en-US" w:eastAsia="zh-CN"/>
                    </w:rPr>
                    <w:t>符合</w:t>
                  </w:r>
                </w:p>
              </w:tc>
            </w:tr>
          </w:tbl>
          <w:p>
            <w:pPr>
              <w:autoSpaceDE w:val="0"/>
              <w:autoSpaceDN w:val="0"/>
              <w:spacing w:line="360" w:lineRule="auto"/>
              <w:ind w:firstLine="420" w:firstLineChars="200"/>
              <w:rPr>
                <w:color w:val="auto"/>
                <w:szCs w:val="21"/>
              </w:rPr>
            </w:pPr>
            <w:r>
              <w:rPr>
                <w:bCs/>
                <w:color w:val="auto"/>
                <w:szCs w:val="21"/>
              </w:rPr>
              <w:t>由表1-</w:t>
            </w:r>
            <w:r>
              <w:rPr>
                <w:rFonts w:hint="eastAsia"/>
                <w:bCs/>
                <w:color w:val="auto"/>
                <w:szCs w:val="21"/>
              </w:rPr>
              <w:t>4</w:t>
            </w:r>
            <w:r>
              <w:rPr>
                <w:bCs/>
                <w:color w:val="auto"/>
                <w:szCs w:val="21"/>
              </w:rPr>
              <w:t>可以看出，本项且的建设符合《</w:t>
            </w:r>
            <w:r>
              <w:rPr>
                <w:rFonts w:hint="eastAsia"/>
                <w:bCs/>
                <w:color w:val="auto"/>
                <w:szCs w:val="21"/>
              </w:rPr>
              <w:t>报废机动车回收管理办法实施细则（商务部令2020年第2号）</w:t>
            </w:r>
            <w:r>
              <w:rPr>
                <w:bCs/>
                <w:color w:val="auto"/>
                <w:szCs w:val="21"/>
              </w:rPr>
              <w:t>》的要求。</w:t>
            </w:r>
          </w:p>
          <w:p>
            <w:pPr>
              <w:pStyle w:val="60"/>
              <w:spacing w:after="0"/>
              <w:ind w:firstLine="422"/>
              <w:rPr>
                <w:b/>
                <w:bCs w:val="0"/>
                <w:color w:val="auto"/>
                <w:sz w:val="21"/>
                <w:szCs w:val="21"/>
              </w:rPr>
            </w:pPr>
            <w:r>
              <w:rPr>
                <w:b/>
                <w:bCs w:val="0"/>
                <w:color w:val="auto"/>
                <w:sz w:val="21"/>
                <w:szCs w:val="21"/>
              </w:rPr>
              <w:t>综上，本项目的建设与地方及行业环保管理的要求是相符的，项目的建设是可行的。</w:t>
            </w:r>
          </w:p>
          <w:p>
            <w:pPr>
              <w:autoSpaceDE w:val="0"/>
              <w:autoSpaceDN w:val="0"/>
              <w:spacing w:line="360" w:lineRule="auto"/>
              <w:ind w:firstLine="420" w:firstLineChars="200"/>
              <w:rPr>
                <w:bCs/>
                <w:color w:val="auto"/>
                <w:szCs w:val="21"/>
              </w:rPr>
            </w:pPr>
          </w:p>
          <w:p>
            <w:pPr>
              <w:pStyle w:val="7"/>
              <w:rPr>
                <w:bCs/>
                <w:color w:val="auto"/>
                <w:sz w:val="21"/>
                <w:szCs w:val="21"/>
                <w:lang w:val="en-US" w:eastAsia="zh-CN"/>
              </w:rPr>
            </w:pPr>
          </w:p>
          <w:p>
            <w:pPr>
              <w:rPr>
                <w:bCs/>
                <w:color w:val="auto"/>
                <w:szCs w:val="21"/>
              </w:rPr>
            </w:pPr>
          </w:p>
          <w:p>
            <w:pPr>
              <w:pStyle w:val="7"/>
              <w:rPr>
                <w:color w:val="auto"/>
                <w:sz w:val="21"/>
                <w:szCs w:val="21"/>
                <w:lang w:val="en-US" w:eastAsia="zh-CN"/>
              </w:rPr>
            </w:pPr>
          </w:p>
        </w:tc>
      </w:tr>
    </w:tbl>
    <w:p>
      <w:pPr>
        <w:pStyle w:val="27"/>
        <w:rPr>
          <w:color w:val="auto"/>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p>
      <w:pPr>
        <w:pStyle w:val="19"/>
        <w:jc w:val="center"/>
        <w:outlineLvl w:val="0"/>
        <w:rPr>
          <w:rFonts w:ascii="Times New Roman" w:hAnsi="Times New Roman" w:eastAsia="黑体"/>
          <w:snapToGrid w:val="0"/>
          <w:color w:val="auto"/>
          <w:sz w:val="30"/>
          <w:szCs w:val="30"/>
        </w:rPr>
      </w:pPr>
      <w:bookmarkStart w:id="4" w:name="_Toc71360644"/>
      <w:r>
        <w:rPr>
          <w:rFonts w:ascii="Times New Roman" w:hAnsi="Times New Roman" w:eastAsia="黑体"/>
          <w:snapToGrid w:val="0"/>
          <w:color w:val="auto"/>
          <w:sz w:val="30"/>
          <w:szCs w:val="30"/>
        </w:rPr>
        <w:t>二、建设项目工程分析</w:t>
      </w:r>
      <w:bookmarkEnd w:id="4"/>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3" w:type="dxa"/>
            <w:vAlign w:val="center"/>
          </w:tcPr>
          <w:p>
            <w:pPr>
              <w:pStyle w:val="19"/>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建设内容</w:t>
            </w:r>
          </w:p>
        </w:tc>
        <w:tc>
          <w:tcPr>
            <w:tcW w:w="8161" w:type="dxa"/>
          </w:tcPr>
          <w:p>
            <w:pPr>
              <w:adjustRightInd w:val="0"/>
              <w:snapToGrid w:val="0"/>
              <w:spacing w:line="360" w:lineRule="auto"/>
              <w:rPr>
                <w:b/>
                <w:color w:val="auto"/>
                <w:szCs w:val="21"/>
              </w:rPr>
            </w:pPr>
            <w:r>
              <w:rPr>
                <w:b/>
                <w:color w:val="auto"/>
                <w:szCs w:val="21"/>
              </w:rPr>
              <w:t>1、项目由来</w:t>
            </w:r>
          </w:p>
          <w:p>
            <w:pPr>
              <w:pStyle w:val="6"/>
              <w:spacing w:after="0" w:line="360" w:lineRule="auto"/>
              <w:ind w:firstLineChars="200"/>
              <w:rPr>
                <w:rFonts w:hint="eastAsia"/>
                <w:color w:val="auto"/>
                <w:u w:val="none"/>
                <w:lang w:eastAsia="zh-CN"/>
              </w:rPr>
            </w:pPr>
            <w:r>
              <w:rPr>
                <w:rFonts w:hint="eastAsia"/>
                <w:color w:val="auto"/>
                <w:u w:val="none"/>
                <w:lang w:eastAsia="zh-CN"/>
              </w:rPr>
              <w:t>自新世纪以来，汽车产业作为我国的主导产业得到快速发展，目前我国已经成为世界最大的汽车生产国和销售市场。而在新车大量涌入市场的同时，汽车报废数量也在不断增加。报废汽车作为交通工具功能的丧失并不意味着其价值的消失。汽车产业是典型的资源密集型产业，汽车生产要耗用大量的钢铁、有色金属、塑料、橡胶、玻璃和纺织品等资源。实践证明，汽车的组成部分，包括五大总成、 玻璃、橡胶、电子产品等均可以通过回收进行再加工利用。废旧汽车上的钢铁、有色金属零部件 90%以上是可回收利用的，玻璃、塑料等的回收利用率也可达 50%以上。与制造新品相比，成本节约了 50%、节能 60%、节材 70%。可见，充分利用废旧汽车资源可有效地节能降耗，产生可观的经济效益。在充分利用废旧汽车资源的同时，报废汽车处理不当引发的环境问题日益凸显，给我国汽车报废行业敲响了又一警钟。报废汽车得不到妥善处置，其自身的金属材料逐步腐蚀，造成极大的资源浪费；特别是报废汽车中一些不易处理的塑料等非金属材料，废油液、蓄电池等危险废物，既造成环境污染，又损害人体健康。</w:t>
            </w:r>
          </w:p>
          <w:p>
            <w:pPr>
              <w:pStyle w:val="6"/>
              <w:spacing w:after="0" w:line="360" w:lineRule="auto"/>
              <w:ind w:firstLineChars="200"/>
              <w:rPr>
                <w:rFonts w:hint="eastAsia"/>
                <w:color w:val="auto"/>
                <w:u w:val="none"/>
                <w:lang w:val="en-US" w:eastAsia="zh-CN"/>
              </w:rPr>
            </w:pPr>
            <w:r>
              <w:rPr>
                <w:rFonts w:hint="eastAsia"/>
                <w:color w:val="auto"/>
                <w:u w:val="none"/>
                <w:lang w:eastAsia="zh-CN"/>
              </w:rPr>
              <w:t>衡阳地区机动车保有量目前已经超过</w:t>
            </w:r>
            <w:r>
              <w:rPr>
                <w:rFonts w:hint="eastAsia"/>
                <w:color w:val="auto"/>
                <w:u w:val="none"/>
                <w:lang w:val="en-US" w:eastAsia="zh-CN"/>
              </w:rPr>
              <w:t>100万辆，衡阳县机动车机动车保有量达到12万辆，根据目前衡阳地区的汽车回收拆解产能情况结合衡阳县范围内拆解产能情况，</w:t>
            </w:r>
            <w:r>
              <w:rPr>
                <w:rFonts w:hint="eastAsia"/>
                <w:color w:val="auto"/>
                <w:u w:val="none"/>
                <w:lang w:eastAsia="zh-CN"/>
              </w:rPr>
              <w:t>衡阳众鑫再生报废汽车回收拆解有限责任公司拟投资</w:t>
            </w:r>
            <w:r>
              <w:rPr>
                <w:rFonts w:hint="eastAsia"/>
                <w:color w:val="auto"/>
                <w:u w:val="none"/>
                <w:lang w:val="en-US" w:eastAsia="zh-CN"/>
              </w:rPr>
              <w:t>2000万，</w:t>
            </w:r>
            <w:r>
              <w:rPr>
                <w:rFonts w:hint="eastAsia"/>
                <w:color w:val="auto"/>
                <w:lang w:eastAsia="zh-CN"/>
              </w:rPr>
              <w:t>租赁</w:t>
            </w:r>
            <w:r>
              <w:rPr>
                <w:color w:val="auto"/>
                <w:u w:val="none"/>
              </w:rPr>
              <w:t>湖南省衡阳市衡阳县</w:t>
            </w:r>
            <w:r>
              <w:rPr>
                <w:rFonts w:hint="eastAsia"/>
                <w:color w:val="auto"/>
                <w:u w:val="none"/>
                <w:lang w:eastAsia="zh-CN"/>
              </w:rPr>
              <w:t>西渡</w:t>
            </w:r>
            <w:r>
              <w:rPr>
                <w:color w:val="auto"/>
                <w:u w:val="none"/>
              </w:rPr>
              <w:t>镇</w:t>
            </w:r>
            <w:r>
              <w:rPr>
                <w:rFonts w:hint="eastAsia"/>
                <w:color w:val="auto"/>
                <w:u w:val="none"/>
                <w:lang w:eastAsia="zh-CN"/>
              </w:rPr>
              <w:t>咸中亭村佳培组工业用地</w:t>
            </w:r>
            <w:r>
              <w:rPr>
                <w:rFonts w:hint="eastAsia"/>
                <w:color w:val="auto"/>
                <w:u w:val="none"/>
                <w:lang w:val="en-US" w:eastAsia="zh-CN"/>
              </w:rPr>
              <w:t>25亩，建设汽车拆解车间、报废汽车贮存区、成品仓库及其他配套设施等。报废汽车主要来源为衡阳县及衡阳县周边城镇。</w:t>
            </w:r>
          </w:p>
          <w:p>
            <w:pPr>
              <w:pStyle w:val="6"/>
              <w:spacing w:after="0" w:line="360" w:lineRule="auto"/>
              <w:ind w:firstLineChars="200"/>
              <w:rPr>
                <w:color w:val="auto"/>
                <w:u w:val="none"/>
              </w:rPr>
            </w:pPr>
            <w:r>
              <w:rPr>
                <w:rFonts w:hint="eastAsia"/>
                <w:color w:val="auto"/>
                <w:u w:val="none"/>
              </w:rPr>
              <w:t>根据《中华人民共和国环境影响评价法》（主席令 第 48 号）、《建设项目环境保建护管理条例》（国务院令 第 682 号）等相关法律法规文件的要求，该项目需要进行环境设影响评价。对照《建设项目环境影响评价分类管理名录 2021 年版》（中华人民共和国生态环境部部令第 16 号），本项目属于三十九、废弃资源利用业 421 金属废料和碎屑加工利用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本项目属于废机动车拆解），应编制环境影响报告表</w:t>
            </w:r>
            <w:r>
              <w:rPr>
                <w:color w:val="auto"/>
                <w:u w:val="none"/>
              </w:rPr>
              <w:t>，</w:t>
            </w:r>
            <w:r>
              <w:rPr>
                <w:rFonts w:hint="eastAsia"/>
                <w:color w:val="auto"/>
                <w:u w:val="none"/>
              </w:rPr>
              <w:t>我单位接受委托后，认真研究了该项目的有关资料，在踏勘现场的社会、自然环境状况，调查、收集建设项目资料和项目实际运营及产排污情况的基础上，根据项目所在区域的环境特征、结合工程实际污染特性等因素，以及项目现有的环保治理设施和管理制度编制了</w:t>
            </w:r>
            <w:r>
              <w:rPr>
                <w:color w:val="auto"/>
                <w:u w:val="none"/>
              </w:rPr>
              <w:t>《</w:t>
            </w:r>
            <w:r>
              <w:rPr>
                <w:rFonts w:hint="eastAsia"/>
                <w:color w:val="auto"/>
                <w:u w:val="none"/>
                <w:lang w:eastAsia="zh-CN"/>
              </w:rPr>
              <w:t>衡阳众鑫再生报废汽车回收拆解有限责任公司废旧收集和综合利用建设</w:t>
            </w:r>
            <w:r>
              <w:rPr>
                <w:color w:val="auto"/>
                <w:u w:val="none"/>
              </w:rPr>
              <w:t>项目环境影响评价报告表》。</w:t>
            </w:r>
          </w:p>
          <w:p>
            <w:pPr>
              <w:adjustRightInd w:val="0"/>
              <w:snapToGrid w:val="0"/>
              <w:spacing w:line="360" w:lineRule="auto"/>
              <w:rPr>
                <w:b/>
                <w:bCs/>
                <w:color w:val="auto"/>
                <w:szCs w:val="21"/>
              </w:rPr>
            </w:pPr>
            <w:r>
              <w:rPr>
                <w:b/>
                <w:color w:val="auto"/>
                <w:szCs w:val="21"/>
              </w:rPr>
              <w:t>2、项目组成</w:t>
            </w:r>
          </w:p>
          <w:p>
            <w:pPr>
              <w:pStyle w:val="6"/>
              <w:widowControl/>
              <w:adjustRightInd w:val="0"/>
              <w:snapToGrid w:val="0"/>
              <w:spacing w:before="0" w:after="0" w:line="360" w:lineRule="auto"/>
              <w:ind w:right="0" w:firstLine="420" w:firstLineChars="200"/>
              <w:rPr>
                <w:rFonts w:hint="eastAsia"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项目选址于</w:t>
            </w:r>
            <w:r>
              <w:rPr>
                <w:color w:val="auto"/>
                <w:u w:val="none"/>
              </w:rPr>
              <w:t>衡阳县</w:t>
            </w:r>
            <w:r>
              <w:rPr>
                <w:rFonts w:hint="eastAsia"/>
                <w:color w:val="auto"/>
                <w:u w:val="none"/>
                <w:lang w:eastAsia="zh-CN"/>
              </w:rPr>
              <w:t>西渡</w:t>
            </w:r>
            <w:r>
              <w:rPr>
                <w:color w:val="auto"/>
                <w:u w:val="none"/>
              </w:rPr>
              <w:t>镇</w:t>
            </w:r>
            <w:r>
              <w:rPr>
                <w:rFonts w:hint="eastAsia"/>
                <w:color w:val="auto"/>
                <w:u w:val="none"/>
                <w:lang w:eastAsia="zh-CN"/>
              </w:rPr>
              <w:t>咸中亭村佳培小组</w:t>
            </w:r>
            <w:r>
              <w:rPr>
                <w:rFonts w:hint="eastAsia" w:ascii="Times New Roman" w:hAnsi="Times New Roman" w:cs="Times New Roman"/>
                <w:color w:val="auto"/>
                <w:kern w:val="2"/>
                <w:sz w:val="21"/>
                <w:szCs w:val="21"/>
                <w:lang w:val="en-US" w:eastAsia="zh-CN"/>
              </w:rPr>
              <w:t>，项目总占地面积</w:t>
            </w:r>
            <w:r>
              <w:rPr>
                <w:rFonts w:hint="eastAsia" w:cs="Times New Roman"/>
                <w:color w:val="auto"/>
                <w:kern w:val="2"/>
                <w:sz w:val="21"/>
                <w:szCs w:val="21"/>
                <w:lang w:val="en-US" w:eastAsia="zh-CN"/>
              </w:rPr>
              <w:t>25亩，</w:t>
            </w:r>
            <w:r>
              <w:rPr>
                <w:rFonts w:hint="eastAsia" w:ascii="Times New Roman" w:hAnsi="Times New Roman" w:cs="Times New Roman"/>
                <w:color w:val="auto"/>
                <w:kern w:val="2"/>
                <w:sz w:val="21"/>
                <w:szCs w:val="21"/>
                <w:lang w:val="en-US" w:eastAsia="zh-CN"/>
              </w:rPr>
              <w:t>约</w:t>
            </w:r>
            <w:r>
              <w:rPr>
                <w:rFonts w:hint="eastAsia"/>
                <w:color w:val="auto"/>
                <w:szCs w:val="21"/>
                <w:lang w:val="en-US" w:eastAsia="zh-CN"/>
              </w:rPr>
              <w:t>16650</w:t>
            </w:r>
            <w:r>
              <w:rPr>
                <w:color w:val="auto"/>
                <w:lang w:eastAsia="zh-CN"/>
              </w:rPr>
              <w:t>m</w:t>
            </w:r>
            <w:r>
              <w:rPr>
                <w:color w:val="auto"/>
                <w:vertAlign w:val="superscript"/>
                <w:lang w:eastAsia="zh-CN"/>
              </w:rPr>
              <w:t>2</w:t>
            </w:r>
            <w:r>
              <w:rPr>
                <w:color w:val="auto"/>
                <w:lang w:eastAsia="zh-CN"/>
              </w:rPr>
              <w:t>，</w:t>
            </w:r>
            <w:r>
              <w:rPr>
                <w:rFonts w:hint="eastAsia" w:ascii="Times New Roman" w:hAnsi="Times New Roman" w:cs="Times New Roman"/>
                <w:color w:val="auto"/>
                <w:kern w:val="2"/>
                <w:sz w:val="21"/>
                <w:szCs w:val="21"/>
                <w:lang w:val="en-US" w:eastAsia="zh-CN"/>
              </w:rPr>
              <w:t>主要由主体工程、辅助工程、公用工程</w:t>
            </w:r>
            <w:r>
              <w:rPr>
                <w:rFonts w:hint="eastAsia" w:cs="Times New Roman"/>
                <w:color w:val="auto"/>
                <w:kern w:val="2"/>
                <w:sz w:val="21"/>
                <w:szCs w:val="21"/>
                <w:lang w:val="en-US" w:eastAsia="zh-CN"/>
              </w:rPr>
              <w:t>、</w:t>
            </w:r>
            <w:r>
              <w:rPr>
                <w:rFonts w:hint="eastAsia" w:ascii="Times New Roman" w:hAnsi="Times New Roman" w:cs="Times New Roman"/>
                <w:color w:val="auto"/>
                <w:kern w:val="2"/>
                <w:sz w:val="21"/>
                <w:szCs w:val="21"/>
                <w:lang w:val="en-US" w:eastAsia="zh-CN"/>
              </w:rPr>
              <w:t>环保工程组成，拟建设</w:t>
            </w:r>
            <w:r>
              <w:rPr>
                <w:rFonts w:hint="eastAsia" w:cs="Times New Roman"/>
                <w:color w:val="auto"/>
                <w:kern w:val="2"/>
                <w:sz w:val="21"/>
                <w:szCs w:val="21"/>
                <w:lang w:val="en-US" w:eastAsia="zh-CN"/>
              </w:rPr>
              <w:t>2</w:t>
            </w:r>
            <w:r>
              <w:rPr>
                <w:rFonts w:hint="eastAsia" w:ascii="Times New Roman" w:hAnsi="Times New Roman" w:cs="Times New Roman"/>
                <w:color w:val="auto"/>
                <w:kern w:val="2"/>
                <w:sz w:val="21"/>
                <w:szCs w:val="21"/>
                <w:lang w:val="en-US" w:eastAsia="zh-CN"/>
              </w:rPr>
              <w:t>条生产线，具体见表2-1。</w:t>
            </w:r>
          </w:p>
          <w:p>
            <w:pPr>
              <w:pStyle w:val="6"/>
              <w:spacing w:after="0" w:line="360" w:lineRule="auto"/>
              <w:ind w:firstLineChars="200"/>
              <w:rPr>
                <w:color w:val="auto"/>
              </w:rPr>
            </w:pPr>
            <w:r>
              <w:rPr>
                <w:color w:val="auto"/>
              </w:rPr>
              <w:t>项目组成情况详见表2-1。</w:t>
            </w:r>
          </w:p>
          <w:p>
            <w:pPr>
              <w:pStyle w:val="9"/>
              <w:ind w:firstLine="210"/>
              <w:rPr>
                <w:bCs/>
                <w:color w:val="auto"/>
                <w:szCs w:val="21"/>
              </w:rPr>
            </w:pPr>
            <w:r>
              <w:rPr>
                <w:color w:val="auto"/>
                <w:sz w:val="21"/>
                <w:szCs w:val="21"/>
              </w:rPr>
              <w:t>表2-1  主要建设内容、规模及功能定位一览表</w:t>
            </w:r>
          </w:p>
          <w:tbl>
            <w:tblPr>
              <w:tblStyle w:val="21"/>
              <w:tblW w:w="76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59"/>
              <w:gridCol w:w="251"/>
              <w:gridCol w:w="596"/>
              <w:gridCol w:w="4059"/>
              <w:gridCol w:w="21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7" w:hRule="atLeast"/>
                <w:jc w:val="center"/>
              </w:trPr>
              <w:tc>
                <w:tcPr>
                  <w:tcW w:w="1406"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建设内容</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建筑规模和内容</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59" w:type="dxa"/>
                  <w:vMerge w:val="restart"/>
                  <w:tcBorders>
                    <w:top w:val="single" w:color="000000" w:sz="4" w:space="0"/>
                    <w:left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p>
                  <w:pPr>
                    <w:snapToGrid w:val="0"/>
                    <w:spacing w:beforeLines="0" w:afterLines="0"/>
                    <w:jc w:val="center"/>
                    <w:rPr>
                      <w:rFonts w:hint="eastAsia"/>
                      <w:color w:val="auto"/>
                      <w:sz w:val="18"/>
                      <w:szCs w:val="18"/>
                    </w:rPr>
                  </w:pPr>
                </w:p>
                <w:p>
                  <w:pPr>
                    <w:snapToGrid w:val="0"/>
                    <w:spacing w:beforeLines="0" w:afterLines="0"/>
                    <w:jc w:val="center"/>
                    <w:rPr>
                      <w:rFonts w:hint="eastAsia"/>
                      <w:color w:val="auto"/>
                      <w:sz w:val="18"/>
                      <w:szCs w:val="18"/>
                    </w:rPr>
                  </w:pPr>
                  <w:r>
                    <w:rPr>
                      <w:rFonts w:hint="eastAsia"/>
                      <w:color w:val="auto"/>
                      <w:sz w:val="18"/>
                      <w:szCs w:val="18"/>
                    </w:rPr>
                    <w:t>主体</w:t>
                  </w:r>
                </w:p>
                <w:p>
                  <w:pPr>
                    <w:snapToGrid w:val="0"/>
                    <w:spacing w:beforeLines="0" w:afterLines="0"/>
                    <w:jc w:val="center"/>
                    <w:rPr>
                      <w:rFonts w:hint="eastAsia"/>
                      <w:color w:val="auto"/>
                      <w:sz w:val="18"/>
                      <w:szCs w:val="18"/>
                    </w:rPr>
                  </w:pPr>
                  <w:r>
                    <w:rPr>
                      <w:rFonts w:hint="eastAsia"/>
                      <w:color w:val="auto"/>
                      <w:sz w:val="18"/>
                      <w:szCs w:val="18"/>
                    </w:rPr>
                    <w:t>工程</w:t>
                  </w:r>
                </w:p>
              </w:tc>
              <w:tc>
                <w:tcPr>
                  <w:tcW w:w="84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预处理区</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位于项目</w:t>
                  </w:r>
                  <w:r>
                    <w:rPr>
                      <w:rFonts w:hint="eastAsia"/>
                      <w:color w:val="auto"/>
                      <w:sz w:val="18"/>
                      <w:szCs w:val="18"/>
                      <w:lang w:eastAsia="zh-CN"/>
                    </w:rPr>
                    <w:t>西南</w:t>
                  </w:r>
                  <w:r>
                    <w:rPr>
                      <w:rFonts w:hint="eastAsia"/>
                      <w:color w:val="auto"/>
                      <w:sz w:val="18"/>
                      <w:szCs w:val="18"/>
                    </w:rPr>
                    <w:t>侧</w:t>
                  </w:r>
                  <w:r>
                    <w:rPr>
                      <w:rFonts w:hint="default"/>
                      <w:color w:val="auto"/>
                      <w:sz w:val="18"/>
                      <w:szCs w:val="18"/>
                      <w:lang w:val="en-US"/>
                    </w:rPr>
                    <w:t>,</w:t>
                  </w:r>
                  <w:r>
                    <w:rPr>
                      <w:rFonts w:hint="eastAsia"/>
                      <w:color w:val="auto"/>
                      <w:sz w:val="18"/>
                      <w:szCs w:val="18"/>
                    </w:rPr>
                    <w:t>占地面积</w:t>
                  </w:r>
                  <w:r>
                    <w:rPr>
                      <w:rFonts w:hint="eastAsia"/>
                      <w:color w:val="auto"/>
                      <w:sz w:val="18"/>
                      <w:szCs w:val="18"/>
                      <w:lang w:val="en-US" w:eastAsia="zh-CN"/>
                    </w:rPr>
                    <w:t>882</w:t>
                  </w:r>
                  <w:r>
                    <w:rPr>
                      <w:rFonts w:hint="eastAsia"/>
                      <w:color w:val="auto"/>
                      <w:sz w:val="18"/>
                      <w:szCs w:val="18"/>
                    </w:rPr>
                    <w:t>m</w:t>
                  </w:r>
                  <w:r>
                    <w:rPr>
                      <w:rFonts w:hint="eastAsia"/>
                      <w:color w:val="auto"/>
                      <w:sz w:val="18"/>
                      <w:szCs w:val="18"/>
                      <w:vertAlign w:val="superscript"/>
                    </w:rPr>
                    <w:t>2</w:t>
                  </w:r>
                  <w:r>
                    <w:rPr>
                      <w:rFonts w:hint="default"/>
                      <w:color w:val="auto"/>
                      <w:sz w:val="18"/>
                      <w:szCs w:val="18"/>
                      <w:vertAlign w:val="baseline"/>
                      <w:lang w:val="en-US"/>
                    </w:rPr>
                    <w:t>,</w:t>
                  </w:r>
                  <w:r>
                    <w:rPr>
                      <w:rFonts w:hint="eastAsia"/>
                      <w:color w:val="auto"/>
                      <w:sz w:val="18"/>
                      <w:szCs w:val="18"/>
                      <w:vertAlign w:val="baseline"/>
                      <w:lang w:val="en-US" w:eastAsia="zh-CN"/>
                    </w:rPr>
                    <w:t>钢架结构，混凝土地面，设置预处理平台</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afterLines="0"/>
                    <w:ind w:left="21" w:leftChars="10"/>
                    <w:jc w:val="left"/>
                    <w:textAlignment w:val="auto"/>
                    <w:rPr>
                      <w:rFonts w:hint="eastAsia" w:eastAsia="宋体"/>
                      <w:color w:val="auto"/>
                      <w:sz w:val="18"/>
                      <w:szCs w:val="18"/>
                      <w:lang w:eastAsia="zh-CN"/>
                    </w:rPr>
                  </w:pPr>
                  <w:r>
                    <w:rPr>
                      <w:rFonts w:hint="eastAsia"/>
                      <w:color w:val="auto"/>
                      <w:sz w:val="18"/>
                      <w:szCs w:val="18"/>
                      <w:lang w:eastAsia="zh-CN"/>
                    </w:rPr>
                    <w:t>新建，主要为拆解预处理：拆除电池、油箱、机油滤清器、催化系统、电路板，回收空调制冷剂及安全气囊处理等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08" w:hRule="atLeast"/>
                <w:jc w:val="center"/>
              </w:trPr>
              <w:tc>
                <w:tcPr>
                  <w:tcW w:w="559" w:type="dxa"/>
                  <w:vMerge w:val="continue"/>
                  <w:tcBorders>
                    <w:left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847" w:type="dxa"/>
                  <w:gridSpan w:val="2"/>
                  <w:tcBorders>
                    <w:top w:val="single" w:color="000000" w:sz="4" w:space="0"/>
                    <w:left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拆解区</w:t>
                  </w:r>
                </w:p>
              </w:tc>
              <w:tc>
                <w:tcPr>
                  <w:tcW w:w="4059" w:type="dxa"/>
                  <w:tcBorders>
                    <w:top w:val="single" w:color="000000" w:sz="4" w:space="0"/>
                    <w:left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拆解区</w:t>
                  </w:r>
                  <w:r>
                    <w:rPr>
                      <w:rFonts w:hint="eastAsia"/>
                      <w:color w:val="auto"/>
                      <w:sz w:val="18"/>
                      <w:szCs w:val="18"/>
                      <w:lang w:eastAsia="zh-CN"/>
                    </w:rPr>
                    <w:t>分三部分</w:t>
                  </w:r>
                  <w:r>
                    <w:rPr>
                      <w:rFonts w:hint="eastAsia"/>
                      <w:color w:val="auto"/>
                      <w:sz w:val="18"/>
                      <w:szCs w:val="18"/>
                    </w:rPr>
                    <w:t>、</w:t>
                  </w:r>
                  <w:r>
                    <w:rPr>
                      <w:rFonts w:hint="eastAsia"/>
                      <w:color w:val="auto"/>
                      <w:sz w:val="18"/>
                      <w:szCs w:val="18"/>
                      <w:lang w:eastAsia="zh-CN"/>
                    </w:rPr>
                    <w:t>（</w:t>
                  </w:r>
                  <w:r>
                    <w:rPr>
                      <w:rFonts w:hint="eastAsia"/>
                      <w:color w:val="auto"/>
                      <w:sz w:val="18"/>
                      <w:szCs w:val="18"/>
                      <w:lang w:val="en-US" w:eastAsia="zh-CN"/>
                    </w:rPr>
                    <w:t>1#882</w:t>
                  </w:r>
                  <w:r>
                    <w:rPr>
                      <w:rFonts w:hint="eastAsia"/>
                      <w:color w:val="auto"/>
                      <w:sz w:val="18"/>
                      <w:szCs w:val="18"/>
                    </w:rPr>
                    <w:t>m</w:t>
                  </w:r>
                  <w:r>
                    <w:rPr>
                      <w:rFonts w:hint="eastAsia"/>
                      <w:color w:val="auto"/>
                      <w:sz w:val="18"/>
                      <w:szCs w:val="18"/>
                      <w:vertAlign w:val="superscript"/>
                    </w:rPr>
                    <w:t>2</w:t>
                  </w:r>
                  <w:r>
                    <w:rPr>
                      <w:rFonts w:hint="eastAsia"/>
                      <w:color w:val="auto"/>
                      <w:sz w:val="18"/>
                      <w:szCs w:val="18"/>
                    </w:rPr>
                    <w:t>、</w:t>
                  </w:r>
                  <w:r>
                    <w:rPr>
                      <w:rFonts w:hint="eastAsia"/>
                      <w:color w:val="auto"/>
                      <w:sz w:val="18"/>
                      <w:szCs w:val="18"/>
                      <w:lang w:val="en-US" w:eastAsia="zh-CN"/>
                    </w:rPr>
                    <w:t>2#1296</w:t>
                  </w:r>
                  <w:r>
                    <w:rPr>
                      <w:rFonts w:hint="eastAsia"/>
                      <w:color w:val="auto"/>
                      <w:sz w:val="18"/>
                      <w:szCs w:val="18"/>
                    </w:rPr>
                    <w:t>m</w:t>
                  </w:r>
                  <w:r>
                    <w:rPr>
                      <w:rFonts w:hint="eastAsia"/>
                      <w:color w:val="auto"/>
                      <w:sz w:val="18"/>
                      <w:szCs w:val="18"/>
                      <w:vertAlign w:val="superscript"/>
                    </w:rPr>
                    <w:t>2</w:t>
                  </w:r>
                  <w:r>
                    <w:rPr>
                      <w:rFonts w:hint="eastAsia"/>
                      <w:color w:val="auto"/>
                      <w:sz w:val="18"/>
                      <w:szCs w:val="18"/>
                    </w:rPr>
                    <w:t>、</w:t>
                  </w:r>
                  <w:r>
                    <w:rPr>
                      <w:rFonts w:hint="eastAsia"/>
                      <w:color w:val="auto"/>
                      <w:sz w:val="18"/>
                      <w:szCs w:val="18"/>
                      <w:lang w:val="en-US" w:eastAsia="zh-CN"/>
                    </w:rPr>
                    <w:t>3#684</w:t>
                  </w:r>
                  <w:r>
                    <w:rPr>
                      <w:rFonts w:hint="eastAsia"/>
                      <w:color w:val="auto"/>
                      <w:sz w:val="18"/>
                      <w:szCs w:val="18"/>
                    </w:rPr>
                    <w:t>m</w:t>
                  </w:r>
                  <w:r>
                    <w:rPr>
                      <w:rFonts w:hint="eastAsia"/>
                      <w:color w:val="auto"/>
                      <w:sz w:val="18"/>
                      <w:szCs w:val="18"/>
                      <w:vertAlign w:val="superscript"/>
                    </w:rPr>
                    <w:t>2</w:t>
                  </w:r>
                  <w:r>
                    <w:rPr>
                      <w:rFonts w:hint="eastAsia"/>
                      <w:color w:val="auto"/>
                      <w:sz w:val="18"/>
                      <w:szCs w:val="18"/>
                      <w:lang w:eastAsia="zh-CN"/>
                    </w:rPr>
                    <w:t>）</w:t>
                  </w:r>
                  <w:r>
                    <w:rPr>
                      <w:rFonts w:hint="eastAsia"/>
                      <w:color w:val="auto"/>
                      <w:sz w:val="18"/>
                      <w:szCs w:val="18"/>
                    </w:rPr>
                    <w:t xml:space="preserve">占地面积 </w:t>
                  </w:r>
                  <w:r>
                    <w:rPr>
                      <w:rFonts w:hint="eastAsia"/>
                      <w:color w:val="auto"/>
                      <w:sz w:val="18"/>
                      <w:szCs w:val="18"/>
                      <w:lang w:val="en-US" w:eastAsia="zh-CN"/>
                    </w:rPr>
                    <w:t>2862</w:t>
                  </w:r>
                  <w:r>
                    <w:rPr>
                      <w:rFonts w:hint="eastAsia"/>
                      <w:color w:val="auto"/>
                      <w:sz w:val="18"/>
                      <w:szCs w:val="18"/>
                    </w:rPr>
                    <w:t>m</w:t>
                  </w:r>
                  <w:r>
                    <w:rPr>
                      <w:rFonts w:hint="eastAsia"/>
                      <w:color w:val="auto"/>
                      <w:sz w:val="18"/>
                      <w:szCs w:val="18"/>
                      <w:vertAlign w:val="superscript"/>
                    </w:rPr>
                    <w:t>2</w:t>
                  </w:r>
                  <w:r>
                    <w:rPr>
                      <w:rFonts w:hint="eastAsia"/>
                      <w:color w:val="auto"/>
                      <w:sz w:val="18"/>
                      <w:szCs w:val="18"/>
                    </w:rPr>
                    <w:t>，</w:t>
                  </w:r>
                  <w:r>
                    <w:rPr>
                      <w:rFonts w:hint="eastAsia"/>
                      <w:color w:val="auto"/>
                      <w:sz w:val="18"/>
                      <w:szCs w:val="18"/>
                      <w:lang w:eastAsia="zh-CN"/>
                    </w:rPr>
                    <w:t>分别</w:t>
                  </w:r>
                  <w:r>
                    <w:rPr>
                      <w:rFonts w:hint="eastAsia"/>
                      <w:color w:val="auto"/>
                      <w:sz w:val="18"/>
                      <w:szCs w:val="18"/>
                    </w:rPr>
                    <w:t>位于项目</w:t>
                  </w:r>
                  <w:r>
                    <w:rPr>
                      <w:rFonts w:hint="eastAsia"/>
                      <w:color w:val="auto"/>
                      <w:sz w:val="18"/>
                      <w:szCs w:val="18"/>
                      <w:lang w:eastAsia="zh-CN"/>
                    </w:rPr>
                    <w:t>南部及中</w:t>
                  </w:r>
                  <w:r>
                    <w:rPr>
                      <w:rFonts w:hint="eastAsia"/>
                      <w:color w:val="auto"/>
                      <w:sz w:val="18"/>
                      <w:szCs w:val="18"/>
                    </w:rPr>
                    <w:t>部</w:t>
                  </w:r>
                  <w:r>
                    <w:rPr>
                      <w:rFonts w:hint="eastAsia"/>
                      <w:color w:val="auto"/>
                      <w:sz w:val="18"/>
                      <w:szCs w:val="18"/>
                      <w:lang w:eastAsia="zh-CN"/>
                    </w:rPr>
                    <w:t>，</w:t>
                  </w:r>
                  <w:r>
                    <w:rPr>
                      <w:rFonts w:hint="eastAsia"/>
                      <w:color w:val="auto"/>
                      <w:sz w:val="18"/>
                      <w:szCs w:val="18"/>
                      <w:vertAlign w:val="baseline"/>
                      <w:lang w:val="en-US" w:eastAsia="zh-CN"/>
                    </w:rPr>
                    <w:t>钢架结构，混凝土地面</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afterLines="0"/>
                    <w:ind w:left="21" w:leftChars="10"/>
                    <w:jc w:val="both"/>
                    <w:textAlignment w:val="auto"/>
                    <w:rPr>
                      <w:rFonts w:hint="eastAsia" w:eastAsia="宋体"/>
                      <w:color w:val="auto"/>
                      <w:sz w:val="18"/>
                      <w:szCs w:val="18"/>
                      <w:lang w:eastAsia="zh-CN"/>
                    </w:rPr>
                  </w:pPr>
                  <w:r>
                    <w:rPr>
                      <w:rFonts w:hint="eastAsia"/>
                      <w:color w:val="auto"/>
                      <w:sz w:val="18"/>
                      <w:szCs w:val="18"/>
                      <w:lang w:eastAsia="zh-CN"/>
                    </w:rPr>
                    <w:t>新建，主要拆除车轮、轮胎、发动机、变速器、传动轴、车架、车桥及较大部件切割等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8" w:hRule="atLeast"/>
                <w:jc w:val="center"/>
              </w:trPr>
              <w:tc>
                <w:tcPr>
                  <w:tcW w:w="559" w:type="dxa"/>
                  <w:vMerge w:val="continue"/>
                  <w:tcBorders>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84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报废车辆暂存区</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总占地面积</w:t>
                  </w:r>
                  <w:r>
                    <w:rPr>
                      <w:rFonts w:hint="eastAsia"/>
                      <w:color w:val="auto"/>
                      <w:sz w:val="18"/>
                      <w:szCs w:val="18"/>
                      <w:lang w:eastAsia="zh-CN"/>
                    </w:rPr>
                    <w:t>约</w:t>
                  </w:r>
                  <w:r>
                    <w:rPr>
                      <w:rFonts w:hint="eastAsia"/>
                      <w:color w:val="auto"/>
                      <w:sz w:val="18"/>
                      <w:szCs w:val="18"/>
                    </w:rPr>
                    <w:t xml:space="preserve">为 </w:t>
                  </w:r>
                  <w:r>
                    <w:rPr>
                      <w:rFonts w:hint="eastAsia"/>
                      <w:color w:val="auto"/>
                      <w:sz w:val="18"/>
                      <w:szCs w:val="18"/>
                      <w:lang w:val="en-US" w:eastAsia="zh-CN"/>
                    </w:rPr>
                    <w:t>3</w:t>
                  </w:r>
                  <w:r>
                    <w:rPr>
                      <w:rFonts w:hint="eastAsia"/>
                      <w:color w:val="auto"/>
                      <w:sz w:val="18"/>
                      <w:szCs w:val="18"/>
                      <w:lang w:val="en-US"/>
                    </w:rPr>
                    <w:t>000</w:t>
                  </w:r>
                  <w:r>
                    <w:rPr>
                      <w:rFonts w:hint="eastAsia"/>
                      <w:color w:val="auto"/>
                      <w:sz w:val="18"/>
                      <w:szCs w:val="18"/>
                    </w:rPr>
                    <w:t>m</w:t>
                  </w:r>
                  <w:r>
                    <w:rPr>
                      <w:rFonts w:hint="eastAsia"/>
                      <w:color w:val="auto"/>
                      <w:sz w:val="18"/>
                      <w:szCs w:val="18"/>
                      <w:vertAlign w:val="superscript"/>
                      <w:lang w:val="en-US" w:eastAsia="zh-CN"/>
                    </w:rPr>
                    <w:t>2</w:t>
                  </w:r>
                  <w:r>
                    <w:rPr>
                      <w:rFonts w:hint="eastAsia"/>
                      <w:color w:val="auto"/>
                      <w:sz w:val="18"/>
                      <w:szCs w:val="18"/>
                      <w:lang w:eastAsia="zh-CN"/>
                    </w:rPr>
                    <w:t>，位于项目中部，混凝土地面</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afterLines="0"/>
                    <w:ind w:left="21" w:leftChars="10"/>
                    <w:jc w:val="left"/>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新建，主要用于报废车辆存放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04" w:hRule="atLeast"/>
                <w:jc w:val="center"/>
              </w:trPr>
              <w:tc>
                <w:tcPr>
                  <w:tcW w:w="559" w:type="dxa"/>
                  <w:vMerge w:val="restart"/>
                  <w:tcBorders>
                    <w:top w:val="single" w:color="000000" w:sz="4" w:space="0"/>
                    <w:left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辅助</w:t>
                  </w:r>
                </w:p>
                <w:p>
                  <w:pPr>
                    <w:snapToGrid w:val="0"/>
                    <w:spacing w:beforeLines="0" w:afterLines="0"/>
                    <w:jc w:val="center"/>
                    <w:rPr>
                      <w:rFonts w:hint="eastAsia"/>
                      <w:color w:val="auto"/>
                      <w:sz w:val="18"/>
                      <w:szCs w:val="18"/>
                    </w:rPr>
                  </w:pPr>
                  <w:r>
                    <w:rPr>
                      <w:rFonts w:hint="eastAsia"/>
                      <w:color w:val="auto"/>
                      <w:sz w:val="18"/>
                      <w:szCs w:val="18"/>
                    </w:rPr>
                    <w:t>工程</w:t>
                  </w:r>
                </w:p>
              </w:tc>
              <w:tc>
                <w:tcPr>
                  <w:tcW w:w="84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eastAsia="宋体"/>
                      <w:color w:val="auto"/>
                      <w:sz w:val="18"/>
                      <w:szCs w:val="18"/>
                      <w:lang w:eastAsia="zh-CN"/>
                    </w:rPr>
                  </w:pPr>
                  <w:r>
                    <w:rPr>
                      <w:rFonts w:hint="eastAsia"/>
                      <w:color w:val="auto"/>
                      <w:sz w:val="18"/>
                      <w:szCs w:val="18"/>
                      <w:lang w:eastAsia="zh-CN"/>
                    </w:rPr>
                    <w:t>仓库</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rPr>
                      <w:rFonts w:hint="eastAsia"/>
                      <w:color w:val="auto"/>
                      <w:sz w:val="18"/>
                      <w:szCs w:val="18"/>
                    </w:rPr>
                  </w:pPr>
                  <w:r>
                    <w:rPr>
                      <w:rFonts w:hint="eastAsia"/>
                      <w:color w:val="auto"/>
                      <w:sz w:val="18"/>
                      <w:szCs w:val="18"/>
                      <w:lang w:eastAsia="zh-CN"/>
                    </w:rPr>
                    <w:t>位于项目东北侧，占地面积</w:t>
                  </w:r>
                  <w:r>
                    <w:rPr>
                      <w:rFonts w:hint="eastAsia"/>
                      <w:color w:val="auto"/>
                      <w:sz w:val="18"/>
                      <w:szCs w:val="18"/>
                      <w:lang w:val="en-US" w:eastAsia="zh-CN"/>
                    </w:rPr>
                    <w:t>880</w:t>
                  </w:r>
                  <w:r>
                    <w:rPr>
                      <w:rFonts w:hint="eastAsia"/>
                      <w:color w:val="auto"/>
                      <w:sz w:val="18"/>
                      <w:szCs w:val="18"/>
                    </w:rPr>
                    <w:t>m</w:t>
                  </w:r>
                  <w:r>
                    <w:rPr>
                      <w:rFonts w:hint="eastAsia"/>
                      <w:color w:val="auto"/>
                      <w:sz w:val="18"/>
                      <w:szCs w:val="18"/>
                      <w:vertAlign w:val="superscript"/>
                    </w:rPr>
                    <w:t>2</w:t>
                  </w:r>
                  <w:r>
                    <w:rPr>
                      <w:rFonts w:hint="default"/>
                      <w:color w:val="auto"/>
                      <w:sz w:val="18"/>
                      <w:szCs w:val="18"/>
                      <w:vertAlign w:val="baseline"/>
                      <w:lang w:val="en-US"/>
                    </w:rPr>
                    <w:t>,</w:t>
                  </w:r>
                  <w:r>
                    <w:rPr>
                      <w:rFonts w:hint="eastAsia"/>
                      <w:color w:val="auto"/>
                      <w:sz w:val="18"/>
                      <w:szCs w:val="18"/>
                      <w:vertAlign w:val="baseline"/>
                      <w:lang w:val="en-US" w:eastAsia="zh-CN"/>
                    </w:rPr>
                    <w:t>钢架结构，混凝土地面</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eastAsia="宋体"/>
                      <w:color w:val="auto"/>
                      <w:sz w:val="18"/>
                      <w:szCs w:val="18"/>
                      <w:lang w:eastAsia="zh-CN"/>
                    </w:rPr>
                  </w:pPr>
                  <w:r>
                    <w:rPr>
                      <w:rFonts w:hint="eastAsia"/>
                      <w:color w:val="auto"/>
                      <w:sz w:val="18"/>
                      <w:szCs w:val="18"/>
                      <w:lang w:eastAsia="zh-CN"/>
                    </w:rPr>
                    <w:t>新建，主要用于存放可回收利用物质，包括</w:t>
                  </w:r>
                  <w:r>
                    <w:rPr>
                      <w:rFonts w:hint="eastAsia"/>
                      <w:color w:val="auto"/>
                      <w:sz w:val="18"/>
                      <w:szCs w:val="18"/>
                    </w:rPr>
                    <w:t>钢铁（车壳、前桥、后桥、轮毂、废电机等）、有色金属</w:t>
                  </w:r>
                  <w:r>
                    <w:rPr>
                      <w:rFonts w:hint="eastAsia"/>
                      <w:color w:val="auto"/>
                      <w:sz w:val="18"/>
                      <w:szCs w:val="18"/>
                      <w:lang w:eastAsia="zh-CN"/>
                    </w:rPr>
                    <w:t>、</w:t>
                  </w:r>
                  <w:r>
                    <w:rPr>
                      <w:rFonts w:hint="eastAsia"/>
                      <w:color w:val="auto"/>
                      <w:sz w:val="18"/>
                      <w:szCs w:val="18"/>
                    </w:rPr>
                    <w:t xml:space="preserve"> 废电线电缆</w:t>
                  </w:r>
                  <w:r>
                    <w:rPr>
                      <w:rFonts w:hint="eastAsia"/>
                      <w:color w:val="auto"/>
                      <w:sz w:val="18"/>
                      <w:szCs w:val="18"/>
                      <w:lang w:eastAsia="zh-CN"/>
                    </w:rPr>
                    <w:t>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04" w:hRule="atLeast"/>
                <w:jc w:val="center"/>
              </w:trPr>
              <w:tc>
                <w:tcPr>
                  <w:tcW w:w="559" w:type="dxa"/>
                  <w:vMerge w:val="continue"/>
                  <w:tcBorders>
                    <w:left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84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lang w:eastAsia="zh-CN"/>
                    </w:rPr>
                  </w:pPr>
                  <w:r>
                    <w:rPr>
                      <w:rFonts w:hint="eastAsia"/>
                      <w:color w:val="auto"/>
                      <w:sz w:val="18"/>
                      <w:szCs w:val="18"/>
                      <w:lang w:eastAsia="zh-CN"/>
                    </w:rPr>
                    <w:t>固废暂存间</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rPr>
                      <w:rFonts w:hint="default"/>
                      <w:color w:val="auto"/>
                      <w:sz w:val="18"/>
                      <w:szCs w:val="18"/>
                      <w:lang w:val="en-US" w:eastAsia="zh-CN"/>
                    </w:rPr>
                  </w:pPr>
                  <w:r>
                    <w:rPr>
                      <w:rFonts w:hint="eastAsia"/>
                      <w:color w:val="auto"/>
                      <w:sz w:val="18"/>
                      <w:szCs w:val="18"/>
                      <w:lang w:eastAsia="zh-CN"/>
                    </w:rPr>
                    <w:t>位于项目东北侧，占面积</w:t>
                  </w:r>
                  <w:r>
                    <w:rPr>
                      <w:rFonts w:hint="eastAsia"/>
                      <w:color w:val="auto"/>
                      <w:sz w:val="18"/>
                      <w:szCs w:val="18"/>
                      <w:lang w:val="en-US" w:eastAsia="zh-CN"/>
                    </w:rPr>
                    <w:t>144</w:t>
                  </w:r>
                  <w:r>
                    <w:rPr>
                      <w:rFonts w:hint="eastAsia"/>
                      <w:color w:val="auto"/>
                      <w:sz w:val="18"/>
                      <w:szCs w:val="18"/>
                    </w:rPr>
                    <w:t>m</w:t>
                  </w:r>
                  <w:r>
                    <w:rPr>
                      <w:rFonts w:hint="eastAsia"/>
                      <w:color w:val="auto"/>
                      <w:sz w:val="18"/>
                      <w:szCs w:val="18"/>
                      <w:vertAlign w:val="superscript"/>
                    </w:rPr>
                    <w:t>2</w:t>
                  </w:r>
                  <w:r>
                    <w:rPr>
                      <w:rFonts w:hint="default"/>
                      <w:color w:val="auto"/>
                      <w:sz w:val="18"/>
                      <w:szCs w:val="18"/>
                      <w:vertAlign w:val="baseline"/>
                      <w:lang w:val="en-US"/>
                    </w:rPr>
                    <w:t>,</w:t>
                  </w:r>
                  <w:r>
                    <w:rPr>
                      <w:rFonts w:hint="eastAsia"/>
                      <w:color w:val="auto"/>
                      <w:sz w:val="18"/>
                      <w:szCs w:val="18"/>
                      <w:vertAlign w:val="baseline"/>
                      <w:lang w:val="en-US" w:eastAsia="zh-CN"/>
                    </w:rPr>
                    <w:t>钢架结构，混凝土地面</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lang w:eastAsia="zh-CN"/>
                    </w:rPr>
                  </w:pPr>
                  <w:r>
                    <w:rPr>
                      <w:rFonts w:hint="eastAsia"/>
                      <w:color w:val="auto"/>
                      <w:sz w:val="18"/>
                      <w:szCs w:val="18"/>
                      <w:lang w:eastAsia="zh-CN"/>
                    </w:rPr>
                    <w:t>新建，主要用于</w:t>
                  </w:r>
                  <w:r>
                    <w:rPr>
                      <w:rFonts w:hint="eastAsia"/>
                      <w:color w:val="auto"/>
                      <w:sz w:val="18"/>
                      <w:szCs w:val="18"/>
                    </w:rPr>
                    <w:t>堆放</w:t>
                  </w:r>
                  <w:r>
                    <w:rPr>
                      <w:rFonts w:hint="eastAsia"/>
                      <w:color w:val="auto"/>
                      <w:sz w:val="18"/>
                      <w:szCs w:val="18"/>
                      <w:lang w:eastAsia="zh-CN"/>
                    </w:rPr>
                    <w:t>不可利用物质，包括</w:t>
                  </w:r>
                  <w:r>
                    <w:rPr>
                      <w:rFonts w:hint="eastAsia"/>
                      <w:color w:val="auto"/>
                      <w:sz w:val="18"/>
                      <w:szCs w:val="18"/>
                    </w:rPr>
                    <w:t>废塑料、废玻璃、废橡胶、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5" w:hRule="atLeast"/>
                <w:jc w:val="center"/>
              </w:trPr>
              <w:tc>
                <w:tcPr>
                  <w:tcW w:w="559" w:type="dxa"/>
                  <w:vMerge w:val="continue"/>
                  <w:tcBorders>
                    <w:left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84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危废暂</w:t>
                  </w:r>
                </w:p>
                <w:p>
                  <w:pPr>
                    <w:snapToGrid w:val="0"/>
                    <w:spacing w:beforeLines="0" w:afterLines="0"/>
                    <w:jc w:val="center"/>
                    <w:rPr>
                      <w:rFonts w:hint="eastAsia"/>
                      <w:color w:val="auto"/>
                      <w:sz w:val="18"/>
                      <w:szCs w:val="18"/>
                    </w:rPr>
                  </w:pPr>
                  <w:r>
                    <w:rPr>
                      <w:rFonts w:hint="eastAsia"/>
                      <w:color w:val="auto"/>
                      <w:sz w:val="18"/>
                      <w:szCs w:val="18"/>
                    </w:rPr>
                    <w:t>存间</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eastAsia="宋体"/>
                      <w:color w:val="auto"/>
                      <w:sz w:val="18"/>
                      <w:szCs w:val="18"/>
                      <w:lang w:eastAsia="zh-CN"/>
                    </w:rPr>
                  </w:pPr>
                  <w:r>
                    <w:rPr>
                      <w:rFonts w:hint="eastAsia"/>
                      <w:color w:val="auto"/>
                      <w:sz w:val="18"/>
                      <w:szCs w:val="18"/>
                    </w:rPr>
                    <w:t>位于项目</w:t>
                  </w:r>
                  <w:r>
                    <w:rPr>
                      <w:rFonts w:hint="eastAsia"/>
                      <w:color w:val="auto"/>
                      <w:sz w:val="18"/>
                      <w:szCs w:val="18"/>
                      <w:lang w:eastAsia="zh-CN"/>
                    </w:rPr>
                    <w:t>东</w:t>
                  </w:r>
                  <w:r>
                    <w:rPr>
                      <w:rFonts w:hint="eastAsia"/>
                      <w:color w:val="auto"/>
                      <w:sz w:val="18"/>
                      <w:szCs w:val="18"/>
                    </w:rPr>
                    <w:t>北侧</w:t>
                  </w:r>
                  <w:r>
                    <w:rPr>
                      <w:rFonts w:hint="eastAsia"/>
                      <w:color w:val="auto"/>
                      <w:sz w:val="18"/>
                      <w:szCs w:val="18"/>
                      <w:lang w:eastAsia="zh-CN"/>
                    </w:rPr>
                    <w:t>，占面积</w:t>
                  </w:r>
                  <w:r>
                    <w:rPr>
                      <w:rFonts w:hint="eastAsia"/>
                      <w:color w:val="auto"/>
                      <w:sz w:val="18"/>
                      <w:szCs w:val="18"/>
                      <w:lang w:val="en-US" w:eastAsia="zh-CN"/>
                    </w:rPr>
                    <w:t>80</w:t>
                  </w:r>
                  <w:r>
                    <w:rPr>
                      <w:rFonts w:hint="eastAsia"/>
                      <w:color w:val="auto"/>
                      <w:sz w:val="18"/>
                      <w:szCs w:val="18"/>
                    </w:rPr>
                    <w:t>m</w:t>
                  </w:r>
                  <w:r>
                    <w:rPr>
                      <w:rFonts w:hint="eastAsia"/>
                      <w:color w:val="auto"/>
                      <w:sz w:val="18"/>
                      <w:szCs w:val="18"/>
                      <w:vertAlign w:val="superscript"/>
                    </w:rPr>
                    <w:t>2</w:t>
                  </w:r>
                  <w:r>
                    <w:rPr>
                      <w:rFonts w:hint="eastAsia"/>
                      <w:color w:val="auto"/>
                      <w:sz w:val="18"/>
                      <w:szCs w:val="18"/>
                    </w:rPr>
                    <w:t>，</w:t>
                  </w:r>
                  <w:r>
                    <w:rPr>
                      <w:rFonts w:hint="eastAsia"/>
                      <w:color w:val="auto"/>
                      <w:sz w:val="18"/>
                      <w:szCs w:val="18"/>
                      <w:lang w:eastAsia="zh-CN"/>
                    </w:rPr>
                    <w:t>分割为四间，钢架结构，混凝土地面</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eastAsia="宋体"/>
                      <w:color w:val="auto"/>
                      <w:sz w:val="18"/>
                      <w:szCs w:val="18"/>
                      <w:lang w:eastAsia="zh-CN"/>
                    </w:rPr>
                  </w:pPr>
                  <w:r>
                    <w:rPr>
                      <w:rFonts w:hint="eastAsia"/>
                      <w:color w:val="auto"/>
                      <w:sz w:val="18"/>
                      <w:szCs w:val="18"/>
                      <w:lang w:eastAsia="zh-CN"/>
                    </w:rPr>
                    <w:t>新建，主要用于危险废物暂时存放，分类存放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40" w:hRule="atLeast"/>
                <w:jc w:val="center"/>
              </w:trPr>
              <w:tc>
                <w:tcPr>
                  <w:tcW w:w="559" w:type="dxa"/>
                  <w:vMerge w:val="continue"/>
                  <w:tcBorders>
                    <w:left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84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eastAsia="宋体"/>
                      <w:color w:val="auto"/>
                      <w:sz w:val="18"/>
                      <w:szCs w:val="18"/>
                      <w:lang w:eastAsia="zh-CN"/>
                    </w:rPr>
                  </w:pPr>
                  <w:r>
                    <w:rPr>
                      <w:rFonts w:hint="eastAsia"/>
                      <w:color w:val="auto"/>
                      <w:sz w:val="18"/>
                      <w:szCs w:val="18"/>
                    </w:rPr>
                    <w:t>办公</w:t>
                  </w:r>
                  <w:r>
                    <w:rPr>
                      <w:rFonts w:hint="eastAsia"/>
                      <w:color w:val="auto"/>
                      <w:sz w:val="18"/>
                      <w:szCs w:val="18"/>
                      <w:lang w:eastAsia="zh-CN"/>
                    </w:rPr>
                    <w:t>及生活辅助用房</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color w:val="auto"/>
                      <w:sz w:val="18"/>
                      <w:szCs w:val="18"/>
                      <w:lang w:eastAsia="zh-CN"/>
                    </w:rPr>
                  </w:pPr>
                  <w:r>
                    <w:rPr>
                      <w:rFonts w:hint="eastAsia"/>
                      <w:color w:val="auto"/>
                      <w:sz w:val="18"/>
                      <w:szCs w:val="18"/>
                      <w:lang w:eastAsia="zh-CN"/>
                    </w:rPr>
                    <w:t>办公区：</w:t>
                  </w:r>
                  <w:r>
                    <w:rPr>
                      <w:rFonts w:hint="eastAsia"/>
                      <w:color w:val="auto"/>
                      <w:sz w:val="18"/>
                      <w:szCs w:val="18"/>
                    </w:rPr>
                    <w:t>两层，</w:t>
                  </w:r>
                  <w:r>
                    <w:rPr>
                      <w:rFonts w:hint="eastAsia"/>
                      <w:color w:val="auto"/>
                      <w:sz w:val="18"/>
                      <w:szCs w:val="18"/>
                      <w:lang w:eastAsia="zh-CN"/>
                    </w:rPr>
                    <w:t>混砖结构，</w:t>
                  </w:r>
                  <w:r>
                    <w:rPr>
                      <w:rFonts w:hint="eastAsia"/>
                      <w:color w:val="auto"/>
                      <w:sz w:val="18"/>
                      <w:szCs w:val="18"/>
                    </w:rPr>
                    <w:t>占地面积</w:t>
                  </w:r>
                  <w:r>
                    <w:rPr>
                      <w:rFonts w:hint="eastAsia"/>
                      <w:color w:val="auto"/>
                      <w:sz w:val="18"/>
                      <w:szCs w:val="18"/>
                      <w:lang w:val="en-US" w:eastAsia="zh-CN"/>
                    </w:rPr>
                    <w:t>236</w:t>
                  </w:r>
                  <w:r>
                    <w:rPr>
                      <w:rFonts w:hint="eastAsia"/>
                      <w:color w:val="auto"/>
                      <w:sz w:val="18"/>
                      <w:szCs w:val="18"/>
                    </w:rPr>
                    <w:t>m2，位于项目北</w:t>
                  </w:r>
                  <w:r>
                    <w:rPr>
                      <w:rFonts w:hint="eastAsia"/>
                      <w:color w:val="auto"/>
                      <w:sz w:val="18"/>
                      <w:szCs w:val="18"/>
                      <w:lang w:eastAsia="zh-CN"/>
                    </w:rPr>
                    <w:t>侧中部；</w:t>
                  </w:r>
                </w:p>
                <w:p>
                  <w:pPr>
                    <w:pStyle w:val="7"/>
                    <w:keepNext w:val="0"/>
                    <w:keepLines w:val="0"/>
                    <w:pageBreakBefore w:val="0"/>
                    <w:kinsoku/>
                    <w:wordWrap/>
                    <w:overflowPunct/>
                    <w:topLinePunct w:val="0"/>
                    <w:autoSpaceDE/>
                    <w:autoSpaceDN/>
                    <w:bidi w:val="0"/>
                    <w:adjustRightInd/>
                    <w:snapToGrid w:val="0"/>
                    <w:spacing w:before="0" w:after="0" w:line="240" w:lineRule="auto"/>
                    <w:textAlignment w:val="auto"/>
                    <w:rPr>
                      <w:rFonts w:hint="eastAsia" w:eastAsia="宋体"/>
                      <w:color w:val="auto"/>
                      <w:lang w:val="en-US" w:eastAsia="zh-CN"/>
                    </w:rPr>
                  </w:pPr>
                  <w:r>
                    <w:rPr>
                      <w:rFonts w:hint="eastAsia"/>
                      <w:color w:val="auto"/>
                      <w:sz w:val="18"/>
                      <w:szCs w:val="18"/>
                      <w:lang w:eastAsia="zh-CN"/>
                    </w:rPr>
                    <w:t>生活辅助用房：一层，混砖结构，占地面积</w:t>
                  </w:r>
                  <w:r>
                    <w:rPr>
                      <w:rFonts w:hint="eastAsia"/>
                      <w:color w:val="auto"/>
                      <w:sz w:val="18"/>
                      <w:szCs w:val="18"/>
                      <w:lang w:val="en-US" w:eastAsia="zh-CN"/>
                    </w:rPr>
                    <w:t>100</w:t>
                  </w:r>
                  <w:r>
                    <w:rPr>
                      <w:rFonts w:hint="eastAsia"/>
                      <w:color w:val="auto"/>
                      <w:sz w:val="18"/>
                      <w:szCs w:val="18"/>
                    </w:rPr>
                    <w:t>m</w:t>
                  </w:r>
                  <w:r>
                    <w:rPr>
                      <w:rFonts w:hint="eastAsia"/>
                      <w:color w:val="auto"/>
                      <w:sz w:val="18"/>
                      <w:szCs w:val="18"/>
                      <w:vertAlign w:val="superscript"/>
                    </w:rPr>
                    <w:t>2</w:t>
                  </w:r>
                  <w:r>
                    <w:rPr>
                      <w:rFonts w:hint="eastAsia"/>
                      <w:color w:val="auto"/>
                      <w:sz w:val="18"/>
                      <w:szCs w:val="18"/>
                    </w:rPr>
                    <w:t>，位于项目</w:t>
                  </w:r>
                  <w:r>
                    <w:rPr>
                      <w:rFonts w:hint="eastAsia"/>
                      <w:color w:val="auto"/>
                      <w:sz w:val="18"/>
                      <w:szCs w:val="18"/>
                      <w:lang w:eastAsia="zh-CN"/>
                    </w:rPr>
                    <w:t>西</w:t>
                  </w:r>
                  <w:r>
                    <w:rPr>
                      <w:rFonts w:hint="eastAsia"/>
                      <w:color w:val="auto"/>
                      <w:sz w:val="18"/>
                      <w:szCs w:val="18"/>
                    </w:rPr>
                    <w:t>北</w:t>
                  </w:r>
                  <w:r>
                    <w:rPr>
                      <w:rFonts w:hint="eastAsia"/>
                      <w:color w:val="auto"/>
                      <w:sz w:val="18"/>
                      <w:szCs w:val="18"/>
                      <w:lang w:eastAsia="zh-CN"/>
                    </w:rPr>
                    <w:t>角</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eastAsia="宋体"/>
                      <w:color w:val="auto"/>
                      <w:sz w:val="18"/>
                      <w:szCs w:val="18"/>
                      <w:lang w:eastAsia="zh-CN"/>
                    </w:rPr>
                  </w:pPr>
                  <w:r>
                    <w:rPr>
                      <w:rFonts w:hint="eastAsia"/>
                      <w:color w:val="auto"/>
                      <w:sz w:val="18"/>
                      <w:szCs w:val="18"/>
                      <w:lang w:eastAsia="zh-CN"/>
                    </w:rPr>
                    <w:t>新建，用于办公及食堂、员工休息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0" w:hRule="atLeast"/>
                <w:jc w:val="center"/>
              </w:trPr>
              <w:tc>
                <w:tcPr>
                  <w:tcW w:w="559" w:type="dxa"/>
                  <w:vMerge w:val="continue"/>
                  <w:tcBorders>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84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eastAsia="宋体"/>
                      <w:color w:val="auto"/>
                      <w:sz w:val="18"/>
                      <w:szCs w:val="18"/>
                      <w:lang w:eastAsia="zh-CN"/>
                    </w:rPr>
                  </w:pPr>
                  <w:r>
                    <w:rPr>
                      <w:rFonts w:hint="eastAsia"/>
                      <w:color w:val="auto"/>
                      <w:sz w:val="18"/>
                      <w:szCs w:val="18"/>
                      <w:lang w:eastAsia="zh-CN"/>
                    </w:rPr>
                    <w:t>监控系统</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7"/>
                    <w:keepNext w:val="0"/>
                    <w:keepLines w:val="0"/>
                    <w:pageBreakBefore w:val="0"/>
                    <w:kinsoku/>
                    <w:wordWrap/>
                    <w:overflowPunct/>
                    <w:topLinePunct w:val="0"/>
                    <w:autoSpaceDE/>
                    <w:autoSpaceDN/>
                    <w:bidi w:val="0"/>
                    <w:adjustRightInd/>
                    <w:snapToGrid w:val="0"/>
                    <w:spacing w:before="0" w:after="0" w:line="240" w:lineRule="auto"/>
                    <w:textAlignment w:val="auto"/>
                    <w:rPr>
                      <w:rFonts w:hint="default"/>
                      <w:color w:val="auto"/>
                      <w:sz w:val="18"/>
                      <w:szCs w:val="18"/>
                      <w:lang w:val="en-US" w:eastAsia="zh-CN"/>
                    </w:rPr>
                  </w:pPr>
                  <w:r>
                    <w:rPr>
                      <w:rFonts w:hint="eastAsia"/>
                      <w:color w:val="auto"/>
                      <w:sz w:val="18"/>
                      <w:szCs w:val="18"/>
                      <w:lang w:eastAsia="zh-CN"/>
                    </w:rPr>
                    <w:t>预处理区、拆解区、危废暂存区、仓库区等均设置视频监控</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lang w:eastAsia="zh-CN"/>
                    </w:rPr>
                  </w:pPr>
                  <w:r>
                    <w:rPr>
                      <w:rFonts w:hint="eastAsia"/>
                      <w:color w:val="auto"/>
                      <w:sz w:val="18"/>
                      <w:szCs w:val="18"/>
                      <w:lang w:eastAsia="zh-CN"/>
                    </w:rPr>
                    <w:t>新建，监控各作业区域及暂存区等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2" w:hRule="atLeast"/>
                <w:jc w:val="center"/>
              </w:trPr>
              <w:tc>
                <w:tcPr>
                  <w:tcW w:w="55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公用</w:t>
                  </w:r>
                </w:p>
                <w:p>
                  <w:pPr>
                    <w:snapToGrid w:val="0"/>
                    <w:spacing w:beforeLines="0" w:afterLines="0"/>
                    <w:jc w:val="center"/>
                    <w:rPr>
                      <w:rFonts w:hint="eastAsia"/>
                      <w:color w:val="auto"/>
                      <w:sz w:val="18"/>
                      <w:szCs w:val="18"/>
                    </w:rPr>
                  </w:pPr>
                  <w:r>
                    <w:rPr>
                      <w:rFonts w:hint="eastAsia"/>
                      <w:color w:val="auto"/>
                      <w:sz w:val="18"/>
                      <w:szCs w:val="18"/>
                    </w:rPr>
                    <w:t>工程</w:t>
                  </w:r>
                </w:p>
              </w:tc>
              <w:tc>
                <w:tcPr>
                  <w:tcW w:w="84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供水</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深水井</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6" w:hRule="atLeast"/>
                <w:jc w:val="center"/>
              </w:trPr>
              <w:tc>
                <w:tcPr>
                  <w:tcW w:w="55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84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排水</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厂区实行雨污分流，厂区全封闭建设，雨水流出</w:t>
                  </w:r>
                </w:p>
                <w:p>
                  <w:pPr>
                    <w:snapToGrid w:val="0"/>
                    <w:spacing w:beforeLines="0" w:afterLines="0"/>
                    <w:jc w:val="center"/>
                    <w:rPr>
                      <w:rFonts w:hint="eastAsia"/>
                      <w:color w:val="auto"/>
                      <w:sz w:val="18"/>
                      <w:szCs w:val="18"/>
                    </w:rPr>
                  </w:pPr>
                  <w:r>
                    <w:rPr>
                      <w:rFonts w:hint="eastAsia"/>
                      <w:color w:val="auto"/>
                      <w:sz w:val="18"/>
                      <w:szCs w:val="18"/>
                    </w:rPr>
                    <w:t>厂外</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default" w:eastAsia="宋体"/>
                      <w:color w:val="auto"/>
                      <w:sz w:val="18"/>
                      <w:szCs w:val="18"/>
                      <w:lang w:val="en-US" w:eastAsia="zh-CN"/>
                    </w:rPr>
                  </w:pPr>
                  <w:r>
                    <w:rPr>
                      <w:rFonts w:hint="eastAsia"/>
                      <w:color w:val="auto"/>
                      <w:sz w:val="18"/>
                      <w:szCs w:val="18"/>
                      <w:lang w:val="en-US" w:eastAsia="zh-CN"/>
                    </w:rPr>
                    <w:t>初期雨水处理：厂区报废车堆放区属露天区域，前15分钟雨水进入初期雨水池，经隔油池和污水一体化设备处理后绿化回用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2" w:hRule="atLeast"/>
                <w:jc w:val="center"/>
              </w:trPr>
              <w:tc>
                <w:tcPr>
                  <w:tcW w:w="55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84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供电</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乡镇供电网供给</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2" w:hRule="atLeast"/>
                <w:jc w:val="center"/>
              </w:trPr>
              <w:tc>
                <w:tcPr>
                  <w:tcW w:w="55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环保</w:t>
                  </w:r>
                </w:p>
                <w:p>
                  <w:pPr>
                    <w:snapToGrid w:val="0"/>
                    <w:spacing w:beforeLines="0" w:afterLines="0"/>
                    <w:jc w:val="center"/>
                    <w:rPr>
                      <w:rFonts w:hint="eastAsia"/>
                      <w:color w:val="auto"/>
                      <w:sz w:val="18"/>
                      <w:szCs w:val="18"/>
                    </w:rPr>
                  </w:pPr>
                  <w:r>
                    <w:rPr>
                      <w:rFonts w:hint="eastAsia"/>
                      <w:color w:val="auto"/>
                      <w:sz w:val="18"/>
                      <w:szCs w:val="18"/>
                    </w:rPr>
                    <w:t>设施</w:t>
                  </w:r>
                </w:p>
              </w:tc>
              <w:tc>
                <w:tcPr>
                  <w:tcW w:w="847"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eastAsia="宋体"/>
                      <w:color w:val="auto"/>
                      <w:sz w:val="18"/>
                      <w:szCs w:val="18"/>
                      <w:lang w:eastAsia="zh-CN"/>
                    </w:rPr>
                  </w:pPr>
                  <w:r>
                    <w:rPr>
                      <w:rFonts w:hint="eastAsia"/>
                      <w:color w:val="auto"/>
                      <w:sz w:val="18"/>
                      <w:szCs w:val="18"/>
                    </w:rPr>
                    <w:t>废水</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生活污水经厂区化粪池处理后</w:t>
                  </w:r>
                  <w:r>
                    <w:rPr>
                      <w:rFonts w:hint="eastAsia"/>
                      <w:color w:val="auto"/>
                      <w:sz w:val="18"/>
                      <w:szCs w:val="18"/>
                      <w:lang w:eastAsia="zh-CN"/>
                    </w:rPr>
                    <w:t>，由城市环卫部门定期处理</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2" w:hRule="atLeast"/>
                <w:jc w:val="center"/>
              </w:trPr>
              <w:tc>
                <w:tcPr>
                  <w:tcW w:w="55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847"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生产废水经三级隔油池处理后经过一体化设备处</w:t>
                  </w:r>
                </w:p>
                <w:p>
                  <w:pPr>
                    <w:snapToGrid w:val="0"/>
                    <w:spacing w:beforeLines="0" w:afterLines="0"/>
                    <w:jc w:val="center"/>
                    <w:rPr>
                      <w:rFonts w:hint="eastAsia"/>
                      <w:color w:val="auto"/>
                      <w:sz w:val="18"/>
                      <w:szCs w:val="18"/>
                    </w:rPr>
                  </w:pPr>
                  <w:r>
                    <w:rPr>
                      <w:rFonts w:hint="eastAsia"/>
                      <w:color w:val="auto"/>
                      <w:sz w:val="18"/>
                      <w:szCs w:val="18"/>
                    </w:rPr>
                    <w:t>理达 GB8978-1996 一级标准后回用于绿化浇灌。</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2" w:hRule="atLeast"/>
                <w:jc w:val="center"/>
              </w:trPr>
              <w:tc>
                <w:tcPr>
                  <w:tcW w:w="55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847"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废气</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eastAsia="宋体"/>
                      <w:color w:val="auto"/>
                      <w:sz w:val="18"/>
                      <w:szCs w:val="18"/>
                      <w:lang w:eastAsia="zh-CN"/>
                    </w:rPr>
                  </w:pPr>
                  <w:r>
                    <w:rPr>
                      <w:rFonts w:hint="eastAsia"/>
                      <w:color w:val="auto"/>
                      <w:sz w:val="18"/>
                      <w:szCs w:val="18"/>
                    </w:rPr>
                    <w:t>废油液挥发废气：</w:t>
                  </w:r>
                  <w:r>
                    <w:rPr>
                      <w:rFonts w:hint="eastAsia"/>
                      <w:color w:val="auto"/>
                      <w:sz w:val="18"/>
                      <w:szCs w:val="18"/>
                      <w:lang w:eastAsia="zh-CN"/>
                    </w:rPr>
                    <w:t>抽油设备附带油气回收装置</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2" w:hRule="atLeast"/>
                <w:jc w:val="center"/>
              </w:trPr>
              <w:tc>
                <w:tcPr>
                  <w:tcW w:w="55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847"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拆解粉尘：少量，加强通风、车间扩散</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55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84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噪声</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基座减振，合理布局，隔声墙</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3" w:hRule="atLeast"/>
                <w:jc w:val="center"/>
              </w:trPr>
              <w:tc>
                <w:tcPr>
                  <w:tcW w:w="55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251"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p>
                  <w:pPr>
                    <w:snapToGrid w:val="0"/>
                    <w:spacing w:beforeLines="0" w:afterLines="0"/>
                    <w:jc w:val="center"/>
                    <w:rPr>
                      <w:rFonts w:hint="eastAsia"/>
                      <w:color w:val="auto"/>
                      <w:sz w:val="18"/>
                      <w:szCs w:val="18"/>
                    </w:rPr>
                  </w:pPr>
                </w:p>
                <w:p>
                  <w:pPr>
                    <w:snapToGrid w:val="0"/>
                    <w:spacing w:beforeLines="0" w:afterLines="0"/>
                    <w:jc w:val="center"/>
                    <w:rPr>
                      <w:rFonts w:hint="eastAsia"/>
                      <w:color w:val="auto"/>
                      <w:sz w:val="18"/>
                      <w:szCs w:val="18"/>
                    </w:rPr>
                  </w:pPr>
                </w:p>
                <w:p>
                  <w:pPr>
                    <w:snapToGrid w:val="0"/>
                    <w:spacing w:beforeLines="0" w:afterLines="0"/>
                    <w:jc w:val="center"/>
                    <w:rPr>
                      <w:rFonts w:hint="eastAsia"/>
                      <w:color w:val="auto"/>
                      <w:sz w:val="18"/>
                      <w:szCs w:val="18"/>
                    </w:rPr>
                  </w:pPr>
                </w:p>
                <w:p>
                  <w:pPr>
                    <w:snapToGrid w:val="0"/>
                    <w:spacing w:beforeLines="0" w:afterLines="0"/>
                    <w:jc w:val="center"/>
                    <w:rPr>
                      <w:rFonts w:hint="eastAsia"/>
                      <w:color w:val="auto"/>
                      <w:sz w:val="18"/>
                      <w:szCs w:val="18"/>
                    </w:rPr>
                  </w:pPr>
                </w:p>
                <w:p>
                  <w:pPr>
                    <w:snapToGrid w:val="0"/>
                    <w:spacing w:beforeLines="0" w:afterLines="0"/>
                    <w:jc w:val="center"/>
                    <w:rPr>
                      <w:rFonts w:hint="eastAsia"/>
                      <w:color w:val="auto"/>
                      <w:sz w:val="18"/>
                      <w:szCs w:val="18"/>
                    </w:rPr>
                  </w:pPr>
                </w:p>
                <w:p>
                  <w:pPr>
                    <w:snapToGrid w:val="0"/>
                    <w:spacing w:beforeLines="0" w:afterLines="0"/>
                    <w:jc w:val="center"/>
                    <w:rPr>
                      <w:rFonts w:hint="eastAsia"/>
                      <w:color w:val="auto"/>
                      <w:sz w:val="18"/>
                      <w:szCs w:val="18"/>
                      <w:lang w:val="en-US"/>
                    </w:rPr>
                  </w:pPr>
                  <w:r>
                    <w:rPr>
                      <w:rFonts w:hint="eastAsia"/>
                      <w:color w:val="auto"/>
                      <w:sz w:val="18"/>
                      <w:szCs w:val="18"/>
                      <w:lang w:val="en-US"/>
                    </w:rPr>
                    <w:t>固体废物</w:t>
                  </w:r>
                </w:p>
              </w:tc>
              <w:tc>
                <w:tcPr>
                  <w:tcW w:w="59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一般</w:t>
                  </w:r>
                </w:p>
                <w:p>
                  <w:pPr>
                    <w:snapToGrid w:val="0"/>
                    <w:spacing w:beforeLines="0" w:afterLines="0"/>
                    <w:jc w:val="center"/>
                    <w:rPr>
                      <w:rFonts w:hint="eastAsia"/>
                      <w:color w:val="auto"/>
                      <w:sz w:val="18"/>
                      <w:szCs w:val="18"/>
                    </w:rPr>
                  </w:pPr>
                  <w:r>
                    <w:rPr>
                      <w:rFonts w:hint="eastAsia"/>
                      <w:color w:val="auto"/>
                      <w:sz w:val="18"/>
                      <w:szCs w:val="18"/>
                    </w:rPr>
                    <w:t>固废</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afterLines="0"/>
                    <w:ind w:left="21" w:leftChars="10"/>
                    <w:textAlignment w:val="auto"/>
                    <w:rPr>
                      <w:rFonts w:hint="eastAsia"/>
                      <w:color w:val="auto"/>
                      <w:sz w:val="18"/>
                      <w:szCs w:val="18"/>
                    </w:rPr>
                  </w:pPr>
                  <w:r>
                    <w:rPr>
                      <w:rFonts w:hint="eastAsia"/>
                      <w:color w:val="auto"/>
                      <w:sz w:val="18"/>
                      <w:szCs w:val="18"/>
                    </w:rPr>
                    <w:t>钢铁、有色金属、废电线电缆、废塑料、废玻璃、废橡胶等分类收集暂存于一般工业固废暂存间，定期外售或废旧资源回收部门回收利用</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8" w:hRule="atLeast"/>
                <w:jc w:val="center"/>
              </w:trPr>
              <w:tc>
                <w:tcPr>
                  <w:tcW w:w="55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251"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59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afterLines="0"/>
                    <w:ind w:left="21" w:leftChars="10"/>
                    <w:textAlignment w:val="auto"/>
                    <w:rPr>
                      <w:rFonts w:hint="eastAsia"/>
                      <w:color w:val="auto"/>
                      <w:sz w:val="18"/>
                      <w:szCs w:val="18"/>
                    </w:rPr>
                  </w:pPr>
                  <w:r>
                    <w:rPr>
                      <w:rFonts w:hint="eastAsia"/>
                      <w:color w:val="auto"/>
                      <w:sz w:val="18"/>
                      <w:szCs w:val="18"/>
                    </w:rPr>
                    <w:t>废动力电池组和废安全气囊分别交由有资质的单位回收处理，不可利用材料收集暂存后和生活垃圾一起交由环卫部门处理</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04" w:hRule="atLeast"/>
                <w:jc w:val="center"/>
              </w:trPr>
              <w:tc>
                <w:tcPr>
                  <w:tcW w:w="55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251"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5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危险</w:t>
                  </w:r>
                </w:p>
                <w:p>
                  <w:pPr>
                    <w:snapToGrid w:val="0"/>
                    <w:spacing w:beforeLines="0" w:afterLines="0"/>
                    <w:jc w:val="center"/>
                    <w:rPr>
                      <w:rFonts w:hint="eastAsia"/>
                      <w:color w:val="auto"/>
                      <w:sz w:val="18"/>
                      <w:szCs w:val="18"/>
                    </w:rPr>
                  </w:pPr>
                  <w:r>
                    <w:rPr>
                      <w:rFonts w:hint="eastAsia"/>
                      <w:color w:val="auto"/>
                      <w:sz w:val="18"/>
                      <w:szCs w:val="18"/>
                    </w:rPr>
                    <w:t>废物</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Lines="0" w:afterLines="0"/>
                    <w:ind w:left="21" w:leftChars="10"/>
                    <w:textAlignment w:val="auto"/>
                    <w:rPr>
                      <w:rFonts w:hint="eastAsia"/>
                      <w:color w:val="auto"/>
                      <w:sz w:val="18"/>
                      <w:szCs w:val="18"/>
                    </w:rPr>
                  </w:pPr>
                  <w:r>
                    <w:rPr>
                      <w:rFonts w:hint="eastAsia"/>
                      <w:color w:val="auto"/>
                      <w:sz w:val="18"/>
                      <w:szCs w:val="18"/>
                    </w:rPr>
                    <w:t>废蓄电池、废尾气净化装置（含催化剂）、废线路板、废空调制冷剂、废液化气罐、废油液、含铅部件、含汞开关、隔油池废油、废含油手套抹布等分类收集后暂存于危废暂存间，交由有资质的单位处理</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p>
                  <w:pPr>
                    <w:snapToGrid w:val="0"/>
                    <w:spacing w:beforeLines="0" w:afterLines="0"/>
                    <w:jc w:val="center"/>
                    <w:rPr>
                      <w:rFonts w:hint="eastAsia"/>
                      <w:color w:val="auto"/>
                      <w:sz w:val="18"/>
                      <w:szCs w:val="18"/>
                    </w:rPr>
                  </w:pPr>
                </w:p>
                <w:p>
                  <w:pPr>
                    <w:snapToGrid w:val="0"/>
                    <w:spacing w:beforeLines="0" w:afterLines="0"/>
                    <w:jc w:val="center"/>
                    <w:rPr>
                      <w:rFonts w:hint="eastAsia"/>
                      <w:color w:val="auto"/>
                      <w:sz w:val="18"/>
                      <w:szCs w:val="18"/>
                    </w:rPr>
                  </w:pPr>
                  <w:r>
                    <w:rPr>
                      <w:rFonts w:hint="eastAsia"/>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9" w:hRule="atLeast"/>
                <w:jc w:val="center"/>
              </w:trPr>
              <w:tc>
                <w:tcPr>
                  <w:tcW w:w="55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251"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p>
              </w:tc>
              <w:tc>
                <w:tcPr>
                  <w:tcW w:w="5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生活</w:t>
                  </w:r>
                </w:p>
                <w:p>
                  <w:pPr>
                    <w:snapToGrid w:val="0"/>
                    <w:spacing w:beforeLines="0" w:afterLines="0"/>
                    <w:jc w:val="center"/>
                    <w:rPr>
                      <w:rFonts w:hint="eastAsia"/>
                      <w:color w:val="auto"/>
                      <w:sz w:val="18"/>
                      <w:szCs w:val="18"/>
                    </w:rPr>
                  </w:pPr>
                  <w:r>
                    <w:rPr>
                      <w:rFonts w:hint="eastAsia"/>
                      <w:color w:val="auto"/>
                      <w:sz w:val="18"/>
                      <w:szCs w:val="18"/>
                    </w:rPr>
                    <w:t>垃圾</w:t>
                  </w:r>
                </w:p>
              </w:tc>
              <w:tc>
                <w:tcPr>
                  <w:tcW w:w="40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集中收集后由环卫部门统一清运处理</w:t>
                  </w:r>
                </w:p>
              </w:tc>
              <w:tc>
                <w:tcPr>
                  <w:tcW w:w="21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napToGrid w:val="0"/>
                    <w:spacing w:beforeLines="0" w:afterLines="0"/>
                    <w:jc w:val="center"/>
                    <w:rPr>
                      <w:rFonts w:hint="eastAsia"/>
                      <w:color w:val="auto"/>
                      <w:sz w:val="18"/>
                      <w:szCs w:val="18"/>
                    </w:rPr>
                  </w:pPr>
                  <w:r>
                    <w:rPr>
                      <w:rFonts w:hint="eastAsia"/>
                      <w:color w:val="auto"/>
                      <w:sz w:val="18"/>
                      <w:szCs w:val="18"/>
                    </w:rPr>
                    <w:t>/</w:t>
                  </w:r>
                </w:p>
              </w:tc>
            </w:tr>
          </w:tbl>
          <w:p>
            <w:pPr>
              <w:adjustRightInd w:val="0"/>
              <w:snapToGrid w:val="0"/>
              <w:spacing w:line="360" w:lineRule="auto"/>
              <w:rPr>
                <w:b/>
                <w:bCs/>
                <w:color w:val="auto"/>
                <w:szCs w:val="21"/>
              </w:rPr>
            </w:pPr>
          </w:p>
          <w:p>
            <w:pPr>
              <w:adjustRightInd w:val="0"/>
              <w:snapToGrid w:val="0"/>
              <w:spacing w:line="360" w:lineRule="auto"/>
              <w:rPr>
                <w:b/>
                <w:bCs/>
                <w:color w:val="auto"/>
                <w:szCs w:val="21"/>
              </w:rPr>
            </w:pPr>
            <w:r>
              <w:rPr>
                <w:b/>
                <w:bCs/>
                <w:color w:val="auto"/>
                <w:szCs w:val="21"/>
              </w:rPr>
              <w:t>4、主要生产设施及设施参数</w:t>
            </w:r>
          </w:p>
          <w:p>
            <w:pPr>
              <w:pStyle w:val="6"/>
              <w:spacing w:after="0" w:line="360" w:lineRule="auto"/>
              <w:ind w:firstLineChars="200"/>
              <w:rPr>
                <w:color w:val="auto"/>
              </w:rPr>
            </w:pPr>
            <w:r>
              <w:rPr>
                <w:color w:val="auto"/>
              </w:rPr>
              <w:t>本项目主要生产设备见表2-</w:t>
            </w:r>
            <w:r>
              <w:rPr>
                <w:rFonts w:hint="eastAsia"/>
                <w:color w:val="auto"/>
                <w:lang w:val="en-US" w:eastAsia="zh-CN"/>
              </w:rPr>
              <w:t>2</w:t>
            </w:r>
            <w:r>
              <w:rPr>
                <w:color w:val="auto"/>
              </w:rPr>
              <w:t>。</w:t>
            </w:r>
          </w:p>
          <w:p>
            <w:pPr>
              <w:pStyle w:val="9"/>
              <w:ind w:firstLine="210"/>
              <w:rPr>
                <w:color w:val="auto"/>
                <w:sz w:val="21"/>
              </w:rPr>
            </w:pPr>
            <w:r>
              <w:rPr>
                <w:color w:val="auto"/>
                <w:sz w:val="21"/>
              </w:rPr>
              <w:t>表</w:t>
            </w:r>
            <w:r>
              <w:rPr>
                <w:color w:val="auto"/>
                <w:sz w:val="21"/>
                <w:lang w:eastAsia="zh-CN"/>
              </w:rPr>
              <w:t>2-</w:t>
            </w:r>
            <w:r>
              <w:rPr>
                <w:rFonts w:hint="eastAsia"/>
                <w:color w:val="auto"/>
                <w:sz w:val="21"/>
                <w:lang w:val="en-US" w:eastAsia="zh-CN"/>
              </w:rPr>
              <w:t>2</w:t>
            </w:r>
            <w:r>
              <w:rPr>
                <w:color w:val="auto"/>
                <w:sz w:val="21"/>
              </w:rPr>
              <w:t xml:space="preserve">  项目主要设备一览表</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27"/>
              <w:gridCol w:w="2730"/>
              <w:gridCol w:w="955"/>
              <w:gridCol w:w="914"/>
              <w:gridCol w:w="25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0" w:hRule="atLeast"/>
                <w:jc w:val="center"/>
              </w:trPr>
              <w:tc>
                <w:tcPr>
                  <w:tcW w:w="827" w:type="dxa"/>
                  <w:tcBorders>
                    <w:tl2br w:val="nil"/>
                    <w:tr2bl w:val="nil"/>
                  </w:tcBorders>
                </w:tcPr>
                <w:p>
                  <w:pPr>
                    <w:pStyle w:val="59"/>
                    <w:spacing w:before="58"/>
                    <w:ind w:right="180"/>
                    <w:jc w:val="center"/>
                    <w:rPr>
                      <w:rFonts w:hint="eastAsia" w:ascii="宋体" w:hAnsi="宋体" w:eastAsia="宋体" w:cs="宋体"/>
                      <w:b/>
                      <w:color w:val="auto"/>
                      <w:spacing w:val="0"/>
                      <w:w w:val="100"/>
                      <w:sz w:val="21"/>
                    </w:rPr>
                  </w:pPr>
                  <w:r>
                    <w:rPr>
                      <w:rFonts w:hint="eastAsia" w:ascii="宋体" w:hAnsi="宋体" w:eastAsia="宋体" w:cs="宋体"/>
                      <w:b/>
                      <w:color w:val="auto"/>
                      <w:spacing w:val="0"/>
                      <w:w w:val="100"/>
                      <w:sz w:val="21"/>
                      <w:lang w:val="en-US" w:eastAsia="zh-CN"/>
                    </w:rPr>
                    <w:t xml:space="preserve">  </w:t>
                  </w:r>
                  <w:r>
                    <w:rPr>
                      <w:rFonts w:hint="eastAsia" w:ascii="宋体" w:hAnsi="宋体" w:eastAsia="宋体" w:cs="宋体"/>
                      <w:b/>
                      <w:color w:val="auto"/>
                      <w:spacing w:val="0"/>
                      <w:w w:val="100"/>
                      <w:sz w:val="21"/>
                    </w:rPr>
                    <w:t>序号</w:t>
                  </w:r>
                </w:p>
              </w:tc>
              <w:tc>
                <w:tcPr>
                  <w:tcW w:w="2730" w:type="dxa"/>
                  <w:tcBorders>
                    <w:tl2br w:val="nil"/>
                    <w:tr2bl w:val="nil"/>
                  </w:tcBorders>
                </w:tcPr>
                <w:p>
                  <w:pPr>
                    <w:pStyle w:val="59"/>
                    <w:spacing w:before="58"/>
                    <w:ind w:left="74" w:right="48"/>
                    <w:rPr>
                      <w:rFonts w:hint="eastAsia" w:ascii="宋体" w:hAnsi="宋体" w:eastAsia="宋体" w:cs="宋体"/>
                      <w:b/>
                      <w:color w:val="auto"/>
                      <w:spacing w:val="0"/>
                      <w:w w:val="100"/>
                      <w:sz w:val="21"/>
                    </w:rPr>
                  </w:pPr>
                  <w:r>
                    <w:rPr>
                      <w:rFonts w:hint="eastAsia" w:ascii="宋体" w:hAnsi="宋体" w:eastAsia="宋体" w:cs="宋体"/>
                      <w:b/>
                      <w:color w:val="auto"/>
                      <w:spacing w:val="0"/>
                      <w:w w:val="100"/>
                      <w:sz w:val="21"/>
                    </w:rPr>
                    <w:t>名 称</w:t>
                  </w:r>
                </w:p>
              </w:tc>
              <w:tc>
                <w:tcPr>
                  <w:tcW w:w="955" w:type="dxa"/>
                  <w:tcBorders>
                    <w:tl2br w:val="nil"/>
                    <w:tr2bl w:val="nil"/>
                  </w:tcBorders>
                </w:tcPr>
                <w:p>
                  <w:pPr>
                    <w:pStyle w:val="59"/>
                    <w:spacing w:before="58"/>
                    <w:ind w:left="274" w:right="247"/>
                    <w:rPr>
                      <w:rFonts w:hint="eastAsia" w:ascii="宋体" w:hAnsi="宋体" w:eastAsia="宋体" w:cs="宋体"/>
                      <w:b/>
                      <w:color w:val="auto"/>
                      <w:spacing w:val="0"/>
                      <w:w w:val="100"/>
                      <w:sz w:val="21"/>
                    </w:rPr>
                  </w:pPr>
                  <w:r>
                    <w:rPr>
                      <w:rFonts w:hint="eastAsia" w:ascii="宋体" w:hAnsi="宋体" w:eastAsia="宋体" w:cs="宋体"/>
                      <w:b/>
                      <w:color w:val="auto"/>
                      <w:spacing w:val="0"/>
                      <w:w w:val="100"/>
                      <w:sz w:val="21"/>
                    </w:rPr>
                    <w:t>型号</w:t>
                  </w:r>
                </w:p>
              </w:tc>
              <w:tc>
                <w:tcPr>
                  <w:tcW w:w="914" w:type="dxa"/>
                  <w:tcBorders>
                    <w:tl2br w:val="nil"/>
                    <w:tr2bl w:val="nil"/>
                  </w:tcBorders>
                </w:tcPr>
                <w:p>
                  <w:pPr>
                    <w:pStyle w:val="59"/>
                    <w:spacing w:before="58"/>
                    <w:ind w:left="255" w:right="225"/>
                    <w:rPr>
                      <w:rFonts w:hint="eastAsia" w:ascii="宋体" w:hAnsi="宋体" w:eastAsia="宋体" w:cs="宋体"/>
                      <w:b/>
                      <w:color w:val="auto"/>
                      <w:spacing w:val="0"/>
                      <w:w w:val="100"/>
                      <w:sz w:val="21"/>
                    </w:rPr>
                  </w:pPr>
                  <w:r>
                    <w:rPr>
                      <w:rFonts w:hint="eastAsia" w:ascii="宋体" w:hAnsi="宋体" w:eastAsia="宋体" w:cs="宋体"/>
                      <w:b/>
                      <w:color w:val="auto"/>
                      <w:spacing w:val="0"/>
                      <w:w w:val="100"/>
                      <w:sz w:val="21"/>
                    </w:rPr>
                    <w:t>数量</w:t>
                  </w:r>
                </w:p>
              </w:tc>
              <w:tc>
                <w:tcPr>
                  <w:tcW w:w="2509" w:type="dxa"/>
                  <w:tcBorders>
                    <w:tl2br w:val="nil"/>
                    <w:tr2bl w:val="nil"/>
                  </w:tcBorders>
                </w:tcPr>
                <w:p>
                  <w:pPr>
                    <w:pStyle w:val="59"/>
                    <w:spacing w:before="58"/>
                    <w:ind w:left="870" w:right="849"/>
                    <w:rPr>
                      <w:rFonts w:hint="eastAsia" w:ascii="宋体" w:hAnsi="宋体" w:eastAsia="宋体" w:cs="宋体"/>
                      <w:b/>
                      <w:color w:val="auto"/>
                      <w:spacing w:val="0"/>
                      <w:w w:val="100"/>
                      <w:sz w:val="21"/>
                    </w:rPr>
                  </w:pPr>
                  <w:r>
                    <w:rPr>
                      <w:rFonts w:hint="eastAsia" w:ascii="宋体" w:hAnsi="宋体" w:eastAsia="宋体" w:cs="宋体"/>
                      <w:b/>
                      <w:color w:val="auto"/>
                      <w:spacing w:val="0"/>
                      <w:w w:val="100"/>
                      <w:sz w:val="21"/>
                    </w:rPr>
                    <w:t>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827" w:type="dxa"/>
                  <w:tcBorders>
                    <w:tl2br w:val="nil"/>
                    <w:tr2bl w:val="nil"/>
                  </w:tcBorders>
                </w:tcPr>
                <w:p>
                  <w:pPr>
                    <w:pStyle w:val="59"/>
                    <w:spacing w:before="149"/>
                    <w:ind w:left="37"/>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1</w:t>
                  </w:r>
                </w:p>
              </w:tc>
              <w:tc>
                <w:tcPr>
                  <w:tcW w:w="2730" w:type="dxa"/>
                  <w:tcBorders>
                    <w:tl2br w:val="nil"/>
                    <w:tr2bl w:val="nil"/>
                  </w:tcBorders>
                </w:tcPr>
                <w:p>
                  <w:pPr>
                    <w:pStyle w:val="59"/>
                    <w:spacing w:before="135"/>
                    <w:ind w:left="72" w:right="48"/>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预处理平台</w:t>
                  </w:r>
                </w:p>
              </w:tc>
              <w:tc>
                <w:tcPr>
                  <w:tcW w:w="955" w:type="dxa"/>
                  <w:tcBorders>
                    <w:tl2br w:val="nil"/>
                    <w:tr2bl w:val="nil"/>
                  </w:tcBorders>
                </w:tcPr>
                <w:p>
                  <w:pPr>
                    <w:pStyle w:val="59"/>
                    <w:spacing w:before="149"/>
                    <w:ind w:left="29"/>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w:t>
                  </w:r>
                </w:p>
              </w:tc>
              <w:tc>
                <w:tcPr>
                  <w:tcW w:w="914" w:type="dxa"/>
                  <w:tcBorders>
                    <w:tl2br w:val="nil"/>
                    <w:tr2bl w:val="nil"/>
                  </w:tcBorders>
                </w:tcPr>
                <w:p>
                  <w:pPr>
                    <w:pStyle w:val="59"/>
                    <w:spacing w:before="149"/>
                    <w:ind w:left="27"/>
                    <w:rPr>
                      <w:rFonts w:hint="eastAsia" w:ascii="宋体" w:hAnsi="宋体" w:eastAsia="宋体" w:cs="宋体"/>
                      <w:color w:val="auto"/>
                      <w:spacing w:val="0"/>
                      <w:w w:val="100"/>
                      <w:sz w:val="21"/>
                      <w:lang w:eastAsia="zh-CN"/>
                    </w:rPr>
                  </w:pPr>
                  <w:r>
                    <w:rPr>
                      <w:rFonts w:hint="eastAsia" w:ascii="宋体" w:hAnsi="宋体" w:eastAsia="宋体" w:cs="宋体"/>
                      <w:color w:val="auto"/>
                      <w:spacing w:val="0"/>
                      <w:w w:val="100"/>
                      <w:sz w:val="21"/>
                    </w:rPr>
                    <w:t>2</w:t>
                  </w:r>
                  <w:r>
                    <w:rPr>
                      <w:rFonts w:hint="eastAsia" w:ascii="宋体" w:hAnsi="宋体" w:eastAsia="宋体" w:cs="宋体"/>
                      <w:color w:val="auto"/>
                      <w:spacing w:val="0"/>
                      <w:w w:val="100"/>
                      <w:sz w:val="21"/>
                      <w:lang w:eastAsia="zh-CN"/>
                    </w:rPr>
                    <w:t>台</w:t>
                  </w:r>
                </w:p>
              </w:tc>
              <w:tc>
                <w:tcPr>
                  <w:tcW w:w="2509" w:type="dxa"/>
                  <w:tcBorders>
                    <w:tl2br w:val="nil"/>
                    <w:tr2bl w:val="nil"/>
                  </w:tcBorders>
                </w:tcPr>
                <w:p>
                  <w:pPr>
                    <w:pStyle w:val="59"/>
                    <w:spacing w:before="1"/>
                    <w:ind w:left="116" w:right="-15"/>
                    <w:jc w:val="left"/>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回收废油液（汽油、柴油、</w:t>
                  </w:r>
                </w:p>
                <w:p>
                  <w:pPr>
                    <w:pStyle w:val="59"/>
                    <w:spacing w:before="2" w:line="253" w:lineRule="exact"/>
                    <w:ind w:left="157"/>
                    <w:jc w:val="left"/>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机油）、冷媒等，并存储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827" w:type="dxa"/>
                  <w:tcBorders>
                    <w:tl2br w:val="nil"/>
                    <w:tr2bl w:val="nil"/>
                  </w:tcBorders>
                </w:tcPr>
                <w:p>
                  <w:pPr>
                    <w:pStyle w:val="59"/>
                    <w:spacing w:before="55"/>
                    <w:ind w:left="37"/>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2</w:t>
                  </w:r>
                </w:p>
              </w:tc>
              <w:tc>
                <w:tcPr>
                  <w:tcW w:w="2730" w:type="dxa"/>
                  <w:tcBorders>
                    <w:tl2br w:val="nil"/>
                    <w:tr2bl w:val="nil"/>
                  </w:tcBorders>
                </w:tcPr>
                <w:p>
                  <w:pPr>
                    <w:pStyle w:val="59"/>
                    <w:spacing w:before="41"/>
                    <w:ind w:left="72" w:right="48"/>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发动机总成拆解平台</w:t>
                  </w:r>
                </w:p>
              </w:tc>
              <w:tc>
                <w:tcPr>
                  <w:tcW w:w="955" w:type="dxa"/>
                  <w:tcBorders>
                    <w:tl2br w:val="nil"/>
                    <w:tr2bl w:val="nil"/>
                  </w:tcBorders>
                </w:tcPr>
                <w:p>
                  <w:pPr>
                    <w:pStyle w:val="59"/>
                    <w:spacing w:before="55"/>
                    <w:ind w:left="29"/>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w:t>
                  </w:r>
                </w:p>
              </w:tc>
              <w:tc>
                <w:tcPr>
                  <w:tcW w:w="914" w:type="dxa"/>
                  <w:tcBorders>
                    <w:tl2br w:val="nil"/>
                    <w:tr2bl w:val="nil"/>
                  </w:tcBorders>
                </w:tcPr>
                <w:p>
                  <w:pPr>
                    <w:pStyle w:val="59"/>
                    <w:spacing w:before="55"/>
                    <w:ind w:left="27"/>
                    <w:rPr>
                      <w:rFonts w:hint="eastAsia" w:ascii="宋体" w:hAnsi="宋体" w:eastAsia="宋体" w:cs="宋体"/>
                      <w:color w:val="auto"/>
                      <w:spacing w:val="0"/>
                      <w:w w:val="100"/>
                      <w:sz w:val="21"/>
                      <w:lang w:eastAsia="zh-CN"/>
                    </w:rPr>
                  </w:pPr>
                  <w:r>
                    <w:rPr>
                      <w:rFonts w:hint="eastAsia" w:ascii="宋体" w:hAnsi="宋体" w:eastAsia="宋体" w:cs="宋体"/>
                      <w:color w:val="auto"/>
                      <w:spacing w:val="0"/>
                      <w:w w:val="100"/>
                      <w:sz w:val="21"/>
                    </w:rPr>
                    <w:t>2</w:t>
                  </w:r>
                  <w:r>
                    <w:rPr>
                      <w:rFonts w:hint="eastAsia" w:ascii="宋体" w:hAnsi="宋体" w:eastAsia="宋体" w:cs="宋体"/>
                      <w:color w:val="auto"/>
                      <w:spacing w:val="0"/>
                      <w:w w:val="100"/>
                      <w:sz w:val="21"/>
                      <w:lang w:eastAsia="zh-CN"/>
                    </w:rPr>
                    <w:t>台</w:t>
                  </w:r>
                </w:p>
              </w:tc>
              <w:tc>
                <w:tcPr>
                  <w:tcW w:w="2509" w:type="dxa"/>
                  <w:tcBorders>
                    <w:tl2br w:val="nil"/>
                    <w:tr2bl w:val="nil"/>
                  </w:tcBorders>
                </w:tcPr>
                <w:p>
                  <w:pPr>
                    <w:pStyle w:val="59"/>
                    <w:spacing w:before="41"/>
                    <w:ind w:left="870" w:right="851"/>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827" w:type="dxa"/>
                  <w:tcBorders>
                    <w:tl2br w:val="nil"/>
                    <w:tr2bl w:val="nil"/>
                  </w:tcBorders>
                  <w:vAlign w:val="top"/>
                </w:tcPr>
                <w:p>
                  <w:pPr>
                    <w:pStyle w:val="59"/>
                    <w:spacing w:before="54"/>
                    <w:ind w:left="37" w:lef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3</w:t>
                  </w:r>
                </w:p>
              </w:tc>
              <w:tc>
                <w:tcPr>
                  <w:tcW w:w="2730" w:type="dxa"/>
                  <w:tcBorders>
                    <w:tl2br w:val="nil"/>
                    <w:tr2bl w:val="nil"/>
                  </w:tcBorders>
                </w:tcPr>
                <w:p>
                  <w:pPr>
                    <w:pStyle w:val="59"/>
                    <w:spacing w:before="41"/>
                    <w:ind w:left="72" w:right="48"/>
                    <w:rPr>
                      <w:rFonts w:hint="eastAsia" w:ascii="宋体" w:hAnsi="宋体" w:eastAsia="宋体" w:cs="宋体"/>
                      <w:color w:val="auto"/>
                      <w:spacing w:val="0"/>
                      <w:w w:val="100"/>
                      <w:sz w:val="21"/>
                      <w:lang w:val="en-US" w:eastAsia="zh-CN"/>
                    </w:rPr>
                  </w:pPr>
                  <w:r>
                    <w:rPr>
                      <w:rFonts w:hint="eastAsia" w:ascii="宋体" w:hAnsi="宋体" w:eastAsia="宋体" w:cs="宋体"/>
                      <w:color w:val="auto"/>
                      <w:spacing w:val="0"/>
                      <w:w w:val="100"/>
                      <w:sz w:val="21"/>
                      <w:lang w:val="en-US" w:eastAsia="zh-CN"/>
                    </w:rPr>
                    <w:t>举升机</w:t>
                  </w:r>
                </w:p>
              </w:tc>
              <w:tc>
                <w:tcPr>
                  <w:tcW w:w="955" w:type="dxa"/>
                  <w:tcBorders>
                    <w:tl2br w:val="nil"/>
                    <w:tr2bl w:val="nil"/>
                  </w:tcBorders>
                </w:tcPr>
                <w:p>
                  <w:pPr>
                    <w:pStyle w:val="59"/>
                    <w:spacing w:before="55"/>
                    <w:ind w:left="29"/>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w:t>
                  </w:r>
                </w:p>
              </w:tc>
              <w:tc>
                <w:tcPr>
                  <w:tcW w:w="914" w:type="dxa"/>
                  <w:tcBorders>
                    <w:tl2br w:val="nil"/>
                    <w:tr2bl w:val="nil"/>
                  </w:tcBorders>
                </w:tcPr>
                <w:p>
                  <w:pPr>
                    <w:pStyle w:val="59"/>
                    <w:spacing w:before="55"/>
                    <w:ind w:left="27"/>
                    <w:rPr>
                      <w:rFonts w:hint="eastAsia" w:ascii="宋体" w:hAnsi="宋体" w:eastAsia="宋体" w:cs="宋体"/>
                      <w:color w:val="auto"/>
                      <w:spacing w:val="0"/>
                      <w:w w:val="100"/>
                      <w:sz w:val="21"/>
                      <w:lang w:val="en-US" w:eastAsia="zh-CN"/>
                    </w:rPr>
                  </w:pPr>
                  <w:r>
                    <w:rPr>
                      <w:rFonts w:hint="eastAsia" w:ascii="宋体" w:hAnsi="宋体" w:eastAsia="宋体" w:cs="宋体"/>
                      <w:color w:val="auto"/>
                      <w:spacing w:val="0"/>
                      <w:w w:val="100"/>
                      <w:sz w:val="21"/>
                      <w:lang w:val="en-US" w:eastAsia="zh-CN"/>
                    </w:rPr>
                    <w:t>1台</w:t>
                  </w:r>
                </w:p>
              </w:tc>
              <w:tc>
                <w:tcPr>
                  <w:tcW w:w="2509" w:type="dxa"/>
                  <w:tcBorders>
                    <w:tl2br w:val="nil"/>
                    <w:tr2bl w:val="nil"/>
                  </w:tcBorders>
                </w:tcPr>
                <w:p>
                  <w:pPr>
                    <w:pStyle w:val="59"/>
                    <w:spacing w:before="41"/>
                    <w:ind w:left="870" w:right="851"/>
                    <w:rPr>
                      <w:rFonts w:hint="eastAsia" w:ascii="宋体" w:hAnsi="宋体" w:eastAsia="宋体" w:cs="宋体"/>
                      <w:color w:val="auto"/>
                      <w:spacing w:val="0"/>
                      <w:w w:val="100"/>
                      <w:sz w:val="21"/>
                      <w:lang w:eastAsia="zh-CN"/>
                    </w:rPr>
                  </w:pPr>
                  <w:r>
                    <w:rPr>
                      <w:rFonts w:hint="eastAsia" w:ascii="宋体" w:hAnsi="宋体" w:eastAsia="宋体" w:cs="宋体"/>
                      <w:color w:val="auto"/>
                      <w:spacing w:val="0"/>
                      <w:w w:val="100"/>
                      <w:sz w:val="21"/>
                    </w:rPr>
                    <w:t>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827" w:type="dxa"/>
                  <w:tcBorders>
                    <w:tl2br w:val="nil"/>
                    <w:tr2bl w:val="nil"/>
                  </w:tcBorders>
                  <w:vAlign w:val="top"/>
                </w:tcPr>
                <w:p>
                  <w:pPr>
                    <w:pStyle w:val="59"/>
                    <w:spacing w:before="54"/>
                    <w:ind w:left="37" w:lef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4</w:t>
                  </w:r>
                </w:p>
              </w:tc>
              <w:tc>
                <w:tcPr>
                  <w:tcW w:w="2730" w:type="dxa"/>
                  <w:tcBorders>
                    <w:tl2br w:val="nil"/>
                    <w:tr2bl w:val="nil"/>
                  </w:tcBorders>
                </w:tcPr>
                <w:p>
                  <w:pPr>
                    <w:pStyle w:val="59"/>
                    <w:spacing w:before="41"/>
                    <w:ind w:left="72" w:right="48"/>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安全气囊引爆设备</w:t>
                  </w:r>
                </w:p>
              </w:tc>
              <w:tc>
                <w:tcPr>
                  <w:tcW w:w="955" w:type="dxa"/>
                  <w:tcBorders>
                    <w:tl2br w:val="nil"/>
                    <w:tr2bl w:val="nil"/>
                  </w:tcBorders>
                </w:tcPr>
                <w:p>
                  <w:pPr>
                    <w:pStyle w:val="59"/>
                    <w:spacing w:before="54"/>
                    <w:ind w:left="29"/>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w:t>
                  </w:r>
                </w:p>
              </w:tc>
              <w:tc>
                <w:tcPr>
                  <w:tcW w:w="914" w:type="dxa"/>
                  <w:tcBorders>
                    <w:tl2br w:val="nil"/>
                    <w:tr2bl w:val="nil"/>
                  </w:tcBorders>
                </w:tcPr>
                <w:p>
                  <w:pPr>
                    <w:pStyle w:val="59"/>
                    <w:spacing w:before="54"/>
                    <w:ind w:left="27"/>
                    <w:rPr>
                      <w:rFonts w:hint="eastAsia" w:ascii="宋体" w:hAnsi="宋体" w:eastAsia="宋体" w:cs="宋体"/>
                      <w:color w:val="auto"/>
                      <w:spacing w:val="0"/>
                      <w:w w:val="100"/>
                      <w:sz w:val="21"/>
                      <w:lang w:eastAsia="zh-CN"/>
                    </w:rPr>
                  </w:pPr>
                  <w:r>
                    <w:rPr>
                      <w:rFonts w:hint="eastAsia" w:ascii="宋体" w:hAnsi="宋体" w:eastAsia="宋体" w:cs="宋体"/>
                      <w:color w:val="auto"/>
                      <w:spacing w:val="0"/>
                      <w:w w:val="100"/>
                      <w:sz w:val="21"/>
                    </w:rPr>
                    <w:t>2</w:t>
                  </w:r>
                  <w:r>
                    <w:rPr>
                      <w:rFonts w:hint="eastAsia" w:ascii="宋体" w:hAnsi="宋体" w:eastAsia="宋体" w:cs="宋体"/>
                      <w:color w:val="auto"/>
                      <w:spacing w:val="0"/>
                      <w:w w:val="100"/>
                      <w:sz w:val="21"/>
                      <w:lang w:eastAsia="zh-CN"/>
                    </w:rPr>
                    <w:t>套</w:t>
                  </w:r>
                </w:p>
              </w:tc>
              <w:tc>
                <w:tcPr>
                  <w:tcW w:w="2509" w:type="dxa"/>
                  <w:tcBorders>
                    <w:tl2br w:val="nil"/>
                    <w:tr2bl w:val="nil"/>
                  </w:tcBorders>
                </w:tcPr>
                <w:p>
                  <w:pPr>
                    <w:pStyle w:val="59"/>
                    <w:spacing w:before="41"/>
                    <w:ind w:left="870" w:right="851"/>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827" w:type="dxa"/>
                  <w:tcBorders>
                    <w:tl2br w:val="nil"/>
                    <w:tr2bl w:val="nil"/>
                  </w:tcBorders>
                  <w:vAlign w:val="top"/>
                </w:tcPr>
                <w:p>
                  <w:pPr>
                    <w:pStyle w:val="59"/>
                    <w:spacing w:before="54"/>
                    <w:ind w:left="37" w:leftChars="0"/>
                    <w:rPr>
                      <w:rFonts w:hint="eastAsia" w:ascii="宋体" w:hAnsi="宋体" w:eastAsia="宋体" w:cs="宋体"/>
                      <w:color w:val="auto"/>
                      <w:spacing w:val="0"/>
                      <w:w w:val="100"/>
                      <w:kern w:val="2"/>
                      <w:sz w:val="21"/>
                      <w:szCs w:val="24"/>
                      <w:lang w:val="en-US" w:eastAsia="zh-CN" w:bidi="zh-CN"/>
                    </w:rPr>
                  </w:pPr>
                  <w:r>
                    <w:rPr>
                      <w:rFonts w:hint="eastAsia" w:ascii="宋体" w:hAnsi="宋体" w:eastAsia="宋体" w:cs="宋体"/>
                      <w:color w:val="auto"/>
                      <w:spacing w:val="0"/>
                      <w:w w:val="100"/>
                      <w:sz w:val="21"/>
                      <w:lang w:val="en-US" w:eastAsia="zh-CN"/>
                    </w:rPr>
                    <w:t>5</w:t>
                  </w:r>
                </w:p>
              </w:tc>
              <w:tc>
                <w:tcPr>
                  <w:tcW w:w="2730" w:type="dxa"/>
                  <w:tcBorders>
                    <w:tl2br w:val="nil"/>
                    <w:tr2bl w:val="nil"/>
                  </w:tcBorders>
                </w:tcPr>
                <w:p>
                  <w:pPr>
                    <w:pStyle w:val="59"/>
                    <w:spacing w:before="40"/>
                    <w:ind w:left="72" w:right="48"/>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液压大力剪（含平衡装置）</w:t>
                  </w:r>
                </w:p>
              </w:tc>
              <w:tc>
                <w:tcPr>
                  <w:tcW w:w="955" w:type="dxa"/>
                  <w:tcBorders>
                    <w:tl2br w:val="nil"/>
                    <w:tr2bl w:val="nil"/>
                  </w:tcBorders>
                </w:tcPr>
                <w:p>
                  <w:pPr>
                    <w:pStyle w:val="59"/>
                    <w:spacing w:before="54"/>
                    <w:ind w:left="29"/>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w:t>
                  </w:r>
                </w:p>
              </w:tc>
              <w:tc>
                <w:tcPr>
                  <w:tcW w:w="914" w:type="dxa"/>
                  <w:tcBorders>
                    <w:tl2br w:val="nil"/>
                    <w:tr2bl w:val="nil"/>
                  </w:tcBorders>
                </w:tcPr>
                <w:p>
                  <w:pPr>
                    <w:pStyle w:val="59"/>
                    <w:spacing w:before="54"/>
                    <w:ind w:left="27"/>
                    <w:rPr>
                      <w:rFonts w:hint="eastAsia" w:ascii="宋体" w:hAnsi="宋体" w:eastAsia="宋体" w:cs="宋体"/>
                      <w:color w:val="auto"/>
                      <w:spacing w:val="0"/>
                      <w:w w:val="100"/>
                      <w:sz w:val="21"/>
                      <w:lang w:eastAsia="zh-CN"/>
                    </w:rPr>
                  </w:pPr>
                  <w:r>
                    <w:rPr>
                      <w:rFonts w:hint="eastAsia" w:ascii="宋体" w:hAnsi="宋体" w:eastAsia="宋体" w:cs="宋体"/>
                      <w:color w:val="auto"/>
                      <w:spacing w:val="0"/>
                      <w:w w:val="100"/>
                      <w:sz w:val="21"/>
                    </w:rPr>
                    <w:t>2</w:t>
                  </w:r>
                  <w:r>
                    <w:rPr>
                      <w:rFonts w:hint="eastAsia" w:ascii="宋体" w:hAnsi="宋体" w:eastAsia="宋体" w:cs="宋体"/>
                      <w:color w:val="auto"/>
                      <w:spacing w:val="0"/>
                      <w:w w:val="100"/>
                      <w:sz w:val="21"/>
                      <w:lang w:eastAsia="zh-CN"/>
                    </w:rPr>
                    <w:t>台</w:t>
                  </w:r>
                </w:p>
              </w:tc>
              <w:tc>
                <w:tcPr>
                  <w:tcW w:w="2509" w:type="dxa"/>
                  <w:tcBorders>
                    <w:tl2br w:val="nil"/>
                    <w:tr2bl w:val="nil"/>
                  </w:tcBorders>
                </w:tcPr>
                <w:p>
                  <w:pPr>
                    <w:pStyle w:val="59"/>
                    <w:spacing w:before="40"/>
                    <w:ind w:left="870" w:right="851"/>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827" w:type="dxa"/>
                  <w:tcBorders>
                    <w:tl2br w:val="nil"/>
                    <w:tr2bl w:val="nil"/>
                  </w:tcBorders>
                  <w:vAlign w:val="top"/>
                </w:tcPr>
                <w:p>
                  <w:pPr>
                    <w:pStyle w:val="59"/>
                    <w:spacing w:before="54"/>
                    <w:ind w:left="37" w:leftChars="0"/>
                    <w:rPr>
                      <w:rFonts w:hint="eastAsia" w:ascii="宋体" w:hAnsi="宋体" w:eastAsia="宋体" w:cs="宋体"/>
                      <w:color w:val="auto"/>
                      <w:spacing w:val="0"/>
                      <w:w w:val="100"/>
                      <w:kern w:val="2"/>
                      <w:sz w:val="21"/>
                      <w:szCs w:val="24"/>
                      <w:lang w:val="en-US" w:eastAsia="zh-CN" w:bidi="zh-CN"/>
                    </w:rPr>
                  </w:pPr>
                  <w:r>
                    <w:rPr>
                      <w:rFonts w:hint="eastAsia" w:ascii="宋体" w:hAnsi="宋体" w:eastAsia="宋体" w:cs="宋体"/>
                      <w:color w:val="auto"/>
                      <w:spacing w:val="0"/>
                      <w:w w:val="100"/>
                      <w:sz w:val="21"/>
                    </w:rPr>
                    <w:t>6</w:t>
                  </w:r>
                </w:p>
              </w:tc>
              <w:tc>
                <w:tcPr>
                  <w:tcW w:w="2730" w:type="dxa"/>
                  <w:tcBorders>
                    <w:tl2br w:val="nil"/>
                    <w:tr2bl w:val="nil"/>
                  </w:tcBorders>
                </w:tcPr>
                <w:p>
                  <w:pPr>
                    <w:pStyle w:val="59"/>
                    <w:spacing w:before="40"/>
                    <w:ind w:left="74" w:right="48"/>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扒胎机</w:t>
                  </w:r>
                </w:p>
              </w:tc>
              <w:tc>
                <w:tcPr>
                  <w:tcW w:w="955" w:type="dxa"/>
                  <w:tcBorders>
                    <w:tl2br w:val="nil"/>
                    <w:tr2bl w:val="nil"/>
                  </w:tcBorders>
                </w:tcPr>
                <w:p>
                  <w:pPr>
                    <w:pStyle w:val="59"/>
                    <w:spacing w:before="54"/>
                    <w:ind w:left="29"/>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w:t>
                  </w:r>
                </w:p>
              </w:tc>
              <w:tc>
                <w:tcPr>
                  <w:tcW w:w="914" w:type="dxa"/>
                  <w:tcBorders>
                    <w:tl2br w:val="nil"/>
                    <w:tr2bl w:val="nil"/>
                  </w:tcBorders>
                </w:tcPr>
                <w:p>
                  <w:pPr>
                    <w:pStyle w:val="59"/>
                    <w:spacing w:before="54"/>
                    <w:ind w:left="27"/>
                    <w:rPr>
                      <w:rFonts w:hint="eastAsia" w:ascii="宋体" w:hAnsi="宋体" w:eastAsia="宋体" w:cs="宋体"/>
                      <w:color w:val="auto"/>
                      <w:spacing w:val="0"/>
                      <w:w w:val="100"/>
                      <w:sz w:val="21"/>
                      <w:lang w:eastAsia="zh-CN"/>
                    </w:rPr>
                  </w:pPr>
                  <w:r>
                    <w:rPr>
                      <w:rFonts w:hint="eastAsia" w:ascii="宋体" w:hAnsi="宋体" w:eastAsia="宋体" w:cs="宋体"/>
                      <w:color w:val="auto"/>
                      <w:spacing w:val="0"/>
                      <w:w w:val="100"/>
                      <w:sz w:val="21"/>
                    </w:rPr>
                    <w:t>2</w:t>
                  </w:r>
                  <w:r>
                    <w:rPr>
                      <w:rFonts w:hint="eastAsia" w:ascii="宋体" w:hAnsi="宋体" w:eastAsia="宋体" w:cs="宋体"/>
                      <w:color w:val="auto"/>
                      <w:spacing w:val="0"/>
                      <w:w w:val="100"/>
                      <w:sz w:val="21"/>
                      <w:lang w:eastAsia="zh-CN"/>
                    </w:rPr>
                    <w:t>台</w:t>
                  </w:r>
                </w:p>
              </w:tc>
              <w:tc>
                <w:tcPr>
                  <w:tcW w:w="2509" w:type="dxa"/>
                  <w:tcBorders>
                    <w:tl2br w:val="nil"/>
                    <w:tr2bl w:val="nil"/>
                  </w:tcBorders>
                </w:tcPr>
                <w:p>
                  <w:pPr>
                    <w:pStyle w:val="59"/>
                    <w:spacing w:before="40"/>
                    <w:ind w:left="870" w:right="851"/>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827" w:type="dxa"/>
                  <w:tcBorders>
                    <w:tl2br w:val="nil"/>
                    <w:tr2bl w:val="nil"/>
                  </w:tcBorders>
                  <w:vAlign w:val="top"/>
                </w:tcPr>
                <w:p>
                  <w:pPr>
                    <w:pStyle w:val="59"/>
                    <w:spacing w:before="54"/>
                    <w:ind w:left="37" w:lef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7</w:t>
                  </w:r>
                </w:p>
              </w:tc>
              <w:tc>
                <w:tcPr>
                  <w:tcW w:w="2730" w:type="dxa"/>
                  <w:tcBorders>
                    <w:tl2br w:val="nil"/>
                    <w:tr2bl w:val="nil"/>
                  </w:tcBorders>
                </w:tcPr>
                <w:p>
                  <w:pPr>
                    <w:pStyle w:val="59"/>
                    <w:spacing w:before="40"/>
                    <w:ind w:left="74" w:right="48"/>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拆车剪</w:t>
                  </w:r>
                </w:p>
              </w:tc>
              <w:tc>
                <w:tcPr>
                  <w:tcW w:w="955" w:type="dxa"/>
                  <w:tcBorders>
                    <w:tl2br w:val="nil"/>
                    <w:tr2bl w:val="nil"/>
                  </w:tcBorders>
                </w:tcPr>
                <w:p>
                  <w:pPr>
                    <w:pStyle w:val="59"/>
                    <w:spacing w:before="54"/>
                    <w:ind w:left="29"/>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w:t>
                  </w:r>
                </w:p>
              </w:tc>
              <w:tc>
                <w:tcPr>
                  <w:tcW w:w="914" w:type="dxa"/>
                  <w:tcBorders>
                    <w:tl2br w:val="nil"/>
                    <w:tr2bl w:val="nil"/>
                  </w:tcBorders>
                </w:tcPr>
                <w:p>
                  <w:pPr>
                    <w:pStyle w:val="59"/>
                    <w:spacing w:before="54"/>
                    <w:ind w:left="27"/>
                    <w:rPr>
                      <w:rFonts w:hint="eastAsia" w:ascii="宋体" w:hAnsi="宋体" w:eastAsia="宋体" w:cs="宋体"/>
                      <w:color w:val="auto"/>
                      <w:spacing w:val="0"/>
                      <w:w w:val="100"/>
                      <w:sz w:val="21"/>
                      <w:lang w:eastAsia="zh-CN"/>
                    </w:rPr>
                  </w:pPr>
                  <w:r>
                    <w:rPr>
                      <w:rFonts w:hint="eastAsia" w:ascii="宋体" w:hAnsi="宋体" w:eastAsia="宋体" w:cs="宋体"/>
                      <w:color w:val="auto"/>
                      <w:spacing w:val="0"/>
                      <w:w w:val="100"/>
                      <w:sz w:val="21"/>
                    </w:rPr>
                    <w:t>4</w:t>
                  </w:r>
                  <w:r>
                    <w:rPr>
                      <w:rFonts w:hint="eastAsia" w:ascii="宋体" w:hAnsi="宋体" w:eastAsia="宋体" w:cs="宋体"/>
                      <w:color w:val="auto"/>
                      <w:spacing w:val="0"/>
                      <w:w w:val="100"/>
                      <w:sz w:val="21"/>
                      <w:lang w:eastAsia="zh-CN"/>
                    </w:rPr>
                    <w:t>台</w:t>
                  </w:r>
                </w:p>
              </w:tc>
              <w:tc>
                <w:tcPr>
                  <w:tcW w:w="2509" w:type="dxa"/>
                  <w:tcBorders>
                    <w:tl2br w:val="nil"/>
                    <w:tr2bl w:val="nil"/>
                  </w:tcBorders>
                </w:tcPr>
                <w:p>
                  <w:pPr>
                    <w:pStyle w:val="59"/>
                    <w:spacing w:before="40"/>
                    <w:ind w:left="870" w:right="851"/>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827" w:type="dxa"/>
                  <w:tcBorders>
                    <w:tl2br w:val="nil"/>
                    <w:tr2bl w:val="nil"/>
                  </w:tcBorders>
                  <w:vAlign w:val="top"/>
                </w:tcPr>
                <w:p>
                  <w:pPr>
                    <w:pStyle w:val="59"/>
                    <w:spacing w:before="56"/>
                    <w:ind w:left="37" w:lef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8</w:t>
                  </w:r>
                </w:p>
              </w:tc>
              <w:tc>
                <w:tcPr>
                  <w:tcW w:w="2730" w:type="dxa"/>
                  <w:tcBorders>
                    <w:tl2br w:val="nil"/>
                    <w:tr2bl w:val="nil"/>
                  </w:tcBorders>
                </w:tcPr>
                <w:p>
                  <w:pPr>
                    <w:pStyle w:val="59"/>
                    <w:spacing w:before="42"/>
                    <w:ind w:left="74" w:right="48"/>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气动设备及工具</w:t>
                  </w:r>
                </w:p>
              </w:tc>
              <w:tc>
                <w:tcPr>
                  <w:tcW w:w="955" w:type="dxa"/>
                  <w:tcBorders>
                    <w:tl2br w:val="nil"/>
                    <w:tr2bl w:val="nil"/>
                  </w:tcBorders>
                </w:tcPr>
                <w:p>
                  <w:pPr>
                    <w:pStyle w:val="59"/>
                    <w:spacing w:before="56"/>
                    <w:ind w:left="29"/>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w:t>
                  </w:r>
                </w:p>
              </w:tc>
              <w:tc>
                <w:tcPr>
                  <w:tcW w:w="914" w:type="dxa"/>
                  <w:tcBorders>
                    <w:tl2br w:val="nil"/>
                    <w:tr2bl w:val="nil"/>
                  </w:tcBorders>
                </w:tcPr>
                <w:p>
                  <w:pPr>
                    <w:pStyle w:val="59"/>
                    <w:spacing w:before="56"/>
                    <w:ind w:left="27"/>
                    <w:rPr>
                      <w:rFonts w:hint="eastAsia" w:ascii="宋体" w:hAnsi="宋体" w:eastAsia="宋体" w:cs="宋体"/>
                      <w:color w:val="auto"/>
                      <w:spacing w:val="0"/>
                      <w:w w:val="100"/>
                      <w:sz w:val="21"/>
                      <w:lang w:eastAsia="zh-CN"/>
                    </w:rPr>
                  </w:pPr>
                  <w:r>
                    <w:rPr>
                      <w:rFonts w:hint="eastAsia" w:ascii="宋体" w:hAnsi="宋体" w:eastAsia="宋体" w:cs="宋体"/>
                      <w:color w:val="auto"/>
                      <w:spacing w:val="0"/>
                      <w:w w:val="100"/>
                      <w:sz w:val="21"/>
                    </w:rPr>
                    <w:t>2</w:t>
                  </w:r>
                  <w:r>
                    <w:rPr>
                      <w:rFonts w:hint="eastAsia" w:ascii="宋体" w:hAnsi="宋体" w:eastAsia="宋体" w:cs="宋体"/>
                      <w:color w:val="auto"/>
                      <w:spacing w:val="0"/>
                      <w:w w:val="100"/>
                      <w:sz w:val="21"/>
                      <w:lang w:eastAsia="zh-CN"/>
                    </w:rPr>
                    <w:t>套</w:t>
                  </w:r>
                </w:p>
              </w:tc>
              <w:tc>
                <w:tcPr>
                  <w:tcW w:w="2509" w:type="dxa"/>
                  <w:tcBorders>
                    <w:tl2br w:val="nil"/>
                    <w:tr2bl w:val="nil"/>
                  </w:tcBorders>
                </w:tcPr>
                <w:p>
                  <w:pPr>
                    <w:pStyle w:val="59"/>
                    <w:spacing w:before="42"/>
                    <w:ind w:left="870" w:right="851"/>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827" w:type="dxa"/>
                  <w:tcBorders>
                    <w:tl2br w:val="nil"/>
                    <w:tr2bl w:val="nil"/>
                  </w:tcBorders>
                  <w:vAlign w:val="top"/>
                </w:tcPr>
                <w:p>
                  <w:pPr>
                    <w:pStyle w:val="59"/>
                    <w:spacing w:before="56"/>
                    <w:ind w:left="37" w:lef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9</w:t>
                  </w:r>
                </w:p>
              </w:tc>
              <w:tc>
                <w:tcPr>
                  <w:tcW w:w="2730" w:type="dxa"/>
                  <w:tcBorders>
                    <w:tl2br w:val="nil"/>
                    <w:tr2bl w:val="nil"/>
                  </w:tcBorders>
                </w:tcPr>
                <w:p>
                  <w:pPr>
                    <w:pStyle w:val="59"/>
                    <w:spacing w:before="42"/>
                    <w:ind w:left="74" w:right="48"/>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剪切机</w:t>
                  </w:r>
                </w:p>
              </w:tc>
              <w:tc>
                <w:tcPr>
                  <w:tcW w:w="955" w:type="dxa"/>
                  <w:tcBorders>
                    <w:tl2br w:val="nil"/>
                    <w:tr2bl w:val="nil"/>
                  </w:tcBorders>
                </w:tcPr>
                <w:p>
                  <w:pPr>
                    <w:pStyle w:val="59"/>
                    <w:spacing w:before="56"/>
                    <w:ind w:left="29"/>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w:t>
                  </w:r>
                </w:p>
              </w:tc>
              <w:tc>
                <w:tcPr>
                  <w:tcW w:w="914" w:type="dxa"/>
                  <w:tcBorders>
                    <w:tl2br w:val="nil"/>
                    <w:tr2bl w:val="nil"/>
                  </w:tcBorders>
                </w:tcPr>
                <w:p>
                  <w:pPr>
                    <w:pStyle w:val="59"/>
                    <w:spacing w:before="56"/>
                    <w:ind w:left="27"/>
                    <w:rPr>
                      <w:rFonts w:hint="eastAsia" w:ascii="宋体" w:hAnsi="宋体" w:eastAsia="宋体" w:cs="宋体"/>
                      <w:color w:val="auto"/>
                      <w:spacing w:val="0"/>
                      <w:w w:val="100"/>
                      <w:sz w:val="21"/>
                      <w:lang w:eastAsia="zh-CN"/>
                    </w:rPr>
                  </w:pPr>
                  <w:r>
                    <w:rPr>
                      <w:rFonts w:hint="eastAsia" w:ascii="宋体" w:hAnsi="宋体" w:eastAsia="宋体" w:cs="宋体"/>
                      <w:color w:val="auto"/>
                      <w:spacing w:val="0"/>
                      <w:w w:val="100"/>
                      <w:sz w:val="21"/>
                    </w:rPr>
                    <w:t>2</w:t>
                  </w:r>
                  <w:r>
                    <w:rPr>
                      <w:rFonts w:hint="eastAsia" w:ascii="宋体" w:hAnsi="宋体" w:eastAsia="宋体" w:cs="宋体"/>
                      <w:color w:val="auto"/>
                      <w:spacing w:val="0"/>
                      <w:w w:val="100"/>
                      <w:sz w:val="21"/>
                      <w:lang w:eastAsia="zh-CN"/>
                    </w:rPr>
                    <w:t>台</w:t>
                  </w:r>
                </w:p>
              </w:tc>
              <w:tc>
                <w:tcPr>
                  <w:tcW w:w="2509" w:type="dxa"/>
                  <w:tcBorders>
                    <w:tl2br w:val="nil"/>
                    <w:tr2bl w:val="nil"/>
                  </w:tcBorders>
                </w:tcPr>
                <w:p>
                  <w:pPr>
                    <w:pStyle w:val="59"/>
                    <w:spacing w:before="42"/>
                    <w:ind w:left="870" w:right="851"/>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827" w:type="dxa"/>
                  <w:tcBorders>
                    <w:tl2br w:val="nil"/>
                    <w:tr2bl w:val="nil"/>
                  </w:tcBorders>
                  <w:vAlign w:val="top"/>
                </w:tcPr>
                <w:p>
                  <w:pPr>
                    <w:pStyle w:val="59"/>
                    <w:spacing w:before="55"/>
                    <w:ind w:left="216" w:leftChars="0" w:right="179" w:righ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10</w:t>
                  </w:r>
                </w:p>
              </w:tc>
              <w:tc>
                <w:tcPr>
                  <w:tcW w:w="2730" w:type="dxa"/>
                  <w:tcBorders>
                    <w:tl2br w:val="nil"/>
                    <w:tr2bl w:val="nil"/>
                  </w:tcBorders>
                </w:tcPr>
                <w:p>
                  <w:pPr>
                    <w:pStyle w:val="59"/>
                    <w:spacing w:before="42"/>
                    <w:ind w:left="74" w:right="48"/>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单臂吊</w:t>
                  </w:r>
                </w:p>
              </w:tc>
              <w:tc>
                <w:tcPr>
                  <w:tcW w:w="955" w:type="dxa"/>
                  <w:tcBorders>
                    <w:tl2br w:val="nil"/>
                    <w:tr2bl w:val="nil"/>
                  </w:tcBorders>
                </w:tcPr>
                <w:p>
                  <w:pPr>
                    <w:pStyle w:val="59"/>
                    <w:spacing w:before="55"/>
                    <w:ind w:left="29"/>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w:t>
                  </w:r>
                </w:p>
              </w:tc>
              <w:tc>
                <w:tcPr>
                  <w:tcW w:w="914" w:type="dxa"/>
                  <w:tcBorders>
                    <w:tl2br w:val="nil"/>
                    <w:tr2bl w:val="nil"/>
                  </w:tcBorders>
                </w:tcPr>
                <w:p>
                  <w:pPr>
                    <w:pStyle w:val="59"/>
                    <w:spacing w:before="55"/>
                    <w:ind w:left="27"/>
                    <w:rPr>
                      <w:rFonts w:hint="eastAsia" w:ascii="宋体" w:hAnsi="宋体" w:eastAsia="宋体" w:cs="宋体"/>
                      <w:color w:val="auto"/>
                      <w:spacing w:val="0"/>
                      <w:w w:val="100"/>
                      <w:sz w:val="21"/>
                      <w:lang w:eastAsia="zh-CN"/>
                    </w:rPr>
                  </w:pPr>
                  <w:r>
                    <w:rPr>
                      <w:rFonts w:hint="eastAsia" w:ascii="宋体" w:hAnsi="宋体" w:eastAsia="宋体" w:cs="宋体"/>
                      <w:color w:val="auto"/>
                      <w:spacing w:val="0"/>
                      <w:w w:val="100"/>
                      <w:sz w:val="21"/>
                    </w:rPr>
                    <w:t>2</w:t>
                  </w:r>
                  <w:r>
                    <w:rPr>
                      <w:rFonts w:hint="eastAsia" w:ascii="宋体" w:hAnsi="宋体" w:eastAsia="宋体" w:cs="宋体"/>
                      <w:color w:val="auto"/>
                      <w:spacing w:val="0"/>
                      <w:w w:val="100"/>
                      <w:sz w:val="21"/>
                      <w:lang w:eastAsia="zh-CN"/>
                    </w:rPr>
                    <w:t>台</w:t>
                  </w:r>
                </w:p>
              </w:tc>
              <w:tc>
                <w:tcPr>
                  <w:tcW w:w="2509" w:type="dxa"/>
                  <w:tcBorders>
                    <w:tl2br w:val="nil"/>
                    <w:tr2bl w:val="nil"/>
                  </w:tcBorders>
                </w:tcPr>
                <w:p>
                  <w:pPr>
                    <w:pStyle w:val="59"/>
                    <w:spacing w:before="42"/>
                    <w:ind w:left="870" w:right="851"/>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827" w:type="dxa"/>
                  <w:tcBorders>
                    <w:tl2br w:val="nil"/>
                    <w:tr2bl w:val="nil"/>
                  </w:tcBorders>
                  <w:vAlign w:val="top"/>
                </w:tcPr>
                <w:p>
                  <w:pPr>
                    <w:pStyle w:val="59"/>
                    <w:spacing w:before="55"/>
                    <w:ind w:left="216" w:leftChars="0" w:right="179" w:righ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11</w:t>
                  </w:r>
                </w:p>
              </w:tc>
              <w:tc>
                <w:tcPr>
                  <w:tcW w:w="2730" w:type="dxa"/>
                  <w:tcBorders>
                    <w:tl2br w:val="nil"/>
                    <w:tr2bl w:val="nil"/>
                  </w:tcBorders>
                </w:tcPr>
                <w:p>
                  <w:pPr>
                    <w:pStyle w:val="59"/>
                    <w:spacing w:before="41"/>
                    <w:ind w:left="74" w:right="48"/>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打包机</w:t>
                  </w:r>
                </w:p>
              </w:tc>
              <w:tc>
                <w:tcPr>
                  <w:tcW w:w="955" w:type="dxa"/>
                  <w:tcBorders>
                    <w:tl2br w:val="nil"/>
                    <w:tr2bl w:val="nil"/>
                  </w:tcBorders>
                </w:tcPr>
                <w:p>
                  <w:pPr>
                    <w:pStyle w:val="59"/>
                    <w:spacing w:before="55"/>
                    <w:ind w:left="29"/>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w:t>
                  </w:r>
                </w:p>
              </w:tc>
              <w:tc>
                <w:tcPr>
                  <w:tcW w:w="914" w:type="dxa"/>
                  <w:tcBorders>
                    <w:tl2br w:val="nil"/>
                    <w:tr2bl w:val="nil"/>
                  </w:tcBorders>
                </w:tcPr>
                <w:p>
                  <w:pPr>
                    <w:pStyle w:val="59"/>
                    <w:spacing w:before="55"/>
                    <w:ind w:left="27"/>
                    <w:rPr>
                      <w:rFonts w:hint="eastAsia" w:ascii="宋体" w:hAnsi="宋体" w:eastAsia="宋体" w:cs="宋体"/>
                      <w:color w:val="auto"/>
                      <w:spacing w:val="0"/>
                      <w:w w:val="100"/>
                      <w:sz w:val="21"/>
                      <w:lang w:eastAsia="zh-CN"/>
                    </w:rPr>
                  </w:pPr>
                  <w:r>
                    <w:rPr>
                      <w:rFonts w:hint="eastAsia" w:ascii="宋体" w:hAnsi="宋体" w:eastAsia="宋体" w:cs="宋体"/>
                      <w:color w:val="auto"/>
                      <w:spacing w:val="0"/>
                      <w:w w:val="100"/>
                      <w:sz w:val="21"/>
                    </w:rPr>
                    <w:t>2</w:t>
                  </w:r>
                  <w:r>
                    <w:rPr>
                      <w:rFonts w:hint="eastAsia" w:ascii="宋体" w:hAnsi="宋体" w:eastAsia="宋体" w:cs="宋体"/>
                      <w:color w:val="auto"/>
                      <w:spacing w:val="0"/>
                      <w:w w:val="100"/>
                      <w:sz w:val="21"/>
                      <w:lang w:eastAsia="zh-CN"/>
                    </w:rPr>
                    <w:t>台</w:t>
                  </w:r>
                </w:p>
              </w:tc>
              <w:tc>
                <w:tcPr>
                  <w:tcW w:w="2509" w:type="dxa"/>
                  <w:tcBorders>
                    <w:tl2br w:val="nil"/>
                    <w:tr2bl w:val="nil"/>
                  </w:tcBorders>
                </w:tcPr>
                <w:p>
                  <w:pPr>
                    <w:pStyle w:val="59"/>
                    <w:spacing w:before="41"/>
                    <w:ind w:left="870" w:right="851"/>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827" w:type="dxa"/>
                  <w:tcBorders>
                    <w:tl2br w:val="nil"/>
                    <w:tr2bl w:val="nil"/>
                  </w:tcBorders>
                  <w:vAlign w:val="top"/>
                </w:tcPr>
                <w:p>
                  <w:pPr>
                    <w:pStyle w:val="59"/>
                    <w:spacing w:before="55"/>
                    <w:ind w:left="216" w:leftChars="0" w:right="179" w:righ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12</w:t>
                  </w:r>
                </w:p>
              </w:tc>
              <w:tc>
                <w:tcPr>
                  <w:tcW w:w="2730" w:type="dxa"/>
                  <w:tcBorders>
                    <w:tl2br w:val="nil"/>
                    <w:tr2bl w:val="nil"/>
                  </w:tcBorders>
                </w:tcPr>
                <w:p>
                  <w:pPr>
                    <w:pStyle w:val="59"/>
                    <w:spacing w:before="41"/>
                    <w:ind w:left="74" w:right="48"/>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新能源车综合拆解工位</w:t>
                  </w:r>
                </w:p>
              </w:tc>
              <w:tc>
                <w:tcPr>
                  <w:tcW w:w="955" w:type="dxa"/>
                  <w:tcBorders>
                    <w:tl2br w:val="nil"/>
                    <w:tr2bl w:val="nil"/>
                  </w:tcBorders>
                </w:tcPr>
                <w:p>
                  <w:pPr>
                    <w:pStyle w:val="59"/>
                    <w:spacing w:before="55"/>
                    <w:ind w:left="29"/>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w:t>
                  </w:r>
                </w:p>
              </w:tc>
              <w:tc>
                <w:tcPr>
                  <w:tcW w:w="914" w:type="dxa"/>
                  <w:tcBorders>
                    <w:tl2br w:val="nil"/>
                    <w:tr2bl w:val="nil"/>
                  </w:tcBorders>
                </w:tcPr>
                <w:p>
                  <w:pPr>
                    <w:pStyle w:val="59"/>
                    <w:spacing w:before="55"/>
                    <w:ind w:left="27"/>
                    <w:rPr>
                      <w:rFonts w:hint="eastAsia" w:ascii="宋体" w:hAnsi="宋体" w:eastAsia="宋体" w:cs="宋体"/>
                      <w:color w:val="auto"/>
                      <w:spacing w:val="0"/>
                      <w:w w:val="100"/>
                      <w:sz w:val="21"/>
                      <w:lang w:eastAsia="zh-CN"/>
                    </w:rPr>
                  </w:pPr>
                  <w:r>
                    <w:rPr>
                      <w:rFonts w:hint="eastAsia" w:ascii="宋体" w:hAnsi="宋体" w:eastAsia="宋体" w:cs="宋体"/>
                      <w:color w:val="auto"/>
                      <w:spacing w:val="0"/>
                      <w:w w:val="100"/>
                      <w:sz w:val="21"/>
                    </w:rPr>
                    <w:t>2</w:t>
                  </w:r>
                  <w:r>
                    <w:rPr>
                      <w:rFonts w:hint="eastAsia" w:ascii="宋体" w:hAnsi="宋体" w:eastAsia="宋体" w:cs="宋体"/>
                      <w:color w:val="auto"/>
                      <w:spacing w:val="0"/>
                      <w:w w:val="100"/>
                      <w:sz w:val="21"/>
                      <w:lang w:eastAsia="zh-CN"/>
                    </w:rPr>
                    <w:t>套</w:t>
                  </w:r>
                </w:p>
              </w:tc>
              <w:tc>
                <w:tcPr>
                  <w:tcW w:w="2509" w:type="dxa"/>
                  <w:tcBorders>
                    <w:tl2br w:val="nil"/>
                    <w:tr2bl w:val="nil"/>
                  </w:tcBorders>
                </w:tcPr>
                <w:p>
                  <w:pPr>
                    <w:pStyle w:val="59"/>
                    <w:spacing w:before="41"/>
                    <w:ind w:left="870" w:right="851"/>
                    <w:rPr>
                      <w:rFonts w:hint="eastAsia" w:ascii="宋体" w:hAnsi="宋体" w:eastAsia="宋体" w:cs="宋体"/>
                      <w:color w:val="auto"/>
                      <w:spacing w:val="0"/>
                      <w:w w:val="100"/>
                      <w:sz w:val="21"/>
                    </w:rPr>
                  </w:pPr>
                  <w:r>
                    <w:rPr>
                      <w:rFonts w:hint="eastAsia" w:ascii="宋体" w:hAnsi="宋体" w:eastAsia="宋体" w:cs="宋体"/>
                      <w:color w:val="auto"/>
                      <w:spacing w:val="0"/>
                      <w:w w:val="100"/>
                      <w:sz w:val="21"/>
                    </w:rPr>
                    <w:t>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827" w:type="dxa"/>
                  <w:tcBorders>
                    <w:tl2br w:val="nil"/>
                    <w:tr2bl w:val="nil"/>
                  </w:tcBorders>
                  <w:vAlign w:val="top"/>
                </w:tcPr>
                <w:p>
                  <w:pPr>
                    <w:pStyle w:val="59"/>
                    <w:spacing w:before="55"/>
                    <w:ind w:left="216" w:leftChars="0" w:right="179" w:righ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13</w:t>
                  </w:r>
                </w:p>
              </w:tc>
              <w:tc>
                <w:tcPr>
                  <w:tcW w:w="2730" w:type="dxa"/>
                  <w:tcBorders>
                    <w:tl2br w:val="nil"/>
                    <w:tr2bl w:val="nil"/>
                  </w:tcBorders>
                  <w:vAlign w:val="top"/>
                </w:tcPr>
                <w:p>
                  <w:pPr>
                    <w:pStyle w:val="59"/>
                    <w:spacing w:before="41"/>
                    <w:ind w:left="74" w:leftChars="0" w:right="48" w:righ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桁车</w:t>
                  </w:r>
                </w:p>
              </w:tc>
              <w:tc>
                <w:tcPr>
                  <w:tcW w:w="955" w:type="dxa"/>
                  <w:tcBorders>
                    <w:tl2br w:val="nil"/>
                    <w:tr2bl w:val="nil"/>
                  </w:tcBorders>
                  <w:vAlign w:val="top"/>
                </w:tcPr>
                <w:p>
                  <w:pPr>
                    <w:pStyle w:val="59"/>
                    <w:spacing w:before="55"/>
                    <w:ind w:left="29" w:lef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w:t>
                  </w:r>
                </w:p>
              </w:tc>
              <w:tc>
                <w:tcPr>
                  <w:tcW w:w="914" w:type="dxa"/>
                  <w:tcBorders>
                    <w:tl2br w:val="nil"/>
                    <w:tr2bl w:val="nil"/>
                  </w:tcBorders>
                  <w:vAlign w:val="top"/>
                </w:tcPr>
                <w:p>
                  <w:pPr>
                    <w:pStyle w:val="59"/>
                    <w:spacing w:before="55"/>
                    <w:ind w:left="27" w:lef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2</w:t>
                  </w:r>
                  <w:r>
                    <w:rPr>
                      <w:rFonts w:hint="eastAsia" w:ascii="宋体" w:hAnsi="宋体" w:eastAsia="宋体" w:cs="宋体"/>
                      <w:color w:val="auto"/>
                      <w:spacing w:val="0"/>
                      <w:w w:val="100"/>
                      <w:sz w:val="21"/>
                      <w:lang w:eastAsia="zh-CN"/>
                    </w:rPr>
                    <w:t>台</w:t>
                  </w:r>
                </w:p>
              </w:tc>
              <w:tc>
                <w:tcPr>
                  <w:tcW w:w="2509" w:type="dxa"/>
                  <w:tcBorders>
                    <w:tl2br w:val="nil"/>
                    <w:tr2bl w:val="nil"/>
                  </w:tcBorders>
                  <w:vAlign w:val="top"/>
                </w:tcPr>
                <w:p>
                  <w:pPr>
                    <w:pStyle w:val="59"/>
                    <w:spacing w:before="41"/>
                    <w:ind w:left="870" w:leftChars="0" w:right="851" w:righ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827" w:type="dxa"/>
                  <w:tcBorders>
                    <w:tl2br w:val="nil"/>
                    <w:tr2bl w:val="nil"/>
                  </w:tcBorders>
                  <w:vAlign w:val="top"/>
                </w:tcPr>
                <w:p>
                  <w:pPr>
                    <w:pStyle w:val="59"/>
                    <w:spacing w:before="55"/>
                    <w:ind w:left="216" w:leftChars="0" w:right="179" w:righ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14</w:t>
                  </w:r>
                </w:p>
              </w:tc>
              <w:tc>
                <w:tcPr>
                  <w:tcW w:w="2730" w:type="dxa"/>
                  <w:tcBorders>
                    <w:tl2br w:val="nil"/>
                    <w:tr2bl w:val="nil"/>
                  </w:tcBorders>
                  <w:vAlign w:val="top"/>
                </w:tcPr>
                <w:p>
                  <w:pPr>
                    <w:pStyle w:val="59"/>
                    <w:spacing w:before="40"/>
                    <w:ind w:left="74" w:leftChars="0" w:right="45" w:righ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叉车 3 吨</w:t>
                  </w:r>
                </w:p>
              </w:tc>
              <w:tc>
                <w:tcPr>
                  <w:tcW w:w="955" w:type="dxa"/>
                  <w:tcBorders>
                    <w:tl2br w:val="nil"/>
                    <w:tr2bl w:val="nil"/>
                  </w:tcBorders>
                  <w:vAlign w:val="top"/>
                </w:tcPr>
                <w:p>
                  <w:pPr>
                    <w:pStyle w:val="59"/>
                    <w:spacing w:before="54"/>
                    <w:ind w:left="29" w:lef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w:t>
                  </w:r>
                </w:p>
              </w:tc>
              <w:tc>
                <w:tcPr>
                  <w:tcW w:w="914" w:type="dxa"/>
                  <w:tcBorders>
                    <w:tl2br w:val="nil"/>
                    <w:tr2bl w:val="nil"/>
                  </w:tcBorders>
                  <w:vAlign w:val="top"/>
                </w:tcPr>
                <w:p>
                  <w:pPr>
                    <w:pStyle w:val="59"/>
                    <w:spacing w:before="54"/>
                    <w:ind w:left="27" w:lef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2</w:t>
                  </w:r>
                  <w:r>
                    <w:rPr>
                      <w:rFonts w:hint="eastAsia" w:ascii="宋体" w:hAnsi="宋体" w:eastAsia="宋体" w:cs="宋体"/>
                      <w:color w:val="auto"/>
                      <w:spacing w:val="0"/>
                      <w:w w:val="100"/>
                      <w:sz w:val="21"/>
                      <w:lang w:eastAsia="zh-CN"/>
                    </w:rPr>
                    <w:t>台</w:t>
                  </w:r>
                </w:p>
              </w:tc>
              <w:tc>
                <w:tcPr>
                  <w:tcW w:w="2509" w:type="dxa"/>
                  <w:tcBorders>
                    <w:tl2br w:val="nil"/>
                    <w:tr2bl w:val="nil"/>
                  </w:tcBorders>
                  <w:vAlign w:val="top"/>
                </w:tcPr>
                <w:p>
                  <w:pPr>
                    <w:pStyle w:val="59"/>
                    <w:spacing w:before="40"/>
                    <w:ind w:left="870" w:leftChars="0" w:right="851" w:righ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827" w:type="dxa"/>
                  <w:tcBorders>
                    <w:tl2br w:val="nil"/>
                    <w:tr2bl w:val="nil"/>
                  </w:tcBorders>
                  <w:vAlign w:val="top"/>
                </w:tcPr>
                <w:p>
                  <w:pPr>
                    <w:pStyle w:val="59"/>
                    <w:spacing w:before="54"/>
                    <w:ind w:left="216" w:leftChars="0" w:right="179" w:righ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15</w:t>
                  </w:r>
                </w:p>
              </w:tc>
              <w:tc>
                <w:tcPr>
                  <w:tcW w:w="2730" w:type="dxa"/>
                  <w:tcBorders>
                    <w:tl2br w:val="nil"/>
                    <w:tr2bl w:val="nil"/>
                  </w:tcBorders>
                  <w:vAlign w:val="top"/>
                </w:tcPr>
                <w:p>
                  <w:pPr>
                    <w:pStyle w:val="59"/>
                    <w:spacing w:before="40"/>
                    <w:ind w:left="74" w:leftChars="0" w:right="48" w:righ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100T 地磅</w:t>
                  </w:r>
                </w:p>
              </w:tc>
              <w:tc>
                <w:tcPr>
                  <w:tcW w:w="955" w:type="dxa"/>
                  <w:tcBorders>
                    <w:tl2br w:val="nil"/>
                    <w:tr2bl w:val="nil"/>
                  </w:tcBorders>
                  <w:vAlign w:val="top"/>
                </w:tcPr>
                <w:p>
                  <w:pPr>
                    <w:pStyle w:val="59"/>
                    <w:spacing w:before="54"/>
                    <w:ind w:left="29" w:lef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w:t>
                  </w:r>
                </w:p>
              </w:tc>
              <w:tc>
                <w:tcPr>
                  <w:tcW w:w="914" w:type="dxa"/>
                  <w:tcBorders>
                    <w:tl2br w:val="nil"/>
                    <w:tr2bl w:val="nil"/>
                  </w:tcBorders>
                  <w:vAlign w:val="top"/>
                </w:tcPr>
                <w:p>
                  <w:pPr>
                    <w:pStyle w:val="59"/>
                    <w:spacing w:before="40"/>
                    <w:ind w:left="251" w:leftChars="0" w:right="225" w:righ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1 台</w:t>
                  </w:r>
                </w:p>
              </w:tc>
              <w:tc>
                <w:tcPr>
                  <w:tcW w:w="2509" w:type="dxa"/>
                  <w:tcBorders>
                    <w:tl2br w:val="nil"/>
                    <w:tr2bl w:val="nil"/>
                  </w:tcBorders>
                  <w:vAlign w:val="top"/>
                </w:tcPr>
                <w:p>
                  <w:pPr>
                    <w:pStyle w:val="59"/>
                    <w:spacing w:before="40"/>
                    <w:ind w:left="870" w:leftChars="0" w:right="851" w:righ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计量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827" w:type="dxa"/>
                  <w:tcBorders>
                    <w:tl2br w:val="nil"/>
                    <w:tr2bl w:val="nil"/>
                  </w:tcBorders>
                  <w:vAlign w:val="top"/>
                </w:tcPr>
                <w:p>
                  <w:pPr>
                    <w:pStyle w:val="59"/>
                    <w:spacing w:before="54"/>
                    <w:ind w:left="216" w:leftChars="0" w:right="179" w:righ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16</w:t>
                  </w:r>
                </w:p>
              </w:tc>
              <w:tc>
                <w:tcPr>
                  <w:tcW w:w="2730" w:type="dxa"/>
                  <w:tcBorders>
                    <w:tl2br w:val="nil"/>
                    <w:tr2bl w:val="nil"/>
                  </w:tcBorders>
                  <w:vAlign w:val="top"/>
                </w:tcPr>
                <w:p>
                  <w:pPr>
                    <w:pStyle w:val="59"/>
                    <w:spacing w:line="269" w:lineRule="exact"/>
                    <w:ind w:left="74" w:leftChars="0" w:right="48" w:righ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电脑信息系统（电脑记录，条码扫描议，监控系统等）</w:t>
                  </w:r>
                </w:p>
              </w:tc>
              <w:tc>
                <w:tcPr>
                  <w:tcW w:w="955" w:type="dxa"/>
                  <w:tcBorders>
                    <w:tl2br w:val="nil"/>
                    <w:tr2bl w:val="nil"/>
                  </w:tcBorders>
                  <w:vAlign w:val="top"/>
                </w:tcPr>
                <w:p>
                  <w:pPr>
                    <w:pStyle w:val="59"/>
                    <w:spacing w:before="150"/>
                    <w:ind w:left="29" w:lef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w:t>
                  </w:r>
                </w:p>
              </w:tc>
              <w:tc>
                <w:tcPr>
                  <w:tcW w:w="914" w:type="dxa"/>
                  <w:tcBorders>
                    <w:tl2br w:val="nil"/>
                    <w:tr2bl w:val="nil"/>
                  </w:tcBorders>
                  <w:vAlign w:val="top"/>
                </w:tcPr>
                <w:p>
                  <w:pPr>
                    <w:pStyle w:val="59"/>
                    <w:spacing w:before="134"/>
                    <w:ind w:left="251" w:leftChars="0" w:right="225" w:right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1 套</w:t>
                  </w:r>
                </w:p>
              </w:tc>
              <w:tc>
                <w:tcPr>
                  <w:tcW w:w="2509" w:type="dxa"/>
                  <w:tcBorders>
                    <w:tl2br w:val="nil"/>
                    <w:tr2bl w:val="nil"/>
                  </w:tcBorders>
                  <w:vAlign w:val="top"/>
                </w:tcPr>
                <w:p>
                  <w:pPr>
                    <w:pStyle w:val="59"/>
                    <w:spacing w:before="134"/>
                    <w:ind w:left="650" w:leftChars="0" w:right="854" w:rightChars="0" w:hanging="10" w:firstLineChars="0"/>
                    <w:rPr>
                      <w:rFonts w:hint="eastAsia" w:ascii="宋体" w:hAnsi="宋体" w:eastAsia="宋体" w:cs="宋体"/>
                      <w:color w:val="auto"/>
                      <w:spacing w:val="0"/>
                      <w:w w:val="100"/>
                      <w:kern w:val="2"/>
                      <w:sz w:val="21"/>
                      <w:szCs w:val="24"/>
                      <w:lang w:val="zh-CN" w:eastAsia="zh-CN" w:bidi="zh-CN"/>
                    </w:rPr>
                  </w:pPr>
                  <w:r>
                    <w:rPr>
                      <w:rFonts w:hint="eastAsia" w:ascii="宋体" w:hAnsi="宋体" w:eastAsia="宋体" w:cs="宋体"/>
                      <w:color w:val="auto"/>
                      <w:spacing w:val="0"/>
                      <w:w w:val="100"/>
                      <w:sz w:val="21"/>
                    </w:rPr>
                    <w:t>资料录入</w:t>
                  </w:r>
                </w:p>
              </w:tc>
            </w:tr>
          </w:tbl>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b/>
                <w:bCs/>
                <w:color w:val="auto"/>
                <w:szCs w:val="21"/>
              </w:rPr>
            </w:pPr>
            <w:r>
              <w:rPr>
                <w:b/>
                <w:bCs/>
                <w:color w:val="auto"/>
                <w:szCs w:val="21"/>
              </w:rPr>
              <w:t>5、主要原辅材料及燃料的种类和用量</w:t>
            </w:r>
          </w:p>
          <w:p>
            <w:pPr>
              <w:pStyle w:val="6"/>
              <w:spacing w:after="0" w:line="360" w:lineRule="auto"/>
              <w:ind w:firstLineChars="200"/>
              <w:rPr>
                <w:color w:val="auto"/>
                <w:u w:val="none"/>
              </w:rPr>
            </w:pPr>
            <w:r>
              <w:rPr>
                <w:color w:val="auto"/>
                <w:u w:val="none"/>
              </w:rPr>
              <w:t>本项目原辅料消耗情况详见表2-</w:t>
            </w:r>
            <w:r>
              <w:rPr>
                <w:rFonts w:hint="eastAsia"/>
                <w:color w:val="auto"/>
                <w:u w:val="none"/>
                <w:lang w:val="en-US" w:eastAsia="zh-CN"/>
              </w:rPr>
              <w:t>3</w:t>
            </w:r>
            <w:r>
              <w:rPr>
                <w:color w:val="auto"/>
                <w:u w:val="none"/>
              </w:rPr>
              <w:t>。</w:t>
            </w:r>
          </w:p>
          <w:p>
            <w:pPr>
              <w:pStyle w:val="9"/>
              <w:ind w:firstLine="210"/>
              <w:rPr>
                <w:color w:val="auto"/>
                <w:sz w:val="21"/>
                <w:u w:val="none"/>
              </w:rPr>
            </w:pPr>
            <w:r>
              <w:rPr>
                <w:color w:val="auto"/>
                <w:sz w:val="21"/>
                <w:u w:val="none"/>
              </w:rPr>
              <w:t>表</w:t>
            </w:r>
            <w:r>
              <w:rPr>
                <w:color w:val="auto"/>
                <w:sz w:val="21"/>
                <w:u w:val="none"/>
                <w:lang w:eastAsia="zh-CN"/>
              </w:rPr>
              <w:t>2</w:t>
            </w:r>
            <w:r>
              <w:rPr>
                <w:color w:val="auto"/>
                <w:sz w:val="21"/>
                <w:u w:val="none"/>
              </w:rPr>
              <w:t>-</w:t>
            </w:r>
            <w:r>
              <w:rPr>
                <w:rFonts w:hint="eastAsia"/>
                <w:color w:val="auto"/>
                <w:sz w:val="21"/>
                <w:u w:val="none"/>
                <w:lang w:val="en-US" w:eastAsia="zh-CN"/>
              </w:rPr>
              <w:t>3</w:t>
            </w:r>
            <w:r>
              <w:rPr>
                <w:color w:val="auto"/>
                <w:sz w:val="21"/>
                <w:u w:val="none"/>
              </w:rPr>
              <w:t xml:space="preserve">  项目原辅材料消耗一览表</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65"/>
              <w:gridCol w:w="1016"/>
              <w:gridCol w:w="1101"/>
              <w:gridCol w:w="1060"/>
              <w:gridCol w:w="1034"/>
              <w:gridCol w:w="797"/>
              <w:gridCol w:w="20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865"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类别</w:t>
                  </w:r>
                </w:p>
              </w:tc>
              <w:tc>
                <w:tcPr>
                  <w:tcW w:w="1016"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名称</w:t>
                  </w:r>
                </w:p>
              </w:tc>
              <w:tc>
                <w:tcPr>
                  <w:tcW w:w="110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消耗量</w:t>
                  </w:r>
                </w:p>
              </w:tc>
              <w:tc>
                <w:tcPr>
                  <w:tcW w:w="1060"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单位</w:t>
                  </w:r>
                </w:p>
              </w:tc>
              <w:tc>
                <w:tcPr>
                  <w:tcW w:w="1034"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规格</w:t>
                  </w:r>
                </w:p>
              </w:tc>
              <w:tc>
                <w:tcPr>
                  <w:tcW w:w="797"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储存量</w:t>
                  </w:r>
                </w:p>
              </w:tc>
              <w:tc>
                <w:tcPr>
                  <w:tcW w:w="2042"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5" w:type="dxa"/>
                  <w:vMerge w:val="restart"/>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b/>
                      <w:color w:val="auto"/>
                      <w:sz w:val="18"/>
                      <w:szCs w:val="18"/>
                    </w:rPr>
                  </w:pPr>
                </w:p>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b/>
                      <w:color w:val="auto"/>
                      <w:sz w:val="18"/>
                      <w:szCs w:val="18"/>
                    </w:rPr>
                  </w:pPr>
                </w:p>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原材料</w:t>
                  </w:r>
                </w:p>
              </w:tc>
              <w:tc>
                <w:tcPr>
                  <w:tcW w:w="1016" w:type="dxa"/>
                  <w:tcBorders>
                    <w:tl2br w:val="nil"/>
                    <w:tr2bl w:val="nil"/>
                  </w:tcBorders>
                  <w:vAlign w:val="center"/>
                </w:tcPr>
                <w:p>
                  <w:pPr>
                    <w:pStyle w:val="59"/>
                    <w:keepNext w:val="0"/>
                    <w:keepLines w:val="0"/>
                    <w:pageBreakBefore w:val="0"/>
                    <w:widowControl w:val="0"/>
                    <w:kinsoku/>
                    <w:wordWrap/>
                    <w:overflowPunct/>
                    <w:topLinePunct w:val="0"/>
                    <w:autoSpaceDE/>
                    <w:autoSpaceDN/>
                    <w:bidi w:val="0"/>
                    <w:ind w:left="97" w:leftChars="0" w:right="50"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小型汽车</w:t>
                  </w:r>
                </w:p>
              </w:tc>
              <w:tc>
                <w:tcPr>
                  <w:tcW w:w="110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ind w:left="347" w:leftChars="0" w:right="321" w:rightChars="0"/>
                    <w:jc w:val="center"/>
                    <w:textAlignment w:val="auto"/>
                    <w:rPr>
                      <w:rFonts w:hint="eastAsia" w:ascii="宋体" w:hAnsi="宋体" w:eastAsia="宋体" w:cs="宋体"/>
                      <w:color w:val="auto"/>
                      <w:sz w:val="18"/>
                      <w:szCs w:val="18"/>
                      <w:u w:val="none"/>
                    </w:rPr>
                  </w:pPr>
                  <w:r>
                    <w:rPr>
                      <w:rFonts w:hint="eastAsia" w:cs="宋体"/>
                      <w:color w:val="auto"/>
                      <w:sz w:val="18"/>
                      <w:szCs w:val="18"/>
                      <w:u w:val="none"/>
                      <w:lang w:val="en-US" w:eastAsia="zh-CN"/>
                    </w:rPr>
                    <w:t>7</w:t>
                  </w:r>
                  <w:r>
                    <w:rPr>
                      <w:rFonts w:hint="eastAsia" w:ascii="宋体" w:hAnsi="宋体" w:eastAsia="宋体" w:cs="宋体"/>
                      <w:color w:val="auto"/>
                      <w:sz w:val="18"/>
                      <w:szCs w:val="18"/>
                      <w:u w:val="none"/>
                    </w:rPr>
                    <w:t>000</w:t>
                  </w:r>
                </w:p>
              </w:tc>
              <w:tc>
                <w:tcPr>
                  <w:tcW w:w="1060"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辆/a</w:t>
                  </w:r>
                </w:p>
              </w:tc>
              <w:tc>
                <w:tcPr>
                  <w:tcW w:w="1034"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u w:val="none"/>
                    </w:rPr>
                    <w:t>小汽车、面包车</w:t>
                  </w:r>
                </w:p>
              </w:tc>
              <w:tc>
                <w:tcPr>
                  <w:tcW w:w="797"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w w:val="100"/>
                      <w:sz w:val="18"/>
                      <w:szCs w:val="18"/>
                    </w:rPr>
                    <w:t>/</w:t>
                  </w:r>
                </w:p>
              </w:tc>
              <w:tc>
                <w:tcPr>
                  <w:tcW w:w="2042" w:type="dxa"/>
                  <w:tcBorders>
                    <w:tl2br w:val="nil"/>
                    <w:tr2bl w:val="nil"/>
                  </w:tcBorders>
                  <w:vAlign w:val="center"/>
                </w:tcPr>
                <w:p>
                  <w:pPr>
                    <w:pStyle w:val="59"/>
                    <w:keepNext w:val="0"/>
                    <w:keepLines w:val="0"/>
                    <w:pageBreakBefore w:val="0"/>
                    <w:widowControl w:val="0"/>
                    <w:kinsoku/>
                    <w:wordWrap/>
                    <w:overflowPunct/>
                    <w:topLinePunct w:val="0"/>
                    <w:autoSpaceDE/>
                    <w:autoSpaceDN/>
                    <w:bidi w:val="0"/>
                    <w:ind w:left="0" w:leftChars="0" w:right="233" w:rightChars="0" w:firstLine="0" w:firstLine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平均重量1.3t/辆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8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p>
              </w:tc>
              <w:tc>
                <w:tcPr>
                  <w:tcW w:w="1016" w:type="dxa"/>
                  <w:tcBorders>
                    <w:tl2br w:val="nil"/>
                    <w:tr2bl w:val="nil"/>
                  </w:tcBorders>
                  <w:vAlign w:val="center"/>
                </w:tcPr>
                <w:p>
                  <w:pPr>
                    <w:pStyle w:val="59"/>
                    <w:keepNext w:val="0"/>
                    <w:keepLines w:val="0"/>
                    <w:pageBreakBefore w:val="0"/>
                    <w:widowControl w:val="0"/>
                    <w:kinsoku/>
                    <w:wordWrap/>
                    <w:overflowPunct/>
                    <w:topLinePunct w:val="0"/>
                    <w:autoSpaceDE/>
                    <w:autoSpaceDN/>
                    <w:bidi w:val="0"/>
                    <w:ind w:left="75" w:leftChars="0" w:right="50"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大型汽车</w:t>
                  </w:r>
                </w:p>
              </w:tc>
              <w:tc>
                <w:tcPr>
                  <w:tcW w:w="110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ind w:left="347" w:leftChars="0" w:right="321"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2000</w:t>
                  </w:r>
                </w:p>
              </w:tc>
              <w:tc>
                <w:tcPr>
                  <w:tcW w:w="1060"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辆/a</w:t>
                  </w:r>
                </w:p>
              </w:tc>
              <w:tc>
                <w:tcPr>
                  <w:tcW w:w="1034"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u w:val="none"/>
                    </w:rPr>
                    <w:t>客车、货车</w:t>
                  </w:r>
                </w:p>
              </w:tc>
              <w:tc>
                <w:tcPr>
                  <w:tcW w:w="797"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w w:val="100"/>
                      <w:sz w:val="18"/>
                      <w:szCs w:val="18"/>
                    </w:rPr>
                    <w:t>/</w:t>
                  </w:r>
                </w:p>
              </w:tc>
              <w:tc>
                <w:tcPr>
                  <w:tcW w:w="2042" w:type="dxa"/>
                  <w:tcBorders>
                    <w:tl2br w:val="nil"/>
                    <w:tr2bl w:val="nil"/>
                  </w:tcBorders>
                  <w:vAlign w:val="center"/>
                </w:tcPr>
                <w:p>
                  <w:pPr>
                    <w:pStyle w:val="59"/>
                    <w:keepNext w:val="0"/>
                    <w:keepLines w:val="0"/>
                    <w:pageBreakBefore w:val="0"/>
                    <w:widowControl w:val="0"/>
                    <w:kinsoku/>
                    <w:wordWrap/>
                    <w:overflowPunct/>
                    <w:topLinePunct w:val="0"/>
                    <w:autoSpaceDE/>
                    <w:autoSpaceDN/>
                    <w:bidi w:val="0"/>
                    <w:ind w:left="0" w:leftChars="0" w:right="233" w:rightChars="0" w:firstLine="0" w:firstLine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平均重量5.3t/辆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5" w:hRule="atLeast"/>
                <w:jc w:val="center"/>
              </w:trPr>
              <w:tc>
                <w:tcPr>
                  <w:tcW w:w="8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p>
              </w:tc>
              <w:tc>
                <w:tcPr>
                  <w:tcW w:w="1016" w:type="dxa"/>
                  <w:tcBorders>
                    <w:tl2br w:val="nil"/>
                    <w:tr2bl w:val="nil"/>
                  </w:tcBorders>
                  <w:vAlign w:val="center"/>
                </w:tcPr>
                <w:p>
                  <w:pPr>
                    <w:pStyle w:val="59"/>
                    <w:keepNext w:val="0"/>
                    <w:keepLines w:val="0"/>
                    <w:pageBreakBefore w:val="0"/>
                    <w:widowControl w:val="0"/>
                    <w:kinsoku/>
                    <w:wordWrap/>
                    <w:overflowPunct/>
                    <w:topLinePunct w:val="0"/>
                    <w:autoSpaceDE/>
                    <w:autoSpaceDN/>
                    <w:bidi w:val="0"/>
                    <w:ind w:left="73" w:leftChars="0" w:right="50"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电动汽车</w:t>
                  </w:r>
                </w:p>
              </w:tc>
              <w:tc>
                <w:tcPr>
                  <w:tcW w:w="110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ind w:left="347" w:leftChars="0" w:right="321"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1000</w:t>
                  </w:r>
                </w:p>
              </w:tc>
              <w:tc>
                <w:tcPr>
                  <w:tcW w:w="1060"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辆/a</w:t>
                  </w:r>
                </w:p>
              </w:tc>
              <w:tc>
                <w:tcPr>
                  <w:tcW w:w="1034"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小型</w:t>
                  </w:r>
                </w:p>
              </w:tc>
              <w:tc>
                <w:tcPr>
                  <w:tcW w:w="797"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w w:val="100"/>
                      <w:sz w:val="18"/>
                      <w:szCs w:val="18"/>
                    </w:rPr>
                    <w:t>/</w:t>
                  </w:r>
                </w:p>
              </w:tc>
              <w:tc>
                <w:tcPr>
                  <w:tcW w:w="2042" w:type="dxa"/>
                  <w:tcBorders>
                    <w:tl2br w:val="nil"/>
                    <w:tr2bl w:val="nil"/>
                  </w:tcBorders>
                  <w:vAlign w:val="center"/>
                </w:tcPr>
                <w:p>
                  <w:pPr>
                    <w:pStyle w:val="59"/>
                    <w:keepNext w:val="0"/>
                    <w:keepLines w:val="0"/>
                    <w:pageBreakBefore w:val="0"/>
                    <w:widowControl w:val="0"/>
                    <w:kinsoku/>
                    <w:wordWrap/>
                    <w:overflowPunct/>
                    <w:topLinePunct w:val="0"/>
                    <w:autoSpaceDE/>
                    <w:autoSpaceDN/>
                    <w:bidi w:val="0"/>
                    <w:ind w:left="0" w:leftChars="0" w:right="233" w:rightChars="0" w:firstLine="0" w:firstLine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平均重量1.3t/辆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5" w:hRule="atLeast"/>
                <w:jc w:val="center"/>
              </w:trPr>
              <w:tc>
                <w:tcPr>
                  <w:tcW w:w="8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p>
              </w:tc>
              <w:tc>
                <w:tcPr>
                  <w:tcW w:w="1016" w:type="dxa"/>
                  <w:tcBorders>
                    <w:tl2br w:val="nil"/>
                    <w:tr2bl w:val="nil"/>
                  </w:tcBorders>
                  <w:vAlign w:val="center"/>
                </w:tcPr>
                <w:p>
                  <w:pPr>
                    <w:pStyle w:val="59"/>
                    <w:keepNext w:val="0"/>
                    <w:keepLines w:val="0"/>
                    <w:pageBreakBefore w:val="0"/>
                    <w:widowControl w:val="0"/>
                    <w:kinsoku/>
                    <w:wordWrap/>
                    <w:overflowPunct/>
                    <w:topLinePunct w:val="0"/>
                    <w:autoSpaceDE/>
                    <w:autoSpaceDN/>
                    <w:bidi w:val="0"/>
                    <w:ind w:left="75" w:leftChars="0" w:right="50"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摩托车</w:t>
                  </w:r>
                </w:p>
              </w:tc>
              <w:tc>
                <w:tcPr>
                  <w:tcW w:w="110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ind w:left="347" w:leftChars="0" w:right="321"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1000</w:t>
                  </w:r>
                </w:p>
              </w:tc>
              <w:tc>
                <w:tcPr>
                  <w:tcW w:w="1060"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辆/a</w:t>
                  </w:r>
                </w:p>
              </w:tc>
              <w:tc>
                <w:tcPr>
                  <w:tcW w:w="1034"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797"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w w:val="100"/>
                      <w:sz w:val="18"/>
                      <w:szCs w:val="18"/>
                      <w:lang w:val="en-US" w:eastAsia="zh-CN"/>
                    </w:rPr>
                  </w:pPr>
                  <w:r>
                    <w:rPr>
                      <w:rFonts w:hint="eastAsia" w:ascii="宋体" w:hAnsi="宋体" w:eastAsia="宋体" w:cs="宋体"/>
                      <w:color w:val="auto"/>
                      <w:w w:val="100"/>
                      <w:sz w:val="18"/>
                      <w:szCs w:val="18"/>
                      <w:lang w:val="en-US" w:eastAsia="zh-CN"/>
                    </w:rPr>
                    <w:t>/</w:t>
                  </w:r>
                </w:p>
              </w:tc>
              <w:tc>
                <w:tcPr>
                  <w:tcW w:w="2042" w:type="dxa"/>
                  <w:tcBorders>
                    <w:tl2br w:val="nil"/>
                    <w:tr2bl w:val="nil"/>
                  </w:tcBorders>
                  <w:vAlign w:val="center"/>
                </w:tcPr>
                <w:p>
                  <w:pPr>
                    <w:pStyle w:val="59"/>
                    <w:keepNext w:val="0"/>
                    <w:keepLines w:val="0"/>
                    <w:pageBreakBefore w:val="0"/>
                    <w:widowControl w:val="0"/>
                    <w:kinsoku/>
                    <w:wordWrap/>
                    <w:overflowPunct/>
                    <w:topLinePunct w:val="0"/>
                    <w:autoSpaceDE/>
                    <w:autoSpaceDN/>
                    <w:bidi w:val="0"/>
                    <w:ind w:left="0" w:leftChars="0" w:right="233" w:rightChars="0" w:firstLine="0" w:firstLine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平均重量125kg/辆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865" w:type="dxa"/>
                  <w:vMerge w:val="restart"/>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b/>
                      <w:color w:val="auto"/>
                      <w:sz w:val="18"/>
                      <w:szCs w:val="18"/>
                    </w:rPr>
                  </w:pPr>
                </w:p>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b/>
                      <w:color w:val="auto"/>
                      <w:sz w:val="18"/>
                      <w:szCs w:val="18"/>
                    </w:rPr>
                  </w:pPr>
                </w:p>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辅料</w:t>
                  </w:r>
                </w:p>
              </w:tc>
              <w:tc>
                <w:tcPr>
                  <w:tcW w:w="1016"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乙炔</w:t>
                  </w:r>
                </w:p>
              </w:tc>
              <w:tc>
                <w:tcPr>
                  <w:tcW w:w="110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150</w:t>
                  </w:r>
                </w:p>
              </w:tc>
              <w:tc>
                <w:tcPr>
                  <w:tcW w:w="1060"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瓶/a</w:t>
                  </w:r>
                </w:p>
              </w:tc>
              <w:tc>
                <w:tcPr>
                  <w:tcW w:w="1034"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40L 钢瓶</w:t>
                  </w:r>
                </w:p>
              </w:tc>
              <w:tc>
                <w:tcPr>
                  <w:tcW w:w="797"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10 瓶</w:t>
                  </w:r>
                </w:p>
              </w:tc>
              <w:tc>
                <w:tcPr>
                  <w:tcW w:w="2042"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切割气体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8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p>
              </w:tc>
              <w:tc>
                <w:tcPr>
                  <w:tcW w:w="1016"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氧气</w:t>
                  </w:r>
                </w:p>
              </w:tc>
              <w:tc>
                <w:tcPr>
                  <w:tcW w:w="110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800</w:t>
                  </w:r>
                </w:p>
              </w:tc>
              <w:tc>
                <w:tcPr>
                  <w:tcW w:w="1060"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瓶/a</w:t>
                  </w:r>
                </w:p>
              </w:tc>
              <w:tc>
                <w:tcPr>
                  <w:tcW w:w="1034"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40L 钢瓶</w:t>
                  </w:r>
                </w:p>
              </w:tc>
              <w:tc>
                <w:tcPr>
                  <w:tcW w:w="797"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 瓶</w:t>
                  </w:r>
                </w:p>
              </w:tc>
              <w:tc>
                <w:tcPr>
                  <w:tcW w:w="2042"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助燃气体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5" w:hRule="atLeast"/>
                <w:jc w:val="center"/>
              </w:trPr>
              <w:tc>
                <w:tcPr>
                  <w:tcW w:w="8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p>
              </w:tc>
              <w:tc>
                <w:tcPr>
                  <w:tcW w:w="1016"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润滑油</w:t>
                  </w:r>
                </w:p>
              </w:tc>
              <w:tc>
                <w:tcPr>
                  <w:tcW w:w="110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0.1</w:t>
                  </w:r>
                </w:p>
              </w:tc>
              <w:tc>
                <w:tcPr>
                  <w:tcW w:w="1060"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t/a</w:t>
                  </w:r>
                </w:p>
              </w:tc>
              <w:tc>
                <w:tcPr>
                  <w:tcW w:w="1034"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w w:val="100"/>
                      <w:sz w:val="18"/>
                      <w:szCs w:val="18"/>
                    </w:rPr>
                    <w:t>/</w:t>
                  </w:r>
                </w:p>
              </w:tc>
              <w:tc>
                <w:tcPr>
                  <w:tcW w:w="797"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0.01t</w:t>
                  </w:r>
                </w:p>
              </w:tc>
              <w:tc>
                <w:tcPr>
                  <w:tcW w:w="2042"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润滑机器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8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p>
              </w:tc>
              <w:tc>
                <w:tcPr>
                  <w:tcW w:w="1016"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液压油</w:t>
                  </w:r>
                </w:p>
              </w:tc>
              <w:tc>
                <w:tcPr>
                  <w:tcW w:w="110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0.2</w:t>
                  </w:r>
                </w:p>
              </w:tc>
              <w:tc>
                <w:tcPr>
                  <w:tcW w:w="1060"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t/a</w:t>
                  </w:r>
                </w:p>
              </w:tc>
              <w:tc>
                <w:tcPr>
                  <w:tcW w:w="1034"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w w:val="100"/>
                      <w:sz w:val="18"/>
                      <w:szCs w:val="18"/>
                    </w:rPr>
                    <w:t>/</w:t>
                  </w:r>
                </w:p>
              </w:tc>
              <w:tc>
                <w:tcPr>
                  <w:tcW w:w="797"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0.02t</w:t>
                  </w:r>
                </w:p>
              </w:tc>
              <w:tc>
                <w:tcPr>
                  <w:tcW w:w="2042"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举升机使用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0" w:hRule="atLeast"/>
                <w:jc w:val="center"/>
              </w:trPr>
              <w:tc>
                <w:tcPr>
                  <w:tcW w:w="865" w:type="dxa"/>
                  <w:vMerge w:val="restart"/>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b/>
                      <w:color w:val="auto"/>
                      <w:sz w:val="18"/>
                      <w:szCs w:val="18"/>
                    </w:rPr>
                  </w:pPr>
                </w:p>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能源</w:t>
                  </w:r>
                </w:p>
              </w:tc>
              <w:tc>
                <w:tcPr>
                  <w:tcW w:w="1016"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w w:val="100"/>
                      <w:sz w:val="18"/>
                      <w:szCs w:val="18"/>
                    </w:rPr>
                    <w:t>水</w:t>
                  </w:r>
                </w:p>
              </w:tc>
              <w:tc>
                <w:tcPr>
                  <w:tcW w:w="110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690</w:t>
                  </w:r>
                </w:p>
              </w:tc>
              <w:tc>
                <w:tcPr>
                  <w:tcW w:w="1060"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t/a</w:t>
                  </w:r>
                </w:p>
              </w:tc>
              <w:tc>
                <w:tcPr>
                  <w:tcW w:w="1034"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w w:val="100"/>
                      <w:sz w:val="18"/>
                      <w:szCs w:val="18"/>
                    </w:rPr>
                    <w:t>/</w:t>
                  </w:r>
                </w:p>
              </w:tc>
              <w:tc>
                <w:tcPr>
                  <w:tcW w:w="797"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w w:val="100"/>
                      <w:sz w:val="18"/>
                      <w:szCs w:val="18"/>
                    </w:rPr>
                    <w:t>/</w:t>
                  </w:r>
                </w:p>
              </w:tc>
              <w:tc>
                <w:tcPr>
                  <w:tcW w:w="2042"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深井水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8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p>
              </w:tc>
              <w:tc>
                <w:tcPr>
                  <w:tcW w:w="1016"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w w:val="100"/>
                      <w:sz w:val="18"/>
                      <w:szCs w:val="18"/>
                    </w:rPr>
                    <w:t>电</w:t>
                  </w:r>
                </w:p>
              </w:tc>
              <w:tc>
                <w:tcPr>
                  <w:tcW w:w="110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lang w:val="en-US" w:eastAsia="zh-CN"/>
                    </w:rPr>
                  </w:pPr>
                  <w:r>
                    <w:rPr>
                      <w:rFonts w:hint="eastAsia" w:cs="宋体"/>
                      <w:color w:val="auto"/>
                      <w:sz w:val="18"/>
                      <w:szCs w:val="18"/>
                      <w:lang w:val="en-US" w:eastAsia="zh-CN"/>
                    </w:rPr>
                    <w:t>4</w:t>
                  </w:r>
                </w:p>
              </w:tc>
              <w:tc>
                <w:tcPr>
                  <w:tcW w:w="1060"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万kWh/a</w:t>
                  </w:r>
                </w:p>
              </w:tc>
              <w:tc>
                <w:tcPr>
                  <w:tcW w:w="1034"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w w:val="100"/>
                      <w:sz w:val="18"/>
                      <w:szCs w:val="18"/>
                    </w:rPr>
                    <w:t>/</w:t>
                  </w:r>
                </w:p>
              </w:tc>
              <w:tc>
                <w:tcPr>
                  <w:tcW w:w="797"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w w:val="100"/>
                      <w:sz w:val="18"/>
                      <w:szCs w:val="18"/>
                    </w:rPr>
                    <w:t>/</w:t>
                  </w:r>
                </w:p>
              </w:tc>
              <w:tc>
                <w:tcPr>
                  <w:tcW w:w="2042"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val="0"/>
                    <w:snapToGrid w:val="0"/>
                    <w:ind w:left="6" w:right="6"/>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乡镇电网</w:t>
                  </w:r>
                  <w:r>
                    <w:rPr>
                      <w:rFonts w:hint="eastAsia" w:ascii="宋体" w:hAnsi="宋体" w:eastAsia="宋体" w:cs="宋体"/>
                      <w:color w:val="auto"/>
                      <w:sz w:val="18"/>
                      <w:szCs w:val="18"/>
                    </w:rPr>
                    <w:t>供电</w:t>
                  </w:r>
                </w:p>
              </w:tc>
            </w:tr>
          </w:tbl>
          <w:p>
            <w:pPr>
              <w:pStyle w:val="59"/>
              <w:ind w:left="597"/>
              <w:jc w:val="left"/>
              <w:rPr>
                <w:rFonts w:hint="eastAsia" w:ascii="宋体" w:hAnsi="宋体" w:eastAsia="宋体" w:cs="宋体"/>
                <w:color w:val="auto"/>
                <w:sz w:val="21"/>
                <w:szCs w:val="21"/>
              </w:rPr>
            </w:pPr>
          </w:p>
          <w:p>
            <w:pPr>
              <w:pStyle w:val="59"/>
              <w:ind w:left="597"/>
              <w:jc w:val="left"/>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贮存堆放要求：</w:t>
            </w:r>
          </w:p>
          <w:p>
            <w:pPr>
              <w:pStyle w:val="59"/>
              <w:numPr>
                <w:ilvl w:val="0"/>
                <w:numId w:val="0"/>
              </w:numPr>
              <w:tabs>
                <w:tab w:val="left" w:pos="640"/>
              </w:tabs>
              <w:spacing w:before="158" w:after="0" w:line="240" w:lineRule="auto"/>
              <w:ind w:left="653" w:leftChars="200" w:right="0" w:rightChars="0" w:hanging="233" w:hangingChars="111"/>
              <w:jc w:val="left"/>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cs="Times New Roman"/>
                <w:color w:val="auto"/>
                <w:kern w:val="2"/>
                <w:sz w:val="21"/>
                <w:szCs w:val="24"/>
                <w:u w:val="none"/>
                <w:lang w:val="en-US" w:eastAsia="zh-CN" w:bidi="ar-SA"/>
              </w:rPr>
              <w:t>（1）</w:t>
            </w:r>
            <w:r>
              <w:rPr>
                <w:rFonts w:hint="eastAsia" w:ascii="Times New Roman" w:hAnsi="Times New Roman" w:eastAsia="宋体" w:cs="Times New Roman"/>
                <w:color w:val="auto"/>
                <w:kern w:val="2"/>
                <w:sz w:val="21"/>
                <w:szCs w:val="24"/>
                <w:u w:val="none"/>
                <w:lang w:val="en-US" w:eastAsia="zh-CN" w:bidi="ar-SA"/>
              </w:rPr>
              <w:t>所有车辆应避免侧放、倒放，电动汽车在动力蓄电池未拆卸前不应叠放。</w:t>
            </w:r>
          </w:p>
          <w:p>
            <w:pPr>
              <w:pStyle w:val="59"/>
              <w:numPr>
                <w:ilvl w:val="0"/>
                <w:numId w:val="0"/>
              </w:numPr>
              <w:tabs>
                <w:tab w:val="left" w:pos="640"/>
              </w:tabs>
              <w:spacing w:before="160" w:after="0" w:line="364" w:lineRule="auto"/>
              <w:ind w:left="653" w:leftChars="200" w:right="-44" w:rightChars="0" w:hanging="233" w:hangingChars="111"/>
              <w:jc w:val="left"/>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cs="Times New Roman"/>
                <w:color w:val="auto"/>
                <w:kern w:val="2"/>
                <w:sz w:val="21"/>
                <w:szCs w:val="24"/>
                <w:u w:val="none"/>
                <w:lang w:val="en-US" w:eastAsia="zh-CN" w:bidi="ar-SA"/>
              </w:rPr>
              <w:t>（2）</w:t>
            </w:r>
            <w:r>
              <w:rPr>
                <w:rFonts w:hint="eastAsia" w:ascii="Times New Roman" w:hAnsi="Times New Roman" w:eastAsia="宋体" w:cs="Times New Roman"/>
                <w:color w:val="auto"/>
                <w:kern w:val="2"/>
                <w:sz w:val="21"/>
                <w:szCs w:val="24"/>
                <w:u w:val="none"/>
                <w:lang w:val="en-US" w:eastAsia="zh-CN" w:bidi="ar-SA"/>
              </w:rPr>
              <w:t>机动车如需叠放，应使上下车辆的重心尽量重合，且不应超过 3 层。2 层和 3 层叠放时，高度分别不应超过 3m 和 4.5m。大型车辆应单层平置。采用框架结构存放的， 要保证安全性，并易于装卸。</w:t>
            </w:r>
          </w:p>
          <w:p>
            <w:pPr>
              <w:pStyle w:val="59"/>
              <w:numPr>
                <w:ilvl w:val="0"/>
                <w:numId w:val="0"/>
              </w:numPr>
              <w:tabs>
                <w:tab w:val="left" w:pos="640"/>
              </w:tabs>
              <w:spacing w:before="0" w:after="0" w:line="364" w:lineRule="auto"/>
              <w:ind w:left="653" w:leftChars="200" w:right="76" w:rightChars="0" w:hanging="233" w:hangingChars="111"/>
              <w:jc w:val="left"/>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cs="Times New Roman"/>
                <w:color w:val="auto"/>
                <w:kern w:val="2"/>
                <w:sz w:val="21"/>
                <w:szCs w:val="24"/>
                <w:u w:val="none"/>
                <w:lang w:val="en-US" w:eastAsia="zh-CN" w:bidi="ar-SA"/>
              </w:rPr>
              <w:t>（3）</w:t>
            </w:r>
            <w:r>
              <w:rPr>
                <w:rFonts w:hint="eastAsia" w:ascii="Times New Roman" w:hAnsi="Times New Roman" w:eastAsia="宋体" w:cs="Times New Roman"/>
                <w:color w:val="auto"/>
                <w:kern w:val="2"/>
                <w:sz w:val="21"/>
                <w:szCs w:val="24"/>
                <w:u w:val="none"/>
                <w:lang w:val="en-US" w:eastAsia="zh-CN" w:bidi="ar-SA"/>
              </w:rPr>
              <w:t>电动汽车在动力蓄电池未拆卸前应单独贮存，并采取防火、防水、绝缘、隔热等安全保障措施。电动汽车中的事故车以及发生动力蓄电池破损的车辆应隔离贮存。</w:t>
            </w:r>
          </w:p>
          <w:p>
            <w:pPr>
              <w:adjustRightInd w:val="0"/>
              <w:snapToGrid w:val="0"/>
              <w:spacing w:line="360" w:lineRule="auto"/>
              <w:rPr>
                <w:b/>
                <w:bCs/>
                <w:color w:val="auto"/>
                <w:szCs w:val="21"/>
              </w:rPr>
            </w:pPr>
            <w:r>
              <w:rPr>
                <w:b/>
                <w:bCs/>
                <w:color w:val="auto"/>
                <w:szCs w:val="21"/>
              </w:rPr>
              <w:t>6、拆解产物</w:t>
            </w:r>
          </w:p>
          <w:p>
            <w:pPr>
              <w:pStyle w:val="59"/>
              <w:numPr>
                <w:ilvl w:val="0"/>
                <w:numId w:val="0"/>
              </w:numPr>
              <w:tabs>
                <w:tab w:val="left" w:pos="1199"/>
              </w:tabs>
              <w:spacing w:before="0" w:after="0" w:line="364" w:lineRule="auto"/>
              <w:ind w:left="17" w:leftChars="0" w:right="76" w:rightChars="0" w:firstLine="577" w:firstLineChars="275"/>
              <w:jc w:val="left"/>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本项目建成后年回收拆解废旧机动车共 1</w:t>
            </w:r>
            <w:r>
              <w:rPr>
                <w:rFonts w:hint="eastAsia" w:ascii="Times New Roman" w:hAnsi="Times New Roman" w:cs="Times New Roman"/>
                <w:color w:val="auto"/>
                <w:kern w:val="2"/>
                <w:sz w:val="21"/>
                <w:szCs w:val="24"/>
                <w:u w:val="none"/>
                <w:lang w:val="en-US" w:eastAsia="zh-CN" w:bidi="ar-SA"/>
              </w:rPr>
              <w:t>1</w:t>
            </w:r>
            <w:r>
              <w:rPr>
                <w:rFonts w:hint="eastAsia" w:ascii="Times New Roman" w:hAnsi="Times New Roman" w:eastAsia="宋体" w:cs="Times New Roman"/>
                <w:color w:val="auto"/>
                <w:kern w:val="2"/>
                <w:sz w:val="21"/>
                <w:szCs w:val="24"/>
                <w:u w:val="none"/>
                <w:lang w:val="en-US" w:eastAsia="zh-CN" w:bidi="ar-SA"/>
              </w:rPr>
              <w:t>000 辆，报废机动车产生的拆解产物大部分可作为拆解产物回收利用，还有一部分固体废物，本项目拆解物种类及产量详见表 2-4。</w:t>
            </w:r>
          </w:p>
          <w:p>
            <w:pPr>
              <w:pStyle w:val="59"/>
              <w:numPr>
                <w:ilvl w:val="0"/>
                <w:numId w:val="0"/>
              </w:numPr>
              <w:tabs>
                <w:tab w:val="left" w:pos="1199"/>
              </w:tabs>
              <w:spacing w:before="0" w:after="0" w:line="364" w:lineRule="auto"/>
              <w:ind w:left="17" w:leftChars="0" w:right="76" w:rightChars="0" w:firstLine="580" w:firstLineChars="275"/>
              <w:jc w:val="center"/>
              <w:rPr>
                <w:rFonts w:hint="eastAsia" w:ascii="Times New Roman" w:hAnsi="Times New Roman" w:eastAsia="宋体" w:cs="Times New Roman"/>
                <w:color w:val="auto"/>
                <w:kern w:val="2"/>
                <w:sz w:val="21"/>
                <w:szCs w:val="24"/>
                <w:u w:val="none"/>
                <w:lang w:val="en-US" w:eastAsia="zh-CN" w:bidi="ar-SA"/>
              </w:rPr>
            </w:pPr>
            <w:r>
              <w:rPr>
                <w:b/>
                <w:color w:val="auto"/>
                <w:sz w:val="21"/>
              </w:rPr>
              <w:t>表</w:t>
            </w:r>
            <w:r>
              <w:rPr>
                <w:b/>
                <w:color w:val="auto"/>
                <w:spacing w:val="-52"/>
                <w:sz w:val="21"/>
              </w:rPr>
              <w:t xml:space="preserve"> </w:t>
            </w:r>
            <w:r>
              <w:rPr>
                <w:rFonts w:ascii="Times New Roman" w:eastAsia="Times New Roman"/>
                <w:b/>
                <w:color w:val="auto"/>
                <w:sz w:val="21"/>
              </w:rPr>
              <w:t>2-4</w:t>
            </w:r>
            <w:r>
              <w:rPr>
                <w:rFonts w:ascii="Times New Roman" w:eastAsia="Times New Roman"/>
                <w:b/>
                <w:color w:val="auto"/>
                <w:sz w:val="21"/>
              </w:rPr>
              <w:tab/>
            </w:r>
            <w:r>
              <w:rPr>
                <w:b/>
                <w:color w:val="auto"/>
                <w:sz w:val="21"/>
              </w:rPr>
              <w:t>拆解物种类及产量一览表</w:t>
            </w:r>
          </w:p>
          <w:tbl>
            <w:tblPr>
              <w:tblStyle w:val="21"/>
              <w:tblW w:w="71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13"/>
              <w:gridCol w:w="423"/>
              <w:gridCol w:w="1706"/>
              <w:gridCol w:w="1172"/>
              <w:gridCol w:w="1800"/>
              <w:gridCol w:w="1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3"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序号</w:t>
                  </w:r>
                </w:p>
              </w:tc>
              <w:tc>
                <w:tcPr>
                  <w:tcW w:w="21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拆解物种类</w:t>
                  </w:r>
                </w:p>
              </w:tc>
              <w:tc>
                <w:tcPr>
                  <w:tcW w:w="11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预计产量（t/a）</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备注</w:t>
                  </w:r>
                </w:p>
              </w:tc>
              <w:tc>
                <w:tcPr>
                  <w:tcW w:w="14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处理方式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21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钢铁</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17201</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含可利用零部件</w:t>
                  </w:r>
                </w:p>
              </w:tc>
              <w:tc>
                <w:tcPr>
                  <w:tcW w:w="1446"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按流程拆解、分类收集、回收利用， 按一般固废管理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4"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21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有色金属</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533.5</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铝、铜，来源于轮毂、窗框、线路、水箱等</w:t>
                  </w:r>
                </w:p>
              </w:tc>
              <w:tc>
                <w:tcPr>
                  <w:tcW w:w="144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2"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21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废橡胶</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886</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44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2"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21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废电线电缆</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154.5</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44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21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废塑料</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668.5</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44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2"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21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废玻璃</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352</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44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3"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一般固废</w:t>
                  </w:r>
                </w:p>
              </w:tc>
              <w:tc>
                <w:tcPr>
                  <w:tcW w:w="170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废动力电池组、废安全气囊</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169.</w:t>
                  </w:r>
                  <w:r>
                    <w:rPr>
                      <w:rFonts w:hint="eastAsia" w:ascii="宋体" w:hAnsi="宋体" w:cs="宋体"/>
                      <w:i w:val="0"/>
                      <w:iCs w:val="0"/>
                      <w:color w:val="auto"/>
                      <w:kern w:val="0"/>
                      <w:sz w:val="21"/>
                      <w:szCs w:val="21"/>
                      <w:u w:val="none"/>
                      <w:lang w:val="en-US" w:eastAsia="zh-CN" w:bidi="ar"/>
                    </w:rPr>
                    <w:t>1</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4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有资质单位回收处理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1"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w:t>
                  </w:r>
                </w:p>
              </w:tc>
              <w:tc>
                <w:tcPr>
                  <w:tcW w:w="42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70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不可利用材料</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820</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包含海绵、电子废物、布料等</w:t>
                  </w:r>
                </w:p>
              </w:tc>
              <w:tc>
                <w:tcPr>
                  <w:tcW w:w="14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环卫部门统一处理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3"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w:t>
                  </w:r>
                </w:p>
              </w:tc>
              <w:tc>
                <w:tcPr>
                  <w:tcW w:w="21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废蓄电池</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184.5</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包含铅酸蓄电池个镉镍电池</w:t>
                  </w:r>
                </w:p>
              </w:tc>
              <w:tc>
                <w:tcPr>
                  <w:tcW w:w="14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按危废管理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10</w:t>
                  </w:r>
                </w:p>
              </w:tc>
              <w:tc>
                <w:tcPr>
                  <w:tcW w:w="21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废尾气净化装置</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17.1</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尾气催化剂</w:t>
                  </w:r>
                </w:p>
              </w:tc>
              <w:tc>
                <w:tcPr>
                  <w:tcW w:w="14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按危废管理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w:t>
                  </w:r>
                </w:p>
              </w:tc>
              <w:tc>
                <w:tcPr>
                  <w:tcW w:w="21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废线路板</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2.7</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4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按危废管理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w:t>
                  </w:r>
                </w:p>
              </w:tc>
              <w:tc>
                <w:tcPr>
                  <w:tcW w:w="21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废油液</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72.2</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柴油、汽油、润滑油等</w:t>
                  </w:r>
                </w:p>
              </w:tc>
              <w:tc>
                <w:tcPr>
                  <w:tcW w:w="14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按危废管理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13</w:t>
                  </w:r>
                </w:p>
              </w:tc>
              <w:tc>
                <w:tcPr>
                  <w:tcW w:w="21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冷却液</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4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按危废管理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w:t>
                  </w:r>
                </w:p>
              </w:tc>
              <w:tc>
                <w:tcPr>
                  <w:tcW w:w="21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废空调制冷剂</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4.4</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氟利昂</w:t>
                  </w:r>
                </w:p>
              </w:tc>
              <w:tc>
                <w:tcPr>
                  <w:tcW w:w="14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按危废管理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15</w:t>
                  </w:r>
                </w:p>
              </w:tc>
              <w:tc>
                <w:tcPr>
                  <w:tcW w:w="21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含铅部件、含汞开关</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7.1</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4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按危废管理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16</w:t>
                  </w:r>
                </w:p>
              </w:tc>
              <w:tc>
                <w:tcPr>
                  <w:tcW w:w="21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隔油池废油、废含油抹</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布手套、废活性炭</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1.5</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4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按危废管理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17</w:t>
                  </w:r>
                </w:p>
              </w:tc>
              <w:tc>
                <w:tcPr>
                  <w:tcW w:w="21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废液化气罐</w:t>
                  </w:r>
                </w:p>
              </w:tc>
              <w:tc>
                <w:tcPr>
                  <w:tcW w:w="1172"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31.5</w:t>
                  </w:r>
                </w:p>
              </w:tc>
              <w:tc>
                <w:tcPr>
                  <w:tcW w:w="18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4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按危废管理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7160" w:type="dxa"/>
                  <w:gridSpan w:val="6"/>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备注：本项目仅接受一般性质使用车辆的拆解，不接收槽罐车、危险化学品运输车等特殊装备车辆</w:t>
                  </w:r>
                </w:p>
              </w:tc>
            </w:tr>
          </w:tbl>
          <w:p>
            <w:pPr>
              <w:pStyle w:val="59"/>
              <w:spacing w:before="1" w:line="364" w:lineRule="auto"/>
              <w:ind w:left="117" w:right="140" w:firstLine="480"/>
              <w:jc w:val="left"/>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本项目不涉及发动机、方向机等部件的回收再造，不涉及回收产品的再加工，拆解产生的零部件(包括发动机、方向机、变速器、前后桥、车架等)按照国家有关规定出售给具有再制造能力的企业经过再制造予以循环利用，不具备再制造条件的，钢铁、有色金属、塑料、玻璃、橡胶等物品出售给钢铁企业、废旧物品回收公司回收综合利用，剩余物品中属国家规定危险固废的委托危废资质单位处置,属于一般固废的清运至相关管理部门指定地点处置。</w:t>
            </w:r>
          </w:p>
          <w:p>
            <w:pPr>
              <w:pStyle w:val="59"/>
              <w:spacing w:line="364" w:lineRule="auto"/>
              <w:ind w:left="117" w:right="-44" w:firstLine="480"/>
              <w:jc w:val="left"/>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根据《汽车报废拆解与材料回收利用》中相关资料及同类型项目经验数据类比分析， 项目报废小型车拆解产品见表 2-5，项目报废大型车拆解产品见表 2-6，报废电动汽车拆解产品见表 2-7，报废摩托车拆解产品见表 2-8。</w:t>
            </w:r>
          </w:p>
          <w:p>
            <w:pPr>
              <w:jc w:val="center"/>
              <w:rPr>
                <w:rFonts w:hint="eastAsia"/>
                <w:color w:val="auto"/>
                <w:sz w:val="21"/>
                <w:szCs w:val="21"/>
                <w:lang w:val="zh-CN" w:eastAsia="zh-CN"/>
              </w:rPr>
            </w:pPr>
            <w:r>
              <w:rPr>
                <w:b/>
                <w:color w:val="auto"/>
                <w:sz w:val="21"/>
                <w:szCs w:val="21"/>
              </w:rPr>
              <w:t>表</w:t>
            </w:r>
            <w:r>
              <w:rPr>
                <w:b/>
                <w:color w:val="auto"/>
                <w:spacing w:val="-55"/>
                <w:sz w:val="21"/>
                <w:szCs w:val="21"/>
              </w:rPr>
              <w:t xml:space="preserve"> </w:t>
            </w:r>
            <w:r>
              <w:rPr>
                <w:rFonts w:ascii="Times New Roman" w:eastAsia="Times New Roman"/>
                <w:b/>
                <w:color w:val="auto"/>
                <w:sz w:val="21"/>
                <w:szCs w:val="21"/>
              </w:rPr>
              <w:t>2-5</w:t>
            </w:r>
            <w:r>
              <w:rPr>
                <w:rFonts w:ascii="Times New Roman" w:eastAsia="Times New Roman"/>
                <w:b/>
                <w:color w:val="auto"/>
                <w:sz w:val="21"/>
                <w:szCs w:val="21"/>
              </w:rPr>
              <w:tab/>
            </w:r>
            <w:r>
              <w:rPr>
                <w:b/>
                <w:color w:val="auto"/>
                <w:sz w:val="21"/>
                <w:szCs w:val="21"/>
              </w:rPr>
              <w:t>项目报废小型车拆解产物明细表</w:t>
            </w:r>
          </w:p>
          <w:tbl>
            <w:tblPr>
              <w:tblStyle w:val="21"/>
              <w:tblW w:w="77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5"/>
              <w:gridCol w:w="1410"/>
              <w:gridCol w:w="1168"/>
              <w:gridCol w:w="1998"/>
              <w:gridCol w:w="1179"/>
              <w:gridCol w:w="11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序号</w:t>
                  </w:r>
                </w:p>
              </w:tc>
              <w:tc>
                <w:tcPr>
                  <w:tcW w:w="4576" w:type="dxa"/>
                  <w:gridSpan w:val="3"/>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right="1916"/>
                    <w:jc w:val="center"/>
                    <w:textAlignment w:val="auto"/>
                    <w:rPr>
                      <w:rFonts w:hint="eastAsia" w:ascii="宋体" w:hAnsi="宋体" w:eastAsia="宋体" w:cs="宋体"/>
                      <w:color w:val="auto"/>
                      <w:sz w:val="18"/>
                      <w:szCs w:val="18"/>
                      <w:u w:val="none"/>
                    </w:rPr>
                  </w:pPr>
                  <w:r>
                    <w:rPr>
                      <w:rFonts w:hint="eastAsia" w:cs="宋体"/>
                      <w:color w:val="auto"/>
                      <w:sz w:val="18"/>
                      <w:szCs w:val="18"/>
                      <w:u w:val="none"/>
                      <w:lang w:val="en-US" w:eastAsia="zh-CN"/>
                    </w:rPr>
                    <w:t xml:space="preserve">            </w:t>
                  </w:r>
                  <w:r>
                    <w:rPr>
                      <w:rFonts w:hint="eastAsia" w:ascii="宋体" w:hAnsi="宋体" w:eastAsia="宋体" w:cs="宋体"/>
                      <w:color w:val="auto"/>
                      <w:sz w:val="18"/>
                      <w:szCs w:val="18"/>
                      <w:u w:val="none"/>
                    </w:rPr>
                    <w:t>拆解产品</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kern w:val="2"/>
                      <w:sz w:val="18"/>
                      <w:szCs w:val="18"/>
                      <w:u w:val="none"/>
                      <w:lang w:val="en-US" w:eastAsia="zh-CN" w:bidi="zh-CN"/>
                    </w:rPr>
                  </w:pPr>
                  <w:r>
                    <w:rPr>
                      <w:rFonts w:hint="eastAsia" w:ascii="宋体" w:hAnsi="宋体" w:eastAsia="宋体" w:cs="宋体"/>
                      <w:color w:val="auto"/>
                      <w:kern w:val="2"/>
                      <w:sz w:val="18"/>
                      <w:szCs w:val="18"/>
                      <w:u w:val="none"/>
                      <w:lang w:val="en-US" w:eastAsia="zh-CN" w:bidi="zh-CN"/>
                    </w:rPr>
                    <w:t>单</w:t>
                  </w:r>
                  <w:r>
                    <w:rPr>
                      <w:rFonts w:hint="eastAsia" w:ascii="宋体" w:hAnsi="宋体" w:cs="宋体"/>
                      <w:color w:val="auto"/>
                      <w:kern w:val="2"/>
                      <w:sz w:val="18"/>
                      <w:szCs w:val="18"/>
                      <w:u w:val="none"/>
                      <w:lang w:val="en-US" w:eastAsia="zh-CN" w:bidi="zh-CN"/>
                    </w:rPr>
                    <w:t>台</w:t>
                  </w:r>
                  <w:r>
                    <w:rPr>
                      <w:rFonts w:hint="eastAsia" w:ascii="宋体" w:hAnsi="宋体" w:eastAsia="宋体" w:cs="宋体"/>
                      <w:color w:val="auto"/>
                      <w:kern w:val="2"/>
                      <w:sz w:val="18"/>
                      <w:szCs w:val="18"/>
                      <w:u w:val="none"/>
                      <w:lang w:val="en-US" w:eastAsia="zh-CN" w:bidi="zh-CN"/>
                    </w:rPr>
                    <w:t>拆解量</w:t>
                  </w:r>
                </w:p>
                <w:p>
                  <w:pPr>
                    <w:pStyle w:val="27"/>
                    <w:jc w:val="center"/>
                    <w:rPr>
                      <w:rFonts w:hint="eastAsia"/>
                      <w:color w:val="auto"/>
                      <w:lang w:eastAsia="zh-CN"/>
                    </w:rPr>
                  </w:pPr>
                  <w:r>
                    <w:rPr>
                      <w:rFonts w:hint="eastAsia"/>
                      <w:color w:val="auto"/>
                      <w:sz w:val="18"/>
                      <w:szCs w:val="18"/>
                    </w:rPr>
                    <w:t>（kg/</w:t>
                  </w:r>
                  <w:r>
                    <w:rPr>
                      <w:rFonts w:hint="eastAsia"/>
                      <w:color w:val="auto"/>
                      <w:sz w:val="18"/>
                      <w:szCs w:val="18"/>
                      <w:lang w:eastAsia="zh-CN"/>
                    </w:rPr>
                    <w:t>台</w:t>
                  </w:r>
                  <w:r>
                    <w:rPr>
                      <w:rFonts w:hint="eastAsia"/>
                      <w:color w:val="auto"/>
                      <w:sz w:val="18"/>
                      <w:szCs w:val="18"/>
                    </w:rPr>
                    <w:t>)</w:t>
                  </w:r>
                </w:p>
              </w:tc>
              <w:tc>
                <w:tcPr>
                  <w:tcW w:w="11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eastAsia="zh-CN"/>
                    </w:rPr>
                    <w:t>年</w:t>
                  </w:r>
                  <w:r>
                    <w:rPr>
                      <w:rFonts w:hint="eastAsia"/>
                      <w:color w:val="auto"/>
                      <w:sz w:val="18"/>
                      <w:szCs w:val="18"/>
                    </w:rPr>
                    <w:t>拆解量</w:t>
                  </w:r>
                  <w:r>
                    <w:rPr>
                      <w:rFonts w:hint="eastAsia"/>
                      <w:color w:val="auto"/>
                      <w:sz w:val="18"/>
                      <w:szCs w:val="18"/>
                      <w:lang w:val="en-US" w:eastAsia="zh-CN"/>
                    </w:rPr>
                    <w:t xml:space="preserve">        </w:t>
                  </w:r>
                  <w:r>
                    <w:rPr>
                      <w:rFonts w:hint="eastAsia"/>
                      <w:color w:val="auto"/>
                      <w:sz w:val="18"/>
                      <w:szCs w:val="18"/>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1</w:t>
                  </w:r>
                </w:p>
              </w:tc>
              <w:tc>
                <w:tcPr>
                  <w:tcW w:w="1410" w:type="dxa"/>
                  <w:vMerge w:val="restart"/>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275" w:right="141" w:hanging="106"/>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可利用资源</w:t>
                  </w:r>
                </w:p>
              </w:tc>
              <w:tc>
                <w:tcPr>
                  <w:tcW w:w="1168" w:type="dxa"/>
                  <w:vMerge w:val="restart"/>
                  <w:tcBorders>
                    <w:tl2br w:val="nil"/>
                    <w:tr2bl w:val="nil"/>
                  </w:tcBorders>
                  <w:vAlign w:val="center"/>
                </w:tcPr>
                <w:p>
                  <w:pPr>
                    <w:jc w:val="center"/>
                    <w:rPr>
                      <w:rFonts w:hint="eastAsia"/>
                      <w:color w:val="auto"/>
                      <w:sz w:val="18"/>
                      <w:szCs w:val="18"/>
                    </w:rPr>
                  </w:pPr>
                </w:p>
                <w:p>
                  <w:pPr>
                    <w:jc w:val="center"/>
                    <w:rPr>
                      <w:rFonts w:hint="eastAsia"/>
                      <w:color w:val="auto"/>
                      <w:sz w:val="18"/>
                      <w:szCs w:val="18"/>
                    </w:rPr>
                  </w:pPr>
                  <w:r>
                    <w:rPr>
                      <w:rFonts w:hint="eastAsia"/>
                      <w:color w:val="auto"/>
                      <w:sz w:val="18"/>
                      <w:szCs w:val="18"/>
                    </w:rPr>
                    <w:t>钢铁</w:t>
                  </w:r>
                </w:p>
              </w:tc>
              <w:tc>
                <w:tcPr>
                  <w:tcW w:w="1998" w:type="dxa"/>
                  <w:tcBorders>
                    <w:tl2br w:val="nil"/>
                    <w:tr2bl w:val="nil"/>
                  </w:tcBorders>
                  <w:vAlign w:val="center"/>
                </w:tcPr>
                <w:p>
                  <w:pPr>
                    <w:jc w:val="center"/>
                    <w:rPr>
                      <w:rFonts w:hint="eastAsia"/>
                      <w:color w:val="auto"/>
                      <w:sz w:val="18"/>
                      <w:szCs w:val="18"/>
                    </w:rPr>
                  </w:pPr>
                  <w:r>
                    <w:rPr>
                      <w:rFonts w:hint="eastAsia"/>
                      <w:color w:val="auto"/>
                      <w:sz w:val="18"/>
                      <w:szCs w:val="18"/>
                    </w:rPr>
                    <w:t>车壳、座椅等废钢</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537</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3759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2</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1168" w:type="dxa"/>
                  <w:vMerge w:val="continue"/>
                  <w:tcBorders>
                    <w:tl2br w:val="nil"/>
                    <w:tr2bl w:val="nil"/>
                  </w:tcBorders>
                  <w:vAlign w:val="center"/>
                </w:tcPr>
                <w:p>
                  <w:pPr>
                    <w:jc w:val="center"/>
                    <w:rPr>
                      <w:rFonts w:hint="eastAsia"/>
                      <w:color w:val="auto"/>
                      <w:sz w:val="18"/>
                      <w:szCs w:val="18"/>
                    </w:rPr>
                  </w:pPr>
                </w:p>
              </w:tc>
              <w:tc>
                <w:tcPr>
                  <w:tcW w:w="199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color w:val="auto"/>
                      <w:sz w:val="18"/>
                      <w:szCs w:val="18"/>
                    </w:rPr>
                  </w:pPr>
                  <w:r>
                    <w:rPr>
                      <w:rFonts w:hint="eastAsia"/>
                      <w:color w:val="auto"/>
                      <w:sz w:val="18"/>
                      <w:szCs w:val="18"/>
                    </w:rPr>
                    <w:t>发动机、变速箱等总成</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274</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1918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3</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1168" w:type="dxa"/>
                  <w:vMerge w:val="continue"/>
                  <w:tcBorders>
                    <w:tl2br w:val="nil"/>
                    <w:tr2bl w:val="nil"/>
                  </w:tcBorders>
                  <w:vAlign w:val="center"/>
                </w:tcPr>
                <w:p>
                  <w:pPr>
                    <w:jc w:val="center"/>
                    <w:rPr>
                      <w:rFonts w:hint="eastAsia"/>
                      <w:color w:val="auto"/>
                      <w:sz w:val="18"/>
                      <w:szCs w:val="18"/>
                    </w:rPr>
                  </w:pPr>
                </w:p>
              </w:tc>
              <w:tc>
                <w:tcPr>
                  <w:tcW w:w="1998" w:type="dxa"/>
                  <w:tcBorders>
                    <w:tl2br w:val="nil"/>
                    <w:tr2bl w:val="nil"/>
                  </w:tcBorders>
                  <w:vAlign w:val="center"/>
                </w:tcPr>
                <w:p>
                  <w:pPr>
                    <w:jc w:val="center"/>
                    <w:rPr>
                      <w:rFonts w:hint="eastAsia"/>
                      <w:color w:val="auto"/>
                      <w:sz w:val="18"/>
                      <w:szCs w:val="18"/>
                    </w:rPr>
                  </w:pPr>
                  <w:r>
                    <w:rPr>
                      <w:rFonts w:hint="eastAsia"/>
                      <w:color w:val="auto"/>
                      <w:sz w:val="18"/>
                      <w:szCs w:val="18"/>
                    </w:rPr>
                    <w:t>方向机</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20</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4</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1168" w:type="dxa"/>
                  <w:vMerge w:val="continue"/>
                  <w:tcBorders>
                    <w:tl2br w:val="nil"/>
                    <w:tr2bl w:val="nil"/>
                  </w:tcBorders>
                  <w:vAlign w:val="center"/>
                </w:tcPr>
                <w:p>
                  <w:pPr>
                    <w:jc w:val="center"/>
                    <w:rPr>
                      <w:rFonts w:hint="eastAsia"/>
                      <w:color w:val="auto"/>
                      <w:sz w:val="18"/>
                      <w:szCs w:val="18"/>
                    </w:rPr>
                  </w:pPr>
                </w:p>
              </w:tc>
              <w:tc>
                <w:tcPr>
                  <w:tcW w:w="1998" w:type="dxa"/>
                  <w:tcBorders>
                    <w:tl2br w:val="nil"/>
                    <w:tr2bl w:val="nil"/>
                  </w:tcBorders>
                  <w:vAlign w:val="center"/>
                </w:tcPr>
                <w:p>
                  <w:pPr>
                    <w:jc w:val="center"/>
                    <w:rPr>
                      <w:rFonts w:hint="eastAsia"/>
                      <w:color w:val="auto"/>
                      <w:sz w:val="18"/>
                      <w:szCs w:val="18"/>
                    </w:rPr>
                  </w:pPr>
                  <w:r>
                    <w:rPr>
                      <w:rFonts w:hint="eastAsia"/>
                      <w:color w:val="auto"/>
                      <w:sz w:val="18"/>
                      <w:szCs w:val="18"/>
                    </w:rPr>
                    <w:t>轮毂</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45</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315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5</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1168" w:type="dxa"/>
                  <w:vMerge w:val="continue"/>
                  <w:tcBorders>
                    <w:tl2br w:val="nil"/>
                    <w:tr2bl w:val="nil"/>
                  </w:tcBorders>
                  <w:vAlign w:val="center"/>
                </w:tcPr>
                <w:p>
                  <w:pPr>
                    <w:jc w:val="center"/>
                    <w:rPr>
                      <w:rFonts w:hint="eastAsia"/>
                      <w:color w:val="auto"/>
                      <w:sz w:val="18"/>
                      <w:szCs w:val="18"/>
                    </w:rPr>
                  </w:pPr>
                </w:p>
              </w:tc>
              <w:tc>
                <w:tcPr>
                  <w:tcW w:w="1998" w:type="dxa"/>
                  <w:tcBorders>
                    <w:tl2br w:val="nil"/>
                    <w:tr2bl w:val="nil"/>
                  </w:tcBorders>
                  <w:vAlign w:val="center"/>
                </w:tcPr>
                <w:p>
                  <w:pPr>
                    <w:jc w:val="center"/>
                    <w:rPr>
                      <w:rFonts w:hint="eastAsia"/>
                      <w:color w:val="auto"/>
                      <w:sz w:val="18"/>
                      <w:szCs w:val="18"/>
                    </w:rPr>
                  </w:pPr>
                  <w:r>
                    <w:rPr>
                      <w:rFonts w:hint="eastAsia"/>
                      <w:color w:val="auto"/>
                      <w:sz w:val="18"/>
                      <w:szCs w:val="18"/>
                    </w:rPr>
                    <w:t>前桥</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94</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658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6</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1168" w:type="dxa"/>
                  <w:vMerge w:val="continue"/>
                  <w:tcBorders>
                    <w:tl2br w:val="nil"/>
                    <w:tr2bl w:val="nil"/>
                  </w:tcBorders>
                  <w:vAlign w:val="center"/>
                </w:tcPr>
                <w:p>
                  <w:pPr>
                    <w:jc w:val="center"/>
                    <w:rPr>
                      <w:rFonts w:hint="eastAsia"/>
                      <w:color w:val="auto"/>
                      <w:sz w:val="18"/>
                      <w:szCs w:val="18"/>
                    </w:rPr>
                  </w:pPr>
                </w:p>
              </w:tc>
              <w:tc>
                <w:tcPr>
                  <w:tcW w:w="1998" w:type="dxa"/>
                  <w:tcBorders>
                    <w:tl2br w:val="nil"/>
                    <w:tr2bl w:val="nil"/>
                  </w:tcBorders>
                  <w:vAlign w:val="center"/>
                </w:tcPr>
                <w:p>
                  <w:pPr>
                    <w:jc w:val="center"/>
                    <w:rPr>
                      <w:rFonts w:hint="eastAsia"/>
                      <w:color w:val="auto"/>
                      <w:sz w:val="18"/>
                      <w:szCs w:val="18"/>
                    </w:rPr>
                  </w:pPr>
                  <w:r>
                    <w:rPr>
                      <w:rFonts w:hint="eastAsia"/>
                      <w:color w:val="auto"/>
                      <w:sz w:val="18"/>
                      <w:szCs w:val="18"/>
                    </w:rPr>
                    <w:t>后桥</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82</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574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7</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1168" w:type="dxa"/>
                  <w:vMerge w:val="continue"/>
                  <w:tcBorders>
                    <w:tl2br w:val="nil"/>
                    <w:tr2bl w:val="nil"/>
                  </w:tcBorders>
                  <w:vAlign w:val="center"/>
                </w:tcPr>
                <w:p>
                  <w:pPr>
                    <w:jc w:val="center"/>
                    <w:rPr>
                      <w:rFonts w:hint="eastAsia"/>
                      <w:color w:val="auto"/>
                      <w:sz w:val="18"/>
                      <w:szCs w:val="18"/>
                    </w:rPr>
                  </w:pPr>
                </w:p>
              </w:tc>
              <w:tc>
                <w:tcPr>
                  <w:tcW w:w="1998" w:type="dxa"/>
                  <w:tcBorders>
                    <w:tl2br w:val="nil"/>
                    <w:tr2bl w:val="nil"/>
                  </w:tcBorders>
                  <w:vAlign w:val="center"/>
                </w:tcPr>
                <w:p>
                  <w:pPr>
                    <w:jc w:val="center"/>
                    <w:rPr>
                      <w:rFonts w:hint="eastAsia"/>
                      <w:color w:val="auto"/>
                      <w:sz w:val="18"/>
                      <w:szCs w:val="18"/>
                    </w:rPr>
                  </w:pPr>
                  <w:r>
                    <w:rPr>
                      <w:rFonts w:hint="eastAsia"/>
                      <w:color w:val="auto"/>
                      <w:sz w:val="18"/>
                      <w:szCs w:val="18"/>
                    </w:rPr>
                    <w:t>废电机</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8</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3"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8</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1168" w:type="dxa"/>
                  <w:tcBorders>
                    <w:tl2br w:val="nil"/>
                    <w:tr2bl w:val="nil"/>
                  </w:tcBorders>
                  <w:vAlign w:val="center"/>
                </w:tcPr>
                <w:p>
                  <w:pPr>
                    <w:jc w:val="center"/>
                    <w:rPr>
                      <w:rFonts w:hint="eastAsia"/>
                      <w:color w:val="auto"/>
                      <w:sz w:val="18"/>
                      <w:szCs w:val="18"/>
                    </w:rPr>
                  </w:pPr>
                  <w:r>
                    <w:rPr>
                      <w:rFonts w:hint="eastAsia"/>
                      <w:color w:val="auto"/>
                      <w:sz w:val="18"/>
                      <w:szCs w:val="18"/>
                    </w:rPr>
                    <w:t>有色金属</w:t>
                  </w:r>
                </w:p>
              </w:tc>
              <w:tc>
                <w:tcPr>
                  <w:tcW w:w="199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color w:val="auto"/>
                      <w:sz w:val="18"/>
                      <w:szCs w:val="18"/>
                    </w:rPr>
                  </w:pPr>
                  <w:r>
                    <w:rPr>
                      <w:rFonts w:hint="eastAsia"/>
                      <w:color w:val="auto"/>
                      <w:sz w:val="18"/>
                      <w:szCs w:val="18"/>
                    </w:rPr>
                    <w:t>水箱（铝或铜）、铝轮毂等</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40</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9</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1168" w:type="dxa"/>
                  <w:tcBorders>
                    <w:tl2br w:val="nil"/>
                    <w:tr2bl w:val="nil"/>
                  </w:tcBorders>
                  <w:vAlign w:val="center"/>
                </w:tcPr>
                <w:p>
                  <w:pPr>
                    <w:jc w:val="center"/>
                    <w:rPr>
                      <w:rFonts w:hint="eastAsia"/>
                      <w:color w:val="auto"/>
                      <w:sz w:val="18"/>
                      <w:szCs w:val="18"/>
                    </w:rPr>
                  </w:pPr>
                  <w:r>
                    <w:rPr>
                      <w:rFonts w:hint="eastAsia"/>
                      <w:color w:val="auto"/>
                      <w:sz w:val="18"/>
                      <w:szCs w:val="18"/>
                    </w:rPr>
                    <w:t>橡胶</w:t>
                  </w:r>
                </w:p>
              </w:tc>
              <w:tc>
                <w:tcPr>
                  <w:tcW w:w="1998" w:type="dxa"/>
                  <w:tcBorders>
                    <w:tl2br w:val="nil"/>
                    <w:tr2bl w:val="nil"/>
                  </w:tcBorders>
                  <w:vAlign w:val="center"/>
                </w:tcPr>
                <w:p>
                  <w:pPr>
                    <w:jc w:val="center"/>
                    <w:rPr>
                      <w:rFonts w:hint="eastAsia"/>
                      <w:color w:val="auto"/>
                      <w:sz w:val="18"/>
                      <w:szCs w:val="18"/>
                    </w:rPr>
                  </w:pPr>
                  <w:r>
                    <w:rPr>
                      <w:rFonts w:hint="eastAsia"/>
                      <w:color w:val="auto"/>
                      <w:sz w:val="18"/>
                      <w:szCs w:val="18"/>
                    </w:rPr>
                    <w:t>轮胎等</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60</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10</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66" w:type="dxa"/>
                  <w:gridSpan w:val="2"/>
                  <w:tcBorders>
                    <w:tl2br w:val="nil"/>
                    <w:tr2bl w:val="nil"/>
                  </w:tcBorders>
                  <w:vAlign w:val="center"/>
                </w:tcPr>
                <w:p>
                  <w:pPr>
                    <w:jc w:val="center"/>
                    <w:rPr>
                      <w:rFonts w:hint="eastAsia"/>
                      <w:color w:val="auto"/>
                      <w:sz w:val="18"/>
                      <w:szCs w:val="18"/>
                    </w:rPr>
                  </w:pPr>
                  <w:r>
                    <w:rPr>
                      <w:rFonts w:hint="eastAsia"/>
                      <w:color w:val="auto"/>
                      <w:sz w:val="18"/>
                      <w:szCs w:val="18"/>
                    </w:rPr>
                    <w:t>废电线电缆</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12</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11</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66"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废塑料</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37</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259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12</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66"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玻璃</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22</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154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13</w:t>
                  </w:r>
                </w:p>
              </w:tc>
              <w:tc>
                <w:tcPr>
                  <w:tcW w:w="1410" w:type="dxa"/>
                  <w:vMerge w:val="restart"/>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381" w:right="141" w:hanging="212"/>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危险废物</w:t>
                  </w:r>
                </w:p>
              </w:tc>
              <w:tc>
                <w:tcPr>
                  <w:tcW w:w="3166"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废蓄电池</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13</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14</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66"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废尾气净化装置（含催化剂）</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1.7</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15</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66"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废线路板（含废电容电器）</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0.2</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16</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66"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燃料类汽油、柴油</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1</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17</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66"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非燃料类废油液</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4.5</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31.5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18</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66"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废空调制冷剂</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0.3</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19</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66"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废液化气罐</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4.5</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31.5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20</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66"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含铅部件</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0.25</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21</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66"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含汞开关</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0.25</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22</w:t>
                  </w:r>
                </w:p>
              </w:tc>
              <w:tc>
                <w:tcPr>
                  <w:tcW w:w="1410" w:type="dxa"/>
                  <w:vMerge w:val="restart"/>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170" w:right="141"/>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一般固体废物</w:t>
                  </w:r>
                </w:p>
              </w:tc>
              <w:tc>
                <w:tcPr>
                  <w:tcW w:w="3166"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引爆后的废安全气囊</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1.3</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0" w:hRule="exact"/>
                <w:jc w:val="center"/>
              </w:trPr>
              <w:tc>
                <w:tcPr>
                  <w:tcW w:w="785" w:type="dxa"/>
                  <w:tcBorders>
                    <w:tl2br w:val="nil"/>
                    <w:tr2bl w:val="nil"/>
                  </w:tcBorders>
                  <w:vAlign w:val="center"/>
                </w:tcPr>
                <w:p>
                  <w:pPr>
                    <w:jc w:val="center"/>
                    <w:rPr>
                      <w:rFonts w:hint="eastAsia"/>
                      <w:color w:val="auto"/>
                      <w:sz w:val="18"/>
                      <w:szCs w:val="18"/>
                    </w:rPr>
                  </w:pPr>
                  <w:r>
                    <w:rPr>
                      <w:rFonts w:hint="eastAsia"/>
                      <w:color w:val="auto"/>
                      <w:sz w:val="18"/>
                      <w:szCs w:val="18"/>
                    </w:rPr>
                    <w:t>23</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66"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不可利用材料（海绵、电子废物、布料</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等）</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42</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294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1" w:hRule="exact"/>
                <w:jc w:val="center"/>
              </w:trPr>
              <w:tc>
                <w:tcPr>
                  <w:tcW w:w="5361" w:type="dxa"/>
                  <w:gridSpan w:val="4"/>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right="2590"/>
                    <w:jc w:val="center"/>
                    <w:textAlignment w:val="auto"/>
                    <w:rPr>
                      <w:rFonts w:hint="eastAsia" w:ascii="宋体" w:hAnsi="宋体" w:eastAsia="宋体" w:cs="宋体"/>
                      <w:color w:val="auto"/>
                      <w:sz w:val="18"/>
                      <w:szCs w:val="18"/>
                      <w:u w:val="none"/>
                    </w:rPr>
                  </w:pPr>
                  <w:r>
                    <w:rPr>
                      <w:rFonts w:hint="eastAsia" w:cs="宋体"/>
                      <w:color w:val="auto"/>
                      <w:sz w:val="18"/>
                      <w:szCs w:val="18"/>
                      <w:u w:val="none"/>
                      <w:lang w:val="en-US" w:eastAsia="zh-CN"/>
                    </w:rPr>
                    <w:t xml:space="preserve">             </w:t>
                  </w:r>
                  <w:r>
                    <w:rPr>
                      <w:rFonts w:hint="eastAsia" w:ascii="宋体" w:hAnsi="宋体" w:eastAsia="宋体" w:cs="宋体"/>
                      <w:color w:val="auto"/>
                      <w:sz w:val="18"/>
                      <w:szCs w:val="18"/>
                      <w:u w:val="none"/>
                    </w:rPr>
                    <w:t>合计</w:t>
                  </w:r>
                </w:p>
              </w:tc>
              <w:tc>
                <w:tcPr>
                  <w:tcW w:w="1179" w:type="dxa"/>
                  <w:tcBorders>
                    <w:tl2br w:val="nil"/>
                    <w:tr2bl w:val="nil"/>
                  </w:tcBorders>
                  <w:vAlign w:val="center"/>
                </w:tcPr>
                <w:p>
                  <w:pPr>
                    <w:jc w:val="center"/>
                    <w:rPr>
                      <w:rFonts w:hint="eastAsia" w:ascii="宋体" w:hAnsi="宋体" w:eastAsia="宋体" w:cs="宋体"/>
                      <w:i w:val="0"/>
                      <w:iCs w:val="0"/>
                      <w:color w:val="auto"/>
                      <w:kern w:val="0"/>
                      <w:sz w:val="18"/>
                      <w:szCs w:val="18"/>
                      <w:u w:val="none"/>
                      <w:lang w:val="en-US" w:eastAsia="zh-CN" w:bidi="ar"/>
                    </w:rPr>
                  </w:pPr>
                  <w:r>
                    <w:rPr>
                      <w:rFonts w:hint="eastAsia"/>
                      <w:color w:val="auto"/>
                      <w:sz w:val="18"/>
                      <w:szCs w:val="18"/>
                    </w:rPr>
                    <w:t>1300</w:t>
                  </w:r>
                </w:p>
              </w:tc>
              <w:tc>
                <w:tcPr>
                  <w:tcW w:w="117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9100</w:t>
                  </w:r>
                </w:p>
              </w:tc>
            </w:tr>
          </w:tbl>
          <w:p>
            <w:pPr>
              <w:pStyle w:val="59"/>
              <w:numPr>
                <w:ilvl w:val="0"/>
                <w:numId w:val="0"/>
              </w:numPr>
              <w:tabs>
                <w:tab w:val="left" w:pos="1199"/>
              </w:tabs>
              <w:spacing w:before="0" w:after="0" w:line="364" w:lineRule="auto"/>
              <w:ind w:left="17" w:leftChars="0" w:right="76" w:rightChars="0" w:firstLine="577" w:firstLineChars="275"/>
              <w:jc w:val="left"/>
              <w:rPr>
                <w:rFonts w:hint="eastAsia" w:ascii="Times New Roman" w:hAnsi="Times New Roman" w:eastAsia="宋体" w:cs="Times New Roman"/>
                <w:color w:val="auto"/>
                <w:kern w:val="2"/>
                <w:sz w:val="21"/>
                <w:szCs w:val="24"/>
                <w:u w:val="none"/>
                <w:lang w:val="en-US" w:eastAsia="zh-CN" w:bidi="ar-SA"/>
              </w:rPr>
            </w:pPr>
          </w:p>
          <w:p>
            <w:pPr>
              <w:autoSpaceDE w:val="0"/>
              <w:autoSpaceDN w:val="0"/>
              <w:spacing w:before="0" w:after="0" w:line="240" w:lineRule="auto"/>
              <w:ind w:left="0" w:right="0"/>
              <w:jc w:val="center"/>
              <w:rPr>
                <w:rFonts w:hint="eastAsia" w:ascii="宋体" w:hAnsi="宋体" w:eastAsia="宋体" w:cs="宋体"/>
                <w:b/>
                <w:color w:val="auto"/>
                <w:kern w:val="0"/>
                <w:sz w:val="21"/>
                <w:szCs w:val="22"/>
                <w:lang w:val="zh-CN" w:bidi="zh-CN"/>
              </w:rPr>
            </w:pPr>
            <w:r>
              <w:rPr>
                <w:rFonts w:hint="eastAsia" w:ascii="宋体" w:hAnsi="宋体" w:eastAsia="宋体" w:cs="宋体"/>
                <w:b/>
                <w:color w:val="auto"/>
                <w:kern w:val="0"/>
                <w:sz w:val="21"/>
                <w:szCs w:val="22"/>
                <w:lang w:val="zh-CN" w:bidi="zh-CN"/>
              </w:rPr>
              <w:t>表</w:t>
            </w:r>
            <w:r>
              <w:rPr>
                <w:rFonts w:hint="eastAsia" w:ascii="宋体" w:hAnsi="宋体" w:eastAsia="宋体" w:cs="宋体"/>
                <w:b/>
                <w:color w:val="auto"/>
                <w:spacing w:val="-55"/>
                <w:kern w:val="0"/>
                <w:sz w:val="21"/>
                <w:szCs w:val="22"/>
                <w:lang w:val="zh-CN" w:bidi="zh-CN"/>
              </w:rPr>
              <w:t xml:space="preserve"> </w:t>
            </w:r>
            <w:r>
              <w:rPr>
                <w:rFonts w:hint="eastAsia" w:ascii="宋体" w:hAnsi="宋体" w:eastAsia="宋体" w:cs="宋体"/>
                <w:b/>
                <w:color w:val="auto"/>
                <w:kern w:val="0"/>
                <w:sz w:val="21"/>
                <w:szCs w:val="22"/>
                <w:lang w:val="zh-CN" w:bidi="zh-CN"/>
              </w:rPr>
              <w:t>2-6</w:t>
            </w:r>
            <w:r>
              <w:rPr>
                <w:rFonts w:hint="eastAsia" w:ascii="宋体" w:hAnsi="宋体" w:eastAsia="宋体" w:cs="宋体"/>
                <w:b/>
                <w:color w:val="auto"/>
                <w:kern w:val="0"/>
                <w:sz w:val="21"/>
                <w:szCs w:val="22"/>
                <w:lang w:val="zh-CN" w:bidi="zh-CN"/>
              </w:rPr>
              <w:tab/>
            </w:r>
            <w:r>
              <w:rPr>
                <w:rFonts w:hint="eastAsia" w:ascii="宋体" w:hAnsi="宋体" w:eastAsia="宋体" w:cs="宋体"/>
                <w:b/>
                <w:color w:val="auto"/>
                <w:kern w:val="0"/>
                <w:sz w:val="21"/>
                <w:szCs w:val="22"/>
                <w:lang w:val="zh-CN" w:bidi="zh-CN"/>
              </w:rPr>
              <w:t>项目报废大型车拆解</w:t>
            </w:r>
            <w:r>
              <w:rPr>
                <w:rFonts w:hint="eastAsia" w:ascii="宋体" w:hAnsi="宋体" w:eastAsia="宋体" w:cs="宋体"/>
                <w:b/>
                <w:snapToGrid w:val="0"/>
                <w:color w:val="auto"/>
                <w:kern w:val="0"/>
                <w:sz w:val="21"/>
                <w:szCs w:val="22"/>
                <w:lang w:val="zh-CN" w:bidi="zh-CN"/>
              </w:rPr>
              <w:t>产物明细表</w:t>
            </w:r>
          </w:p>
          <w:tbl>
            <w:tblPr>
              <w:tblStyle w:val="21"/>
              <w:tblW w:w="77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5"/>
              <w:gridCol w:w="1410"/>
              <w:gridCol w:w="1169"/>
              <w:gridCol w:w="1999"/>
              <w:gridCol w:w="1178"/>
              <w:gridCol w:w="11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2"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序号</w:t>
                  </w:r>
                </w:p>
              </w:tc>
              <w:tc>
                <w:tcPr>
                  <w:tcW w:w="4578"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1916"/>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en-US" w:eastAsia="zh-CN" w:bidi="zh-CN"/>
                    </w:rPr>
                    <w:t xml:space="preserve">            </w:t>
                  </w:r>
                  <w:r>
                    <w:rPr>
                      <w:rFonts w:hint="eastAsia" w:ascii="宋体" w:hAnsi="宋体" w:eastAsia="宋体" w:cs="宋体"/>
                      <w:color w:val="auto"/>
                      <w:sz w:val="18"/>
                      <w:szCs w:val="18"/>
                      <w:u w:val="none"/>
                      <w:lang w:val="zh-CN" w:eastAsia="zh-CN" w:bidi="zh-CN"/>
                    </w:rPr>
                    <w:t>拆解产品</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kern w:val="2"/>
                      <w:sz w:val="18"/>
                      <w:szCs w:val="18"/>
                      <w:u w:val="none"/>
                      <w:lang w:val="en-US" w:eastAsia="zh-CN" w:bidi="zh-CN"/>
                    </w:rPr>
                  </w:pPr>
                  <w:r>
                    <w:rPr>
                      <w:rFonts w:hint="eastAsia" w:ascii="宋体" w:hAnsi="宋体" w:eastAsia="宋体" w:cs="宋体"/>
                      <w:color w:val="auto"/>
                      <w:kern w:val="2"/>
                      <w:sz w:val="18"/>
                      <w:szCs w:val="18"/>
                      <w:u w:val="none"/>
                      <w:lang w:val="en-US" w:eastAsia="zh-CN" w:bidi="zh-CN"/>
                    </w:rPr>
                    <w:t>单</w:t>
                  </w:r>
                  <w:r>
                    <w:rPr>
                      <w:rFonts w:hint="eastAsia" w:ascii="宋体" w:hAnsi="宋体" w:cs="宋体"/>
                      <w:color w:val="auto"/>
                      <w:kern w:val="2"/>
                      <w:sz w:val="18"/>
                      <w:szCs w:val="18"/>
                      <w:u w:val="none"/>
                      <w:lang w:val="en-US" w:eastAsia="zh-CN" w:bidi="zh-CN"/>
                    </w:rPr>
                    <w:t>台</w:t>
                  </w:r>
                  <w:r>
                    <w:rPr>
                      <w:rFonts w:hint="eastAsia" w:ascii="宋体" w:hAnsi="宋体" w:eastAsia="宋体" w:cs="宋体"/>
                      <w:color w:val="auto"/>
                      <w:kern w:val="2"/>
                      <w:sz w:val="18"/>
                      <w:szCs w:val="18"/>
                      <w:u w:val="none"/>
                      <w:lang w:val="en-US" w:eastAsia="zh-CN" w:bidi="zh-CN"/>
                    </w:rPr>
                    <w:t>拆解量</w:t>
                  </w:r>
                </w:p>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cs="宋体"/>
                      <w:color w:val="auto"/>
                      <w:kern w:val="0"/>
                      <w:sz w:val="18"/>
                      <w:szCs w:val="18"/>
                      <w:lang w:val="zh-CN" w:bidi="zh-CN"/>
                    </w:rPr>
                  </w:pPr>
                  <w:r>
                    <w:rPr>
                      <w:rFonts w:hint="eastAsia"/>
                      <w:color w:val="auto"/>
                      <w:sz w:val="18"/>
                      <w:szCs w:val="18"/>
                    </w:rPr>
                    <w:t>（kg/</w:t>
                  </w:r>
                  <w:r>
                    <w:rPr>
                      <w:rFonts w:hint="eastAsia"/>
                      <w:color w:val="auto"/>
                      <w:sz w:val="18"/>
                      <w:szCs w:val="18"/>
                      <w:lang w:eastAsia="zh-CN"/>
                    </w:rPr>
                    <w:t>台</w:t>
                  </w:r>
                  <w:r>
                    <w:rPr>
                      <w:rFonts w:hint="eastAsia"/>
                      <w:color w:val="auto"/>
                      <w:sz w:val="18"/>
                      <w:szCs w:val="18"/>
                    </w:rPr>
                    <w:t>)</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leftChars="0" w:right="0" w:rightChars="0"/>
                    <w:jc w:val="center"/>
                    <w:textAlignment w:val="auto"/>
                    <w:rPr>
                      <w:rFonts w:hint="eastAsia" w:ascii="宋体" w:hAnsi="宋体" w:eastAsia="宋体" w:cs="宋体"/>
                      <w:color w:val="auto"/>
                      <w:kern w:val="0"/>
                      <w:sz w:val="18"/>
                      <w:szCs w:val="18"/>
                      <w:lang w:val="zh-CN" w:eastAsia="zh-CN" w:bidi="zh-CN"/>
                    </w:rPr>
                  </w:pPr>
                  <w:r>
                    <w:rPr>
                      <w:rFonts w:hint="eastAsia" w:ascii="宋体" w:hAnsi="宋体" w:cs="宋体"/>
                      <w:color w:val="auto"/>
                      <w:kern w:val="0"/>
                      <w:sz w:val="18"/>
                      <w:szCs w:val="18"/>
                      <w:lang w:val="zh-CN" w:bidi="zh-CN"/>
                    </w:rPr>
                    <w:t>拆解量</w:t>
                  </w:r>
                  <w:r>
                    <w:rPr>
                      <w:rFonts w:hint="eastAsia" w:ascii="宋体" w:hAnsi="宋体" w:cs="宋体"/>
                      <w:color w:val="auto"/>
                      <w:kern w:val="0"/>
                      <w:sz w:val="18"/>
                      <w:szCs w:val="18"/>
                      <w:lang w:val="en-US" w:eastAsia="zh-CN" w:bidi="zh-CN"/>
                    </w:rPr>
                    <w:t xml:space="preserve">        </w:t>
                  </w:r>
                  <w:r>
                    <w:rPr>
                      <w:rFonts w:hint="eastAsia" w:ascii="宋体" w:hAnsi="宋体" w:cs="宋体"/>
                      <w:color w:val="auto"/>
                      <w:kern w:val="0"/>
                      <w:sz w:val="18"/>
                      <w:szCs w:val="18"/>
                      <w:lang w:val="zh-CN" w:bidi="zh-CN"/>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1</w:t>
                  </w:r>
                </w:p>
              </w:tc>
              <w:tc>
                <w:tcPr>
                  <w:tcW w:w="141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sz w:val="18"/>
                      <w:szCs w:val="18"/>
                      <w:u w:val="none"/>
                      <w:lang w:val="zh-CN" w:eastAsia="zh-CN" w:bidi="zh-CN"/>
                    </w:rPr>
                  </w:pPr>
                </w:p>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sz w:val="18"/>
                      <w:szCs w:val="18"/>
                      <w:u w:val="none"/>
                      <w:lang w:val="zh-CN" w:eastAsia="zh-CN" w:bidi="zh-CN"/>
                    </w:rPr>
                  </w:pPr>
                </w:p>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sz w:val="18"/>
                      <w:szCs w:val="18"/>
                      <w:u w:val="none"/>
                      <w:lang w:val="zh-CN" w:eastAsia="zh-CN" w:bidi="zh-CN"/>
                    </w:rPr>
                  </w:pPr>
                </w:p>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sz w:val="18"/>
                      <w:szCs w:val="18"/>
                      <w:u w:val="none"/>
                      <w:lang w:val="zh-CN" w:eastAsia="zh-CN" w:bidi="zh-CN"/>
                    </w:rPr>
                  </w:pPr>
                </w:p>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5" w:right="141" w:hanging="106"/>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可利用资源</w:t>
                  </w:r>
                </w:p>
              </w:tc>
              <w:tc>
                <w:tcPr>
                  <w:tcW w:w="1169" w:type="dxa"/>
                  <w:vMerge w:val="restart"/>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p>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钢铁</w:t>
                  </w:r>
                </w:p>
              </w:tc>
              <w:tc>
                <w:tcPr>
                  <w:tcW w:w="1999"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车壳、座椅等废钢</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4" w:leftChars="0" w:right="116"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2994</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5988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2</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1169" w:type="dxa"/>
                  <w:vMerge w:val="continue"/>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p>
              </w:tc>
              <w:tc>
                <w:tcPr>
                  <w:tcW w:w="199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发动机、变速箱等总成</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5" w:leftChars="0" w:right="115"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542</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1084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3</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1169" w:type="dxa"/>
                  <w:vMerge w:val="continue"/>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p>
              </w:tc>
              <w:tc>
                <w:tcPr>
                  <w:tcW w:w="1999"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方向机</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1" w:leftChars="0" w:right="116"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25</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4</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1169" w:type="dxa"/>
                  <w:vMerge w:val="continue"/>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p>
              </w:tc>
              <w:tc>
                <w:tcPr>
                  <w:tcW w:w="1999"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轮毂</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5" w:leftChars="0" w:right="115"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139</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278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5</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1169" w:type="dxa"/>
                  <w:vMerge w:val="continue"/>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p>
              </w:tc>
              <w:tc>
                <w:tcPr>
                  <w:tcW w:w="1999"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前桥</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5" w:leftChars="0" w:right="115"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135</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270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6</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1169" w:type="dxa"/>
                  <w:vMerge w:val="continue"/>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p>
              </w:tc>
              <w:tc>
                <w:tcPr>
                  <w:tcW w:w="1999"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后桥</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5" w:leftChars="0" w:right="115"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630</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1260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7</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1169" w:type="dxa"/>
                  <w:vMerge w:val="continue"/>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p>
              </w:tc>
              <w:tc>
                <w:tcPr>
                  <w:tcW w:w="1999"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废电机</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5" w:leftChars="0" w:right="0"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w w:val="99"/>
                      <w:sz w:val="18"/>
                      <w:szCs w:val="18"/>
                      <w:u w:val="none"/>
                      <w:lang w:val="zh-CN" w:eastAsia="zh-CN" w:bidi="zh-CN"/>
                    </w:rPr>
                    <w:t>5</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0"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8</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1169"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有色金属</w:t>
                  </w:r>
                </w:p>
              </w:tc>
              <w:tc>
                <w:tcPr>
                  <w:tcW w:w="199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水箱（铝或铜）、铝轮毂等</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1" w:leftChars="0" w:right="116"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67</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134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9</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1169"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橡胶</w:t>
                  </w:r>
                </w:p>
              </w:tc>
              <w:tc>
                <w:tcPr>
                  <w:tcW w:w="1999"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轮胎等</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5" w:leftChars="0" w:right="115"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193</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386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10</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3168" w:type="dxa"/>
                  <w:gridSpan w:val="2"/>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废电线电缆</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1" w:leftChars="0" w:right="116"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27</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11</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3168" w:type="dxa"/>
                  <w:gridSpan w:val="2"/>
                  <w:tcBorders>
                    <w:tl2br w:val="nil"/>
                    <w:tr2bl w:val="nil"/>
                  </w:tcBorders>
                  <w:vAlign w:val="center"/>
                </w:tcPr>
                <w:p>
                  <w:pPr>
                    <w:autoSpaceDE w:val="0"/>
                    <w:autoSpaceDN w:val="0"/>
                    <w:spacing w:before="0" w:after="0" w:line="240" w:lineRule="auto"/>
                    <w:ind w:left="0" w:right="0"/>
                    <w:jc w:val="center"/>
                    <w:rPr>
                      <w:rFonts w:hint="eastAsia" w:ascii="宋体" w:hAnsi="宋体" w:eastAsia="宋体" w:cs="宋体"/>
                      <w:color w:val="auto"/>
                      <w:kern w:val="0"/>
                      <w:sz w:val="18"/>
                      <w:szCs w:val="18"/>
                      <w:lang w:val="zh-CN" w:bidi="zh-CN"/>
                    </w:rPr>
                  </w:pPr>
                  <w:r>
                    <w:rPr>
                      <w:rFonts w:hint="eastAsia" w:ascii="宋体" w:hAnsi="宋体" w:eastAsia="宋体" w:cs="宋体"/>
                      <w:color w:val="auto"/>
                      <w:kern w:val="0"/>
                      <w:sz w:val="18"/>
                      <w:szCs w:val="18"/>
                      <w:lang w:val="zh-CN" w:bidi="zh-CN"/>
                    </w:rPr>
                    <w:t>废塑料</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5" w:leftChars="0" w:right="115"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162</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12</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3168" w:type="dxa"/>
                  <w:gridSpan w:val="2"/>
                  <w:tcBorders>
                    <w:tl2br w:val="nil"/>
                    <w:tr2bl w:val="nil"/>
                  </w:tcBorders>
                  <w:vAlign w:val="center"/>
                </w:tcPr>
                <w:p>
                  <w:pPr>
                    <w:autoSpaceDE w:val="0"/>
                    <w:autoSpaceDN w:val="0"/>
                    <w:spacing w:before="0" w:after="0" w:line="240" w:lineRule="auto"/>
                    <w:ind w:left="0" w:right="0"/>
                    <w:jc w:val="center"/>
                    <w:rPr>
                      <w:rFonts w:hint="eastAsia" w:ascii="宋体" w:hAnsi="宋体" w:eastAsia="宋体" w:cs="宋体"/>
                      <w:color w:val="auto"/>
                      <w:kern w:val="0"/>
                      <w:sz w:val="18"/>
                      <w:szCs w:val="18"/>
                      <w:lang w:val="zh-CN" w:bidi="zh-CN"/>
                    </w:rPr>
                  </w:pPr>
                  <w:r>
                    <w:rPr>
                      <w:rFonts w:hint="eastAsia" w:ascii="宋体" w:hAnsi="宋体" w:eastAsia="宋体" w:cs="宋体"/>
                      <w:color w:val="auto"/>
                      <w:kern w:val="0"/>
                      <w:sz w:val="18"/>
                      <w:szCs w:val="18"/>
                      <w:lang w:val="zh-CN" w:bidi="zh-CN"/>
                    </w:rPr>
                    <w:t>玻璃</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1" w:leftChars="0" w:right="116"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88</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176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13</w:t>
                  </w:r>
                </w:p>
              </w:tc>
              <w:tc>
                <w:tcPr>
                  <w:tcW w:w="141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sz w:val="18"/>
                      <w:szCs w:val="18"/>
                      <w:u w:val="none"/>
                      <w:lang w:val="zh-CN" w:eastAsia="zh-CN" w:bidi="zh-CN"/>
                    </w:rPr>
                  </w:pPr>
                </w:p>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sz w:val="18"/>
                      <w:szCs w:val="18"/>
                      <w:u w:val="none"/>
                      <w:lang w:val="zh-CN" w:eastAsia="zh-CN" w:bidi="zh-CN"/>
                    </w:rPr>
                  </w:pPr>
                </w:p>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sz w:val="18"/>
                      <w:szCs w:val="18"/>
                      <w:u w:val="none"/>
                      <w:lang w:val="zh-CN" w:eastAsia="zh-CN" w:bidi="zh-CN"/>
                    </w:rPr>
                  </w:pPr>
                </w:p>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sz w:val="18"/>
                      <w:szCs w:val="18"/>
                      <w:u w:val="none"/>
                      <w:lang w:val="zh-CN" w:eastAsia="zh-CN" w:bidi="zh-CN"/>
                    </w:rPr>
                  </w:pPr>
                </w:p>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381" w:right="141" w:hanging="212"/>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危险废物</w:t>
                  </w:r>
                </w:p>
              </w:tc>
              <w:tc>
                <w:tcPr>
                  <w:tcW w:w="3168" w:type="dxa"/>
                  <w:gridSpan w:val="2"/>
                  <w:tcBorders>
                    <w:tl2br w:val="nil"/>
                    <w:tr2bl w:val="nil"/>
                  </w:tcBorders>
                  <w:vAlign w:val="center"/>
                </w:tcPr>
                <w:p>
                  <w:pPr>
                    <w:autoSpaceDE w:val="0"/>
                    <w:autoSpaceDN w:val="0"/>
                    <w:spacing w:before="0" w:after="0" w:line="240" w:lineRule="auto"/>
                    <w:ind w:left="0" w:right="0"/>
                    <w:jc w:val="center"/>
                    <w:rPr>
                      <w:rFonts w:hint="eastAsia" w:ascii="宋体" w:hAnsi="宋体" w:eastAsia="宋体" w:cs="宋体"/>
                      <w:color w:val="auto"/>
                      <w:kern w:val="0"/>
                      <w:sz w:val="18"/>
                      <w:szCs w:val="18"/>
                      <w:lang w:val="zh-CN" w:bidi="zh-CN"/>
                    </w:rPr>
                  </w:pPr>
                  <w:r>
                    <w:rPr>
                      <w:rFonts w:hint="eastAsia" w:ascii="宋体" w:hAnsi="宋体" w:eastAsia="宋体" w:cs="宋体"/>
                      <w:color w:val="auto"/>
                      <w:kern w:val="0"/>
                      <w:sz w:val="18"/>
                      <w:szCs w:val="18"/>
                      <w:lang w:val="zh-CN" w:bidi="zh-CN"/>
                    </w:rPr>
                    <w:t>废蓄电池</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1" w:leftChars="0" w:right="116"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43</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14</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3168" w:type="dxa"/>
                  <w:gridSpan w:val="2"/>
                  <w:tcBorders>
                    <w:tl2br w:val="nil"/>
                    <w:tr2bl w:val="nil"/>
                  </w:tcBorders>
                  <w:vAlign w:val="center"/>
                </w:tcPr>
                <w:p>
                  <w:pPr>
                    <w:autoSpaceDE w:val="0"/>
                    <w:autoSpaceDN w:val="0"/>
                    <w:spacing w:before="0" w:after="0" w:line="240" w:lineRule="auto"/>
                    <w:ind w:left="0" w:right="0"/>
                    <w:jc w:val="center"/>
                    <w:rPr>
                      <w:rFonts w:hint="eastAsia" w:ascii="宋体" w:hAnsi="宋体" w:eastAsia="宋体" w:cs="宋体"/>
                      <w:color w:val="auto"/>
                      <w:kern w:val="0"/>
                      <w:sz w:val="18"/>
                      <w:szCs w:val="18"/>
                      <w:lang w:val="zh-CN" w:bidi="zh-CN"/>
                    </w:rPr>
                  </w:pPr>
                  <w:r>
                    <w:rPr>
                      <w:rFonts w:hint="eastAsia" w:ascii="宋体" w:hAnsi="宋体" w:eastAsia="宋体" w:cs="宋体"/>
                      <w:color w:val="auto"/>
                      <w:kern w:val="0"/>
                      <w:sz w:val="18"/>
                      <w:szCs w:val="18"/>
                      <w:lang w:val="zh-CN" w:bidi="zh-CN"/>
                    </w:rPr>
                    <w:t>废尾气净化装置（含催化剂）</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5" w:leftChars="0" w:right="115" w:rightChars="0"/>
                    <w:jc w:val="center"/>
                    <w:textAlignment w:val="auto"/>
                    <w:rPr>
                      <w:rFonts w:hint="eastAsia" w:ascii="宋体" w:hAnsi="宋体" w:eastAsia="宋体" w:cs="宋体"/>
                      <w:color w:val="auto"/>
                      <w:w w:val="99"/>
                      <w:sz w:val="18"/>
                      <w:szCs w:val="18"/>
                      <w:u w:val="none"/>
                      <w:lang w:val="zh-CN" w:eastAsia="zh-CN" w:bidi="zh-CN"/>
                    </w:rPr>
                  </w:pPr>
                  <w:r>
                    <w:rPr>
                      <w:rFonts w:hint="eastAsia" w:ascii="宋体" w:hAnsi="宋体" w:eastAsia="宋体" w:cs="宋体"/>
                      <w:color w:val="auto"/>
                      <w:sz w:val="18"/>
                      <w:szCs w:val="18"/>
                      <w:u w:val="none"/>
                      <w:lang w:val="zh-CN" w:eastAsia="zh-CN" w:bidi="zh-CN"/>
                    </w:rPr>
                    <w:t>2.5</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34" w:leftChars="0" w:right="0"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w w:val="99"/>
                      <w:sz w:val="18"/>
                      <w:szCs w:val="18"/>
                      <w:u w:val="none"/>
                      <w:lang w:val="zh-CN" w:eastAsia="zh-CN" w:bidi="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15</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3168" w:type="dxa"/>
                  <w:gridSpan w:val="2"/>
                  <w:tcBorders>
                    <w:tl2br w:val="nil"/>
                    <w:tr2bl w:val="nil"/>
                  </w:tcBorders>
                  <w:vAlign w:val="center"/>
                </w:tcPr>
                <w:p>
                  <w:pPr>
                    <w:autoSpaceDE w:val="0"/>
                    <w:autoSpaceDN w:val="0"/>
                    <w:spacing w:before="0" w:after="0" w:line="240" w:lineRule="auto"/>
                    <w:ind w:left="0" w:right="0"/>
                    <w:jc w:val="center"/>
                    <w:rPr>
                      <w:rFonts w:hint="eastAsia" w:ascii="宋体" w:hAnsi="宋体" w:eastAsia="宋体" w:cs="宋体"/>
                      <w:color w:val="auto"/>
                      <w:kern w:val="0"/>
                      <w:sz w:val="18"/>
                      <w:szCs w:val="18"/>
                      <w:lang w:val="zh-CN" w:bidi="zh-CN"/>
                    </w:rPr>
                  </w:pPr>
                  <w:r>
                    <w:rPr>
                      <w:rFonts w:hint="eastAsia" w:ascii="宋体" w:hAnsi="宋体" w:eastAsia="宋体" w:cs="宋体"/>
                      <w:color w:val="auto"/>
                      <w:kern w:val="0"/>
                      <w:sz w:val="18"/>
                      <w:szCs w:val="18"/>
                      <w:lang w:val="zh-CN" w:bidi="zh-CN"/>
                    </w:rPr>
                    <w:t>废线路板（含废电容电器）</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5" w:leftChars="0" w:right="115" w:rightChars="0"/>
                    <w:jc w:val="center"/>
                    <w:textAlignment w:val="auto"/>
                    <w:rPr>
                      <w:rFonts w:hint="eastAsia" w:ascii="宋体" w:hAnsi="宋体" w:eastAsia="宋体" w:cs="宋体"/>
                      <w:color w:val="auto"/>
                      <w:w w:val="99"/>
                      <w:sz w:val="18"/>
                      <w:szCs w:val="18"/>
                      <w:u w:val="none"/>
                      <w:lang w:val="zh-CN" w:eastAsia="zh-CN" w:bidi="zh-CN"/>
                    </w:rPr>
                  </w:pPr>
                  <w:r>
                    <w:rPr>
                      <w:rFonts w:hint="eastAsia" w:ascii="宋体" w:hAnsi="宋体" w:eastAsia="宋体" w:cs="宋体"/>
                      <w:color w:val="auto"/>
                      <w:sz w:val="18"/>
                      <w:szCs w:val="18"/>
                      <w:u w:val="none"/>
                      <w:lang w:val="zh-CN" w:eastAsia="zh-CN" w:bidi="zh-CN"/>
                    </w:rPr>
                    <w:t>0.5</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34" w:leftChars="0" w:right="0"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w w:val="99"/>
                      <w:sz w:val="18"/>
                      <w:szCs w:val="18"/>
                      <w:u w:val="none"/>
                      <w:lang w:val="zh-CN" w:eastAsia="zh-CN" w:bidi="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16</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3168" w:type="dxa"/>
                  <w:gridSpan w:val="2"/>
                  <w:tcBorders>
                    <w:tl2br w:val="nil"/>
                    <w:tr2bl w:val="nil"/>
                  </w:tcBorders>
                  <w:vAlign w:val="center"/>
                </w:tcPr>
                <w:p>
                  <w:pPr>
                    <w:autoSpaceDE w:val="0"/>
                    <w:autoSpaceDN w:val="0"/>
                    <w:spacing w:before="0" w:after="0" w:line="240" w:lineRule="auto"/>
                    <w:ind w:left="0" w:right="0"/>
                    <w:jc w:val="center"/>
                    <w:rPr>
                      <w:rFonts w:hint="eastAsia" w:ascii="宋体" w:hAnsi="宋体" w:eastAsia="宋体" w:cs="宋体"/>
                      <w:color w:val="auto"/>
                      <w:kern w:val="0"/>
                      <w:sz w:val="18"/>
                      <w:szCs w:val="18"/>
                      <w:lang w:val="zh-CN" w:bidi="zh-CN"/>
                    </w:rPr>
                  </w:pPr>
                  <w:r>
                    <w:rPr>
                      <w:rFonts w:hint="eastAsia" w:ascii="宋体" w:hAnsi="宋体" w:eastAsia="宋体" w:cs="宋体"/>
                      <w:color w:val="auto"/>
                      <w:kern w:val="0"/>
                      <w:sz w:val="18"/>
                      <w:szCs w:val="18"/>
                      <w:lang w:val="zh-CN" w:bidi="zh-CN"/>
                    </w:rPr>
                    <w:t>燃料类汽油、柴油</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5" w:leftChars="0" w:right="0" w:rightChars="0"/>
                    <w:jc w:val="center"/>
                    <w:textAlignment w:val="auto"/>
                    <w:rPr>
                      <w:rFonts w:hint="eastAsia" w:ascii="宋体" w:hAnsi="宋体" w:eastAsia="宋体" w:cs="宋体"/>
                      <w:color w:val="auto"/>
                      <w:w w:val="99"/>
                      <w:sz w:val="18"/>
                      <w:szCs w:val="18"/>
                      <w:u w:val="none"/>
                      <w:lang w:val="zh-CN" w:eastAsia="zh-CN" w:bidi="zh-CN"/>
                    </w:rPr>
                  </w:pPr>
                  <w:r>
                    <w:rPr>
                      <w:rFonts w:hint="eastAsia" w:ascii="宋体" w:hAnsi="宋体" w:eastAsia="宋体" w:cs="宋体"/>
                      <w:color w:val="auto"/>
                      <w:w w:val="99"/>
                      <w:sz w:val="18"/>
                      <w:szCs w:val="18"/>
                      <w:u w:val="none"/>
                      <w:lang w:val="zh-CN" w:eastAsia="zh-CN" w:bidi="zh-CN"/>
                    </w:rPr>
                    <w:t>2</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34" w:leftChars="0" w:right="0"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w w:val="99"/>
                      <w:sz w:val="18"/>
                      <w:szCs w:val="18"/>
                      <w:u w:val="none"/>
                      <w:lang w:val="zh-CN" w:eastAsia="zh-CN" w:bidi="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17</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3168" w:type="dxa"/>
                  <w:gridSpan w:val="2"/>
                  <w:tcBorders>
                    <w:tl2br w:val="nil"/>
                    <w:tr2bl w:val="nil"/>
                  </w:tcBorders>
                  <w:vAlign w:val="center"/>
                </w:tcPr>
                <w:p>
                  <w:pPr>
                    <w:autoSpaceDE w:val="0"/>
                    <w:autoSpaceDN w:val="0"/>
                    <w:spacing w:before="0" w:after="0" w:line="240" w:lineRule="auto"/>
                    <w:ind w:left="0" w:right="0"/>
                    <w:jc w:val="center"/>
                    <w:rPr>
                      <w:rFonts w:hint="eastAsia" w:ascii="宋体" w:hAnsi="宋体" w:eastAsia="宋体" w:cs="宋体"/>
                      <w:color w:val="auto"/>
                      <w:kern w:val="0"/>
                      <w:sz w:val="18"/>
                      <w:szCs w:val="18"/>
                      <w:lang w:val="zh-CN" w:bidi="zh-CN"/>
                    </w:rPr>
                  </w:pPr>
                  <w:r>
                    <w:rPr>
                      <w:rFonts w:hint="eastAsia" w:ascii="宋体" w:hAnsi="宋体" w:eastAsia="宋体" w:cs="宋体"/>
                      <w:color w:val="auto"/>
                      <w:kern w:val="0"/>
                      <w:sz w:val="18"/>
                      <w:szCs w:val="18"/>
                      <w:lang w:val="zh-CN" w:bidi="zh-CN"/>
                    </w:rPr>
                    <w:t>非燃料类废油液</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5" w:leftChars="0" w:right="115"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13.5</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cs="宋体"/>
                      <w:color w:val="auto"/>
                      <w:kern w:val="0"/>
                      <w:sz w:val="18"/>
                      <w:szCs w:val="18"/>
                      <w:lang w:val="zh-CN" w:bidi="zh-CN"/>
                    </w:rPr>
                  </w:pPr>
                  <w:r>
                    <w:rPr>
                      <w:rFonts w:hint="eastAsia" w:ascii="宋体" w:hAnsi="宋体" w:cs="宋体"/>
                      <w:color w:val="auto"/>
                      <w:kern w:val="0"/>
                      <w:sz w:val="18"/>
                      <w:szCs w:val="18"/>
                      <w:lang w:val="zh-CN" w:bidi="zh-CN"/>
                    </w:rPr>
                    <w:t>18</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3168" w:type="dxa"/>
                  <w:gridSpan w:val="2"/>
                  <w:tcBorders>
                    <w:tl2br w:val="nil"/>
                    <w:tr2bl w:val="nil"/>
                  </w:tcBorders>
                  <w:vAlign w:val="center"/>
                </w:tcPr>
                <w:p>
                  <w:pPr>
                    <w:autoSpaceDE w:val="0"/>
                    <w:autoSpaceDN w:val="0"/>
                    <w:spacing w:before="0" w:after="0" w:line="240" w:lineRule="auto"/>
                    <w:ind w:left="0" w:right="0"/>
                    <w:jc w:val="center"/>
                    <w:rPr>
                      <w:rFonts w:hint="eastAsia" w:ascii="宋体" w:hAnsi="宋体" w:eastAsia="宋体" w:cs="宋体"/>
                      <w:color w:val="auto"/>
                      <w:kern w:val="0"/>
                      <w:sz w:val="18"/>
                      <w:szCs w:val="18"/>
                      <w:lang w:val="zh-CN" w:bidi="zh-CN"/>
                    </w:rPr>
                  </w:pPr>
                  <w:r>
                    <w:rPr>
                      <w:rFonts w:hint="eastAsia" w:ascii="宋体" w:hAnsi="宋体" w:eastAsia="宋体" w:cs="宋体"/>
                      <w:color w:val="auto"/>
                      <w:kern w:val="0"/>
                      <w:sz w:val="18"/>
                      <w:szCs w:val="18"/>
                      <w:lang w:val="zh-CN" w:bidi="zh-CN"/>
                    </w:rPr>
                    <w:t>废空调制冷剂</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5" w:leftChars="0" w:right="0" w:rightChars="0"/>
                    <w:jc w:val="center"/>
                    <w:textAlignment w:val="auto"/>
                    <w:rPr>
                      <w:rFonts w:hint="eastAsia" w:ascii="宋体" w:hAnsi="宋体" w:eastAsia="宋体" w:cs="宋体"/>
                      <w:color w:val="auto"/>
                      <w:w w:val="99"/>
                      <w:sz w:val="18"/>
                      <w:szCs w:val="18"/>
                      <w:u w:val="none"/>
                      <w:lang w:val="zh-CN" w:eastAsia="zh-CN" w:bidi="zh-CN"/>
                    </w:rPr>
                  </w:pPr>
                  <w:r>
                    <w:rPr>
                      <w:rFonts w:hint="eastAsia" w:ascii="宋体" w:hAnsi="宋体" w:eastAsia="宋体" w:cs="宋体"/>
                      <w:color w:val="auto"/>
                      <w:w w:val="99"/>
                      <w:sz w:val="18"/>
                      <w:szCs w:val="18"/>
                      <w:u w:val="none"/>
                      <w:lang w:val="zh-CN" w:eastAsia="zh-CN" w:bidi="zh-CN"/>
                    </w:rPr>
                    <w:t>1</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34" w:leftChars="0" w:right="0"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w w:val="99"/>
                      <w:sz w:val="18"/>
                      <w:szCs w:val="18"/>
                      <w:u w:val="none"/>
                      <w:lang w:val="zh-CN" w:eastAsia="zh-CN" w:bidi="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default" w:ascii="宋体" w:hAnsi="宋体" w:eastAsia="宋体" w:cs="宋体"/>
                      <w:color w:val="auto"/>
                      <w:kern w:val="0"/>
                      <w:sz w:val="18"/>
                      <w:szCs w:val="18"/>
                      <w:lang w:val="en-US" w:eastAsia="zh-CN" w:bidi="zh-CN"/>
                    </w:rPr>
                  </w:pPr>
                  <w:r>
                    <w:rPr>
                      <w:rFonts w:hint="eastAsia" w:ascii="宋体" w:hAnsi="宋体" w:cs="宋体"/>
                      <w:color w:val="auto"/>
                      <w:kern w:val="0"/>
                      <w:sz w:val="18"/>
                      <w:szCs w:val="18"/>
                      <w:lang w:val="en-US" w:eastAsia="zh-CN" w:bidi="zh-CN"/>
                    </w:rPr>
                    <w:t>19</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3168" w:type="dxa"/>
                  <w:gridSpan w:val="2"/>
                  <w:tcBorders>
                    <w:tl2br w:val="nil"/>
                    <w:tr2bl w:val="nil"/>
                  </w:tcBorders>
                  <w:vAlign w:val="center"/>
                </w:tcPr>
                <w:p>
                  <w:pPr>
                    <w:autoSpaceDE w:val="0"/>
                    <w:autoSpaceDN w:val="0"/>
                    <w:spacing w:before="0" w:after="0" w:line="240" w:lineRule="auto"/>
                    <w:ind w:left="0" w:right="0"/>
                    <w:jc w:val="center"/>
                    <w:rPr>
                      <w:rFonts w:hint="eastAsia" w:ascii="宋体" w:hAnsi="宋体" w:eastAsia="宋体" w:cs="宋体"/>
                      <w:color w:val="auto"/>
                      <w:kern w:val="0"/>
                      <w:sz w:val="18"/>
                      <w:szCs w:val="18"/>
                      <w:lang w:val="zh-CN" w:bidi="zh-CN"/>
                    </w:rPr>
                  </w:pPr>
                  <w:r>
                    <w:rPr>
                      <w:rFonts w:hint="eastAsia" w:ascii="宋体" w:hAnsi="宋体" w:eastAsia="宋体" w:cs="宋体"/>
                      <w:color w:val="auto"/>
                      <w:kern w:val="0"/>
                      <w:sz w:val="18"/>
                      <w:szCs w:val="18"/>
                      <w:lang w:val="zh-CN" w:bidi="zh-CN"/>
                    </w:rPr>
                    <w:t>含铅部件</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5" w:leftChars="0" w:right="115"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0.75</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eastAsia="宋体" w:cs="宋体"/>
                      <w:color w:val="auto"/>
                      <w:kern w:val="0"/>
                      <w:sz w:val="18"/>
                      <w:szCs w:val="18"/>
                      <w:lang w:val="en-US" w:eastAsia="zh-CN" w:bidi="zh-CN"/>
                    </w:rPr>
                  </w:pPr>
                  <w:r>
                    <w:rPr>
                      <w:rFonts w:hint="eastAsia" w:ascii="宋体" w:hAnsi="宋体" w:cs="宋体"/>
                      <w:color w:val="auto"/>
                      <w:kern w:val="0"/>
                      <w:sz w:val="18"/>
                      <w:szCs w:val="18"/>
                      <w:lang w:val="zh-CN" w:bidi="zh-CN"/>
                    </w:rPr>
                    <w:t>2</w:t>
                  </w:r>
                  <w:r>
                    <w:rPr>
                      <w:rFonts w:hint="eastAsia" w:ascii="宋体" w:hAnsi="宋体" w:cs="宋体"/>
                      <w:color w:val="auto"/>
                      <w:kern w:val="0"/>
                      <w:sz w:val="18"/>
                      <w:szCs w:val="18"/>
                      <w:lang w:val="en-US" w:eastAsia="zh-CN" w:bidi="zh-CN"/>
                    </w:rPr>
                    <w:t>0</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3168" w:type="dxa"/>
                  <w:gridSpan w:val="2"/>
                  <w:tcBorders>
                    <w:tl2br w:val="nil"/>
                    <w:tr2bl w:val="nil"/>
                  </w:tcBorders>
                  <w:vAlign w:val="center"/>
                </w:tcPr>
                <w:p>
                  <w:pPr>
                    <w:autoSpaceDE w:val="0"/>
                    <w:autoSpaceDN w:val="0"/>
                    <w:spacing w:before="0" w:after="0" w:line="240" w:lineRule="auto"/>
                    <w:ind w:left="0" w:right="0"/>
                    <w:jc w:val="center"/>
                    <w:rPr>
                      <w:rFonts w:hint="eastAsia" w:ascii="宋体" w:hAnsi="宋体" w:eastAsia="宋体" w:cs="宋体"/>
                      <w:color w:val="auto"/>
                      <w:kern w:val="0"/>
                      <w:sz w:val="18"/>
                      <w:szCs w:val="18"/>
                      <w:lang w:val="zh-CN" w:bidi="zh-CN"/>
                    </w:rPr>
                  </w:pPr>
                  <w:r>
                    <w:rPr>
                      <w:rFonts w:hint="eastAsia" w:ascii="宋体" w:hAnsi="宋体" w:eastAsia="宋体" w:cs="宋体"/>
                      <w:color w:val="auto"/>
                      <w:kern w:val="0"/>
                      <w:sz w:val="18"/>
                      <w:szCs w:val="18"/>
                      <w:lang w:val="zh-CN" w:bidi="zh-CN"/>
                    </w:rPr>
                    <w:t>含汞开关</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5" w:leftChars="0" w:right="115"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0.75</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eastAsia="宋体" w:cs="宋体"/>
                      <w:color w:val="auto"/>
                      <w:kern w:val="0"/>
                      <w:sz w:val="18"/>
                      <w:szCs w:val="18"/>
                      <w:lang w:val="en-US" w:eastAsia="zh-CN" w:bidi="zh-CN"/>
                    </w:rPr>
                  </w:pPr>
                  <w:r>
                    <w:rPr>
                      <w:rFonts w:hint="eastAsia" w:ascii="宋体" w:hAnsi="宋体" w:cs="宋体"/>
                      <w:color w:val="auto"/>
                      <w:kern w:val="0"/>
                      <w:sz w:val="18"/>
                      <w:szCs w:val="18"/>
                      <w:lang w:val="zh-CN" w:bidi="zh-CN"/>
                    </w:rPr>
                    <w:t>2</w:t>
                  </w:r>
                  <w:r>
                    <w:rPr>
                      <w:rFonts w:hint="eastAsia" w:ascii="宋体" w:hAnsi="宋体" w:cs="宋体"/>
                      <w:color w:val="auto"/>
                      <w:kern w:val="0"/>
                      <w:sz w:val="18"/>
                      <w:szCs w:val="18"/>
                      <w:lang w:val="en-US" w:eastAsia="zh-CN" w:bidi="zh-CN"/>
                    </w:rPr>
                    <w:t>1</w:t>
                  </w:r>
                </w:p>
              </w:tc>
              <w:tc>
                <w:tcPr>
                  <w:tcW w:w="141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70" w:right="141"/>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一般固体废物</w:t>
                  </w:r>
                </w:p>
              </w:tc>
              <w:tc>
                <w:tcPr>
                  <w:tcW w:w="3168" w:type="dxa"/>
                  <w:gridSpan w:val="2"/>
                  <w:tcBorders>
                    <w:tl2br w:val="nil"/>
                    <w:tr2bl w:val="nil"/>
                  </w:tcBorders>
                  <w:vAlign w:val="center"/>
                </w:tcPr>
                <w:p>
                  <w:pPr>
                    <w:autoSpaceDE w:val="0"/>
                    <w:autoSpaceDN w:val="0"/>
                    <w:spacing w:before="0" w:after="0" w:line="240" w:lineRule="auto"/>
                    <w:ind w:left="0" w:right="0"/>
                    <w:jc w:val="center"/>
                    <w:rPr>
                      <w:rFonts w:hint="eastAsia" w:ascii="宋体" w:hAnsi="宋体" w:eastAsia="宋体" w:cs="宋体"/>
                      <w:color w:val="auto"/>
                      <w:kern w:val="0"/>
                      <w:sz w:val="18"/>
                      <w:szCs w:val="18"/>
                      <w:lang w:val="zh-CN" w:bidi="zh-CN"/>
                    </w:rPr>
                  </w:pPr>
                  <w:r>
                    <w:rPr>
                      <w:rFonts w:hint="eastAsia" w:ascii="宋体" w:hAnsi="宋体" w:eastAsia="宋体" w:cs="宋体"/>
                      <w:color w:val="auto"/>
                      <w:kern w:val="0"/>
                      <w:sz w:val="18"/>
                      <w:szCs w:val="18"/>
                      <w:lang w:val="zh-CN" w:bidi="zh-CN"/>
                    </w:rPr>
                    <w:t>引爆后的废安全气囊</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5" w:leftChars="0" w:right="0" w:rightChars="0"/>
                    <w:jc w:val="center"/>
                    <w:textAlignment w:val="auto"/>
                    <w:rPr>
                      <w:rFonts w:hint="eastAsia" w:ascii="宋体" w:hAnsi="宋体" w:eastAsia="宋体" w:cs="宋体"/>
                      <w:color w:val="auto"/>
                      <w:w w:val="99"/>
                      <w:sz w:val="18"/>
                      <w:szCs w:val="18"/>
                      <w:u w:val="none"/>
                      <w:lang w:val="zh-CN" w:eastAsia="zh-CN" w:bidi="zh-CN"/>
                    </w:rPr>
                  </w:pPr>
                  <w:r>
                    <w:rPr>
                      <w:rFonts w:hint="eastAsia" w:ascii="宋体" w:hAnsi="宋体" w:eastAsia="宋体" w:cs="宋体"/>
                      <w:color w:val="auto"/>
                      <w:w w:val="99"/>
                      <w:sz w:val="18"/>
                      <w:szCs w:val="18"/>
                      <w:u w:val="none"/>
                      <w:lang w:val="zh-CN" w:eastAsia="zh-CN" w:bidi="zh-CN"/>
                    </w:rPr>
                    <w:t>2</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34" w:leftChars="0" w:right="0"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w w:val="99"/>
                      <w:sz w:val="18"/>
                      <w:szCs w:val="18"/>
                      <w:u w:val="none"/>
                      <w:lang w:val="zh-CN" w:eastAsia="zh-CN" w:bidi="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7" w:hRule="exact"/>
                <w:jc w:val="center"/>
              </w:trPr>
              <w:tc>
                <w:tcPr>
                  <w:tcW w:w="785" w:type="dxa"/>
                  <w:tcBorders>
                    <w:tl2br w:val="nil"/>
                    <w:tr2bl w:val="nil"/>
                  </w:tcBorders>
                  <w:vAlign w:val="center"/>
                </w:tcPr>
                <w:p>
                  <w:pPr>
                    <w:autoSpaceDE w:val="0"/>
                    <w:autoSpaceDN w:val="0"/>
                    <w:spacing w:before="0" w:after="0" w:line="240" w:lineRule="auto"/>
                    <w:ind w:left="0" w:right="0"/>
                    <w:jc w:val="center"/>
                    <w:rPr>
                      <w:rFonts w:hint="eastAsia" w:ascii="宋体" w:hAnsi="宋体" w:eastAsia="宋体" w:cs="宋体"/>
                      <w:color w:val="auto"/>
                      <w:kern w:val="0"/>
                      <w:sz w:val="18"/>
                      <w:szCs w:val="18"/>
                      <w:lang w:val="en-US" w:eastAsia="zh-CN" w:bidi="zh-CN"/>
                    </w:rPr>
                  </w:pPr>
                  <w:r>
                    <w:rPr>
                      <w:rFonts w:hint="eastAsia" w:ascii="宋体" w:hAnsi="宋体" w:cs="宋体"/>
                      <w:color w:val="auto"/>
                      <w:kern w:val="0"/>
                      <w:sz w:val="18"/>
                      <w:szCs w:val="18"/>
                      <w:lang w:val="zh-CN" w:bidi="zh-CN"/>
                    </w:rPr>
                    <w:t>2</w:t>
                  </w:r>
                  <w:r>
                    <w:rPr>
                      <w:rFonts w:hint="eastAsia" w:ascii="宋体" w:hAnsi="宋体" w:cs="宋体"/>
                      <w:color w:val="auto"/>
                      <w:kern w:val="0"/>
                      <w:sz w:val="18"/>
                      <w:szCs w:val="18"/>
                      <w:lang w:val="en-US" w:eastAsia="zh-CN" w:bidi="zh-CN"/>
                    </w:rPr>
                    <w:t>2</w:t>
                  </w:r>
                </w:p>
              </w:tc>
              <w:tc>
                <w:tcPr>
                  <w:tcW w:w="141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u w:val="none"/>
                      <w:lang w:val="zh-CN" w:bidi="zh-CN"/>
                    </w:rPr>
                  </w:pPr>
                </w:p>
              </w:tc>
              <w:tc>
                <w:tcPr>
                  <w:tcW w:w="3168"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jc w:val="center"/>
                    <w:textAlignment w:val="auto"/>
                    <w:rPr>
                      <w:rFonts w:hint="eastAsia" w:ascii="宋体" w:hAnsi="宋体" w:eastAsia="宋体" w:cs="宋体"/>
                      <w:color w:val="auto"/>
                      <w:kern w:val="0"/>
                      <w:sz w:val="18"/>
                      <w:szCs w:val="18"/>
                      <w:lang w:val="zh-CN" w:bidi="zh-CN"/>
                    </w:rPr>
                  </w:pPr>
                  <w:r>
                    <w:rPr>
                      <w:rFonts w:hint="eastAsia" w:ascii="宋体" w:hAnsi="宋体" w:eastAsia="宋体" w:cs="宋体"/>
                      <w:color w:val="auto"/>
                      <w:kern w:val="0"/>
                      <w:sz w:val="18"/>
                      <w:szCs w:val="18"/>
                      <w:lang w:val="zh-CN" w:bidi="zh-CN"/>
                    </w:rPr>
                    <w:t>不可利用材料（海绵、电子废物、布料</w:t>
                  </w:r>
                </w:p>
                <w:p>
                  <w:pPr>
                    <w:autoSpaceDE w:val="0"/>
                    <w:autoSpaceDN w:val="0"/>
                    <w:spacing w:before="0" w:after="0" w:line="240" w:lineRule="auto"/>
                    <w:ind w:left="0" w:right="0"/>
                    <w:jc w:val="center"/>
                    <w:rPr>
                      <w:rFonts w:hint="eastAsia" w:ascii="宋体" w:hAnsi="宋体" w:eastAsia="宋体" w:cs="宋体"/>
                      <w:color w:val="auto"/>
                      <w:kern w:val="0"/>
                      <w:sz w:val="18"/>
                      <w:szCs w:val="18"/>
                      <w:lang w:val="zh-CN" w:bidi="zh-CN"/>
                    </w:rPr>
                  </w:pPr>
                  <w:r>
                    <w:rPr>
                      <w:rFonts w:hint="eastAsia" w:ascii="宋体" w:hAnsi="宋体" w:eastAsia="宋体" w:cs="宋体"/>
                      <w:color w:val="auto"/>
                      <w:kern w:val="0"/>
                      <w:sz w:val="18"/>
                      <w:szCs w:val="18"/>
                      <w:lang w:val="zh-CN" w:bidi="zh-CN"/>
                    </w:rPr>
                    <w:t>等）</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5" w:leftChars="0" w:right="115"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227</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2"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454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exact"/>
                <w:jc w:val="center"/>
              </w:trPr>
              <w:tc>
                <w:tcPr>
                  <w:tcW w:w="5363" w:type="dxa"/>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489"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en-US" w:eastAsia="zh-CN" w:bidi="zh-CN"/>
                    </w:rPr>
                    <w:t xml:space="preserve"> </w:t>
                  </w:r>
                  <w:r>
                    <w:rPr>
                      <w:rFonts w:hint="eastAsia" w:ascii="宋体" w:hAnsi="宋体" w:eastAsia="宋体" w:cs="宋体"/>
                      <w:color w:val="auto"/>
                      <w:sz w:val="18"/>
                      <w:szCs w:val="18"/>
                      <w:u w:val="none"/>
                      <w:lang w:val="zh-CN" w:eastAsia="zh-CN" w:bidi="zh-CN"/>
                    </w:rPr>
                    <w:t>合计</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44" w:leftChars="0" w:right="116" w:rightChars="0"/>
                    <w:jc w:val="center"/>
                    <w:textAlignment w:val="auto"/>
                    <w:rPr>
                      <w:rFonts w:hint="eastAsia" w:ascii="宋体" w:hAnsi="宋体" w:eastAsia="宋体" w:cs="宋体"/>
                      <w:color w:val="auto"/>
                      <w:sz w:val="18"/>
                      <w:szCs w:val="18"/>
                      <w:u w:val="none"/>
                      <w:lang w:val="zh-CN" w:eastAsia="zh-CN" w:bidi="zh-CN"/>
                    </w:rPr>
                  </w:pPr>
                  <w:r>
                    <w:rPr>
                      <w:rFonts w:hint="eastAsia" w:ascii="宋体" w:hAnsi="宋体" w:eastAsia="宋体" w:cs="宋体"/>
                      <w:color w:val="auto"/>
                      <w:sz w:val="18"/>
                      <w:szCs w:val="18"/>
                      <w:u w:val="none"/>
                      <w:lang w:val="zh-CN" w:eastAsia="zh-CN" w:bidi="zh-CN"/>
                    </w:rPr>
                    <w:t>5300</w:t>
                  </w:r>
                </w:p>
              </w:tc>
              <w:tc>
                <w:tcPr>
                  <w:tcW w:w="11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after="0" w:line="240" w:lineRule="auto"/>
                    <w:ind w:left="271" w:leftChars="0" w:right="234"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lang w:val="zh-CN" w:eastAsia="zh-CN" w:bidi="zh-CN"/>
                    </w:rPr>
                    <w:t>10600</w:t>
                  </w:r>
                </w:p>
              </w:tc>
            </w:tr>
          </w:tbl>
          <w:p>
            <w:pPr>
              <w:pStyle w:val="59"/>
              <w:numPr>
                <w:ilvl w:val="0"/>
                <w:numId w:val="0"/>
              </w:numPr>
              <w:tabs>
                <w:tab w:val="left" w:pos="1199"/>
              </w:tabs>
              <w:spacing w:before="0" w:after="0" w:line="364" w:lineRule="auto"/>
              <w:ind w:left="17" w:leftChars="0" w:right="76" w:rightChars="0" w:firstLine="577" w:firstLineChars="275"/>
              <w:jc w:val="left"/>
              <w:rPr>
                <w:rFonts w:hint="eastAsia" w:ascii="Times New Roman" w:hAnsi="Times New Roman" w:eastAsia="宋体" w:cs="Times New Roman"/>
                <w:color w:val="auto"/>
                <w:kern w:val="2"/>
                <w:sz w:val="21"/>
                <w:szCs w:val="24"/>
                <w:u w:val="none"/>
                <w:lang w:val="en-US" w:eastAsia="zh-CN" w:bidi="ar-SA"/>
              </w:rPr>
            </w:pPr>
          </w:p>
          <w:p>
            <w:pPr>
              <w:tabs>
                <w:tab w:val="left" w:pos="1653"/>
              </w:tabs>
              <w:bidi w:val="0"/>
              <w:jc w:val="center"/>
              <w:rPr>
                <w:rFonts w:hint="eastAsia"/>
                <w:color w:val="auto"/>
                <w:lang w:val="zh-CN" w:eastAsia="zh-CN"/>
              </w:rPr>
            </w:pPr>
            <w:r>
              <w:rPr>
                <w:b/>
                <w:color w:val="auto"/>
                <w:sz w:val="21"/>
                <w:u w:val="none"/>
              </w:rPr>
              <w:t>表</w:t>
            </w:r>
            <w:r>
              <w:rPr>
                <w:b/>
                <w:color w:val="auto"/>
                <w:spacing w:val="-52"/>
                <w:sz w:val="21"/>
                <w:u w:val="none"/>
              </w:rPr>
              <w:t xml:space="preserve"> </w:t>
            </w:r>
            <w:r>
              <w:rPr>
                <w:rFonts w:ascii="Times New Roman" w:eastAsia="Times New Roman"/>
                <w:b/>
                <w:color w:val="auto"/>
                <w:sz w:val="21"/>
                <w:u w:val="none"/>
              </w:rPr>
              <w:t>2-7</w:t>
            </w:r>
            <w:r>
              <w:rPr>
                <w:rFonts w:hint="eastAsia" w:ascii="Times New Roman"/>
                <w:b/>
                <w:color w:val="auto"/>
                <w:sz w:val="21"/>
                <w:u w:val="none"/>
                <w:lang w:val="en-US" w:eastAsia="zh-CN"/>
              </w:rPr>
              <w:t xml:space="preserve"> </w:t>
            </w:r>
            <w:r>
              <w:rPr>
                <w:b/>
                <w:color w:val="auto"/>
                <w:sz w:val="21"/>
                <w:u w:val="none"/>
              </w:rPr>
              <w:t>项目报废电动汽车拆解产物明细表</w:t>
            </w:r>
          </w:p>
          <w:tbl>
            <w:tblPr>
              <w:tblStyle w:val="21"/>
              <w:tblW w:w="77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4"/>
              <w:gridCol w:w="1408"/>
              <w:gridCol w:w="1166"/>
              <w:gridCol w:w="2006"/>
              <w:gridCol w:w="1177"/>
              <w:gridCol w:w="1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exact"/>
                <w:jc w:val="center"/>
              </w:trPr>
              <w:tc>
                <w:tcPr>
                  <w:tcW w:w="784" w:type="dxa"/>
                  <w:tcBorders>
                    <w:tl2br w:val="nil"/>
                    <w:tr2bl w:val="nil"/>
                  </w:tcBorders>
                  <w:vAlign w:val="center"/>
                </w:tcPr>
                <w:p>
                  <w:pPr>
                    <w:jc w:val="center"/>
                    <w:rPr>
                      <w:rFonts w:hint="eastAsia"/>
                      <w:color w:val="auto"/>
                      <w:sz w:val="18"/>
                      <w:szCs w:val="18"/>
                    </w:rPr>
                  </w:pPr>
                  <w:r>
                    <w:rPr>
                      <w:rFonts w:hint="eastAsia"/>
                      <w:color w:val="auto"/>
                      <w:sz w:val="18"/>
                      <w:szCs w:val="18"/>
                    </w:rPr>
                    <w:t>序号</w:t>
                  </w:r>
                </w:p>
              </w:tc>
              <w:tc>
                <w:tcPr>
                  <w:tcW w:w="4580" w:type="dxa"/>
                  <w:gridSpan w:val="3"/>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right="1916"/>
                    <w:jc w:val="center"/>
                    <w:textAlignment w:val="auto"/>
                    <w:rPr>
                      <w:rFonts w:hint="eastAsia" w:ascii="宋体" w:hAnsi="宋体" w:eastAsia="宋体" w:cs="宋体"/>
                      <w:color w:val="auto"/>
                      <w:sz w:val="18"/>
                      <w:szCs w:val="18"/>
                      <w:u w:val="none"/>
                    </w:rPr>
                  </w:pPr>
                  <w:r>
                    <w:rPr>
                      <w:rFonts w:hint="eastAsia" w:cs="宋体"/>
                      <w:color w:val="auto"/>
                      <w:sz w:val="18"/>
                      <w:szCs w:val="18"/>
                      <w:u w:val="none"/>
                      <w:lang w:val="en-US" w:eastAsia="zh-CN"/>
                    </w:rPr>
                    <w:t xml:space="preserve">            </w:t>
                  </w:r>
                  <w:r>
                    <w:rPr>
                      <w:rFonts w:hint="eastAsia" w:ascii="宋体" w:hAnsi="宋体" w:eastAsia="宋体" w:cs="宋体"/>
                      <w:color w:val="auto"/>
                      <w:sz w:val="18"/>
                      <w:szCs w:val="18"/>
                      <w:u w:val="none"/>
                    </w:rPr>
                    <w:t>拆解产品</w:t>
                  </w:r>
                </w:p>
              </w:tc>
              <w:tc>
                <w:tcPr>
                  <w:tcW w:w="11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kern w:val="2"/>
                      <w:sz w:val="18"/>
                      <w:szCs w:val="18"/>
                      <w:u w:val="none"/>
                      <w:lang w:val="en-US" w:eastAsia="zh-CN" w:bidi="zh-CN"/>
                    </w:rPr>
                  </w:pPr>
                  <w:r>
                    <w:rPr>
                      <w:rFonts w:hint="eastAsia" w:ascii="宋体" w:hAnsi="宋体" w:eastAsia="宋体" w:cs="宋体"/>
                      <w:color w:val="auto"/>
                      <w:kern w:val="2"/>
                      <w:sz w:val="18"/>
                      <w:szCs w:val="18"/>
                      <w:u w:val="none"/>
                      <w:lang w:val="en-US" w:eastAsia="zh-CN" w:bidi="zh-CN"/>
                    </w:rPr>
                    <w:t>单</w:t>
                  </w:r>
                  <w:r>
                    <w:rPr>
                      <w:rFonts w:hint="eastAsia" w:ascii="宋体" w:hAnsi="宋体" w:cs="宋体"/>
                      <w:color w:val="auto"/>
                      <w:kern w:val="2"/>
                      <w:sz w:val="18"/>
                      <w:szCs w:val="18"/>
                      <w:u w:val="none"/>
                      <w:lang w:val="en-US" w:eastAsia="zh-CN" w:bidi="zh-CN"/>
                    </w:rPr>
                    <w:t>台</w:t>
                  </w:r>
                  <w:r>
                    <w:rPr>
                      <w:rFonts w:hint="eastAsia" w:ascii="宋体" w:hAnsi="宋体" w:eastAsia="宋体" w:cs="宋体"/>
                      <w:color w:val="auto"/>
                      <w:kern w:val="2"/>
                      <w:sz w:val="18"/>
                      <w:szCs w:val="18"/>
                      <w:u w:val="none"/>
                      <w:lang w:val="en-US" w:eastAsia="zh-CN" w:bidi="zh-CN"/>
                    </w:rPr>
                    <w:t>拆解量</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color w:val="auto"/>
                      <w:sz w:val="18"/>
                      <w:szCs w:val="18"/>
                    </w:rPr>
                  </w:pPr>
                  <w:r>
                    <w:rPr>
                      <w:rFonts w:hint="eastAsia"/>
                      <w:color w:val="auto"/>
                      <w:sz w:val="18"/>
                      <w:szCs w:val="18"/>
                    </w:rPr>
                    <w:t>（kg/</w:t>
                  </w:r>
                  <w:r>
                    <w:rPr>
                      <w:rFonts w:hint="eastAsia"/>
                      <w:color w:val="auto"/>
                      <w:sz w:val="18"/>
                      <w:szCs w:val="18"/>
                      <w:lang w:eastAsia="zh-CN"/>
                    </w:rPr>
                    <w:t>台</w:t>
                  </w:r>
                  <w:r>
                    <w:rPr>
                      <w:rFonts w:hint="eastAsia"/>
                      <w:color w:val="auto"/>
                      <w:sz w:val="18"/>
                      <w:szCs w:val="18"/>
                    </w:rPr>
                    <w:t>)</w:t>
                  </w:r>
                </w:p>
              </w:tc>
              <w:tc>
                <w:tcPr>
                  <w:tcW w:w="11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拆解量</w:t>
                  </w:r>
                  <w:r>
                    <w:rPr>
                      <w:rFonts w:hint="eastAsia"/>
                      <w:color w:val="auto"/>
                      <w:sz w:val="18"/>
                      <w:szCs w:val="18"/>
                      <w:lang w:val="en-US" w:eastAsia="zh-CN"/>
                    </w:rPr>
                    <w:t xml:space="preserve">        </w:t>
                  </w:r>
                  <w:r>
                    <w:rPr>
                      <w:rFonts w:hint="eastAsia"/>
                      <w:color w:val="auto"/>
                      <w:sz w:val="18"/>
                      <w:szCs w:val="18"/>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eastAsia"/>
                      <w:color w:val="auto"/>
                      <w:sz w:val="18"/>
                      <w:szCs w:val="18"/>
                    </w:rPr>
                  </w:pPr>
                  <w:r>
                    <w:rPr>
                      <w:rFonts w:hint="eastAsia"/>
                      <w:color w:val="auto"/>
                      <w:sz w:val="18"/>
                      <w:szCs w:val="18"/>
                    </w:rPr>
                    <w:t>1</w:t>
                  </w:r>
                </w:p>
              </w:tc>
              <w:tc>
                <w:tcPr>
                  <w:tcW w:w="1408" w:type="dxa"/>
                  <w:vMerge w:val="restart"/>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275" w:right="141" w:hanging="106"/>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可利用资源</w:t>
                  </w:r>
                </w:p>
              </w:tc>
              <w:tc>
                <w:tcPr>
                  <w:tcW w:w="1166" w:type="dxa"/>
                  <w:vMerge w:val="restart"/>
                  <w:tcBorders>
                    <w:tl2br w:val="nil"/>
                    <w:tr2bl w:val="nil"/>
                  </w:tcBorders>
                  <w:vAlign w:val="center"/>
                </w:tcPr>
                <w:p>
                  <w:pPr>
                    <w:jc w:val="center"/>
                    <w:rPr>
                      <w:rFonts w:hint="eastAsia"/>
                      <w:color w:val="auto"/>
                      <w:sz w:val="18"/>
                      <w:szCs w:val="18"/>
                    </w:rPr>
                  </w:pPr>
                </w:p>
                <w:p>
                  <w:pPr>
                    <w:jc w:val="center"/>
                    <w:rPr>
                      <w:rFonts w:hint="eastAsia"/>
                      <w:color w:val="auto"/>
                      <w:sz w:val="18"/>
                      <w:szCs w:val="18"/>
                    </w:rPr>
                  </w:pPr>
                  <w:r>
                    <w:rPr>
                      <w:rFonts w:hint="eastAsia"/>
                      <w:color w:val="auto"/>
                      <w:sz w:val="18"/>
                      <w:szCs w:val="18"/>
                    </w:rPr>
                    <w:t>钢铁</w:t>
                  </w:r>
                </w:p>
              </w:tc>
              <w:tc>
                <w:tcPr>
                  <w:tcW w:w="2006" w:type="dxa"/>
                  <w:tcBorders>
                    <w:tl2br w:val="nil"/>
                    <w:tr2bl w:val="nil"/>
                  </w:tcBorders>
                  <w:vAlign w:val="center"/>
                </w:tcPr>
                <w:p>
                  <w:pPr>
                    <w:jc w:val="center"/>
                    <w:rPr>
                      <w:rFonts w:hint="eastAsia"/>
                      <w:color w:val="auto"/>
                      <w:sz w:val="18"/>
                      <w:szCs w:val="18"/>
                    </w:rPr>
                  </w:pPr>
                  <w:r>
                    <w:rPr>
                      <w:rFonts w:hint="eastAsia"/>
                      <w:color w:val="auto"/>
                      <w:sz w:val="18"/>
                      <w:szCs w:val="18"/>
                    </w:rPr>
                    <w:t>车壳、座椅等废钢</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556</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556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eastAsia" w:eastAsia="宋体"/>
                      <w:color w:val="auto"/>
                      <w:sz w:val="18"/>
                      <w:szCs w:val="18"/>
                      <w:lang w:val="en-US" w:eastAsia="zh-CN"/>
                    </w:rPr>
                  </w:pPr>
                  <w:r>
                    <w:rPr>
                      <w:rFonts w:hint="eastAsia"/>
                      <w:color w:val="auto"/>
                      <w:sz w:val="18"/>
                      <w:szCs w:val="18"/>
                      <w:lang w:val="en-US" w:eastAsia="zh-CN"/>
                    </w:rPr>
                    <w:t>2</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1166" w:type="dxa"/>
                  <w:vMerge w:val="continue"/>
                  <w:tcBorders>
                    <w:tl2br w:val="nil"/>
                    <w:tr2bl w:val="nil"/>
                  </w:tcBorders>
                  <w:vAlign w:val="center"/>
                </w:tcPr>
                <w:p>
                  <w:pPr>
                    <w:jc w:val="center"/>
                    <w:rPr>
                      <w:rFonts w:hint="eastAsia"/>
                      <w:color w:val="auto"/>
                      <w:sz w:val="18"/>
                      <w:szCs w:val="18"/>
                    </w:rPr>
                  </w:pPr>
                </w:p>
              </w:tc>
              <w:tc>
                <w:tcPr>
                  <w:tcW w:w="2006" w:type="dxa"/>
                  <w:tcBorders>
                    <w:tl2br w:val="nil"/>
                    <w:tr2bl w:val="nil"/>
                  </w:tcBorders>
                  <w:vAlign w:val="center"/>
                </w:tcPr>
                <w:p>
                  <w:pPr>
                    <w:jc w:val="center"/>
                    <w:rPr>
                      <w:rFonts w:hint="eastAsia"/>
                      <w:color w:val="auto"/>
                      <w:sz w:val="18"/>
                      <w:szCs w:val="18"/>
                    </w:rPr>
                  </w:pPr>
                  <w:r>
                    <w:rPr>
                      <w:rFonts w:hint="eastAsia"/>
                      <w:color w:val="auto"/>
                      <w:sz w:val="18"/>
                      <w:szCs w:val="18"/>
                    </w:rPr>
                    <w:t>方向机</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21</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eastAsia" w:eastAsia="宋体"/>
                      <w:color w:val="auto"/>
                      <w:sz w:val="18"/>
                      <w:szCs w:val="18"/>
                      <w:lang w:val="en-US" w:eastAsia="zh-CN"/>
                    </w:rPr>
                  </w:pPr>
                  <w:r>
                    <w:rPr>
                      <w:rFonts w:hint="eastAsia"/>
                      <w:color w:val="auto"/>
                      <w:sz w:val="18"/>
                      <w:szCs w:val="18"/>
                      <w:lang w:val="en-US" w:eastAsia="zh-CN"/>
                    </w:rPr>
                    <w:t>3</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1166" w:type="dxa"/>
                  <w:vMerge w:val="continue"/>
                  <w:tcBorders>
                    <w:tl2br w:val="nil"/>
                    <w:tr2bl w:val="nil"/>
                  </w:tcBorders>
                  <w:vAlign w:val="center"/>
                </w:tcPr>
                <w:p>
                  <w:pPr>
                    <w:jc w:val="center"/>
                    <w:rPr>
                      <w:rFonts w:hint="eastAsia"/>
                      <w:color w:val="auto"/>
                      <w:sz w:val="18"/>
                      <w:szCs w:val="18"/>
                    </w:rPr>
                  </w:pPr>
                </w:p>
              </w:tc>
              <w:tc>
                <w:tcPr>
                  <w:tcW w:w="2006" w:type="dxa"/>
                  <w:tcBorders>
                    <w:tl2br w:val="nil"/>
                    <w:tr2bl w:val="nil"/>
                  </w:tcBorders>
                  <w:vAlign w:val="center"/>
                </w:tcPr>
                <w:p>
                  <w:pPr>
                    <w:jc w:val="center"/>
                    <w:rPr>
                      <w:rFonts w:hint="eastAsia"/>
                      <w:color w:val="auto"/>
                      <w:sz w:val="18"/>
                      <w:szCs w:val="18"/>
                    </w:rPr>
                  </w:pPr>
                  <w:r>
                    <w:rPr>
                      <w:rFonts w:hint="eastAsia"/>
                      <w:color w:val="auto"/>
                      <w:sz w:val="18"/>
                      <w:szCs w:val="18"/>
                    </w:rPr>
                    <w:t>轮毂</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45</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eastAsia" w:eastAsia="宋体"/>
                      <w:color w:val="auto"/>
                      <w:sz w:val="18"/>
                      <w:szCs w:val="18"/>
                      <w:lang w:val="en-US" w:eastAsia="zh-CN"/>
                    </w:rPr>
                  </w:pPr>
                  <w:r>
                    <w:rPr>
                      <w:rFonts w:hint="eastAsia"/>
                      <w:color w:val="auto"/>
                      <w:sz w:val="18"/>
                      <w:szCs w:val="18"/>
                      <w:lang w:val="en-US" w:eastAsia="zh-CN"/>
                    </w:rPr>
                    <w:t>4</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1166" w:type="dxa"/>
                  <w:vMerge w:val="continue"/>
                  <w:tcBorders>
                    <w:tl2br w:val="nil"/>
                    <w:tr2bl w:val="nil"/>
                  </w:tcBorders>
                  <w:vAlign w:val="center"/>
                </w:tcPr>
                <w:p>
                  <w:pPr>
                    <w:jc w:val="center"/>
                    <w:rPr>
                      <w:rFonts w:hint="eastAsia"/>
                      <w:color w:val="auto"/>
                      <w:sz w:val="18"/>
                      <w:szCs w:val="18"/>
                    </w:rPr>
                  </w:pPr>
                </w:p>
              </w:tc>
              <w:tc>
                <w:tcPr>
                  <w:tcW w:w="2006" w:type="dxa"/>
                  <w:tcBorders>
                    <w:tl2br w:val="nil"/>
                    <w:tr2bl w:val="nil"/>
                  </w:tcBorders>
                  <w:vAlign w:val="center"/>
                </w:tcPr>
                <w:p>
                  <w:pPr>
                    <w:jc w:val="center"/>
                    <w:rPr>
                      <w:rFonts w:hint="eastAsia"/>
                      <w:color w:val="auto"/>
                      <w:sz w:val="18"/>
                      <w:szCs w:val="18"/>
                    </w:rPr>
                  </w:pPr>
                  <w:r>
                    <w:rPr>
                      <w:rFonts w:hint="eastAsia"/>
                      <w:color w:val="auto"/>
                      <w:sz w:val="18"/>
                      <w:szCs w:val="18"/>
                    </w:rPr>
                    <w:t>前桥</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98</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eastAsia" w:eastAsia="宋体"/>
                      <w:color w:val="auto"/>
                      <w:sz w:val="18"/>
                      <w:szCs w:val="18"/>
                      <w:lang w:val="en-US" w:eastAsia="zh-CN"/>
                    </w:rPr>
                  </w:pPr>
                  <w:r>
                    <w:rPr>
                      <w:rFonts w:hint="eastAsia"/>
                      <w:color w:val="auto"/>
                      <w:sz w:val="18"/>
                      <w:szCs w:val="18"/>
                      <w:lang w:val="en-US" w:eastAsia="zh-CN"/>
                    </w:rPr>
                    <w:t>5</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1166" w:type="dxa"/>
                  <w:vMerge w:val="continue"/>
                  <w:tcBorders>
                    <w:tl2br w:val="nil"/>
                    <w:tr2bl w:val="nil"/>
                  </w:tcBorders>
                  <w:vAlign w:val="center"/>
                </w:tcPr>
                <w:p>
                  <w:pPr>
                    <w:jc w:val="center"/>
                    <w:rPr>
                      <w:rFonts w:hint="eastAsia"/>
                      <w:color w:val="auto"/>
                      <w:sz w:val="18"/>
                      <w:szCs w:val="18"/>
                    </w:rPr>
                  </w:pPr>
                </w:p>
              </w:tc>
              <w:tc>
                <w:tcPr>
                  <w:tcW w:w="2006" w:type="dxa"/>
                  <w:tcBorders>
                    <w:tl2br w:val="nil"/>
                    <w:tr2bl w:val="nil"/>
                  </w:tcBorders>
                  <w:vAlign w:val="center"/>
                </w:tcPr>
                <w:p>
                  <w:pPr>
                    <w:jc w:val="center"/>
                    <w:rPr>
                      <w:rFonts w:hint="eastAsia"/>
                      <w:color w:val="auto"/>
                      <w:sz w:val="18"/>
                      <w:szCs w:val="18"/>
                    </w:rPr>
                  </w:pPr>
                  <w:r>
                    <w:rPr>
                      <w:rFonts w:hint="eastAsia"/>
                      <w:color w:val="auto"/>
                      <w:sz w:val="18"/>
                      <w:szCs w:val="18"/>
                    </w:rPr>
                    <w:t>后桥</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87</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eastAsia" w:eastAsia="宋体"/>
                      <w:color w:val="auto"/>
                      <w:sz w:val="18"/>
                      <w:szCs w:val="18"/>
                      <w:lang w:val="en-US" w:eastAsia="zh-CN"/>
                    </w:rPr>
                  </w:pPr>
                  <w:r>
                    <w:rPr>
                      <w:rFonts w:hint="eastAsia"/>
                      <w:color w:val="auto"/>
                      <w:sz w:val="18"/>
                      <w:szCs w:val="18"/>
                      <w:lang w:val="en-US" w:eastAsia="zh-CN"/>
                    </w:rPr>
                    <w:t>6</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1166" w:type="dxa"/>
                  <w:vMerge w:val="continue"/>
                  <w:tcBorders>
                    <w:tl2br w:val="nil"/>
                    <w:tr2bl w:val="nil"/>
                  </w:tcBorders>
                  <w:vAlign w:val="center"/>
                </w:tcPr>
                <w:p>
                  <w:pPr>
                    <w:jc w:val="center"/>
                    <w:rPr>
                      <w:rFonts w:hint="eastAsia"/>
                      <w:color w:val="auto"/>
                      <w:sz w:val="18"/>
                      <w:szCs w:val="18"/>
                    </w:rPr>
                  </w:pPr>
                </w:p>
              </w:tc>
              <w:tc>
                <w:tcPr>
                  <w:tcW w:w="2006" w:type="dxa"/>
                  <w:tcBorders>
                    <w:tl2br w:val="nil"/>
                    <w:tr2bl w:val="nil"/>
                  </w:tcBorders>
                  <w:vAlign w:val="center"/>
                </w:tcPr>
                <w:p>
                  <w:pPr>
                    <w:jc w:val="center"/>
                    <w:rPr>
                      <w:rFonts w:hint="eastAsia"/>
                      <w:color w:val="auto"/>
                      <w:sz w:val="18"/>
                      <w:szCs w:val="18"/>
                    </w:rPr>
                  </w:pPr>
                  <w:r>
                    <w:rPr>
                      <w:rFonts w:hint="eastAsia"/>
                      <w:color w:val="auto"/>
                      <w:sz w:val="18"/>
                      <w:szCs w:val="18"/>
                    </w:rPr>
                    <w:t>废电机</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8</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exact"/>
                <w:jc w:val="center"/>
              </w:trPr>
              <w:tc>
                <w:tcPr>
                  <w:tcW w:w="784" w:type="dxa"/>
                  <w:tcBorders>
                    <w:tl2br w:val="nil"/>
                    <w:tr2bl w:val="nil"/>
                  </w:tcBorders>
                  <w:vAlign w:val="center"/>
                </w:tcPr>
                <w:p>
                  <w:pPr>
                    <w:jc w:val="center"/>
                    <w:rPr>
                      <w:rFonts w:hint="eastAsia" w:eastAsia="宋体"/>
                      <w:color w:val="auto"/>
                      <w:sz w:val="18"/>
                      <w:szCs w:val="18"/>
                      <w:lang w:val="en-US" w:eastAsia="zh-CN"/>
                    </w:rPr>
                  </w:pPr>
                  <w:r>
                    <w:rPr>
                      <w:rFonts w:hint="eastAsia"/>
                      <w:color w:val="auto"/>
                      <w:sz w:val="18"/>
                      <w:szCs w:val="18"/>
                      <w:lang w:val="en-US" w:eastAsia="zh-CN"/>
                    </w:rPr>
                    <w:t>7</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1166" w:type="dxa"/>
                  <w:tcBorders>
                    <w:tl2br w:val="nil"/>
                    <w:tr2bl w:val="nil"/>
                  </w:tcBorders>
                  <w:vAlign w:val="center"/>
                </w:tcPr>
                <w:p>
                  <w:pPr>
                    <w:jc w:val="center"/>
                    <w:rPr>
                      <w:rFonts w:hint="eastAsia"/>
                      <w:color w:val="auto"/>
                      <w:sz w:val="18"/>
                      <w:szCs w:val="18"/>
                    </w:rPr>
                  </w:pPr>
                  <w:r>
                    <w:rPr>
                      <w:rFonts w:hint="eastAsia"/>
                      <w:color w:val="auto"/>
                      <w:sz w:val="18"/>
                      <w:szCs w:val="18"/>
                    </w:rPr>
                    <w:t>有色金属</w:t>
                  </w:r>
                </w:p>
              </w:tc>
              <w:tc>
                <w:tcPr>
                  <w:tcW w:w="200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color w:val="auto"/>
                      <w:sz w:val="18"/>
                      <w:szCs w:val="18"/>
                    </w:rPr>
                  </w:pPr>
                  <w:r>
                    <w:rPr>
                      <w:rFonts w:hint="eastAsia"/>
                      <w:color w:val="auto"/>
                      <w:sz w:val="18"/>
                      <w:szCs w:val="18"/>
                    </w:rPr>
                    <w:t>铝轮毂等</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78</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eastAsia" w:eastAsia="宋体"/>
                      <w:color w:val="auto"/>
                      <w:sz w:val="18"/>
                      <w:szCs w:val="18"/>
                      <w:lang w:val="en-US" w:eastAsia="zh-CN"/>
                    </w:rPr>
                  </w:pPr>
                  <w:r>
                    <w:rPr>
                      <w:rFonts w:hint="eastAsia"/>
                      <w:color w:val="auto"/>
                      <w:sz w:val="18"/>
                      <w:szCs w:val="18"/>
                      <w:lang w:val="en-US" w:eastAsia="zh-CN"/>
                    </w:rPr>
                    <w:t>8</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1166" w:type="dxa"/>
                  <w:tcBorders>
                    <w:tl2br w:val="nil"/>
                    <w:tr2bl w:val="nil"/>
                  </w:tcBorders>
                  <w:vAlign w:val="center"/>
                </w:tcPr>
                <w:p>
                  <w:pPr>
                    <w:jc w:val="center"/>
                    <w:rPr>
                      <w:rFonts w:hint="eastAsia"/>
                      <w:color w:val="auto"/>
                      <w:sz w:val="18"/>
                      <w:szCs w:val="18"/>
                    </w:rPr>
                  </w:pPr>
                  <w:r>
                    <w:rPr>
                      <w:rFonts w:hint="eastAsia"/>
                      <w:color w:val="auto"/>
                      <w:sz w:val="18"/>
                      <w:szCs w:val="18"/>
                    </w:rPr>
                    <w:t>橡胶</w:t>
                  </w:r>
                </w:p>
              </w:tc>
              <w:tc>
                <w:tcPr>
                  <w:tcW w:w="2006" w:type="dxa"/>
                  <w:tcBorders>
                    <w:tl2br w:val="nil"/>
                    <w:tr2bl w:val="nil"/>
                  </w:tcBorders>
                  <w:vAlign w:val="center"/>
                </w:tcPr>
                <w:p>
                  <w:pPr>
                    <w:jc w:val="center"/>
                    <w:rPr>
                      <w:rFonts w:hint="eastAsia"/>
                      <w:color w:val="auto"/>
                      <w:sz w:val="18"/>
                      <w:szCs w:val="18"/>
                    </w:rPr>
                  </w:pPr>
                  <w:r>
                    <w:rPr>
                      <w:rFonts w:hint="eastAsia"/>
                      <w:color w:val="auto"/>
                      <w:sz w:val="18"/>
                      <w:szCs w:val="18"/>
                    </w:rPr>
                    <w:t>轮胎等</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60</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eastAsia" w:eastAsia="宋体"/>
                      <w:color w:val="auto"/>
                      <w:sz w:val="18"/>
                      <w:szCs w:val="18"/>
                      <w:lang w:val="en-US" w:eastAsia="zh-CN"/>
                    </w:rPr>
                  </w:pPr>
                  <w:r>
                    <w:rPr>
                      <w:rFonts w:hint="eastAsia"/>
                      <w:color w:val="auto"/>
                      <w:sz w:val="18"/>
                      <w:szCs w:val="18"/>
                      <w:lang w:val="en-US" w:eastAsia="zh-CN"/>
                    </w:rPr>
                    <w:t>9</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72" w:type="dxa"/>
                  <w:gridSpan w:val="2"/>
                  <w:tcBorders>
                    <w:tl2br w:val="nil"/>
                    <w:tr2bl w:val="nil"/>
                  </w:tcBorders>
                  <w:vAlign w:val="center"/>
                </w:tcPr>
                <w:p>
                  <w:pPr>
                    <w:jc w:val="center"/>
                    <w:rPr>
                      <w:rFonts w:hint="eastAsia"/>
                      <w:color w:val="auto"/>
                      <w:sz w:val="18"/>
                      <w:szCs w:val="18"/>
                    </w:rPr>
                  </w:pPr>
                  <w:r>
                    <w:rPr>
                      <w:rFonts w:hint="eastAsia"/>
                      <w:color w:val="auto"/>
                      <w:sz w:val="18"/>
                      <w:szCs w:val="18"/>
                    </w:rPr>
                    <w:t>废电线电缆</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16</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default" w:eastAsia="宋体"/>
                      <w:color w:val="auto"/>
                      <w:sz w:val="18"/>
                      <w:szCs w:val="18"/>
                      <w:lang w:val="en-US" w:eastAsia="zh-CN"/>
                    </w:rPr>
                  </w:pPr>
                  <w:r>
                    <w:rPr>
                      <w:rFonts w:hint="eastAsia"/>
                      <w:color w:val="auto"/>
                      <w:sz w:val="18"/>
                      <w:szCs w:val="18"/>
                      <w:lang w:val="en-US" w:eastAsia="zh-CN"/>
                    </w:rPr>
                    <w:t>10</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72"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废塑料</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78</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default" w:eastAsia="宋体"/>
                      <w:color w:val="auto"/>
                      <w:sz w:val="18"/>
                      <w:szCs w:val="18"/>
                      <w:lang w:val="en-US" w:eastAsia="zh-CN"/>
                    </w:rPr>
                  </w:pPr>
                  <w:r>
                    <w:rPr>
                      <w:rFonts w:hint="eastAsia"/>
                      <w:color w:val="auto"/>
                      <w:sz w:val="18"/>
                      <w:szCs w:val="18"/>
                      <w:lang w:val="en-US" w:eastAsia="zh-CN"/>
                    </w:rPr>
                    <w:t>11</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72"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玻璃</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22</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default" w:eastAsia="宋体"/>
                      <w:color w:val="auto"/>
                      <w:sz w:val="18"/>
                      <w:szCs w:val="18"/>
                      <w:lang w:val="en-US" w:eastAsia="zh-CN"/>
                    </w:rPr>
                  </w:pPr>
                  <w:r>
                    <w:rPr>
                      <w:rFonts w:hint="eastAsia"/>
                      <w:color w:val="auto"/>
                      <w:sz w:val="18"/>
                      <w:szCs w:val="18"/>
                      <w:lang w:val="en-US" w:eastAsia="zh-CN"/>
                    </w:rPr>
                    <w:t>12</w:t>
                  </w:r>
                </w:p>
              </w:tc>
              <w:tc>
                <w:tcPr>
                  <w:tcW w:w="1408" w:type="dxa"/>
                  <w:vMerge w:val="restart"/>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381" w:right="141" w:hanging="212"/>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危险废物</w:t>
                  </w:r>
                </w:p>
              </w:tc>
              <w:tc>
                <w:tcPr>
                  <w:tcW w:w="3172"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废蓄电池</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4.5</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default" w:eastAsia="宋体"/>
                      <w:color w:val="auto"/>
                      <w:sz w:val="18"/>
                      <w:szCs w:val="18"/>
                      <w:lang w:val="en-US" w:eastAsia="zh-CN"/>
                    </w:rPr>
                  </w:pPr>
                  <w:r>
                    <w:rPr>
                      <w:rFonts w:hint="eastAsia"/>
                      <w:color w:val="auto"/>
                      <w:sz w:val="18"/>
                      <w:szCs w:val="18"/>
                      <w:lang w:val="en-US" w:eastAsia="zh-CN"/>
                    </w:rPr>
                    <w:t>13</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72"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废线路板（含废电容电器）</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0.2</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default" w:eastAsia="宋体"/>
                      <w:color w:val="auto"/>
                      <w:sz w:val="18"/>
                      <w:szCs w:val="18"/>
                      <w:lang w:val="en-US" w:eastAsia="zh-CN"/>
                    </w:rPr>
                  </w:pPr>
                  <w:r>
                    <w:rPr>
                      <w:rFonts w:hint="eastAsia"/>
                      <w:color w:val="auto"/>
                      <w:sz w:val="18"/>
                      <w:szCs w:val="18"/>
                      <w:lang w:val="en-US" w:eastAsia="zh-CN"/>
                    </w:rPr>
                    <w:t>14</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72"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非燃料类废油液</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2.5</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default" w:eastAsia="宋体"/>
                      <w:color w:val="auto"/>
                      <w:sz w:val="18"/>
                      <w:szCs w:val="18"/>
                      <w:lang w:val="en-US" w:eastAsia="zh-CN"/>
                    </w:rPr>
                  </w:pPr>
                  <w:r>
                    <w:rPr>
                      <w:rFonts w:hint="eastAsia"/>
                      <w:color w:val="auto"/>
                      <w:sz w:val="18"/>
                      <w:szCs w:val="18"/>
                      <w:lang w:val="en-US" w:eastAsia="zh-CN"/>
                    </w:rPr>
                    <w:t>15</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72" w:type="dxa"/>
                  <w:gridSpan w:val="2"/>
                  <w:tcBorders>
                    <w:tl2br w:val="nil"/>
                    <w:tr2bl w:val="nil"/>
                  </w:tcBorders>
                  <w:vAlign w:val="center"/>
                </w:tcPr>
                <w:p>
                  <w:pPr>
                    <w:jc w:val="center"/>
                    <w:rPr>
                      <w:rFonts w:hint="eastAsia" w:ascii="宋体" w:hAnsi="宋体" w:eastAsia="宋体" w:cs="宋体"/>
                      <w:color w:val="auto"/>
                      <w:sz w:val="18"/>
                      <w:szCs w:val="18"/>
                      <w:lang w:eastAsia="zh-CN"/>
                    </w:rPr>
                  </w:pPr>
                  <w:r>
                    <w:rPr>
                      <w:rFonts w:hint="eastAsia" w:cs="宋体"/>
                      <w:color w:val="auto"/>
                      <w:sz w:val="18"/>
                      <w:szCs w:val="18"/>
                      <w:lang w:eastAsia="zh-CN"/>
                    </w:rPr>
                    <w:t>冷却液</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2</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default" w:eastAsia="宋体"/>
                      <w:color w:val="auto"/>
                      <w:sz w:val="18"/>
                      <w:szCs w:val="18"/>
                      <w:lang w:val="en-US" w:eastAsia="zh-CN"/>
                    </w:rPr>
                  </w:pPr>
                  <w:r>
                    <w:rPr>
                      <w:rFonts w:hint="eastAsia"/>
                      <w:color w:val="auto"/>
                      <w:sz w:val="18"/>
                      <w:szCs w:val="18"/>
                      <w:lang w:val="en-US" w:eastAsia="zh-CN"/>
                    </w:rPr>
                    <w:t>16</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72"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废空调制冷剂</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0.3</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default" w:eastAsia="宋体"/>
                      <w:color w:val="auto"/>
                      <w:sz w:val="18"/>
                      <w:szCs w:val="18"/>
                      <w:lang w:val="en-US" w:eastAsia="zh-CN"/>
                    </w:rPr>
                  </w:pPr>
                  <w:r>
                    <w:rPr>
                      <w:rFonts w:hint="eastAsia"/>
                      <w:color w:val="auto"/>
                      <w:sz w:val="18"/>
                      <w:szCs w:val="18"/>
                      <w:lang w:val="en-US" w:eastAsia="zh-CN"/>
                    </w:rPr>
                    <w:t>17</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72" w:type="dxa"/>
                  <w:gridSpan w:val="2"/>
                  <w:tcBorders>
                    <w:tl2br w:val="nil"/>
                    <w:tr2bl w:val="nil"/>
                  </w:tcBorders>
                  <w:vAlign w:val="center"/>
                </w:tcPr>
                <w:p>
                  <w:pPr>
                    <w:ind w:left="0" w:leftChars="0" w:right="0" w:rightChars="0"/>
                    <w:jc w:val="center"/>
                    <w:rPr>
                      <w:rFonts w:hint="eastAsia" w:ascii="宋体" w:hAnsi="宋体" w:eastAsia="宋体" w:cs="宋体"/>
                      <w:color w:val="auto"/>
                      <w:sz w:val="18"/>
                      <w:szCs w:val="18"/>
                      <w:lang w:val="zh-CN" w:eastAsia="zh-CN" w:bidi="zh-CN"/>
                    </w:rPr>
                  </w:pPr>
                  <w:r>
                    <w:rPr>
                      <w:rFonts w:hint="eastAsia" w:ascii="宋体" w:hAnsi="宋体" w:eastAsia="宋体" w:cs="宋体"/>
                      <w:color w:val="auto"/>
                      <w:sz w:val="18"/>
                      <w:szCs w:val="18"/>
                    </w:rPr>
                    <w:t>含铅部件</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0.25</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default" w:eastAsia="宋体"/>
                      <w:color w:val="auto"/>
                      <w:sz w:val="18"/>
                      <w:szCs w:val="18"/>
                      <w:lang w:val="en-US" w:eastAsia="zh-CN"/>
                    </w:rPr>
                  </w:pPr>
                  <w:r>
                    <w:rPr>
                      <w:rFonts w:hint="eastAsia"/>
                      <w:color w:val="auto"/>
                      <w:sz w:val="18"/>
                      <w:szCs w:val="18"/>
                      <w:lang w:val="en-US" w:eastAsia="zh-CN"/>
                    </w:rPr>
                    <w:t>18</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72" w:type="dxa"/>
                  <w:gridSpan w:val="2"/>
                  <w:tcBorders>
                    <w:tl2br w:val="nil"/>
                    <w:tr2bl w:val="nil"/>
                  </w:tcBorders>
                  <w:vAlign w:val="center"/>
                </w:tcPr>
                <w:p>
                  <w:pPr>
                    <w:ind w:left="0" w:leftChars="0" w:right="0" w:rightChars="0"/>
                    <w:jc w:val="center"/>
                    <w:rPr>
                      <w:rFonts w:hint="eastAsia" w:ascii="宋体" w:hAnsi="宋体" w:eastAsia="宋体" w:cs="宋体"/>
                      <w:color w:val="auto"/>
                      <w:sz w:val="18"/>
                      <w:szCs w:val="18"/>
                      <w:lang w:val="zh-CN" w:eastAsia="zh-CN" w:bidi="zh-CN"/>
                    </w:rPr>
                  </w:pPr>
                  <w:r>
                    <w:rPr>
                      <w:rFonts w:hint="eastAsia" w:ascii="宋体" w:hAnsi="宋体" w:eastAsia="宋体" w:cs="宋体"/>
                      <w:color w:val="auto"/>
                      <w:sz w:val="18"/>
                      <w:szCs w:val="18"/>
                    </w:rPr>
                    <w:t>含汞开关</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0.25</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784" w:type="dxa"/>
                  <w:tcBorders>
                    <w:tl2br w:val="nil"/>
                    <w:tr2bl w:val="nil"/>
                  </w:tcBorders>
                  <w:vAlign w:val="center"/>
                </w:tcPr>
                <w:p>
                  <w:pPr>
                    <w:jc w:val="center"/>
                    <w:rPr>
                      <w:rFonts w:hint="default" w:eastAsia="宋体"/>
                      <w:color w:val="auto"/>
                      <w:sz w:val="18"/>
                      <w:szCs w:val="18"/>
                      <w:lang w:val="en-US" w:eastAsia="zh-CN"/>
                    </w:rPr>
                  </w:pPr>
                  <w:r>
                    <w:rPr>
                      <w:rFonts w:hint="eastAsia"/>
                      <w:color w:val="auto"/>
                      <w:sz w:val="18"/>
                      <w:szCs w:val="18"/>
                      <w:lang w:val="en-US" w:eastAsia="zh-CN"/>
                    </w:rPr>
                    <w:t>19</w:t>
                  </w:r>
                </w:p>
              </w:tc>
              <w:tc>
                <w:tcPr>
                  <w:tcW w:w="1408" w:type="dxa"/>
                  <w:vMerge w:val="restart"/>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170" w:right="141"/>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一般固体废物</w:t>
                  </w:r>
                </w:p>
              </w:tc>
              <w:tc>
                <w:tcPr>
                  <w:tcW w:w="3172"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引爆后的废安全气囊</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1.3</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exact"/>
                <w:jc w:val="center"/>
              </w:trPr>
              <w:tc>
                <w:tcPr>
                  <w:tcW w:w="784" w:type="dxa"/>
                  <w:tcBorders>
                    <w:tl2br w:val="nil"/>
                    <w:tr2bl w:val="nil"/>
                  </w:tcBorders>
                  <w:vAlign w:val="center"/>
                </w:tcPr>
                <w:p>
                  <w:pPr>
                    <w:jc w:val="center"/>
                    <w:rPr>
                      <w:rFonts w:hint="default" w:eastAsia="宋体"/>
                      <w:color w:val="auto"/>
                      <w:sz w:val="18"/>
                      <w:szCs w:val="18"/>
                      <w:lang w:val="en-US" w:eastAsia="zh-CN"/>
                    </w:rPr>
                  </w:pPr>
                  <w:r>
                    <w:rPr>
                      <w:rFonts w:hint="eastAsia"/>
                      <w:color w:val="auto"/>
                      <w:sz w:val="18"/>
                      <w:szCs w:val="18"/>
                      <w:lang w:val="en-US" w:eastAsia="zh-CN"/>
                    </w:rPr>
                    <w:t>20</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72"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不可利用材料（海绵、电子废物、布料</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等）</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65</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exact"/>
                <w:jc w:val="center"/>
              </w:trPr>
              <w:tc>
                <w:tcPr>
                  <w:tcW w:w="784" w:type="dxa"/>
                  <w:tcBorders>
                    <w:tl2br w:val="nil"/>
                    <w:tr2bl w:val="nil"/>
                  </w:tcBorders>
                  <w:vAlign w:val="center"/>
                </w:tcPr>
                <w:p>
                  <w:pPr>
                    <w:jc w:val="center"/>
                    <w:rPr>
                      <w:rFonts w:hint="default" w:eastAsia="宋体"/>
                      <w:color w:val="auto"/>
                      <w:sz w:val="18"/>
                      <w:szCs w:val="18"/>
                      <w:lang w:val="en-US" w:eastAsia="zh-CN"/>
                    </w:rPr>
                  </w:pPr>
                  <w:r>
                    <w:rPr>
                      <w:rFonts w:hint="eastAsia"/>
                      <w:color w:val="auto"/>
                      <w:sz w:val="18"/>
                      <w:szCs w:val="18"/>
                      <w:lang w:val="en-US" w:eastAsia="zh-CN"/>
                    </w:rPr>
                    <w:t>21</w:t>
                  </w:r>
                </w:p>
              </w:tc>
              <w:tc>
                <w:tcPr>
                  <w:tcW w:w="14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z w:val="18"/>
                      <w:szCs w:val="18"/>
                      <w:u w:val="none"/>
                    </w:rPr>
                  </w:pPr>
                </w:p>
              </w:tc>
              <w:tc>
                <w:tcPr>
                  <w:tcW w:w="3172" w:type="dxa"/>
                  <w:gridSpan w:val="2"/>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废动力组电池</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154.7</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154.7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exact"/>
                <w:jc w:val="center"/>
              </w:trPr>
              <w:tc>
                <w:tcPr>
                  <w:tcW w:w="5364" w:type="dxa"/>
                  <w:gridSpan w:val="4"/>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right="489" w:rightChars="0"/>
                    <w:jc w:val="center"/>
                    <w:textAlignment w:val="auto"/>
                    <w:rPr>
                      <w:rFonts w:hint="eastAsia" w:ascii="宋体" w:hAnsi="宋体" w:eastAsia="宋体" w:cs="宋体"/>
                      <w:color w:val="auto"/>
                      <w:sz w:val="18"/>
                      <w:szCs w:val="18"/>
                      <w:u w:val="none"/>
                    </w:rPr>
                  </w:pPr>
                  <w:r>
                    <w:rPr>
                      <w:rFonts w:hint="eastAsia" w:cs="宋体"/>
                      <w:color w:val="auto"/>
                      <w:sz w:val="18"/>
                      <w:szCs w:val="18"/>
                      <w:u w:val="none"/>
                      <w:lang w:val="en-US" w:eastAsia="zh-CN"/>
                    </w:rPr>
                    <w:t xml:space="preserve"> </w:t>
                  </w:r>
                  <w:r>
                    <w:rPr>
                      <w:rFonts w:hint="eastAsia" w:ascii="宋体" w:hAnsi="宋体" w:eastAsia="宋体" w:cs="宋体"/>
                      <w:color w:val="auto"/>
                      <w:sz w:val="18"/>
                      <w:szCs w:val="18"/>
                      <w:u w:val="none"/>
                    </w:rPr>
                    <w:t>合计</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sz w:val="18"/>
                      <w:szCs w:val="18"/>
                      <w:u w:val="none"/>
                    </w:rPr>
                  </w:pPr>
                  <w:r>
                    <w:rPr>
                      <w:rFonts w:hint="eastAsia" w:ascii="宋体" w:hAnsi="宋体" w:eastAsia="宋体" w:cs="宋体"/>
                      <w:color w:val="auto"/>
                      <w:sz w:val="18"/>
                      <w:szCs w:val="18"/>
                      <w:u w:val="none"/>
                    </w:rPr>
                    <w:t>1300</w:t>
                  </w:r>
                </w:p>
              </w:tc>
              <w:tc>
                <w:tcPr>
                  <w:tcW w:w="1177"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ind w:left="142" w:leftChars="0" w:right="113" w:rightChars="0"/>
                    <w:jc w:val="center"/>
                    <w:textAlignment w:val="auto"/>
                    <w:rPr>
                      <w:rFonts w:hint="eastAsia" w:ascii="宋体" w:hAnsi="宋体" w:eastAsia="宋体" w:cs="宋体"/>
                      <w:color w:val="auto"/>
                      <w:kern w:val="2"/>
                      <w:sz w:val="18"/>
                      <w:szCs w:val="18"/>
                      <w:u w:val="none"/>
                      <w:lang w:val="zh-CN" w:eastAsia="zh-CN" w:bidi="zh-CN"/>
                    </w:rPr>
                  </w:pPr>
                  <w:r>
                    <w:rPr>
                      <w:rFonts w:hint="eastAsia" w:ascii="宋体" w:hAnsi="宋体" w:eastAsia="宋体" w:cs="宋体"/>
                      <w:color w:val="auto"/>
                      <w:sz w:val="18"/>
                      <w:szCs w:val="18"/>
                      <w:u w:val="none"/>
                    </w:rPr>
                    <w:t>1300</w:t>
                  </w:r>
                </w:p>
              </w:tc>
            </w:tr>
          </w:tbl>
          <w:p>
            <w:pPr>
              <w:pStyle w:val="59"/>
              <w:numPr>
                <w:ilvl w:val="0"/>
                <w:numId w:val="0"/>
              </w:numPr>
              <w:tabs>
                <w:tab w:val="left" w:pos="1199"/>
              </w:tabs>
              <w:spacing w:before="0" w:after="0" w:line="364" w:lineRule="auto"/>
              <w:ind w:left="17" w:leftChars="0" w:right="76" w:rightChars="0" w:firstLine="577" w:firstLineChars="275"/>
              <w:jc w:val="left"/>
              <w:rPr>
                <w:rFonts w:hint="eastAsia" w:ascii="Times New Roman" w:hAnsi="Times New Roman" w:eastAsia="宋体" w:cs="Times New Roman"/>
                <w:color w:val="auto"/>
                <w:kern w:val="2"/>
                <w:sz w:val="21"/>
                <w:szCs w:val="24"/>
                <w:u w:val="none"/>
                <w:lang w:val="en-US" w:eastAsia="zh-CN" w:bidi="ar-SA"/>
              </w:rPr>
            </w:pPr>
          </w:p>
          <w:p>
            <w:pPr>
              <w:tabs>
                <w:tab w:val="left" w:pos="1653"/>
              </w:tabs>
              <w:bidi w:val="0"/>
              <w:jc w:val="center"/>
              <w:rPr>
                <w:b/>
                <w:color w:val="auto"/>
                <w:sz w:val="21"/>
                <w:u w:val="none"/>
              </w:rPr>
            </w:pPr>
            <w:r>
              <w:rPr>
                <w:b/>
                <w:color w:val="auto"/>
                <w:sz w:val="21"/>
                <w:u w:val="none"/>
              </w:rPr>
              <w:t>表 2-8</w:t>
            </w:r>
            <w:r>
              <w:rPr>
                <w:rFonts w:hint="eastAsia"/>
                <w:b/>
                <w:color w:val="auto"/>
                <w:sz w:val="21"/>
                <w:u w:val="none"/>
                <w:lang w:val="en-US" w:eastAsia="zh-CN"/>
              </w:rPr>
              <w:t xml:space="preserve"> </w:t>
            </w:r>
            <w:r>
              <w:rPr>
                <w:b/>
                <w:color w:val="auto"/>
                <w:sz w:val="21"/>
                <w:u w:val="none"/>
              </w:rPr>
              <w:t>项目报废摩托车拆解产物明细表</w:t>
            </w:r>
          </w:p>
          <w:tbl>
            <w:tblPr>
              <w:tblStyle w:val="21"/>
              <w:tblW w:w="70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90"/>
              <w:gridCol w:w="1007"/>
              <w:gridCol w:w="2986"/>
              <w:gridCol w:w="1050"/>
              <w:gridCol w:w="1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2"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序号</w:t>
                  </w:r>
                </w:p>
              </w:tc>
              <w:tc>
                <w:tcPr>
                  <w:tcW w:w="3993"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拆解产品</w:t>
                  </w:r>
                </w:p>
              </w:tc>
              <w:tc>
                <w:tcPr>
                  <w:tcW w:w="10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kern w:val="2"/>
                      <w:sz w:val="18"/>
                      <w:szCs w:val="18"/>
                      <w:u w:val="none"/>
                      <w:lang w:val="en-US" w:eastAsia="zh-CN" w:bidi="zh-CN"/>
                    </w:rPr>
                  </w:pPr>
                  <w:r>
                    <w:rPr>
                      <w:rFonts w:hint="eastAsia" w:ascii="宋体" w:hAnsi="宋体" w:eastAsia="宋体" w:cs="宋体"/>
                      <w:color w:val="auto"/>
                      <w:kern w:val="2"/>
                      <w:sz w:val="18"/>
                      <w:szCs w:val="18"/>
                      <w:u w:val="none"/>
                      <w:lang w:val="en-US" w:eastAsia="zh-CN" w:bidi="zh-CN"/>
                    </w:rPr>
                    <w:t>单</w:t>
                  </w:r>
                  <w:r>
                    <w:rPr>
                      <w:rFonts w:hint="eastAsia" w:ascii="宋体" w:hAnsi="宋体" w:cs="宋体"/>
                      <w:color w:val="auto"/>
                      <w:kern w:val="2"/>
                      <w:sz w:val="18"/>
                      <w:szCs w:val="18"/>
                      <w:u w:val="none"/>
                      <w:lang w:val="en-US" w:eastAsia="zh-CN" w:bidi="zh-CN"/>
                    </w:rPr>
                    <w:t>台</w:t>
                  </w:r>
                  <w:r>
                    <w:rPr>
                      <w:rFonts w:hint="eastAsia" w:ascii="宋体" w:hAnsi="宋体" w:eastAsia="宋体" w:cs="宋体"/>
                      <w:color w:val="auto"/>
                      <w:kern w:val="2"/>
                      <w:sz w:val="18"/>
                      <w:szCs w:val="18"/>
                      <w:u w:val="none"/>
                      <w:lang w:val="en-US" w:eastAsia="zh-CN" w:bidi="zh-CN"/>
                    </w:rPr>
                    <w:t>拆解量</w:t>
                  </w:r>
                </w:p>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rFonts w:hint="eastAsia"/>
                      <w:color w:val="auto"/>
                      <w:sz w:val="18"/>
                      <w:szCs w:val="18"/>
                    </w:rPr>
                    <w:t>（kg/</w:t>
                  </w:r>
                  <w:r>
                    <w:rPr>
                      <w:rFonts w:hint="eastAsia"/>
                      <w:color w:val="auto"/>
                      <w:sz w:val="18"/>
                      <w:szCs w:val="18"/>
                      <w:lang w:eastAsia="zh-CN"/>
                    </w:rPr>
                    <w:t>台</w:t>
                  </w:r>
                  <w:r>
                    <w:rPr>
                      <w:rFonts w:hint="eastAsia"/>
                      <w:color w:val="auto"/>
                      <w:sz w:val="18"/>
                      <w:szCs w:val="18"/>
                    </w:rPr>
                    <w:t>)</w:t>
                  </w:r>
                </w:p>
              </w:tc>
              <w:tc>
                <w:tcPr>
                  <w:tcW w:w="12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拆解量（t/a）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1</w:t>
                  </w:r>
                </w:p>
              </w:tc>
              <w:tc>
                <w:tcPr>
                  <w:tcW w:w="100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可利用资源</w:t>
                  </w:r>
                </w:p>
              </w:tc>
              <w:tc>
                <w:tcPr>
                  <w:tcW w:w="29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钢铁</w:t>
                  </w:r>
                </w:p>
              </w:tc>
              <w:tc>
                <w:tcPr>
                  <w:tcW w:w="10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45</w:t>
                  </w:r>
                </w:p>
              </w:tc>
              <w:tc>
                <w:tcPr>
                  <w:tcW w:w="12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2</w:t>
                  </w:r>
                </w:p>
              </w:tc>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p>
              </w:tc>
              <w:tc>
                <w:tcPr>
                  <w:tcW w:w="29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有色金属（水箱（铝或铜）、铝轮毂等）</w:t>
                  </w:r>
                </w:p>
              </w:tc>
              <w:tc>
                <w:tcPr>
                  <w:tcW w:w="10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41.5</w:t>
                  </w:r>
                </w:p>
              </w:tc>
              <w:tc>
                <w:tcPr>
                  <w:tcW w:w="12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41.5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3</w:t>
                  </w:r>
                </w:p>
              </w:tc>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p>
              </w:tc>
              <w:tc>
                <w:tcPr>
                  <w:tcW w:w="29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橡胶（轮胎等）</w:t>
                  </w:r>
                </w:p>
              </w:tc>
              <w:tc>
                <w:tcPr>
                  <w:tcW w:w="10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20</w:t>
                  </w:r>
                </w:p>
              </w:tc>
              <w:tc>
                <w:tcPr>
                  <w:tcW w:w="12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2"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4</w:t>
                  </w:r>
                </w:p>
              </w:tc>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p>
              </w:tc>
              <w:tc>
                <w:tcPr>
                  <w:tcW w:w="29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废电线电缆</w:t>
                  </w:r>
                </w:p>
              </w:tc>
              <w:tc>
                <w:tcPr>
                  <w:tcW w:w="10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0.5</w:t>
                  </w:r>
                </w:p>
              </w:tc>
              <w:tc>
                <w:tcPr>
                  <w:tcW w:w="12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5</w:t>
                  </w:r>
                </w:p>
              </w:tc>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p>
              </w:tc>
              <w:tc>
                <w:tcPr>
                  <w:tcW w:w="29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废塑料</w:t>
                  </w:r>
                </w:p>
              </w:tc>
              <w:tc>
                <w:tcPr>
                  <w:tcW w:w="10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7.5</w:t>
                  </w:r>
                </w:p>
              </w:tc>
              <w:tc>
                <w:tcPr>
                  <w:tcW w:w="12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5"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6</w:t>
                  </w:r>
                </w:p>
              </w:tc>
              <w:tc>
                <w:tcPr>
                  <w:tcW w:w="100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危险废物</w:t>
                  </w:r>
                </w:p>
              </w:tc>
              <w:tc>
                <w:tcPr>
                  <w:tcW w:w="29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废蓄电池</w:t>
                  </w:r>
                </w:p>
              </w:tc>
              <w:tc>
                <w:tcPr>
                  <w:tcW w:w="10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3</w:t>
                  </w:r>
                </w:p>
              </w:tc>
              <w:tc>
                <w:tcPr>
                  <w:tcW w:w="12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2"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7</w:t>
                  </w:r>
                </w:p>
              </w:tc>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p>
              </w:tc>
              <w:tc>
                <w:tcPr>
                  <w:tcW w:w="29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废尾气净化装置（含催化剂）</w:t>
                  </w:r>
                </w:p>
              </w:tc>
              <w:tc>
                <w:tcPr>
                  <w:tcW w:w="10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0.2</w:t>
                  </w:r>
                </w:p>
              </w:tc>
              <w:tc>
                <w:tcPr>
                  <w:tcW w:w="12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8</w:t>
                  </w:r>
                </w:p>
              </w:tc>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p>
              </w:tc>
              <w:tc>
                <w:tcPr>
                  <w:tcW w:w="29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废线路板（含废电容电器）</w:t>
                  </w:r>
                </w:p>
              </w:tc>
              <w:tc>
                <w:tcPr>
                  <w:tcW w:w="10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0.1</w:t>
                  </w:r>
                </w:p>
              </w:tc>
              <w:tc>
                <w:tcPr>
                  <w:tcW w:w="12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2"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9</w:t>
                  </w:r>
                </w:p>
              </w:tc>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p>
              </w:tc>
              <w:tc>
                <w:tcPr>
                  <w:tcW w:w="29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燃料类汽油、柴油</w:t>
                  </w:r>
                </w:p>
              </w:tc>
              <w:tc>
                <w:tcPr>
                  <w:tcW w:w="10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0.1</w:t>
                  </w:r>
                </w:p>
              </w:tc>
              <w:tc>
                <w:tcPr>
                  <w:tcW w:w="12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10</w:t>
                  </w:r>
                </w:p>
              </w:tc>
              <w:tc>
                <w:tcPr>
                  <w:tcW w:w="1007"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p>
              </w:tc>
              <w:tc>
                <w:tcPr>
                  <w:tcW w:w="29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非燃料类废油液</w:t>
                  </w:r>
                </w:p>
              </w:tc>
              <w:tc>
                <w:tcPr>
                  <w:tcW w:w="10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0.1</w:t>
                  </w:r>
                </w:p>
              </w:tc>
              <w:tc>
                <w:tcPr>
                  <w:tcW w:w="12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2"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11</w:t>
                  </w:r>
                </w:p>
              </w:tc>
              <w:tc>
                <w:tcPr>
                  <w:tcW w:w="10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一般固体</w:t>
                  </w:r>
                </w:p>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废物</w:t>
                  </w:r>
                </w:p>
              </w:tc>
              <w:tc>
                <w:tcPr>
                  <w:tcW w:w="29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不可利用材料（海绵、布料等）</w:t>
                  </w:r>
                </w:p>
              </w:tc>
              <w:tc>
                <w:tcPr>
                  <w:tcW w:w="10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7</w:t>
                  </w:r>
                </w:p>
              </w:tc>
              <w:tc>
                <w:tcPr>
                  <w:tcW w:w="12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2" w:hRule="atLeast"/>
                <w:jc w:val="center"/>
              </w:trPr>
              <w:tc>
                <w:tcPr>
                  <w:tcW w:w="4783"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合计</w:t>
                  </w:r>
                </w:p>
              </w:tc>
              <w:tc>
                <w:tcPr>
                  <w:tcW w:w="10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color w:val="auto"/>
                      <w:sz w:val="18"/>
                      <w:szCs w:val="18"/>
                    </w:rPr>
                  </w:pPr>
                  <w:r>
                    <w:rPr>
                      <w:color w:val="auto"/>
                      <w:sz w:val="18"/>
                      <w:szCs w:val="18"/>
                    </w:rPr>
                    <w:t>125</w:t>
                  </w:r>
                </w:p>
              </w:tc>
              <w:tc>
                <w:tcPr>
                  <w:tcW w:w="12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125</w:t>
                  </w:r>
                </w:p>
              </w:tc>
            </w:tr>
          </w:tbl>
          <w:p>
            <w:pPr>
              <w:pStyle w:val="6"/>
              <w:keepNext w:val="0"/>
              <w:keepLines w:val="0"/>
              <w:pageBreakBefore w:val="0"/>
              <w:widowControl w:val="0"/>
              <w:kinsoku/>
              <w:wordWrap/>
              <w:overflowPunct/>
              <w:topLinePunct w:val="0"/>
              <w:autoSpaceDE/>
              <w:autoSpaceDN/>
              <w:bidi w:val="0"/>
              <w:adjustRightInd/>
              <w:snapToGrid w:val="0"/>
              <w:spacing w:after="0" w:line="360" w:lineRule="auto"/>
              <w:textAlignment w:val="auto"/>
              <w:rPr>
                <w:rFonts w:hint="eastAsia"/>
                <w:b/>
                <w:bCs/>
                <w:color w:val="auto"/>
              </w:rPr>
            </w:pPr>
            <w:r>
              <w:rPr>
                <w:rFonts w:hint="eastAsia"/>
                <w:b/>
                <w:bCs/>
                <w:color w:val="auto"/>
              </w:rPr>
              <w:t>7、劳动定员及工作制度</w:t>
            </w:r>
          </w:p>
          <w:p>
            <w:pPr>
              <w:pStyle w:val="6"/>
              <w:keepNext w:val="0"/>
              <w:keepLines w:val="0"/>
              <w:pageBreakBefore w:val="0"/>
              <w:widowControl w:val="0"/>
              <w:kinsoku/>
              <w:wordWrap/>
              <w:overflowPunct/>
              <w:topLinePunct w:val="0"/>
              <w:autoSpaceDE/>
              <w:autoSpaceDN/>
              <w:bidi w:val="0"/>
              <w:adjustRightInd/>
              <w:snapToGrid w:val="0"/>
              <w:spacing w:after="0" w:line="360" w:lineRule="auto"/>
              <w:textAlignment w:val="auto"/>
              <w:rPr>
                <w:rFonts w:hint="eastAsia"/>
                <w:color w:val="auto"/>
              </w:rPr>
            </w:pPr>
            <w:r>
              <w:rPr>
                <w:rFonts w:hint="eastAsia"/>
                <w:color w:val="auto"/>
              </w:rPr>
              <w:t>营运期劳动定员 20 人，采用一班制，每班 8 小时，年工作 300 天，均不在厂区</w:t>
            </w:r>
            <w:r>
              <w:rPr>
                <w:rFonts w:hint="eastAsia"/>
                <w:color w:val="auto"/>
                <w:lang w:eastAsia="zh-CN"/>
              </w:rPr>
              <w:t>住</w:t>
            </w:r>
            <w:r>
              <w:rPr>
                <w:rFonts w:hint="eastAsia"/>
                <w:color w:val="auto"/>
              </w:rPr>
              <w:t>宿。</w:t>
            </w:r>
          </w:p>
          <w:p>
            <w:pPr>
              <w:pStyle w:val="6"/>
              <w:keepNext w:val="0"/>
              <w:keepLines w:val="0"/>
              <w:pageBreakBefore w:val="0"/>
              <w:widowControl w:val="0"/>
              <w:kinsoku/>
              <w:wordWrap/>
              <w:overflowPunct/>
              <w:topLinePunct w:val="0"/>
              <w:autoSpaceDE/>
              <w:autoSpaceDN/>
              <w:bidi w:val="0"/>
              <w:adjustRightInd/>
              <w:snapToGrid w:val="0"/>
              <w:spacing w:after="0" w:line="360" w:lineRule="auto"/>
              <w:textAlignment w:val="auto"/>
              <w:rPr>
                <w:rFonts w:hint="eastAsia"/>
                <w:b/>
                <w:bCs/>
                <w:color w:val="auto"/>
              </w:rPr>
            </w:pPr>
            <w:r>
              <w:rPr>
                <w:rFonts w:hint="eastAsia"/>
                <w:b/>
                <w:bCs/>
                <w:color w:val="auto"/>
              </w:rPr>
              <w:t>8、厂区平面布置图</w:t>
            </w:r>
          </w:p>
          <w:p>
            <w:pPr>
              <w:pStyle w:val="6"/>
              <w:keepNext w:val="0"/>
              <w:keepLines w:val="0"/>
              <w:pageBreakBefore w:val="0"/>
              <w:widowControl w:val="0"/>
              <w:kinsoku/>
              <w:wordWrap/>
              <w:overflowPunct/>
              <w:topLinePunct w:val="0"/>
              <w:autoSpaceDE/>
              <w:autoSpaceDN/>
              <w:bidi w:val="0"/>
              <w:adjustRightInd/>
              <w:snapToGrid w:val="0"/>
              <w:spacing w:after="0" w:line="360" w:lineRule="auto"/>
              <w:textAlignment w:val="auto"/>
              <w:rPr>
                <w:color w:val="auto"/>
              </w:rPr>
            </w:pPr>
            <w:r>
              <w:rPr>
                <w:rFonts w:hint="eastAsia"/>
                <w:color w:val="auto"/>
              </w:rPr>
              <w:t>本项目厂</w:t>
            </w:r>
            <w:r>
              <w:rPr>
                <w:rFonts w:hint="eastAsia"/>
                <w:color w:val="auto"/>
                <w:lang w:eastAsia="zh-CN"/>
              </w:rPr>
              <w:t>区</w:t>
            </w:r>
            <w:r>
              <w:rPr>
                <w:rFonts w:hint="eastAsia"/>
                <w:color w:val="auto"/>
              </w:rPr>
              <w:t>呈</w:t>
            </w:r>
            <w:r>
              <w:rPr>
                <w:rFonts w:hint="eastAsia"/>
                <w:color w:val="auto"/>
                <w:lang w:eastAsia="zh-CN"/>
              </w:rPr>
              <w:t>不规则三角</w:t>
            </w:r>
            <w:r>
              <w:rPr>
                <w:rFonts w:hint="eastAsia"/>
                <w:color w:val="auto"/>
              </w:rPr>
              <w:t>形，大门位于项目东北角，进门右手边为办公区</w:t>
            </w:r>
            <w:r>
              <w:rPr>
                <w:rFonts w:hint="eastAsia"/>
                <w:color w:val="auto"/>
                <w:lang w:eastAsia="zh-CN"/>
              </w:rPr>
              <w:t>，左边为</w:t>
            </w:r>
            <w:r>
              <w:rPr>
                <w:rFonts w:hint="eastAsia"/>
                <w:color w:val="auto"/>
              </w:rPr>
              <w:t>，</w:t>
            </w:r>
            <w:r>
              <w:rPr>
                <w:rFonts w:hint="eastAsia"/>
                <w:color w:val="auto"/>
                <w:lang w:eastAsia="zh-CN"/>
              </w:rPr>
              <w:t>仓库、拆解区（</w:t>
            </w:r>
            <w:r>
              <w:rPr>
                <w:rFonts w:hint="eastAsia"/>
                <w:color w:val="auto"/>
                <w:lang w:val="en-US" w:eastAsia="zh-CN"/>
              </w:rPr>
              <w:t>2#及3#</w:t>
            </w:r>
            <w:r>
              <w:rPr>
                <w:rFonts w:hint="eastAsia"/>
                <w:color w:val="auto"/>
                <w:lang w:eastAsia="zh-CN"/>
              </w:rPr>
              <w:t>），厂区南侧包括预处理区及</w:t>
            </w:r>
            <w:r>
              <w:rPr>
                <w:rFonts w:hint="eastAsia"/>
                <w:color w:val="auto"/>
              </w:rPr>
              <w:t>拆解区</w:t>
            </w: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固废间、危废</w:t>
            </w:r>
            <w:r>
              <w:rPr>
                <w:rFonts w:hint="eastAsia"/>
                <w:color w:val="auto"/>
                <w:lang w:eastAsia="zh-CN"/>
              </w:rPr>
              <w:t>暂存</w:t>
            </w:r>
            <w:r>
              <w:rPr>
                <w:rFonts w:hint="eastAsia"/>
                <w:color w:val="auto"/>
              </w:rPr>
              <w:t>间位于项目</w:t>
            </w:r>
            <w:r>
              <w:rPr>
                <w:rFonts w:hint="eastAsia"/>
                <w:color w:val="auto"/>
                <w:lang w:eastAsia="zh-CN"/>
              </w:rPr>
              <w:t>项目东南侧</w:t>
            </w:r>
            <w:r>
              <w:rPr>
                <w:rFonts w:hint="eastAsia"/>
                <w:color w:val="auto"/>
              </w:rPr>
              <w:t>，详见附图</w:t>
            </w:r>
            <w:r>
              <w:rPr>
                <w:rFonts w:hint="eastAsia"/>
                <w:color w:val="auto"/>
                <w:lang w:val="en-US" w:eastAsia="zh-CN"/>
              </w:rPr>
              <w:t>3</w:t>
            </w:r>
            <w:r>
              <w:rPr>
                <w:rFonts w:hint="eastAsia"/>
                <w:color w:val="auto"/>
              </w:rPr>
              <w:t xml:space="preserve"> 项目平面布置示意图。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4" w:hRule="atLeast"/>
          <w:jc w:val="center"/>
        </w:trPr>
        <w:tc>
          <w:tcPr>
            <w:tcW w:w="823" w:type="dxa"/>
            <w:vAlign w:val="center"/>
          </w:tcPr>
          <w:p>
            <w:pPr>
              <w:pStyle w:val="19"/>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工艺流程和产排污环节</w:t>
            </w:r>
          </w:p>
        </w:tc>
        <w:tc>
          <w:tcPr>
            <w:tcW w:w="8161" w:type="dxa"/>
          </w:tcPr>
          <w:p>
            <w:pPr>
              <w:pStyle w:val="6"/>
              <w:keepNext w:val="0"/>
              <w:keepLines w:val="0"/>
              <w:pageBreakBefore w:val="0"/>
              <w:widowControl w:val="0"/>
              <w:kinsoku/>
              <w:wordWrap/>
              <w:overflowPunct/>
              <w:topLinePunct w:val="0"/>
              <w:autoSpaceDE/>
              <w:autoSpaceDN/>
              <w:bidi w:val="0"/>
              <w:adjustRightInd/>
              <w:snapToGrid w:val="0"/>
              <w:spacing w:after="0" w:line="360" w:lineRule="auto"/>
              <w:textAlignment w:val="auto"/>
              <w:rPr>
                <w:rFonts w:hint="eastAsia"/>
                <w:b/>
                <w:bCs/>
                <w:color w:val="auto"/>
              </w:rPr>
            </w:pPr>
            <w:r>
              <w:rPr>
                <w:rFonts w:hint="eastAsia"/>
                <w:b/>
                <w:bCs/>
                <w:color w:val="auto"/>
              </w:rPr>
              <w:t>1、拆解总工艺流程图</w:t>
            </w:r>
          </w:p>
          <w:p>
            <w:pPr>
              <w:pStyle w:val="7"/>
              <w:keepNext w:val="0"/>
              <w:keepLines w:val="0"/>
              <w:pageBreakBefore w:val="0"/>
              <w:widowControl/>
              <w:kinsoku/>
              <w:wordWrap/>
              <w:overflowPunct/>
              <w:topLinePunct w:val="0"/>
              <w:autoSpaceDE/>
              <w:autoSpaceDN/>
              <w:bidi w:val="0"/>
              <w:adjustRightInd/>
              <w:snapToGrid w:val="0"/>
              <w:spacing w:before="0" w:after="0" w:line="360" w:lineRule="auto"/>
              <w:ind w:left="6" w:leftChars="0" w:right="130" w:firstLine="420" w:firstLineChars="20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报废汽车的总体拆解就是将汽车拆散成总成件和组合件的过程。由于报废汽车车型不同“均有其个性化的特点”，同时也有许多共同的内容。大体上包括了拆解前预处理、流水拆解线处理、拆卸材料分类堆存三大部分。根据《报废机动车回收拆解企业技术规范》(GB22128-2019）和《报废机动车拆解环境保护技术规范》（HJ 348-2007）的要求， 本项目的拆解工艺主要包括报废汽车预处理、报废汽车拆卸、各种物品的分类收集和处置，不涉及深度处理和危险废物处理。具体见图 2-1 所示。</w:t>
            </w:r>
          </w:p>
          <w:p>
            <w:pPr>
              <w:pStyle w:val="6"/>
              <w:spacing w:after="0" w:line="360" w:lineRule="auto"/>
              <w:ind w:firstLineChars="200"/>
              <w:rPr>
                <w:color w:val="auto"/>
              </w:rPr>
            </w:pPr>
          </w:p>
          <w:p>
            <w:pPr>
              <w:pStyle w:val="6"/>
              <w:spacing w:after="0" w:line="360" w:lineRule="auto"/>
              <w:ind w:firstLineChars="200"/>
              <w:rPr>
                <w:rFonts w:hint="eastAsia" w:eastAsia="宋体"/>
                <w:color w:val="auto"/>
                <w:lang w:eastAsia="zh-CN"/>
              </w:rPr>
            </w:pPr>
          </w:p>
          <w:p>
            <w:pPr>
              <w:pStyle w:val="6"/>
              <w:spacing w:after="0" w:line="360" w:lineRule="auto"/>
              <w:ind w:firstLineChars="200"/>
              <w:rPr>
                <w:color w:val="auto"/>
              </w:rPr>
            </w:pPr>
          </w:p>
          <w:p>
            <w:pPr>
              <w:spacing w:before="76"/>
              <w:ind w:left="420" w:leftChars="0" w:right="0" w:firstLine="0" w:firstLineChars="0"/>
              <w:jc w:val="center"/>
              <w:rPr>
                <w:b/>
                <w:color w:val="auto"/>
                <w:spacing w:val="0"/>
                <w:sz w:val="21"/>
              </w:rPr>
            </w:pPr>
          </w:p>
          <w:p>
            <w:pPr>
              <w:spacing w:before="76"/>
              <w:ind w:left="420" w:leftChars="0" w:right="0" w:firstLine="0" w:firstLineChars="0"/>
              <w:jc w:val="center"/>
              <w:rPr>
                <w:b/>
                <w:color w:val="auto"/>
                <w:spacing w:val="0"/>
                <w:sz w:val="21"/>
              </w:rPr>
            </w:pPr>
          </w:p>
          <w:p>
            <w:pPr>
              <w:spacing w:before="76"/>
              <w:ind w:left="420" w:leftChars="0" w:right="0" w:firstLine="0" w:firstLineChars="0"/>
              <w:jc w:val="center"/>
              <w:rPr>
                <w:b/>
                <w:color w:val="auto"/>
                <w:spacing w:val="0"/>
                <w:sz w:val="21"/>
              </w:rPr>
            </w:pPr>
          </w:p>
          <w:p>
            <w:pPr>
              <w:spacing w:before="76"/>
              <w:ind w:left="420" w:leftChars="0" w:right="0" w:firstLine="0" w:firstLineChars="0"/>
              <w:jc w:val="center"/>
              <w:rPr>
                <w:b/>
                <w:color w:val="auto"/>
                <w:spacing w:val="0"/>
                <w:sz w:val="21"/>
              </w:rPr>
            </w:pPr>
          </w:p>
          <w:p>
            <w:pPr>
              <w:spacing w:before="76"/>
              <w:ind w:left="420" w:leftChars="0" w:right="0" w:firstLine="0" w:firstLineChars="0"/>
              <w:jc w:val="center"/>
              <w:rPr>
                <w:b/>
                <w:color w:val="auto"/>
                <w:spacing w:val="0"/>
                <w:sz w:val="21"/>
              </w:rPr>
            </w:pPr>
          </w:p>
          <w:p>
            <w:pPr>
              <w:spacing w:before="76"/>
              <w:ind w:left="420" w:leftChars="0" w:right="0" w:firstLine="0" w:firstLineChars="0"/>
              <w:jc w:val="center"/>
              <w:rPr>
                <w:b/>
                <w:color w:val="auto"/>
                <w:spacing w:val="0"/>
                <w:sz w:val="21"/>
              </w:rPr>
            </w:pPr>
          </w:p>
          <w:p>
            <w:pPr>
              <w:spacing w:before="76"/>
              <w:ind w:left="420" w:leftChars="0" w:right="0" w:firstLine="0" w:firstLineChars="0"/>
              <w:jc w:val="center"/>
              <w:rPr>
                <w:b/>
                <w:color w:val="auto"/>
                <w:spacing w:val="0"/>
                <w:sz w:val="21"/>
              </w:rPr>
            </w:pPr>
          </w:p>
          <w:p>
            <w:pPr>
              <w:spacing w:before="76"/>
              <w:ind w:left="420" w:leftChars="0" w:right="0" w:firstLine="0" w:firstLineChars="0"/>
              <w:jc w:val="center"/>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r>
              <w:rPr>
                <w:rFonts w:hint="eastAsia" w:eastAsia="宋体"/>
                <w:color w:val="auto"/>
                <w:lang w:eastAsia="zh-CN"/>
              </w:rPr>
              <w:drawing>
                <wp:anchor distT="0" distB="0" distL="114300" distR="114300" simplePos="0" relativeHeight="251663360" behindDoc="0" locked="0" layoutInCell="1" allowOverlap="1">
                  <wp:simplePos x="0" y="0"/>
                  <wp:positionH relativeFrom="column">
                    <wp:posOffset>-7620</wp:posOffset>
                  </wp:positionH>
                  <wp:positionV relativeFrom="paragraph">
                    <wp:posOffset>86995</wp:posOffset>
                  </wp:positionV>
                  <wp:extent cx="5043170" cy="5067300"/>
                  <wp:effectExtent l="0" t="0" r="5080" b="0"/>
                  <wp:wrapNone/>
                  <wp:docPr id="3" name="图片 3" descr="1637121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7121683(1)"/>
                          <pic:cNvPicPr>
                            <a:picLocks noChangeAspect="1"/>
                          </pic:cNvPicPr>
                        </pic:nvPicPr>
                        <pic:blipFill>
                          <a:blip r:embed="rId24"/>
                          <a:stretch>
                            <a:fillRect/>
                          </a:stretch>
                        </pic:blipFill>
                        <pic:spPr>
                          <a:xfrm>
                            <a:off x="0" y="0"/>
                            <a:ext cx="5043170" cy="5067300"/>
                          </a:xfrm>
                          <a:prstGeom prst="rect">
                            <a:avLst/>
                          </a:prstGeom>
                        </pic:spPr>
                      </pic:pic>
                    </a:graphicData>
                  </a:graphic>
                </wp:anchor>
              </w:drawing>
            </w: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pStyle w:val="27"/>
              <w:rPr>
                <w:b/>
                <w:color w:val="auto"/>
                <w:spacing w:val="0"/>
                <w:sz w:val="21"/>
              </w:rPr>
            </w:pPr>
          </w:p>
          <w:p>
            <w:pPr>
              <w:spacing w:before="76"/>
              <w:ind w:left="420" w:leftChars="0" w:right="0" w:firstLine="0" w:firstLineChars="0"/>
              <w:jc w:val="center"/>
              <w:rPr>
                <w:b/>
                <w:color w:val="auto"/>
                <w:spacing w:val="0"/>
                <w:sz w:val="21"/>
              </w:rPr>
            </w:pPr>
          </w:p>
          <w:p>
            <w:pPr>
              <w:spacing w:before="76"/>
              <w:ind w:left="420" w:leftChars="0" w:right="0" w:firstLine="0" w:firstLineChars="0"/>
              <w:jc w:val="center"/>
              <w:rPr>
                <w:b/>
                <w:color w:val="auto"/>
                <w:spacing w:val="0"/>
                <w:sz w:val="21"/>
              </w:rPr>
            </w:pPr>
          </w:p>
          <w:p>
            <w:pPr>
              <w:spacing w:before="76"/>
              <w:ind w:left="420" w:leftChars="0" w:right="0" w:firstLine="0" w:firstLineChars="0"/>
              <w:jc w:val="center"/>
              <w:rPr>
                <w:b/>
                <w:color w:val="auto"/>
                <w:spacing w:val="0"/>
                <w:sz w:val="21"/>
              </w:rPr>
            </w:pPr>
          </w:p>
          <w:p>
            <w:pPr>
              <w:spacing w:before="76"/>
              <w:ind w:left="420" w:leftChars="0" w:right="0" w:firstLine="0" w:firstLineChars="0"/>
              <w:jc w:val="center"/>
              <w:rPr>
                <w:b/>
                <w:color w:val="auto"/>
                <w:spacing w:val="0"/>
                <w:sz w:val="21"/>
              </w:rPr>
            </w:pPr>
          </w:p>
          <w:p>
            <w:pPr>
              <w:spacing w:before="76"/>
              <w:ind w:left="420" w:leftChars="0" w:right="0" w:firstLine="0" w:firstLineChars="0"/>
              <w:jc w:val="center"/>
              <w:rPr>
                <w:b/>
                <w:color w:val="auto"/>
                <w:spacing w:val="0"/>
                <w:sz w:val="21"/>
              </w:rPr>
            </w:pPr>
          </w:p>
          <w:p>
            <w:pPr>
              <w:spacing w:before="76"/>
              <w:ind w:left="420" w:leftChars="0" w:right="0" w:firstLine="0" w:firstLineChars="0"/>
              <w:jc w:val="center"/>
              <w:rPr>
                <w:b/>
                <w:color w:val="auto"/>
                <w:spacing w:val="0"/>
                <w:sz w:val="21"/>
              </w:rPr>
            </w:pPr>
          </w:p>
          <w:p>
            <w:pPr>
              <w:spacing w:before="76"/>
              <w:ind w:left="420" w:leftChars="0" w:right="0" w:firstLine="0" w:firstLineChars="0"/>
              <w:jc w:val="center"/>
              <w:rPr>
                <w:rFonts w:hint="eastAsia" w:eastAsia="宋体"/>
                <w:b/>
                <w:color w:val="auto"/>
                <w:spacing w:val="0"/>
                <w:sz w:val="21"/>
                <w:lang w:eastAsia="zh-CN"/>
              </w:rPr>
            </w:pPr>
            <w:r>
              <w:rPr>
                <w:b/>
                <w:color w:val="auto"/>
                <w:spacing w:val="0"/>
                <w:sz w:val="21"/>
              </w:rPr>
              <w:t xml:space="preserve">图 </w:t>
            </w:r>
            <w:r>
              <w:rPr>
                <w:rFonts w:ascii="Times New Roman" w:eastAsia="Times New Roman"/>
                <w:b/>
                <w:color w:val="auto"/>
                <w:spacing w:val="0"/>
                <w:sz w:val="21"/>
              </w:rPr>
              <w:t xml:space="preserve">2-1 </w:t>
            </w:r>
            <w:r>
              <w:rPr>
                <w:b/>
                <w:color w:val="auto"/>
                <w:spacing w:val="0"/>
                <w:sz w:val="21"/>
              </w:rPr>
              <w:t>拆解总体工艺流程图</w:t>
            </w:r>
            <w:r>
              <w:rPr>
                <w:rFonts w:hint="eastAsia"/>
                <w:b/>
                <w:color w:val="auto"/>
                <w:spacing w:val="0"/>
                <w:sz w:val="21"/>
                <w:lang w:eastAsia="zh-CN"/>
              </w:rPr>
              <w:t>及产污环节</w:t>
            </w:r>
          </w:p>
          <w:p>
            <w:pPr>
              <w:pStyle w:val="6"/>
              <w:spacing w:after="0" w:line="360" w:lineRule="auto"/>
              <w:ind w:firstLineChars="200"/>
              <w:rPr>
                <w:color w:val="auto"/>
              </w:rPr>
            </w:pPr>
          </w:p>
          <w:p>
            <w:pPr>
              <w:pStyle w:val="7"/>
              <w:keepNext w:val="0"/>
              <w:keepLines w:val="0"/>
              <w:pageBreakBefore w:val="0"/>
              <w:widowControl/>
              <w:kinsoku/>
              <w:wordWrap/>
              <w:overflowPunct/>
              <w:topLinePunct w:val="0"/>
              <w:autoSpaceDE/>
              <w:autoSpaceDN/>
              <w:bidi w:val="0"/>
              <w:adjustRightInd/>
              <w:snapToGrid w:val="0"/>
              <w:spacing w:before="0" w:after="0" w:line="360" w:lineRule="auto"/>
              <w:ind w:left="6" w:leftChars="0" w:right="130" w:firstLine="420" w:firstLineChars="200"/>
              <w:textAlignment w:val="auto"/>
              <w:rPr>
                <w:color w:val="auto"/>
              </w:rPr>
            </w:pPr>
            <w:r>
              <w:rPr>
                <w:rFonts w:hint="eastAsia" w:ascii="Times New Roman" w:hAnsi="Times New Roman" w:eastAsia="宋体" w:cs="Times New Roman"/>
                <w:color w:val="auto"/>
                <w:kern w:val="2"/>
                <w:sz w:val="21"/>
                <w:szCs w:val="24"/>
                <w:lang w:val="en-US" w:eastAsia="zh-CN" w:bidi="ar-SA"/>
              </w:rPr>
              <w:t>工艺流程简述：外运回来的报废汽车进场登记后进行预处理，在预处理区将废油液抽取、制冷剂抽取、废电池拆卸、气囊移出引爆后将车辆暂存在报废汽车存放区内。报废汽车在拆解区进行总成的拆解，由人工进行零部件的拆解，拆解下来的零部件分类暂存。车身、车架则进入剪切工段，切割成钢铁、有色金属和不可利用物。本项目采取人工操作拆解废旧汽车。各类物品进行分类暂存，可利用物出售给相关企业回收，危险废物交由具有相对应危险废物处理资质的单位处理，一般废物交由环卫部门清运。</w:t>
            </w:r>
          </w:p>
          <w:p>
            <w:pPr>
              <w:pStyle w:val="6"/>
              <w:spacing w:after="0" w:line="360" w:lineRule="auto"/>
              <w:ind w:firstLineChars="200"/>
              <w:rPr>
                <w:b/>
                <w:bCs/>
                <w:color w:val="auto"/>
              </w:rPr>
            </w:pPr>
            <w:r>
              <w:rPr>
                <w:rFonts w:hint="eastAsia"/>
                <w:b/>
                <w:bCs/>
                <w:color w:val="auto"/>
              </w:rPr>
              <w:t>2、机动车工艺流程简述</w:t>
            </w:r>
          </w:p>
          <w:p>
            <w:pPr>
              <w:pStyle w:val="6"/>
              <w:spacing w:after="0" w:line="360" w:lineRule="auto"/>
              <w:ind w:firstLineChars="200"/>
              <w:rPr>
                <w:rFonts w:hint="eastAsia"/>
                <w:color w:val="auto"/>
              </w:rPr>
            </w:pPr>
            <w:r>
              <w:rPr>
                <w:rFonts w:hint="eastAsia"/>
                <w:color w:val="auto"/>
              </w:rPr>
              <w:t>（1）报废车辆入厂检查、登记</w:t>
            </w:r>
          </w:p>
          <w:p>
            <w:pPr>
              <w:pStyle w:val="6"/>
              <w:spacing w:after="0" w:line="360" w:lineRule="auto"/>
              <w:ind w:firstLineChars="200"/>
              <w:rPr>
                <w:rFonts w:hint="eastAsia"/>
                <w:color w:val="auto"/>
              </w:rPr>
            </w:pPr>
            <w:r>
              <w:rPr>
                <w:rFonts w:hint="eastAsia"/>
                <w:color w:val="auto"/>
              </w:rPr>
              <w:t>检查报废汽车发动机、散热器、变速器、差速器、油箱等总成部件的密封、破损情况，对于出现泄漏的总成部件，应及时封住泄漏处，不能封住应采用专用容器收集泄漏的液体，防止废液渗入地下；对报废电动汽车，应检查动力蓄电池和驱动电机等部件的密封和破损情况。对于出现动力蓄电池破损、电极头和线束裸露等存在漏电风险的，应及时采取适当的方式进行绝缘处理；对报废汽车进行登记注册并拍照，将其主要信息录入电脑数据库并在车身醒目位置贴上显示信息的标签；将报废汽车的机动车登记证书、号牌、行驶证交公安机关交通管理部门办理注销登记；向报废汽车车主发放《报废汽车回收证明》及有关注销书面材料。</w:t>
            </w:r>
          </w:p>
          <w:p>
            <w:pPr>
              <w:pStyle w:val="6"/>
              <w:spacing w:after="0" w:line="360" w:lineRule="auto"/>
              <w:ind w:firstLineChars="200"/>
              <w:rPr>
                <w:rFonts w:hint="eastAsia"/>
                <w:color w:val="auto"/>
              </w:rPr>
            </w:pPr>
            <w:r>
              <w:rPr>
                <w:rFonts w:hint="eastAsia"/>
                <w:color w:val="auto"/>
              </w:rPr>
              <w:t>（2）拆解预处理</w:t>
            </w:r>
          </w:p>
          <w:p>
            <w:pPr>
              <w:pStyle w:val="6"/>
              <w:spacing w:after="0" w:line="360" w:lineRule="auto"/>
              <w:ind w:firstLineChars="200"/>
              <w:rPr>
                <w:rFonts w:hint="eastAsia"/>
                <w:color w:val="auto"/>
              </w:rPr>
            </w:pPr>
            <w:r>
              <w:rPr>
                <w:rFonts w:hint="eastAsia"/>
                <w:color w:val="auto"/>
              </w:rPr>
              <w:t>①先由专业技术人员用专用设备拆除蓄电池或动力电池组（动力组电池先进行放电处理再拆除，交由有资质的单位处理），将蓄电池送至危废暂存间，不在进一步拆解， 此过程会产生固废；</w:t>
            </w:r>
          </w:p>
          <w:p>
            <w:pPr>
              <w:pStyle w:val="6"/>
              <w:spacing w:after="0" w:line="360" w:lineRule="auto"/>
              <w:ind w:firstLineChars="200"/>
              <w:rPr>
                <w:rFonts w:hint="eastAsia"/>
                <w:color w:val="auto"/>
              </w:rPr>
            </w:pPr>
            <w:r>
              <w:rPr>
                <w:rFonts w:hint="eastAsia"/>
                <w:color w:val="auto"/>
              </w:rPr>
              <w:t>②使用移动钻孔抽油机抽取机动车内残余的废油液，将抽取的废油收集至各自的储罐内（汽油罐、柴油罐）密封收集；空调制冷剂用专用设备抽取至储罐内转入危废暂存间暂存；冷却液、防冻液、制动液的挡风玻璃洗涤液等其他废液用专用容器收集，在抽取过程中会产生由汽油、柴油挥发的少量有机废气，以非甲烷总烃计；</w:t>
            </w:r>
          </w:p>
          <w:p>
            <w:pPr>
              <w:pStyle w:val="6"/>
              <w:spacing w:after="0" w:line="360" w:lineRule="auto"/>
              <w:ind w:firstLineChars="200"/>
              <w:rPr>
                <w:rFonts w:hint="eastAsia"/>
                <w:color w:val="auto"/>
              </w:rPr>
            </w:pPr>
            <w:r>
              <w:rPr>
                <w:rFonts w:hint="eastAsia"/>
                <w:color w:val="auto"/>
              </w:rPr>
              <w:t>③若是用气车辆则先拆除液化气罐(报废汽车中有极少量的用气车辆，多为油改气的出租车，这类报废车辆气罐中一般已很少有液化气储存)；</w:t>
            </w:r>
          </w:p>
          <w:p>
            <w:pPr>
              <w:pStyle w:val="6"/>
              <w:spacing w:after="0" w:line="360" w:lineRule="auto"/>
              <w:ind w:firstLineChars="200"/>
              <w:rPr>
                <w:rFonts w:hint="eastAsia"/>
                <w:color w:val="auto"/>
              </w:rPr>
            </w:pPr>
            <w:r>
              <w:rPr>
                <w:rFonts w:hint="eastAsia"/>
                <w:color w:val="auto"/>
              </w:rPr>
              <w:t>④有安全气囊系统的拆除安全气囊系统后，到安全气囊引爆间，将气囊放至密封箱内引爆(瞬间充气)，一些损毁较严重的汽车在车内密闭引爆。充气后产生气体主要为氮气，此过程会产生噪声。引爆后的安全气囊主要为尼龙材料，收集后外售；</w:t>
            </w:r>
          </w:p>
          <w:p>
            <w:pPr>
              <w:pStyle w:val="6"/>
              <w:spacing w:after="0" w:line="360" w:lineRule="auto"/>
              <w:ind w:firstLineChars="200"/>
              <w:rPr>
                <w:rFonts w:hint="eastAsia"/>
                <w:color w:val="auto"/>
              </w:rPr>
            </w:pPr>
            <w:r>
              <w:rPr>
                <w:rFonts w:hint="eastAsia"/>
                <w:color w:val="auto"/>
              </w:rPr>
              <w:t>⑤人工拆除含多氯联苯的废线路板和尾气净化催化剂，完成上述操作后，进入下一步拆解处理工序。</w:t>
            </w:r>
          </w:p>
          <w:p>
            <w:pPr>
              <w:pStyle w:val="6"/>
              <w:spacing w:after="0" w:line="360" w:lineRule="auto"/>
              <w:ind w:firstLineChars="200"/>
              <w:rPr>
                <w:rFonts w:hint="eastAsia"/>
                <w:color w:val="auto"/>
              </w:rPr>
            </w:pPr>
            <w:r>
              <w:rPr>
                <w:rFonts w:hint="eastAsia"/>
                <w:color w:val="auto"/>
              </w:rPr>
              <w:t>（3）预处理后报废机动车暂存</w:t>
            </w:r>
          </w:p>
          <w:p>
            <w:pPr>
              <w:pStyle w:val="6"/>
              <w:spacing w:after="0" w:line="360" w:lineRule="auto"/>
              <w:ind w:firstLineChars="200"/>
              <w:rPr>
                <w:color w:val="auto"/>
              </w:rPr>
            </w:pPr>
            <w:r>
              <w:rPr>
                <w:rFonts w:hint="eastAsia"/>
                <w:color w:val="auto"/>
              </w:rPr>
              <w:t>经预处理后，报废汽车在拆解车间暂存，等待拆解。</w:t>
            </w:r>
          </w:p>
          <w:p>
            <w:pPr>
              <w:pStyle w:val="6"/>
              <w:spacing w:after="0" w:line="360" w:lineRule="auto"/>
              <w:ind w:firstLineChars="200"/>
              <w:rPr>
                <w:rFonts w:hint="eastAsia"/>
                <w:color w:val="auto"/>
              </w:rPr>
            </w:pPr>
            <w:r>
              <w:rPr>
                <w:rFonts w:hint="eastAsia"/>
                <w:color w:val="auto"/>
              </w:rPr>
              <w:t>（4）拆解</w:t>
            </w:r>
          </w:p>
          <w:p>
            <w:pPr>
              <w:pStyle w:val="6"/>
              <w:spacing w:after="0" w:line="360" w:lineRule="auto"/>
              <w:ind w:firstLineChars="200"/>
              <w:rPr>
                <w:color w:val="auto"/>
              </w:rPr>
            </w:pPr>
            <w:r>
              <w:rPr>
                <w:rFonts w:hint="eastAsia"/>
                <w:color w:val="auto"/>
              </w:rPr>
              <w:t>拆解部分主要为零部件的拆解和总成拆解，拆解后的零部件及五大总成分类存放、分类出售或委外处理，拆解工艺流程及产污详见下图。</w:t>
            </w:r>
          </w:p>
          <w:p>
            <w:pPr>
              <w:pStyle w:val="6"/>
              <w:spacing w:after="0" w:line="360" w:lineRule="auto"/>
              <w:ind w:firstLine="0" w:firstLineChars="0"/>
              <w:jc w:val="center"/>
              <w:rPr>
                <w:rFonts w:hint="eastAsia" w:eastAsia="宋体"/>
                <w:color w:val="auto"/>
                <w:u w:val="single"/>
                <w:lang w:eastAsia="zh-CN"/>
              </w:rPr>
            </w:pPr>
          </w:p>
          <w:p>
            <w:pPr>
              <w:pStyle w:val="6"/>
              <w:spacing w:after="0" w:line="360" w:lineRule="auto"/>
              <w:ind w:firstLine="0" w:firstLineChars="0"/>
              <w:jc w:val="center"/>
              <w:rPr>
                <w:rFonts w:hint="eastAsia" w:eastAsia="宋体"/>
                <w:color w:val="auto"/>
                <w:u w:val="single"/>
                <w:lang w:eastAsia="zh-CN"/>
              </w:rPr>
            </w:pPr>
          </w:p>
          <w:p>
            <w:pPr>
              <w:pStyle w:val="6"/>
              <w:spacing w:after="0" w:line="360" w:lineRule="auto"/>
              <w:ind w:firstLine="0" w:firstLineChars="0"/>
              <w:jc w:val="center"/>
              <w:rPr>
                <w:rFonts w:hint="eastAsia" w:eastAsia="宋体"/>
                <w:color w:val="auto"/>
                <w:u w:val="single"/>
                <w:lang w:eastAsia="zh-CN"/>
              </w:rPr>
            </w:pPr>
          </w:p>
          <w:p>
            <w:pPr>
              <w:pStyle w:val="6"/>
              <w:spacing w:after="0" w:line="360" w:lineRule="auto"/>
              <w:ind w:firstLine="0" w:firstLineChars="0"/>
              <w:jc w:val="center"/>
              <w:rPr>
                <w:rFonts w:hint="eastAsia" w:eastAsia="宋体"/>
                <w:color w:val="auto"/>
                <w:u w:val="single"/>
                <w:lang w:eastAsia="zh-CN"/>
              </w:rPr>
            </w:pPr>
          </w:p>
          <w:p>
            <w:pPr>
              <w:pStyle w:val="50"/>
              <w:ind w:firstLine="0" w:firstLineChars="0"/>
              <w:jc w:val="center"/>
              <w:rPr>
                <w:rFonts w:eastAsia="黑体"/>
                <w:color w:val="auto"/>
                <w:sz w:val="21"/>
                <w:u w:val="single"/>
              </w:rPr>
            </w:pPr>
          </w:p>
          <w:p>
            <w:pPr>
              <w:pStyle w:val="50"/>
              <w:ind w:firstLine="0" w:firstLineChars="0"/>
              <w:jc w:val="center"/>
              <w:rPr>
                <w:rFonts w:hint="eastAsia" w:eastAsia="黑体"/>
                <w:color w:val="auto"/>
                <w:sz w:val="21"/>
                <w:u w:val="single"/>
                <w:lang w:eastAsia="zh-CN"/>
              </w:rPr>
            </w:pPr>
          </w:p>
          <w:p>
            <w:pPr>
              <w:pStyle w:val="50"/>
              <w:ind w:firstLine="0" w:firstLineChars="0"/>
              <w:jc w:val="center"/>
              <w:rPr>
                <w:rFonts w:eastAsia="黑体"/>
                <w:color w:val="auto"/>
                <w:sz w:val="21"/>
                <w:u w:val="single"/>
              </w:rPr>
            </w:pPr>
          </w:p>
          <w:p>
            <w:pPr>
              <w:pStyle w:val="50"/>
              <w:ind w:firstLine="0" w:firstLineChars="0"/>
              <w:jc w:val="center"/>
              <w:rPr>
                <w:rFonts w:eastAsia="黑体"/>
                <w:color w:val="auto"/>
                <w:sz w:val="21"/>
                <w:u w:val="single"/>
              </w:rPr>
            </w:pPr>
          </w:p>
          <w:p>
            <w:pPr>
              <w:pStyle w:val="50"/>
              <w:ind w:firstLine="0" w:firstLineChars="0"/>
              <w:jc w:val="center"/>
              <w:rPr>
                <w:rFonts w:eastAsia="黑体"/>
                <w:color w:val="auto"/>
                <w:sz w:val="21"/>
                <w:u w:val="none"/>
              </w:rPr>
            </w:pPr>
            <w:r>
              <w:rPr>
                <w:rFonts w:hint="eastAsia" w:eastAsia="黑体"/>
                <w:color w:val="auto"/>
                <w:sz w:val="21"/>
                <w:u w:val="single"/>
                <w:lang w:eastAsia="zh-CN"/>
              </w:rPr>
              <w:drawing>
                <wp:anchor distT="0" distB="0" distL="114300" distR="114300" simplePos="0" relativeHeight="251662336" behindDoc="0" locked="0" layoutInCell="1" allowOverlap="1">
                  <wp:simplePos x="0" y="0"/>
                  <wp:positionH relativeFrom="column">
                    <wp:posOffset>283845</wp:posOffset>
                  </wp:positionH>
                  <wp:positionV relativeFrom="paragraph">
                    <wp:posOffset>48895</wp:posOffset>
                  </wp:positionV>
                  <wp:extent cx="4151630" cy="2933700"/>
                  <wp:effectExtent l="0" t="0" r="1270" b="0"/>
                  <wp:wrapNone/>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25"/>
                          <a:stretch>
                            <a:fillRect/>
                          </a:stretch>
                        </pic:blipFill>
                        <pic:spPr>
                          <a:xfrm>
                            <a:off x="0" y="0"/>
                            <a:ext cx="4151630" cy="2933700"/>
                          </a:xfrm>
                          <a:prstGeom prst="rect">
                            <a:avLst/>
                          </a:prstGeom>
                        </pic:spPr>
                      </pic:pic>
                    </a:graphicData>
                  </a:graphic>
                </wp:anchor>
              </w:drawing>
            </w:r>
          </w:p>
          <w:p>
            <w:pPr>
              <w:pStyle w:val="50"/>
              <w:ind w:firstLine="0" w:firstLineChars="0"/>
              <w:jc w:val="center"/>
              <w:rPr>
                <w:rFonts w:eastAsia="黑体"/>
                <w:color w:val="auto"/>
                <w:sz w:val="21"/>
                <w:u w:val="none"/>
              </w:rPr>
            </w:pPr>
          </w:p>
          <w:p>
            <w:pPr>
              <w:pStyle w:val="50"/>
              <w:ind w:firstLine="0" w:firstLineChars="0"/>
              <w:jc w:val="center"/>
              <w:rPr>
                <w:rFonts w:eastAsia="黑体"/>
                <w:color w:val="auto"/>
                <w:sz w:val="21"/>
                <w:u w:val="none"/>
              </w:rPr>
            </w:pPr>
          </w:p>
          <w:p>
            <w:pPr>
              <w:pStyle w:val="50"/>
              <w:ind w:firstLine="0" w:firstLineChars="0"/>
              <w:jc w:val="center"/>
              <w:rPr>
                <w:rFonts w:eastAsia="黑体"/>
                <w:color w:val="auto"/>
                <w:sz w:val="21"/>
                <w:u w:val="none"/>
              </w:rPr>
            </w:pPr>
          </w:p>
          <w:p>
            <w:pPr>
              <w:pStyle w:val="50"/>
              <w:ind w:firstLine="0" w:firstLineChars="0"/>
              <w:jc w:val="center"/>
              <w:rPr>
                <w:rFonts w:eastAsia="黑体"/>
                <w:color w:val="auto"/>
                <w:sz w:val="21"/>
                <w:u w:val="none"/>
              </w:rPr>
            </w:pPr>
          </w:p>
          <w:p>
            <w:pPr>
              <w:pStyle w:val="50"/>
              <w:ind w:firstLine="0" w:firstLineChars="0"/>
              <w:jc w:val="center"/>
              <w:rPr>
                <w:rFonts w:eastAsia="黑体"/>
                <w:color w:val="auto"/>
                <w:sz w:val="21"/>
                <w:u w:val="none"/>
              </w:rPr>
            </w:pPr>
          </w:p>
          <w:p>
            <w:pPr>
              <w:pStyle w:val="50"/>
              <w:ind w:firstLine="0" w:firstLineChars="0"/>
              <w:jc w:val="center"/>
              <w:rPr>
                <w:rFonts w:eastAsia="黑体"/>
                <w:color w:val="auto"/>
                <w:sz w:val="21"/>
                <w:u w:val="none"/>
              </w:rPr>
            </w:pPr>
          </w:p>
          <w:p>
            <w:pPr>
              <w:pStyle w:val="50"/>
              <w:ind w:firstLine="0" w:firstLineChars="0"/>
              <w:jc w:val="center"/>
              <w:rPr>
                <w:rFonts w:eastAsia="黑体"/>
                <w:color w:val="auto"/>
                <w:sz w:val="21"/>
                <w:u w:val="none"/>
              </w:rPr>
            </w:pPr>
          </w:p>
          <w:p>
            <w:pPr>
              <w:pStyle w:val="50"/>
              <w:ind w:firstLine="0" w:firstLineChars="0"/>
              <w:jc w:val="center"/>
              <w:rPr>
                <w:rFonts w:eastAsia="黑体"/>
                <w:color w:val="auto"/>
                <w:sz w:val="21"/>
                <w:u w:val="none"/>
              </w:rPr>
            </w:pPr>
          </w:p>
          <w:p>
            <w:pPr>
              <w:pStyle w:val="50"/>
              <w:ind w:firstLine="0" w:firstLineChars="0"/>
              <w:jc w:val="center"/>
              <w:rPr>
                <w:rFonts w:eastAsia="黑体"/>
                <w:color w:val="auto"/>
                <w:sz w:val="21"/>
                <w:u w:val="none"/>
              </w:rPr>
            </w:pPr>
          </w:p>
          <w:p>
            <w:pPr>
              <w:pStyle w:val="50"/>
              <w:ind w:firstLine="0" w:firstLineChars="0"/>
              <w:jc w:val="center"/>
              <w:rPr>
                <w:rFonts w:eastAsia="黑体"/>
                <w:color w:val="auto"/>
                <w:sz w:val="21"/>
                <w:u w:val="none"/>
              </w:rPr>
            </w:pPr>
          </w:p>
          <w:p>
            <w:pPr>
              <w:pStyle w:val="50"/>
              <w:ind w:firstLine="0" w:firstLineChars="0"/>
              <w:jc w:val="center"/>
              <w:rPr>
                <w:rFonts w:hint="eastAsia" w:eastAsia="黑体"/>
                <w:b w:val="0"/>
                <w:bCs w:val="0"/>
                <w:color w:val="auto"/>
                <w:sz w:val="21"/>
                <w:u w:val="none"/>
              </w:rPr>
            </w:pPr>
          </w:p>
          <w:p>
            <w:pPr>
              <w:pStyle w:val="50"/>
              <w:ind w:firstLine="0" w:firstLineChars="0"/>
              <w:jc w:val="center"/>
              <w:rPr>
                <w:rFonts w:hint="eastAsia" w:eastAsia="黑体"/>
                <w:b w:val="0"/>
                <w:bCs w:val="0"/>
                <w:color w:val="auto"/>
                <w:sz w:val="21"/>
                <w:u w:val="none"/>
              </w:rPr>
            </w:pPr>
          </w:p>
          <w:p>
            <w:pPr>
              <w:pStyle w:val="50"/>
              <w:ind w:firstLine="0" w:firstLineChars="0"/>
              <w:jc w:val="center"/>
              <w:rPr>
                <w:rFonts w:hint="eastAsia" w:eastAsia="黑体"/>
                <w:b w:val="0"/>
                <w:bCs w:val="0"/>
                <w:color w:val="auto"/>
                <w:sz w:val="21"/>
                <w:u w:val="none"/>
              </w:rPr>
            </w:pPr>
          </w:p>
          <w:p>
            <w:pPr>
              <w:pStyle w:val="50"/>
              <w:ind w:firstLine="0" w:firstLineChars="0"/>
              <w:jc w:val="center"/>
              <w:rPr>
                <w:rFonts w:eastAsia="黑体"/>
                <w:b w:val="0"/>
                <w:bCs w:val="0"/>
                <w:color w:val="auto"/>
                <w:sz w:val="21"/>
                <w:u w:val="none"/>
              </w:rPr>
            </w:pPr>
            <w:r>
              <w:rPr>
                <w:rFonts w:hint="eastAsia" w:eastAsia="黑体"/>
                <w:b w:val="0"/>
                <w:bCs w:val="0"/>
                <w:color w:val="auto"/>
                <w:sz w:val="21"/>
                <w:u w:val="none"/>
              </w:rPr>
              <w:t>图 2-2</w:t>
            </w:r>
            <w:r>
              <w:rPr>
                <w:rFonts w:hint="eastAsia" w:eastAsia="黑体"/>
                <w:b w:val="0"/>
                <w:bCs w:val="0"/>
                <w:color w:val="auto"/>
                <w:sz w:val="21"/>
                <w:u w:val="none"/>
              </w:rPr>
              <w:tab/>
            </w:r>
            <w:r>
              <w:rPr>
                <w:rFonts w:hint="eastAsia" w:eastAsia="黑体"/>
                <w:b w:val="0"/>
                <w:bCs w:val="0"/>
                <w:color w:val="auto"/>
                <w:sz w:val="21"/>
                <w:u w:val="none"/>
              </w:rPr>
              <w:t>机动车拆解工艺流程及产污图</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报废汽车总体拆解工艺简述：</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报废汽车的解体应本着由表及里“由附件到主机”，并遵循先由整车拆成总成、由总成拆成部件、再由部件拆成零件的原则进行。遇到新的车型，先拆解容易作业的部件, 后拆作业空间小、结构复杂的部位。小型机动车在小车拆解区进行拆解，大型车在大车拆解区进行拆解，人工使用机械进行拆解操作。</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由于每台车的车型、构成不尽相同，在具体拆解过程或许有不同拆卸程序,但一般的拆解大体的流程如下：①拆除车灯；②拆除车盖；③拆除轮胎；④拆除车门；⑤拆除座椅；⑥拆除仪表盘和方向盘；⑦拆除内饰；⑧拆除发动机；⑨拆除底盘；四拆除转向系统。</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color w:val="auto"/>
              </w:rPr>
            </w:pPr>
            <w:r>
              <w:rPr>
                <w:rFonts w:hint="eastAsia"/>
                <w:color w:val="auto"/>
              </w:rPr>
              <w:t>对拆除总成后的整体机架进行解体，视局部结构与可拆性的差异，分别用等离子切割、小型工具进行解体；对尺寸较大、或较占空间的拆解件，用剪断机切断、打包入库。对以上拆解物进行分类存放，拆解物分为金属与非金属两大类。非金属类分类收集定期出售给废旧物资回收公司，金属类包括钢材、有色金属等，钢材外卖至炼钢厂作为原料，有色金属定期外售。危险废物在危废暂存间内分类贮存。此过程会产生固废(含危险废物的零部件)、设备噪声等。</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（5）分类</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从报废的汽车上拆下的零件或材料应首先考虑再利用。因此，拆解过程应保证不损坏零部件。在技术与经济可行的条件下，制动液、制冷液和冷却液等可以考虑再利用， 废机油应妥善收集，防止渗漏，定期交给有资质的公司回收处理。再利用的与废弃的油液容器应标明清楚，以便分辨清楚。</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在将拆解车辆进一步处理时，应分拣全部可直接利用和可再生利用的零部件及材料， 主要包括：轮辋、油箱、玻璃、轮胎、大的塑料件（如保险杠、轮毂罩、散热器格栅）， 含铜、铝和镁的零部件等可出售给相关企业回收利用。可利用的零件外售前用抹布清理表面后再出售，此过程会产生含油手套和抹布。可直接出售的零部件存放在零部件仓库打包待售，其余不可利用的零部件作为一般固废存放在零部件仓库，委托相关企业回收处理；含重金属的零部件、废油、尾气催化剂等属于危险废物，在危废暂存间分类存放， 定期交由具有相对应危险废物处理资质的单位回收处理。</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（6）拆解深度</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本项目报废汽车拆解深度如下：</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①对报废车辆的铅蓄电池、动力电池组、废电路板、催化转化器等部件为整体拆除，不涉及部件内的深度拆解和利用，由有资质的单位进行处置。</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②制冷系统、尾气净化装置仅从汽车上拆除，不进行进一步的拆解。</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③安全气囊从汽车上拆除后，在安全气囊引爆间用专用的安全气囊引爆装置进行引爆，引爆后的安全气囊不再具有环境风险，将作为一般尼龙材料外售。</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④对轮胎、塑料部件、座椅皮具、玻璃等分类收集后统一外售，各种电器也均仅从汽车上拆除，不进行进一步的拆解破碎或加工利用。</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⑤对车辆外壳进行剪切打包后出售。</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⑥根据《报废机动车回收管理办法》（国务院令第 71 号），“第十二条拆解的报废机动车“五大总成”具备再制造条件的，可以按照国家有关规定出售给具有再制造能力的企业经过再制造予以循环利用；不具备再制造条件的，应当作为废金属，交售给钢铁企业作为冶炼原料”。</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color w:val="auto"/>
              </w:rPr>
            </w:pPr>
            <w:r>
              <w:rPr>
                <w:rFonts w:hint="eastAsia"/>
                <w:color w:val="auto"/>
              </w:rPr>
              <w:t>（</w:t>
            </w:r>
            <w:r>
              <w:rPr>
                <w:rFonts w:hint="eastAsia"/>
                <w:color w:val="auto"/>
                <w:lang w:val="en-US" w:eastAsia="zh-CN"/>
              </w:rPr>
              <w:t>7</w:t>
            </w:r>
            <w:r>
              <w:rPr>
                <w:rFonts w:hint="eastAsia"/>
                <w:color w:val="auto"/>
              </w:rPr>
              <w:t>）拆解的一般技术要求</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①拆解报废汽车零部件时，应当使用合适的专业工具，尽可能保证零部件可再利用性以及材料回收可利用性；</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②应按照汽车生产企业所提供的拆解信息或拆解手册进行合理拆解，没有拆解手册的，参照同类其他车辆的规定拆解；</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③存留在报废汽车中的各种废液应抽空并分类回收，废液的排空率应不低于 90%，其余剩油液用抹布吸附擦拭；</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④不同类型的制冷剂应分开回收；</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⑤各种零部件和材料都应以恰当的方式拆除和隔离，拆解时应避免损伤或污染再利用零件和可回收材料；</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color w:val="auto"/>
              </w:rPr>
            </w:pPr>
            <w:r>
              <w:rPr>
                <w:rFonts w:hint="eastAsia"/>
                <w:color w:val="auto"/>
              </w:rPr>
              <w:t>⑥按国家法律、法规及行业规格应销毁发动机、变速器、离合器、传动轴、和汽车悬架等，保证其不能再回收利用，拆解等零部件后应作为废金属材料出售。</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（8）电动汽车拆解技术要求</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color w:val="auto"/>
              </w:rPr>
            </w:pPr>
            <w:r>
              <w:rPr>
                <w:rFonts w:hint="eastAsia"/>
                <w:color w:val="auto"/>
              </w:rPr>
              <w:t>动力蓄电池拆卸预处理技术要求：a）检查车身有无漏液、有无带电；b）检查动力蓄电池布局和安装位置，确认诊断口是否完好；c）对动力蓄电池电压、温度等参数进行检测；d）断开动力蓄电池高压回路；e）在室内或有防雨顶棚排空存留的废液；f）使用防静电设备回收电动汽车空调制冷剂。</w:t>
            </w:r>
          </w:p>
          <w:p>
            <w:pPr>
              <w:pStyle w:val="6"/>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2" w:firstLineChars="200"/>
              <w:textAlignment w:val="auto"/>
              <w:rPr>
                <w:rFonts w:hint="eastAsia"/>
                <w:b/>
                <w:bCs/>
                <w:color w:val="auto"/>
              </w:rPr>
            </w:pPr>
            <w:r>
              <w:rPr>
                <w:rFonts w:hint="eastAsia"/>
                <w:b/>
                <w:bCs/>
                <w:color w:val="auto"/>
              </w:rPr>
              <w:t>摩托车拆解流程及产污工艺</w:t>
            </w:r>
          </w:p>
          <w:p>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textAlignment w:val="auto"/>
              <w:rPr>
                <w:b/>
                <w:bCs/>
                <w:color w:val="auto"/>
              </w:rPr>
            </w:pPr>
            <w:r>
              <w:rPr>
                <w:rFonts w:hint="eastAsia"/>
                <w:b/>
                <w:bCs/>
                <w:color w:val="auto"/>
              </w:rPr>
              <w:t>工艺流程图：</w:t>
            </w:r>
          </w:p>
          <w:p>
            <w:pPr>
              <w:pStyle w:val="6"/>
              <w:keepNext w:val="0"/>
              <w:keepLines w:val="0"/>
              <w:pageBreakBefore w:val="0"/>
              <w:widowControl w:val="0"/>
              <w:kinsoku/>
              <w:wordWrap/>
              <w:overflowPunct/>
              <w:topLinePunct w:val="0"/>
              <w:autoSpaceDE/>
              <w:autoSpaceDN/>
              <w:bidi w:val="0"/>
              <w:adjustRightInd/>
              <w:snapToGrid w:val="0"/>
              <w:spacing w:line="360" w:lineRule="auto"/>
              <w:ind w:firstLine="400" w:firstLineChars="200"/>
              <w:textAlignment w:val="auto"/>
              <w:rPr>
                <w:color w:val="auto"/>
              </w:rPr>
            </w:pPr>
            <w:r>
              <w:rPr>
                <w:color w:val="auto"/>
                <w:sz w:val="20"/>
              </w:rPr>
              <w:drawing>
                <wp:anchor distT="0" distB="0" distL="0" distR="0" simplePos="0" relativeHeight="251659264" behindDoc="0" locked="0" layoutInCell="1" allowOverlap="1">
                  <wp:simplePos x="0" y="0"/>
                  <wp:positionH relativeFrom="column">
                    <wp:posOffset>377825</wp:posOffset>
                  </wp:positionH>
                  <wp:positionV relativeFrom="paragraph">
                    <wp:posOffset>189230</wp:posOffset>
                  </wp:positionV>
                  <wp:extent cx="4488180" cy="2825115"/>
                  <wp:effectExtent l="0" t="0" r="7620" b="13335"/>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26" cstate="print"/>
                          <a:stretch>
                            <a:fillRect/>
                          </a:stretch>
                        </pic:blipFill>
                        <pic:spPr>
                          <a:xfrm>
                            <a:off x="0" y="0"/>
                            <a:ext cx="4488180" cy="2825115"/>
                          </a:xfrm>
                          <a:prstGeom prst="rect">
                            <a:avLst/>
                          </a:prstGeom>
                        </pic:spPr>
                      </pic:pic>
                    </a:graphicData>
                  </a:graphic>
                </wp:anchor>
              </w:drawing>
            </w:r>
          </w:p>
          <w:p>
            <w:pPr>
              <w:pStyle w:val="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rPr>
            </w:pPr>
          </w:p>
          <w:p>
            <w:pPr>
              <w:pStyle w:val="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rPr>
            </w:pPr>
          </w:p>
          <w:p>
            <w:pPr>
              <w:pStyle w:val="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rPr>
            </w:pPr>
          </w:p>
          <w:p>
            <w:pPr>
              <w:pStyle w:val="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rPr>
            </w:pPr>
          </w:p>
          <w:p>
            <w:pPr>
              <w:pStyle w:val="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rPr>
            </w:pPr>
          </w:p>
          <w:p>
            <w:pPr>
              <w:pStyle w:val="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rPr>
            </w:pPr>
          </w:p>
          <w:p>
            <w:pPr>
              <w:pStyle w:val="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rPr>
            </w:pPr>
          </w:p>
          <w:p>
            <w:pPr>
              <w:pStyle w:val="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rPr>
            </w:pPr>
          </w:p>
          <w:p>
            <w:pPr>
              <w:pStyle w:val="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rPr>
            </w:pPr>
          </w:p>
          <w:p>
            <w:pPr>
              <w:pStyle w:val="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rPr>
            </w:pPr>
          </w:p>
          <w:p>
            <w:pPr>
              <w:pStyle w:val="6"/>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center"/>
              <w:textAlignment w:val="auto"/>
              <w:rPr>
                <w:b/>
                <w:bCs/>
                <w:color w:val="auto"/>
              </w:rPr>
            </w:pPr>
            <w:r>
              <w:rPr>
                <w:rFonts w:hint="eastAsia"/>
                <w:b/>
                <w:bCs/>
                <w:color w:val="auto"/>
              </w:rPr>
              <w:t>图 2-3</w:t>
            </w:r>
            <w:r>
              <w:rPr>
                <w:rFonts w:hint="eastAsia"/>
                <w:b/>
                <w:bCs/>
                <w:color w:val="auto"/>
              </w:rPr>
              <w:tab/>
            </w:r>
            <w:r>
              <w:rPr>
                <w:rFonts w:hint="eastAsia"/>
                <w:b/>
                <w:bCs/>
                <w:color w:val="auto"/>
              </w:rPr>
              <w:t>摩托车拆解工艺流程及产污图</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2" w:firstLineChars="200"/>
              <w:textAlignment w:val="auto"/>
              <w:rPr>
                <w:rFonts w:hint="eastAsia"/>
                <w:b/>
                <w:bCs/>
                <w:color w:val="auto"/>
              </w:rPr>
            </w:pPr>
            <w:r>
              <w:rPr>
                <w:rFonts w:hint="eastAsia"/>
                <w:b/>
                <w:bCs/>
                <w:color w:val="auto"/>
              </w:rPr>
              <w:t>报废摩托车工艺流程简述：</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（1）预处理</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①拆除蓄电池，将蓄电池送至危废暂存仓库内暂存；②拆除电容器，将电容器采用密闭容器密封后在危废暂存仓库内暂存；③放净废油液。</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（2）总体拆解</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①拆除了解车身的全部电线，拆除仪表、照明系统、信号系统等电器设备；②拆除传动装置及连接件；③拆除变速操作杆件、离合器操作件等及其各种连接；④拆除发动机、变速箱以及与其零部件相连的电路、气路管件、油路管件、进气管、排气管；⑤拆除前后叉、车轮、链条、油箱以及余下的零部件和车架总体。</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（3）压实</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经拆解后的摩托车车架总成经压实后外售。</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（4）分类处置</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从报废摩托车上拆解下来的零件或材料首先考虑再利用。拆解出的制动液、废油等按照规定分类放置。再利用的和废弃的油液箱标明清楚，便于辨别。拆解后分拣出全部可再利用和可再循环使用的零部件及材料，剩余的车身、车架部分，没有再利用价值或不符合再循环利用的零部件，分类暂存后出售给相关企业或交由环卫部门处理。</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color w:val="auto"/>
              </w:rPr>
            </w:pPr>
            <w:r>
              <w:rPr>
                <w:rFonts w:hint="eastAsia"/>
                <w:color w:val="auto"/>
              </w:rPr>
              <w:t>（</w:t>
            </w:r>
            <w:r>
              <w:rPr>
                <w:rFonts w:hint="eastAsia"/>
                <w:color w:val="auto"/>
                <w:lang w:val="en-US" w:eastAsia="zh-CN"/>
              </w:rPr>
              <w:t>5</w:t>
            </w:r>
            <w:r>
              <w:rPr>
                <w:rFonts w:hint="eastAsia"/>
                <w:color w:val="auto"/>
              </w:rPr>
              <w:t>）拆解深度</w:t>
            </w:r>
          </w:p>
          <w:p>
            <w:pPr>
              <w:pStyle w:val="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rPr>
            </w:pPr>
            <w:r>
              <w:rPr>
                <w:rFonts w:hint="eastAsia"/>
                <w:color w:val="auto"/>
              </w:rPr>
              <w:t>本项目拆解的各种物质不会进行进一步的拆分和处置，具体如下：</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①蓄电池从摩托车上拆除后，不再进行进一步的拆解，将尽快交给有资质的单位处理。</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②各种电器也仅从摩托车上拆除，不进行进一步的拆解。</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③为便于储存、运输及提供外售价值，塑料件按其塑料类型分类后储存。</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④经拆解线处理后，将旧车拆卸下的车架总成等大件，经剪切后分类存放。</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（6）拆解的一般技术要求</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①拆解报废摩托车零部件时，应当使用合适的专用工具，尽可能保证零部件可再利用性以及材料可回收利用性。</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②应按照摩托车生产企业所提供的拆解信息或拆解手册进行合理拆解，没有拆解手册的，参照同类其他车辆的规定拆解。</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③存留在报废摩托车中的各种废液应抽空并分类回收，各种废液的排空率应不低于</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90%，剩余油液用抹布擦拭和吸附。</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④各种零部件和材料都应以恰当的方式拆除和隔离。拆解时应避免损伤或污染。</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⑤按国家法律、法规及行业规定应销毁发动机、变速器、离合器等，保证其不能被再回收利用，拆解后应作为废金属材料利用。</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2" w:firstLineChars="200"/>
              <w:textAlignment w:val="auto"/>
              <w:rPr>
                <w:rFonts w:hint="eastAsia"/>
                <w:b/>
                <w:bCs/>
                <w:color w:val="auto"/>
              </w:rPr>
            </w:pPr>
            <w:r>
              <w:rPr>
                <w:rFonts w:hint="eastAsia"/>
                <w:b/>
                <w:bCs/>
                <w:color w:val="auto"/>
              </w:rPr>
              <w:t>4、存储和管理</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（1）应使用各种专用密闭容器存储废液，防止废液挥发，并交给合法的废液回收处理企业。</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（2）拆下的可再利用零部件应在室内储存。</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（3）对储存各种零部件、材料、废弃物的容器进行标识，避免混合、混放。</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（4）对拆解后的所有零部件、材料、废弃物进行分类储存、标识，含有害物质的部件应标明有害物质的种类。</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（5）容器和装置要防漏和防止洒溅，未引爆安全气囊的存储装置应防爆，并对其进行日常性检查。</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（6）拆解后废弃物的存储应严格按照《一般工业固体废物贮存盒填埋污染控制标准》（GB18599-2020），《危险废物贮存污染控制标准》（GB18597-2001）及其修改单相关要求执行。</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color w:val="auto"/>
              </w:rPr>
            </w:pPr>
            <w:r>
              <w:rPr>
                <w:rFonts w:hint="eastAsia"/>
                <w:color w:val="auto"/>
              </w:rPr>
              <w:t>（7）废蓄电池、废矿物油等其他废弃物存储时间不超过 1 个月。</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eastAsia"/>
                <w:color w:val="auto"/>
              </w:rPr>
            </w:pPr>
            <w:r>
              <w:rPr>
                <w:rFonts w:hint="eastAsia"/>
                <w:color w:val="auto"/>
              </w:rPr>
              <w:t>（8）固体废弃物应交给符合国家相关标准的废物处理单位处理，不得焚烧、丢弃。</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color w:val="auto"/>
              </w:rPr>
            </w:pPr>
            <w:r>
              <w:rPr>
                <w:rFonts w:hint="eastAsia"/>
                <w:color w:val="auto"/>
              </w:rPr>
              <w:t>（9）危险废物应交由具有相应资质的单位进行处理处置。</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color w:val="auto"/>
              </w:rPr>
            </w:pPr>
            <w:r>
              <w:rPr>
                <w:b/>
                <w:color w:val="auto"/>
                <w:sz w:val="21"/>
              </w:rPr>
              <w:t>表</w:t>
            </w:r>
            <w:r>
              <w:rPr>
                <w:b/>
                <w:color w:val="auto"/>
                <w:spacing w:val="-55"/>
                <w:sz w:val="21"/>
              </w:rPr>
              <w:t xml:space="preserve"> </w:t>
            </w:r>
            <w:r>
              <w:rPr>
                <w:rFonts w:ascii="Times New Roman" w:eastAsia="Times New Roman"/>
                <w:b/>
                <w:color w:val="auto"/>
                <w:sz w:val="21"/>
              </w:rPr>
              <w:t>2-5</w:t>
            </w:r>
            <w:r>
              <w:rPr>
                <w:rFonts w:ascii="Times New Roman" w:eastAsia="Times New Roman"/>
                <w:b/>
                <w:color w:val="auto"/>
                <w:sz w:val="21"/>
              </w:rPr>
              <w:tab/>
            </w:r>
            <w:r>
              <w:rPr>
                <w:b/>
                <w:color w:val="auto"/>
                <w:sz w:val="21"/>
              </w:rPr>
              <w:t>营运期产污环节一览表</w:t>
            </w:r>
          </w:p>
          <w:tbl>
            <w:tblPr>
              <w:tblStyle w:val="21"/>
              <w:tblW w:w="75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76"/>
              <w:gridCol w:w="930"/>
              <w:gridCol w:w="1530"/>
              <w:gridCol w:w="3077"/>
              <w:gridCol w:w="13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1606"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污染类型</w:t>
                  </w:r>
                </w:p>
              </w:tc>
              <w:tc>
                <w:tcPr>
                  <w:tcW w:w="15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污染物</w:t>
                  </w:r>
                </w:p>
              </w:tc>
              <w:tc>
                <w:tcPr>
                  <w:tcW w:w="3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主要污染物</w:t>
                  </w:r>
                </w:p>
              </w:tc>
              <w:tc>
                <w:tcPr>
                  <w:tcW w:w="13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产污工序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676"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营运期</w:t>
                  </w:r>
                </w:p>
              </w:tc>
              <w:tc>
                <w:tcPr>
                  <w:tcW w:w="93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废气</w:t>
                  </w:r>
                </w:p>
              </w:tc>
              <w:tc>
                <w:tcPr>
                  <w:tcW w:w="15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废油挥发废气</w:t>
                  </w:r>
                </w:p>
              </w:tc>
              <w:tc>
                <w:tcPr>
                  <w:tcW w:w="3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非甲烷总烃</w:t>
                  </w:r>
                </w:p>
              </w:tc>
              <w:tc>
                <w:tcPr>
                  <w:tcW w:w="13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预处理工序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5" w:hRule="atLeast"/>
                <w:jc w:val="center"/>
              </w:trPr>
              <w:tc>
                <w:tcPr>
                  <w:tcW w:w="67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93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制冷剂废气</w:t>
                  </w:r>
                </w:p>
              </w:tc>
              <w:tc>
                <w:tcPr>
                  <w:tcW w:w="3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氟利昂</w:t>
                  </w:r>
                </w:p>
              </w:tc>
              <w:tc>
                <w:tcPr>
                  <w:tcW w:w="13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预处理工序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67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93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拆解粉尘</w:t>
                  </w:r>
                </w:p>
              </w:tc>
              <w:tc>
                <w:tcPr>
                  <w:tcW w:w="3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颗粒物</w:t>
                  </w:r>
                </w:p>
              </w:tc>
              <w:tc>
                <w:tcPr>
                  <w:tcW w:w="13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机架解体工序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67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93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废水</w:t>
                  </w:r>
                </w:p>
              </w:tc>
              <w:tc>
                <w:tcPr>
                  <w:tcW w:w="15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生活污水</w:t>
                  </w:r>
                </w:p>
              </w:tc>
              <w:tc>
                <w:tcPr>
                  <w:tcW w:w="3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COD、BOD5、</w:t>
                  </w:r>
                  <w:r>
                    <w:rPr>
                      <w:rFonts w:hint="eastAsia" w:ascii="宋体" w:hAnsi="宋体" w:cs="宋体"/>
                      <w:color w:val="auto"/>
                      <w:sz w:val="18"/>
                      <w:szCs w:val="18"/>
                      <w:lang w:eastAsia="zh-CN"/>
                    </w:rPr>
                    <w:t>氨氮</w:t>
                  </w:r>
                  <w:r>
                    <w:rPr>
                      <w:rFonts w:hint="eastAsia" w:ascii="宋体" w:hAnsi="宋体" w:eastAsia="宋体" w:cs="宋体"/>
                      <w:color w:val="auto"/>
                      <w:sz w:val="18"/>
                      <w:szCs w:val="18"/>
                    </w:rPr>
                    <w:t>、SS</w:t>
                  </w:r>
                </w:p>
              </w:tc>
              <w:tc>
                <w:tcPr>
                  <w:tcW w:w="13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员工生活用水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7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93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清</w:t>
                  </w:r>
                  <w:r>
                    <w:rPr>
                      <w:rFonts w:hint="eastAsia" w:ascii="宋体" w:hAnsi="宋体" w:cs="宋体"/>
                      <w:color w:val="auto"/>
                      <w:sz w:val="18"/>
                      <w:szCs w:val="18"/>
                      <w:lang w:eastAsia="zh-CN"/>
                    </w:rPr>
                    <w:t>洁</w:t>
                  </w:r>
                  <w:r>
                    <w:rPr>
                      <w:rFonts w:hint="eastAsia" w:ascii="宋体" w:hAnsi="宋体" w:eastAsia="宋体" w:cs="宋体"/>
                      <w:color w:val="auto"/>
                      <w:sz w:val="18"/>
                      <w:szCs w:val="18"/>
                    </w:rPr>
                    <w:t>地面</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废水</w:t>
                  </w:r>
                </w:p>
              </w:tc>
              <w:tc>
                <w:tcPr>
                  <w:tcW w:w="3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COD、SS、石油类</w:t>
                  </w:r>
                </w:p>
              </w:tc>
              <w:tc>
                <w:tcPr>
                  <w:tcW w:w="13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清</w:t>
                  </w:r>
                  <w:r>
                    <w:rPr>
                      <w:rFonts w:hint="eastAsia" w:ascii="宋体" w:hAnsi="宋体" w:cs="宋体"/>
                      <w:color w:val="auto"/>
                      <w:sz w:val="18"/>
                      <w:szCs w:val="18"/>
                      <w:lang w:eastAsia="zh-CN"/>
                    </w:rPr>
                    <w:t>洁</w:t>
                  </w:r>
                  <w:r>
                    <w:rPr>
                      <w:rFonts w:hint="eastAsia" w:ascii="宋体" w:hAnsi="宋体" w:eastAsia="宋体" w:cs="宋体"/>
                      <w:color w:val="auto"/>
                      <w:sz w:val="18"/>
                      <w:szCs w:val="18"/>
                    </w:rPr>
                    <w:t>预处理车间地面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67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93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固废</w:t>
                  </w:r>
                </w:p>
              </w:tc>
              <w:tc>
                <w:tcPr>
                  <w:tcW w:w="153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一般固废</w:t>
                  </w:r>
                </w:p>
              </w:tc>
              <w:tc>
                <w:tcPr>
                  <w:tcW w:w="3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钢铁、有色金属、废电线电缆、</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废塑料、废玻璃、废橡胶</w:t>
                  </w:r>
                </w:p>
              </w:tc>
              <w:tc>
                <w:tcPr>
                  <w:tcW w:w="138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预处理、拆解工序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67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93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3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3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不可利用材料、废安全气囊、</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废动力组电池、锯木灰</w:t>
                  </w:r>
                </w:p>
              </w:tc>
              <w:tc>
                <w:tcPr>
                  <w:tcW w:w="138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2" w:hRule="atLeast"/>
                <w:jc w:val="center"/>
              </w:trPr>
              <w:tc>
                <w:tcPr>
                  <w:tcW w:w="67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93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危险废物</w:t>
                  </w:r>
                </w:p>
              </w:tc>
              <w:tc>
                <w:tcPr>
                  <w:tcW w:w="3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废蓄电池、废尾气净化装置（含</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催化剂）、废线路板、废空调制冷剂、燃油类废油液、非燃油类废油液、废含油抹布手套、含铅部件、含汞开关、隔油池废油、废液化气罐、废活性炭、废冷却液</w:t>
                  </w:r>
                </w:p>
              </w:tc>
              <w:tc>
                <w:tcPr>
                  <w:tcW w:w="13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预处理、拆解工序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67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93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生活垃圾</w:t>
                  </w:r>
                </w:p>
              </w:tc>
              <w:tc>
                <w:tcPr>
                  <w:tcW w:w="3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生活垃圾</w:t>
                  </w:r>
                </w:p>
              </w:tc>
              <w:tc>
                <w:tcPr>
                  <w:tcW w:w="13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员工生活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67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噪声</w:t>
                  </w:r>
                </w:p>
              </w:tc>
              <w:tc>
                <w:tcPr>
                  <w:tcW w:w="15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生产噪声</w:t>
                  </w:r>
                </w:p>
              </w:tc>
              <w:tc>
                <w:tcPr>
                  <w:tcW w:w="307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等效连续 A 声级</w:t>
                  </w:r>
                </w:p>
              </w:tc>
              <w:tc>
                <w:tcPr>
                  <w:tcW w:w="13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设备运行过程</w:t>
                  </w:r>
                </w:p>
              </w:tc>
            </w:tr>
          </w:tbl>
          <w:p>
            <w:pPr>
              <w:pStyle w:val="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695" w:hRule="atLeast"/>
          <w:jc w:val="center"/>
        </w:trPr>
        <w:tc>
          <w:tcPr>
            <w:tcW w:w="823" w:type="dxa"/>
            <w:vAlign w:val="center"/>
          </w:tcPr>
          <w:p>
            <w:pPr>
              <w:pStyle w:val="19"/>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8161" w:type="dxa"/>
          </w:tcPr>
          <w:p>
            <w:pPr>
              <w:pStyle w:val="6"/>
              <w:spacing w:after="0" w:line="360" w:lineRule="auto"/>
              <w:ind w:firstLineChars="200"/>
              <w:rPr>
                <w:bCs/>
                <w:color w:val="auto"/>
                <w:szCs w:val="21"/>
              </w:rPr>
            </w:pPr>
            <w:r>
              <w:rPr>
                <w:rFonts w:hint="eastAsia"/>
                <w:color w:val="auto"/>
                <w:lang w:eastAsia="zh-CN"/>
              </w:rPr>
              <w:t>本项目为新建项目</w:t>
            </w:r>
            <w:r>
              <w:rPr>
                <w:rFonts w:hint="eastAsia" w:ascii="宋体" w:hAnsi="宋体"/>
                <w:bCs/>
                <w:color w:val="auto"/>
                <w:kern w:val="0"/>
                <w:szCs w:val="21"/>
              </w:rPr>
              <w:t>，经现场勘查，</w:t>
            </w:r>
            <w:r>
              <w:rPr>
                <w:rFonts w:hint="eastAsia" w:ascii="宋体" w:hAnsi="宋体"/>
                <w:bCs/>
                <w:color w:val="auto"/>
                <w:kern w:val="0"/>
                <w:szCs w:val="21"/>
                <w:lang w:eastAsia="zh-CN"/>
              </w:rPr>
              <w:t>原厂地曾经为制砖厂，场地无相关设备设施，无遗留固废，场地平整，无污染水体等，建筑均已拆除，</w:t>
            </w:r>
            <w:r>
              <w:rPr>
                <w:rFonts w:hint="eastAsia" w:ascii="宋体" w:hAnsi="宋体"/>
                <w:bCs/>
                <w:color w:val="auto"/>
                <w:kern w:val="0"/>
                <w:szCs w:val="21"/>
              </w:rPr>
              <w:t>不存在与该项目有关的原有污染情况。</w:t>
            </w:r>
          </w:p>
        </w:tc>
      </w:tr>
    </w:tbl>
    <w:p>
      <w:pPr>
        <w:pStyle w:val="19"/>
        <w:jc w:val="center"/>
        <w:rPr>
          <w:rFonts w:ascii="Times New Roman" w:hAnsi="Times New Roman"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9"/>
        <w:jc w:val="center"/>
        <w:outlineLvl w:val="0"/>
        <w:rPr>
          <w:rFonts w:ascii="Times New Roman" w:hAnsi="Times New Roman" w:eastAsia="黑体"/>
          <w:snapToGrid w:val="0"/>
          <w:color w:val="auto"/>
          <w:sz w:val="30"/>
          <w:szCs w:val="30"/>
        </w:rPr>
      </w:pPr>
      <w:bookmarkStart w:id="5" w:name="_Toc71360645"/>
      <w:r>
        <w:rPr>
          <w:rFonts w:ascii="Times New Roman" w:hAnsi="Times New Roman" w:eastAsia="黑体"/>
          <w:snapToGrid w:val="0"/>
          <w:color w:val="auto"/>
          <w:sz w:val="30"/>
          <w:szCs w:val="30"/>
        </w:rPr>
        <w:t>三、区域环境质量现状、环境保护目标及评价标准</w:t>
      </w:r>
      <w:bookmarkEnd w:id="5"/>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adjustRightInd w:val="0"/>
              <w:snapToGrid w:val="0"/>
              <w:jc w:val="center"/>
              <w:rPr>
                <w:color w:val="auto"/>
                <w:kern w:val="0"/>
                <w:szCs w:val="21"/>
              </w:rPr>
            </w:pPr>
            <w:r>
              <w:rPr>
                <w:color w:val="auto"/>
                <w:kern w:val="0"/>
                <w:szCs w:val="21"/>
              </w:rPr>
              <w:t>区域</w:t>
            </w:r>
          </w:p>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质量</w:t>
            </w:r>
          </w:p>
          <w:p>
            <w:pPr>
              <w:adjustRightInd w:val="0"/>
              <w:snapToGrid w:val="0"/>
              <w:jc w:val="center"/>
              <w:rPr>
                <w:color w:val="auto"/>
                <w:kern w:val="0"/>
                <w:szCs w:val="21"/>
              </w:rPr>
            </w:pPr>
            <w:r>
              <w:rPr>
                <w:color w:val="auto"/>
                <w:kern w:val="0"/>
                <w:szCs w:val="21"/>
              </w:rPr>
              <w:t>现状</w:t>
            </w:r>
          </w:p>
        </w:tc>
        <w:tc>
          <w:tcPr>
            <w:tcW w:w="8190" w:type="dxa"/>
            <w:vAlign w:val="center"/>
          </w:tcPr>
          <w:p>
            <w:pPr>
              <w:adjustRightInd w:val="0"/>
              <w:snapToGrid w:val="0"/>
              <w:spacing w:line="360" w:lineRule="auto"/>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1、大气环境</w:t>
            </w:r>
          </w:p>
          <w:p>
            <w:pPr>
              <w:pStyle w:val="50"/>
              <w:ind w:firstLine="420"/>
              <w:rPr>
                <w:rFonts w:hint="default" w:ascii="Times New Roman" w:hAnsi="Times New Roman" w:cs="Times New Roman"/>
                <w:color w:val="auto"/>
                <w:sz w:val="21"/>
              </w:rPr>
            </w:pPr>
            <w:r>
              <w:rPr>
                <w:rFonts w:hint="default" w:ascii="Times New Roman" w:hAnsi="Times New Roman" w:cs="Times New Roman"/>
                <w:color w:val="auto"/>
                <w:sz w:val="21"/>
              </w:rPr>
              <w:t>（1）基本污染物环境质量现状评价</w:t>
            </w:r>
          </w:p>
          <w:p>
            <w:pPr>
              <w:pStyle w:val="50"/>
              <w:ind w:firstLine="420"/>
              <w:rPr>
                <w:rFonts w:hint="default" w:ascii="Times New Roman" w:hAnsi="Times New Roman" w:cs="Times New Roman"/>
                <w:color w:val="auto"/>
                <w:sz w:val="21"/>
              </w:rPr>
            </w:pPr>
            <w:r>
              <w:rPr>
                <w:rFonts w:hint="default" w:ascii="Times New Roman" w:hAnsi="Times New Roman" w:cs="Times New Roman"/>
                <w:color w:val="auto"/>
                <w:sz w:val="21"/>
              </w:rPr>
              <w:t>《环境影响评价技术导则 大气环境》（HJ2.2-2018）“5.5 评价基准年筛选依据评价所需环境空气质量现状、气象资料等数据的可获得性、数据质量、代表性等因素，选择近3年中数据相对完整的1个日历年作为评价基准年”。</w:t>
            </w:r>
            <w:r>
              <w:rPr>
                <w:rFonts w:hint="default" w:ascii="Times New Roman" w:hAnsi="Times New Roman" w:cs="Times New Roman"/>
                <w:color w:val="auto"/>
                <w:sz w:val="21"/>
              </w:rPr>
              <w:softHyphen/>
            </w:r>
            <w:r>
              <w:rPr>
                <w:rFonts w:hint="default" w:ascii="Times New Roman" w:hAnsi="Times New Roman" w:cs="Times New Roman"/>
                <w:color w:val="auto"/>
                <w:sz w:val="21"/>
              </w:rPr>
              <w:t>依据上述新版大气导则要求，为了解本项目周边环境空气质量状况，本评价收集了衡阳县县城2020年环境空气质量监测点位的常规监测数据。根据《环境空气质量评价技术规范（试行）》（HJ663-2013）表1中年评价相关要求对衡阳县例行监测数据进行统计分析，SO</w:t>
            </w:r>
            <w:r>
              <w:rPr>
                <w:rFonts w:hint="default" w:ascii="Times New Roman" w:hAnsi="Times New Roman" w:cs="Times New Roman"/>
                <w:color w:val="auto"/>
                <w:sz w:val="21"/>
                <w:vertAlign w:val="subscript"/>
              </w:rPr>
              <w:t>2</w:t>
            </w:r>
            <w:r>
              <w:rPr>
                <w:rFonts w:hint="default" w:ascii="Times New Roman" w:hAnsi="Times New Roman" w:cs="Times New Roman"/>
                <w:color w:val="auto"/>
                <w:sz w:val="21"/>
              </w:rPr>
              <w:t>、NO</w:t>
            </w:r>
            <w:r>
              <w:rPr>
                <w:rFonts w:hint="default" w:ascii="Times New Roman" w:hAnsi="Times New Roman" w:cs="Times New Roman"/>
                <w:color w:val="auto"/>
                <w:sz w:val="21"/>
                <w:vertAlign w:val="subscript"/>
              </w:rPr>
              <w:t>2</w:t>
            </w:r>
            <w:r>
              <w:rPr>
                <w:rFonts w:hint="default" w:ascii="Times New Roman" w:hAnsi="Times New Roman" w:cs="Times New Roman"/>
                <w:color w:val="auto"/>
                <w:sz w:val="21"/>
              </w:rPr>
              <w:t>日均值保证率为24小时平均第98百分位数对应浓度值，CO日均值保证率为24小时平均第95百分位数对应浓度值，O</w:t>
            </w:r>
            <w:r>
              <w:rPr>
                <w:rFonts w:hint="default" w:ascii="Times New Roman" w:hAnsi="Times New Roman" w:cs="Times New Roman"/>
                <w:color w:val="auto"/>
                <w:sz w:val="21"/>
                <w:vertAlign w:val="subscript"/>
              </w:rPr>
              <w:t>3</w:t>
            </w:r>
            <w:r>
              <w:rPr>
                <w:rFonts w:hint="default" w:ascii="Times New Roman" w:hAnsi="Times New Roman" w:cs="Times New Roman"/>
                <w:color w:val="auto"/>
                <w:sz w:val="21"/>
              </w:rPr>
              <w:t>日最大8小时平均第90百分位数对应浓度值，颗粒物、PM</w:t>
            </w:r>
            <w:r>
              <w:rPr>
                <w:rFonts w:hint="default" w:ascii="Times New Roman" w:hAnsi="Times New Roman" w:cs="Times New Roman"/>
                <w:color w:val="auto"/>
                <w:sz w:val="21"/>
                <w:vertAlign w:val="subscript"/>
              </w:rPr>
              <w:t>2.5</w:t>
            </w:r>
            <w:r>
              <w:rPr>
                <w:rFonts w:hint="default" w:ascii="Times New Roman" w:hAnsi="Times New Roman" w:cs="Times New Roman"/>
                <w:color w:val="auto"/>
                <w:sz w:val="21"/>
              </w:rPr>
              <w:t>日均值保证率为24小时平均第95百分位数对应浓度值，分析日均值保证率及年平均浓度，详细统计见表3-1。</w:t>
            </w:r>
          </w:p>
          <w:p>
            <w:pPr>
              <w:pStyle w:val="9"/>
              <w:ind w:left="840" w:firstLine="210"/>
              <w:rPr>
                <w:rFonts w:hint="default" w:ascii="Times New Roman" w:hAnsi="Times New Roman" w:cs="Times New Roman"/>
                <w:color w:val="auto"/>
                <w:sz w:val="21"/>
                <w:szCs w:val="21"/>
              </w:rPr>
            </w:pPr>
            <w:r>
              <w:rPr>
                <w:rFonts w:hint="eastAsia" w:ascii="宋体" w:hAnsi="宋体" w:eastAsia="宋体" w:cs="宋体"/>
                <w:b/>
                <w:bCs/>
                <w:color w:val="auto"/>
                <w:sz w:val="21"/>
                <w:szCs w:val="21"/>
              </w:rPr>
              <w:t>表3-1  2020年衡阳县县城市空气监测结果</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2050"/>
              <w:gridCol w:w="2120"/>
              <w:gridCol w:w="1919"/>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污染物</w:t>
                  </w:r>
                </w:p>
              </w:tc>
              <w:tc>
                <w:tcPr>
                  <w:tcW w:w="1287"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年评价指标</w:t>
                  </w:r>
                </w:p>
              </w:tc>
              <w:tc>
                <w:tcPr>
                  <w:tcW w:w="1331"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现状浓度/（μg/Nm</w:t>
                  </w:r>
                  <w:r>
                    <w:rPr>
                      <w:rFonts w:hint="default" w:ascii="Times New Roman" w:hAnsi="Times New Roman" w:cs="Times New Roman"/>
                      <w:color w:val="auto"/>
                      <w:sz w:val="18"/>
                      <w:szCs w:val="18"/>
                      <w:vertAlign w:val="superscript"/>
                      <w:lang w:bidi="ar"/>
                    </w:rPr>
                    <w:t>3</w:t>
                  </w:r>
                  <w:r>
                    <w:rPr>
                      <w:rFonts w:hint="default" w:ascii="Times New Roman" w:hAnsi="Times New Roman" w:cs="Times New Roman"/>
                      <w:color w:val="auto"/>
                      <w:sz w:val="18"/>
                      <w:szCs w:val="18"/>
                      <w:lang w:bidi="ar"/>
                    </w:rPr>
                    <w:t>）</w:t>
                  </w:r>
                </w:p>
              </w:tc>
              <w:tc>
                <w:tcPr>
                  <w:tcW w:w="1205"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标准值/（μg/Nm</w:t>
                  </w:r>
                  <w:r>
                    <w:rPr>
                      <w:rFonts w:hint="default" w:ascii="Times New Roman" w:hAnsi="Times New Roman" w:cs="Times New Roman"/>
                      <w:color w:val="auto"/>
                      <w:sz w:val="18"/>
                      <w:szCs w:val="18"/>
                      <w:vertAlign w:val="superscript"/>
                      <w:lang w:bidi="ar"/>
                    </w:rPr>
                    <w:t>3</w:t>
                  </w:r>
                  <w:r>
                    <w:rPr>
                      <w:rFonts w:hint="default" w:ascii="Times New Roman" w:hAnsi="Times New Roman" w:cs="Times New Roman"/>
                      <w:color w:val="auto"/>
                      <w:sz w:val="18"/>
                      <w:szCs w:val="18"/>
                      <w:lang w:bidi="ar"/>
                    </w:rPr>
                    <w:t>）</w:t>
                  </w:r>
                </w:p>
              </w:tc>
              <w:tc>
                <w:tcPr>
                  <w:tcW w:w="651"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pacing w:val="-4"/>
                      <w:sz w:val="18"/>
                      <w:szCs w:val="18"/>
                    </w:rPr>
                    <w:t>SO</w:t>
                  </w:r>
                  <w:r>
                    <w:rPr>
                      <w:rFonts w:hint="default" w:ascii="Times New Roman" w:hAnsi="Times New Roman" w:cs="Times New Roman"/>
                      <w:color w:val="auto"/>
                      <w:spacing w:val="-4"/>
                      <w:sz w:val="18"/>
                      <w:szCs w:val="18"/>
                      <w:vertAlign w:val="subscript"/>
                    </w:rPr>
                    <w:t>2</w:t>
                  </w:r>
                </w:p>
              </w:tc>
              <w:tc>
                <w:tcPr>
                  <w:tcW w:w="1287"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年平均质量浓度</w:t>
                  </w:r>
                </w:p>
              </w:tc>
              <w:tc>
                <w:tcPr>
                  <w:tcW w:w="1331"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7</w:t>
                  </w:r>
                </w:p>
              </w:tc>
              <w:tc>
                <w:tcPr>
                  <w:tcW w:w="1205"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rPr>
                    <w:t>60</w:t>
                  </w:r>
                </w:p>
              </w:tc>
              <w:tc>
                <w:tcPr>
                  <w:tcW w:w="651"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pacing w:val="-4"/>
                      <w:sz w:val="18"/>
                      <w:szCs w:val="18"/>
                    </w:rPr>
                    <w:t>NO</w:t>
                  </w:r>
                  <w:r>
                    <w:rPr>
                      <w:rFonts w:hint="default" w:ascii="Times New Roman" w:hAnsi="Times New Roman" w:cs="Times New Roman"/>
                      <w:color w:val="auto"/>
                      <w:spacing w:val="-4"/>
                      <w:sz w:val="18"/>
                      <w:szCs w:val="18"/>
                      <w:vertAlign w:val="subscript"/>
                    </w:rPr>
                    <w:t>2</w:t>
                  </w:r>
                </w:p>
              </w:tc>
              <w:tc>
                <w:tcPr>
                  <w:tcW w:w="1287"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年平均质量浓度</w:t>
                  </w:r>
                </w:p>
              </w:tc>
              <w:tc>
                <w:tcPr>
                  <w:tcW w:w="1331"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14</w:t>
                  </w:r>
                </w:p>
              </w:tc>
              <w:tc>
                <w:tcPr>
                  <w:tcW w:w="1205"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pacing w:val="-4"/>
                      <w:sz w:val="18"/>
                      <w:szCs w:val="18"/>
                    </w:rPr>
                    <w:t>40</w:t>
                  </w:r>
                </w:p>
              </w:tc>
              <w:tc>
                <w:tcPr>
                  <w:tcW w:w="651"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pacing w:val="-4"/>
                      <w:sz w:val="18"/>
                      <w:szCs w:val="18"/>
                    </w:rPr>
                    <w:t>PM</w:t>
                  </w:r>
                  <w:r>
                    <w:rPr>
                      <w:rFonts w:hint="default" w:ascii="Times New Roman" w:hAnsi="Times New Roman" w:cs="Times New Roman"/>
                      <w:color w:val="auto"/>
                      <w:spacing w:val="-4"/>
                      <w:sz w:val="18"/>
                      <w:szCs w:val="18"/>
                      <w:vertAlign w:val="subscript"/>
                    </w:rPr>
                    <w:t>10</w:t>
                  </w:r>
                </w:p>
              </w:tc>
              <w:tc>
                <w:tcPr>
                  <w:tcW w:w="1287"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年平均质量浓度</w:t>
                  </w:r>
                </w:p>
              </w:tc>
              <w:tc>
                <w:tcPr>
                  <w:tcW w:w="1331"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67</w:t>
                  </w:r>
                </w:p>
              </w:tc>
              <w:tc>
                <w:tcPr>
                  <w:tcW w:w="1205"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pacing w:val="-4"/>
                      <w:sz w:val="18"/>
                      <w:szCs w:val="18"/>
                    </w:rPr>
                    <w:t>70</w:t>
                  </w:r>
                </w:p>
              </w:tc>
              <w:tc>
                <w:tcPr>
                  <w:tcW w:w="651"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pacing w:val="-4"/>
                      <w:sz w:val="18"/>
                      <w:szCs w:val="18"/>
                    </w:rPr>
                    <w:t>PM</w:t>
                  </w:r>
                  <w:r>
                    <w:rPr>
                      <w:rFonts w:hint="default" w:ascii="Times New Roman" w:hAnsi="Times New Roman" w:cs="Times New Roman"/>
                      <w:color w:val="auto"/>
                      <w:spacing w:val="-4"/>
                      <w:sz w:val="18"/>
                      <w:szCs w:val="18"/>
                      <w:vertAlign w:val="subscript"/>
                    </w:rPr>
                    <w:t>2.5</w:t>
                  </w:r>
                </w:p>
              </w:tc>
              <w:tc>
                <w:tcPr>
                  <w:tcW w:w="1287"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年平均质量浓度</w:t>
                  </w:r>
                </w:p>
              </w:tc>
              <w:tc>
                <w:tcPr>
                  <w:tcW w:w="1331"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33</w:t>
                  </w:r>
                </w:p>
              </w:tc>
              <w:tc>
                <w:tcPr>
                  <w:tcW w:w="1205"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pacing w:val="-4"/>
                      <w:sz w:val="18"/>
                      <w:szCs w:val="18"/>
                    </w:rPr>
                    <w:t>35</w:t>
                  </w:r>
                </w:p>
              </w:tc>
              <w:tc>
                <w:tcPr>
                  <w:tcW w:w="651"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pacing w:val="-4"/>
                      <w:sz w:val="18"/>
                      <w:szCs w:val="18"/>
                    </w:rPr>
                    <w:t>CO</w:t>
                  </w:r>
                </w:p>
              </w:tc>
              <w:tc>
                <w:tcPr>
                  <w:tcW w:w="1287"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95%日平均质量浓度</w:t>
                  </w:r>
                </w:p>
              </w:tc>
              <w:tc>
                <w:tcPr>
                  <w:tcW w:w="1331"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1.0mg/m</w:t>
                  </w:r>
                  <w:r>
                    <w:rPr>
                      <w:rFonts w:hint="default" w:ascii="Times New Roman" w:hAnsi="Times New Roman" w:cs="Times New Roman"/>
                      <w:color w:val="auto"/>
                      <w:sz w:val="18"/>
                      <w:szCs w:val="18"/>
                      <w:vertAlign w:val="superscript"/>
                      <w:lang w:bidi="ar"/>
                    </w:rPr>
                    <w:t>3</w:t>
                  </w:r>
                </w:p>
              </w:tc>
              <w:tc>
                <w:tcPr>
                  <w:tcW w:w="1205"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pacing w:val="-4"/>
                      <w:sz w:val="18"/>
                      <w:szCs w:val="18"/>
                    </w:rPr>
                    <w:t>4</w:t>
                  </w:r>
                  <w:r>
                    <w:rPr>
                      <w:rFonts w:hint="default" w:ascii="Times New Roman" w:hAnsi="Times New Roman" w:cs="Times New Roman"/>
                      <w:color w:val="auto"/>
                      <w:sz w:val="18"/>
                      <w:szCs w:val="18"/>
                      <w:lang w:bidi="ar"/>
                    </w:rPr>
                    <w:t>mg/m</w:t>
                  </w:r>
                  <w:r>
                    <w:rPr>
                      <w:rFonts w:hint="default" w:ascii="Times New Roman" w:hAnsi="Times New Roman" w:cs="Times New Roman"/>
                      <w:color w:val="auto"/>
                      <w:sz w:val="18"/>
                      <w:szCs w:val="18"/>
                      <w:vertAlign w:val="superscript"/>
                      <w:lang w:bidi="ar"/>
                    </w:rPr>
                    <w:t>3</w:t>
                  </w:r>
                </w:p>
              </w:tc>
              <w:tc>
                <w:tcPr>
                  <w:tcW w:w="651"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pacing w:val="-4"/>
                      <w:sz w:val="18"/>
                      <w:szCs w:val="18"/>
                    </w:rPr>
                    <w:t>O</w:t>
                  </w:r>
                  <w:r>
                    <w:rPr>
                      <w:rFonts w:hint="default" w:ascii="Times New Roman" w:hAnsi="Times New Roman" w:cs="Times New Roman"/>
                      <w:color w:val="auto"/>
                      <w:spacing w:val="-4"/>
                      <w:sz w:val="18"/>
                      <w:szCs w:val="18"/>
                      <w:vertAlign w:val="subscript"/>
                    </w:rPr>
                    <w:t>3</w:t>
                  </w:r>
                </w:p>
              </w:tc>
              <w:tc>
                <w:tcPr>
                  <w:tcW w:w="1287"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90%8h平均质量浓度</w:t>
                  </w:r>
                </w:p>
              </w:tc>
              <w:tc>
                <w:tcPr>
                  <w:tcW w:w="1331"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128</w:t>
                  </w:r>
                </w:p>
              </w:tc>
              <w:tc>
                <w:tcPr>
                  <w:tcW w:w="1205"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pacing w:val="-4"/>
                      <w:sz w:val="18"/>
                      <w:szCs w:val="18"/>
                    </w:rPr>
                    <w:t>160</w:t>
                  </w:r>
                </w:p>
              </w:tc>
              <w:tc>
                <w:tcPr>
                  <w:tcW w:w="651" w:type="pct"/>
                  <w:vAlign w:val="center"/>
                </w:tcPr>
                <w:p>
                  <w:pPr>
                    <w:pStyle w:val="47"/>
                    <w:rPr>
                      <w:rFonts w:hint="default" w:ascii="Times New Roman" w:hAnsi="Times New Roman" w:cs="Times New Roman"/>
                      <w:color w:val="auto"/>
                      <w:sz w:val="18"/>
                      <w:szCs w:val="18"/>
                      <w:lang w:bidi="ar"/>
                    </w:rPr>
                  </w:pPr>
                  <w:r>
                    <w:rPr>
                      <w:rFonts w:hint="default" w:ascii="Times New Roman" w:hAnsi="Times New Roman" w:cs="Times New Roman"/>
                      <w:color w:val="auto"/>
                      <w:sz w:val="18"/>
                      <w:szCs w:val="18"/>
                      <w:lang w:bidi="ar"/>
                    </w:rPr>
                    <w:t>达标</w:t>
                  </w:r>
                </w:p>
              </w:tc>
            </w:tr>
          </w:tbl>
          <w:p>
            <w:pPr>
              <w:spacing w:line="360" w:lineRule="auto"/>
              <w:ind w:firstLine="420" w:firstLineChars="200"/>
              <w:jc w:val="left"/>
              <w:rPr>
                <w:rFonts w:hint="default" w:ascii="Times New Roman" w:hAnsi="Times New Roman" w:cs="Times New Roman"/>
                <w:color w:val="auto"/>
                <w:kern w:val="0"/>
                <w:szCs w:val="21"/>
                <w:lang w:val="zh-CN"/>
              </w:rPr>
            </w:pP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color w:val="auto"/>
                <w:position w:val="-2"/>
                <w:szCs w:val="21"/>
              </w:rPr>
            </w:pPr>
            <w:r>
              <w:rPr>
                <w:rFonts w:hint="default" w:ascii="Times New Roman" w:hAnsi="Times New Roman" w:cs="Times New Roman"/>
                <w:color w:val="auto"/>
                <w:kern w:val="0"/>
                <w:szCs w:val="21"/>
                <w:lang w:val="zh-CN"/>
              </w:rPr>
              <w:t>根据监测结果，评价区域空气环境各指标均能达到《环境空气质量标准》（GB3095-2012）修改单二级标准，</w:t>
            </w:r>
            <w:r>
              <w:rPr>
                <w:rFonts w:hint="default" w:ascii="Times New Roman" w:hAnsi="Times New Roman" w:cs="Times New Roman"/>
                <w:color w:val="auto"/>
                <w:position w:val="-2"/>
                <w:szCs w:val="21"/>
              </w:rPr>
              <w:t>说明本项目所在评价区域为环境空气质量为达标区，相比去年衡阳县环境空气质量在一定的程度上得到改善。</w:t>
            </w:r>
          </w:p>
          <w:p>
            <w:pPr>
              <w:spacing w:line="360" w:lineRule="auto"/>
              <w:ind w:firstLine="420" w:firstLineChars="200"/>
              <w:jc w:val="left"/>
              <w:rPr>
                <w:rFonts w:hint="default" w:ascii="Times New Roman" w:hAnsi="Times New Roman" w:cs="Times New Roman"/>
                <w:color w:val="auto"/>
                <w:position w:val="-2"/>
                <w:szCs w:val="21"/>
              </w:rPr>
            </w:pPr>
            <w:r>
              <w:rPr>
                <w:rFonts w:hint="default" w:ascii="Times New Roman" w:hAnsi="Times New Roman" w:cs="Times New Roman"/>
                <w:color w:val="auto"/>
                <w:position w:val="-2"/>
                <w:szCs w:val="21"/>
              </w:rPr>
              <w:t>（2）实测浓度</w:t>
            </w:r>
          </w:p>
          <w:p>
            <w:pPr>
              <w:spacing w:line="360" w:lineRule="auto"/>
              <w:ind w:firstLine="420" w:firstLineChars="200"/>
              <w:jc w:val="left"/>
              <w:rPr>
                <w:rFonts w:hint="default" w:ascii="Times New Roman" w:hAnsi="Times New Roman" w:cs="Times New Roman"/>
                <w:color w:val="auto"/>
                <w:position w:val="-2"/>
                <w:szCs w:val="21"/>
              </w:rPr>
            </w:pPr>
            <w:r>
              <w:rPr>
                <w:rFonts w:hint="default" w:ascii="Times New Roman" w:hAnsi="Times New Roman" w:cs="Times New Roman"/>
                <w:color w:val="auto"/>
                <w:position w:val="-2"/>
                <w:szCs w:val="21"/>
              </w:rPr>
              <w:t>本次评价委托</w:t>
            </w:r>
            <w:r>
              <w:rPr>
                <w:rFonts w:hint="eastAsia" w:cs="Times New Roman"/>
                <w:color w:val="auto"/>
                <w:position w:val="-2"/>
                <w:szCs w:val="21"/>
                <w:lang w:eastAsia="zh-CN"/>
              </w:rPr>
              <w:t>衡阳职安环保科技有限责任公司</w:t>
            </w:r>
            <w:r>
              <w:rPr>
                <w:rFonts w:hint="default" w:ascii="Times New Roman" w:hAnsi="Times New Roman" w:cs="Times New Roman"/>
                <w:color w:val="auto"/>
                <w:position w:val="-2"/>
                <w:szCs w:val="21"/>
              </w:rPr>
              <w:t>对项目所在区域环境空气质量现状进行实测，监测时间为 202</w:t>
            </w:r>
            <w:r>
              <w:rPr>
                <w:rFonts w:hint="eastAsia" w:cs="Times New Roman"/>
                <w:color w:val="auto"/>
                <w:position w:val="-2"/>
                <w:szCs w:val="21"/>
                <w:lang w:val="en-US" w:eastAsia="zh-CN"/>
              </w:rPr>
              <w:t>1</w:t>
            </w:r>
            <w:r>
              <w:rPr>
                <w:rFonts w:hint="default" w:ascii="Times New Roman" w:hAnsi="Times New Roman" w:cs="Times New Roman"/>
                <w:color w:val="auto"/>
                <w:position w:val="-2"/>
                <w:szCs w:val="21"/>
              </w:rPr>
              <w:t>.0</w:t>
            </w:r>
            <w:r>
              <w:rPr>
                <w:rFonts w:hint="eastAsia" w:cs="Times New Roman"/>
                <w:color w:val="auto"/>
                <w:position w:val="-2"/>
                <w:szCs w:val="21"/>
                <w:lang w:val="en-US" w:eastAsia="zh-CN"/>
              </w:rPr>
              <w:t>9</w:t>
            </w:r>
            <w:r>
              <w:rPr>
                <w:rFonts w:hint="default" w:ascii="Times New Roman" w:hAnsi="Times New Roman" w:cs="Times New Roman"/>
                <w:color w:val="auto"/>
                <w:position w:val="-2"/>
                <w:szCs w:val="21"/>
              </w:rPr>
              <w:t>.</w:t>
            </w:r>
            <w:r>
              <w:rPr>
                <w:rFonts w:hint="eastAsia" w:cs="Times New Roman"/>
                <w:color w:val="auto"/>
                <w:position w:val="-2"/>
                <w:szCs w:val="21"/>
                <w:lang w:val="en-US" w:eastAsia="zh-CN"/>
              </w:rPr>
              <w:t>27</w:t>
            </w:r>
            <w:r>
              <w:rPr>
                <w:rFonts w:hint="default" w:ascii="Times New Roman" w:hAnsi="Times New Roman" w:cs="Times New Roman"/>
                <w:color w:val="auto"/>
                <w:position w:val="-2"/>
                <w:szCs w:val="21"/>
              </w:rPr>
              <w:t>~2021.0</w:t>
            </w:r>
            <w:r>
              <w:rPr>
                <w:rFonts w:hint="eastAsia" w:cs="Times New Roman"/>
                <w:color w:val="auto"/>
                <w:position w:val="-2"/>
                <w:szCs w:val="21"/>
                <w:lang w:val="en-US" w:eastAsia="zh-CN"/>
              </w:rPr>
              <w:t>9</w:t>
            </w:r>
            <w:r>
              <w:rPr>
                <w:rFonts w:hint="default" w:ascii="Times New Roman" w:hAnsi="Times New Roman" w:cs="Times New Roman"/>
                <w:color w:val="auto"/>
                <w:position w:val="-2"/>
                <w:szCs w:val="21"/>
              </w:rPr>
              <w:t>.</w:t>
            </w:r>
            <w:r>
              <w:rPr>
                <w:rFonts w:hint="eastAsia" w:cs="Times New Roman"/>
                <w:color w:val="auto"/>
                <w:position w:val="-2"/>
                <w:szCs w:val="21"/>
                <w:lang w:val="en-US" w:eastAsia="zh-CN"/>
              </w:rPr>
              <w:t>29</w:t>
            </w:r>
            <w:r>
              <w:rPr>
                <w:rFonts w:hint="default" w:ascii="Times New Roman" w:hAnsi="Times New Roman" w:cs="Times New Roman"/>
                <w:color w:val="auto"/>
                <w:position w:val="-2"/>
                <w:szCs w:val="21"/>
              </w:rPr>
              <w:t>，每天采样一次，监测点位为厂址</w:t>
            </w:r>
            <w:r>
              <w:rPr>
                <w:rFonts w:hint="eastAsia" w:cs="Times New Roman"/>
                <w:color w:val="auto"/>
                <w:position w:val="-2"/>
                <w:szCs w:val="21"/>
                <w:lang w:eastAsia="zh-CN"/>
              </w:rPr>
              <w:t>北</w:t>
            </w:r>
            <w:r>
              <w:rPr>
                <w:rFonts w:hint="default" w:ascii="Times New Roman" w:hAnsi="Times New Roman" w:cs="Times New Roman"/>
                <w:color w:val="auto"/>
                <w:position w:val="-2"/>
                <w:szCs w:val="21"/>
              </w:rPr>
              <w:t>侧，监测因子为</w:t>
            </w:r>
            <w:r>
              <w:rPr>
                <w:rFonts w:hint="eastAsia" w:cs="Times New Roman"/>
                <w:color w:val="auto"/>
                <w:position w:val="-2"/>
                <w:szCs w:val="21"/>
                <w:lang w:val="en-US" w:eastAsia="zh-CN"/>
              </w:rPr>
              <w:t>VOCs</w:t>
            </w:r>
            <w:r>
              <w:rPr>
                <w:rFonts w:hint="default" w:ascii="Times New Roman" w:hAnsi="Times New Roman" w:cs="Times New Roman"/>
                <w:color w:val="auto"/>
                <w:position w:val="-2"/>
                <w:szCs w:val="21"/>
              </w:rPr>
              <w:t>，监测结果详见表 3-2。</w:t>
            </w:r>
          </w:p>
          <w:p>
            <w:pPr>
              <w:spacing w:line="360" w:lineRule="auto"/>
              <w:ind w:firstLine="420" w:firstLineChars="200"/>
              <w:jc w:val="left"/>
              <w:rPr>
                <w:rFonts w:hint="default" w:ascii="Times New Roman" w:hAnsi="Times New Roman" w:cs="Times New Roman"/>
                <w:color w:val="auto"/>
                <w:position w:val="-2"/>
                <w:szCs w:val="21"/>
              </w:rPr>
            </w:pPr>
          </w:p>
          <w:p>
            <w:pPr>
              <w:spacing w:line="360" w:lineRule="auto"/>
              <w:ind w:firstLine="420" w:firstLineChars="200"/>
              <w:jc w:val="left"/>
              <w:rPr>
                <w:rFonts w:hint="default" w:ascii="Times New Roman" w:hAnsi="Times New Roman" w:cs="Times New Roman"/>
                <w:color w:val="auto"/>
                <w:position w:val="-2"/>
                <w:szCs w:val="21"/>
              </w:rPr>
            </w:pPr>
          </w:p>
          <w:p>
            <w:pPr>
              <w:spacing w:line="360" w:lineRule="auto"/>
              <w:ind w:firstLine="422" w:firstLineChars="200"/>
              <w:jc w:val="center"/>
              <w:rPr>
                <w:rFonts w:hint="default" w:ascii="Times New Roman" w:hAnsi="Times New Roman" w:cs="Times New Roman"/>
                <w:b/>
                <w:bCs/>
                <w:color w:val="auto"/>
                <w:position w:val="-2"/>
                <w:szCs w:val="21"/>
              </w:rPr>
            </w:pPr>
          </w:p>
          <w:p>
            <w:pPr>
              <w:spacing w:line="360" w:lineRule="auto"/>
              <w:ind w:firstLine="422" w:firstLineChars="200"/>
              <w:jc w:val="center"/>
              <w:rPr>
                <w:rFonts w:hint="eastAsia" w:ascii="宋体" w:hAnsi="宋体" w:eastAsia="宋体" w:cs="宋体"/>
                <w:b/>
                <w:bCs/>
                <w:color w:val="auto"/>
                <w:position w:val="-2"/>
                <w:szCs w:val="21"/>
              </w:rPr>
            </w:pPr>
            <w:r>
              <w:rPr>
                <w:rFonts w:hint="eastAsia" w:ascii="宋体" w:hAnsi="宋体" w:eastAsia="宋体" w:cs="宋体"/>
                <w:b/>
                <w:bCs/>
                <w:color w:val="auto"/>
                <w:position w:val="-2"/>
                <w:szCs w:val="21"/>
              </w:rPr>
              <w:t>表 3-2</w:t>
            </w:r>
            <w:r>
              <w:rPr>
                <w:rFonts w:hint="eastAsia" w:ascii="宋体" w:hAnsi="宋体" w:eastAsia="宋体" w:cs="宋体"/>
                <w:b/>
                <w:bCs/>
                <w:color w:val="auto"/>
                <w:position w:val="-2"/>
                <w:szCs w:val="21"/>
              </w:rPr>
              <w:tab/>
            </w:r>
            <w:r>
              <w:rPr>
                <w:rFonts w:hint="eastAsia" w:ascii="宋体" w:hAnsi="宋体" w:eastAsia="宋体" w:cs="宋体"/>
                <w:b/>
                <w:bCs/>
                <w:color w:val="auto"/>
                <w:position w:val="-2"/>
                <w:szCs w:val="21"/>
              </w:rPr>
              <w:t>环境空气质量现状检测结果一览表</w:t>
            </w:r>
          </w:p>
          <w:tbl>
            <w:tblPr>
              <w:tblStyle w:val="21"/>
              <w:tblW w:w="64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3"/>
              <w:gridCol w:w="931"/>
              <w:gridCol w:w="1104"/>
              <w:gridCol w:w="1117"/>
              <w:gridCol w:w="1011"/>
              <w:gridCol w:w="13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3" w:hRule="atLeast"/>
                <w:jc w:val="center"/>
              </w:trPr>
              <w:tc>
                <w:tcPr>
                  <w:tcW w:w="99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检测点位</w:t>
                  </w:r>
                </w:p>
              </w:tc>
              <w:tc>
                <w:tcPr>
                  <w:tcW w:w="9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检测因子</w:t>
                  </w:r>
                </w:p>
              </w:tc>
              <w:tc>
                <w:tcPr>
                  <w:tcW w:w="110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检测时间</w:t>
                  </w:r>
                </w:p>
              </w:tc>
              <w:tc>
                <w:tcPr>
                  <w:tcW w:w="11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检测结果</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r>
                    <w:rPr>
                      <w:rFonts w:hint="default" w:ascii="Times New Roman" w:hAnsi="Times New Roman" w:eastAsia="宋体" w:cs="Times New Roman"/>
                      <w:color w:val="auto"/>
                      <w:sz w:val="21"/>
                      <w:szCs w:val="21"/>
                      <w:lang w:val="en-US" w:eastAsia="zh-CN"/>
                    </w:rPr>
                    <w:t>μ</w:t>
                  </w:r>
                  <w:r>
                    <w:rPr>
                      <w:rFonts w:hint="eastAsia" w:ascii="Times New Roman" w:hAnsi="Times New Roman" w:eastAsia="宋体" w:cs="Times New Roman"/>
                      <w:color w:val="auto"/>
                      <w:sz w:val="21"/>
                      <w:szCs w:val="21"/>
                      <w:lang w:val="en-US" w:eastAsia="zh-CN"/>
                    </w:rPr>
                    <w:t>g/m</w:t>
                  </w:r>
                  <w:r>
                    <w:rPr>
                      <w:rFonts w:hint="eastAsia" w:ascii="Times New Roman" w:hAnsi="Times New Roman" w:eastAsia="宋体" w:cs="Times New Roman"/>
                      <w:color w:val="auto"/>
                      <w:sz w:val="21"/>
                      <w:szCs w:val="21"/>
                      <w:vertAlign w:val="superscript"/>
                      <w:lang w:val="en-US" w:eastAsia="zh-CN"/>
                    </w:rPr>
                    <w:t>3</w:t>
                  </w:r>
                  <w:r>
                    <w:rPr>
                      <w:rFonts w:hint="eastAsia" w:ascii="宋体" w:hAnsi="宋体" w:eastAsia="宋体" w:cs="宋体"/>
                      <w:color w:val="auto"/>
                      <w:sz w:val="18"/>
                      <w:szCs w:val="18"/>
                    </w:rPr>
                    <w:t>）</w:t>
                  </w:r>
                </w:p>
              </w:tc>
              <w:tc>
                <w:tcPr>
                  <w:tcW w:w="10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浓度限值</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r>
                    <w:rPr>
                      <w:rFonts w:hint="default" w:ascii="Times New Roman" w:hAnsi="Times New Roman" w:eastAsia="宋体" w:cs="Times New Roman"/>
                      <w:color w:val="auto"/>
                      <w:sz w:val="21"/>
                      <w:szCs w:val="21"/>
                      <w:lang w:val="en-US" w:eastAsia="zh-CN"/>
                    </w:rPr>
                    <w:t>μ</w:t>
                  </w:r>
                  <w:r>
                    <w:rPr>
                      <w:rFonts w:hint="eastAsia" w:ascii="Times New Roman" w:hAnsi="Times New Roman" w:eastAsia="宋体" w:cs="Times New Roman"/>
                      <w:color w:val="auto"/>
                      <w:sz w:val="21"/>
                      <w:szCs w:val="21"/>
                      <w:lang w:val="en-US" w:eastAsia="zh-CN"/>
                    </w:rPr>
                    <w:t>g/m</w:t>
                  </w:r>
                  <w:r>
                    <w:rPr>
                      <w:rFonts w:hint="eastAsia" w:ascii="Times New Roman" w:hAnsi="Times New Roman" w:eastAsia="宋体" w:cs="Times New Roman"/>
                      <w:color w:val="auto"/>
                      <w:sz w:val="21"/>
                      <w:szCs w:val="21"/>
                      <w:vertAlign w:val="superscript"/>
                      <w:lang w:val="en-US" w:eastAsia="zh-CN"/>
                    </w:rPr>
                    <w:t>3</w:t>
                  </w:r>
                  <w:r>
                    <w:rPr>
                      <w:rFonts w:hint="eastAsia" w:ascii="宋体" w:hAnsi="宋体" w:eastAsia="宋体" w:cs="宋体"/>
                      <w:color w:val="auto"/>
                      <w:sz w:val="18"/>
                      <w:szCs w:val="18"/>
                    </w:rPr>
                    <w:t>）</w:t>
                  </w:r>
                </w:p>
              </w:tc>
              <w:tc>
                <w:tcPr>
                  <w:tcW w:w="130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cs="宋体"/>
                      <w:color w:val="auto"/>
                      <w:sz w:val="18"/>
                      <w:szCs w:val="18"/>
                      <w:lang w:eastAsia="zh-CN"/>
                    </w:rPr>
                    <w:t>结果评判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993"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厂址</w:t>
                  </w:r>
                  <w:r>
                    <w:rPr>
                      <w:rFonts w:hint="eastAsia" w:ascii="宋体" w:hAnsi="宋体" w:cs="宋体"/>
                      <w:color w:val="auto"/>
                      <w:sz w:val="18"/>
                      <w:szCs w:val="18"/>
                      <w:lang w:eastAsia="zh-CN"/>
                    </w:rPr>
                    <w:t>北</w:t>
                  </w:r>
                  <w:r>
                    <w:rPr>
                      <w:rFonts w:hint="eastAsia" w:ascii="宋体" w:hAnsi="宋体" w:eastAsia="宋体" w:cs="宋体"/>
                      <w:color w:val="auto"/>
                      <w:sz w:val="18"/>
                      <w:szCs w:val="18"/>
                    </w:rPr>
                    <w:t>侧</w:t>
                  </w:r>
                </w:p>
              </w:tc>
              <w:tc>
                <w:tcPr>
                  <w:tcW w:w="93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VOCs</w:t>
                  </w:r>
                </w:p>
              </w:tc>
              <w:tc>
                <w:tcPr>
                  <w:tcW w:w="110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2021.0</w:t>
                  </w:r>
                  <w:r>
                    <w:rPr>
                      <w:rFonts w:hint="eastAsia" w:ascii="宋体" w:hAnsi="宋体" w:cs="宋体"/>
                      <w:color w:val="auto"/>
                      <w:sz w:val="18"/>
                      <w:szCs w:val="18"/>
                      <w:lang w:val="en-US" w:eastAsia="zh-CN"/>
                    </w:rPr>
                    <w:t>9</w:t>
                  </w:r>
                  <w:r>
                    <w:rPr>
                      <w:rFonts w:hint="eastAsia" w:ascii="宋体" w:hAnsi="宋体" w:eastAsia="宋体" w:cs="宋体"/>
                      <w:color w:val="auto"/>
                      <w:sz w:val="18"/>
                      <w:szCs w:val="18"/>
                    </w:rPr>
                    <w:t>.</w:t>
                  </w:r>
                  <w:r>
                    <w:rPr>
                      <w:rFonts w:hint="eastAsia" w:ascii="宋体" w:hAnsi="宋体" w:cs="宋体"/>
                      <w:color w:val="auto"/>
                      <w:sz w:val="18"/>
                      <w:szCs w:val="18"/>
                      <w:lang w:val="en-US" w:eastAsia="zh-CN"/>
                    </w:rPr>
                    <w:t>27</w:t>
                  </w:r>
                </w:p>
              </w:tc>
              <w:tc>
                <w:tcPr>
                  <w:tcW w:w="11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98</w:t>
                  </w:r>
                </w:p>
              </w:tc>
              <w:tc>
                <w:tcPr>
                  <w:tcW w:w="101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600</w:t>
                  </w:r>
                </w:p>
              </w:tc>
              <w:tc>
                <w:tcPr>
                  <w:tcW w:w="130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cs="宋体"/>
                      <w:color w:val="auto"/>
                      <w:sz w:val="18"/>
                      <w:szCs w:val="18"/>
                      <w:lang w:val="en-US" w:eastAsia="zh-CN"/>
                    </w:rPr>
                  </w:pPr>
                  <w:r>
                    <w:rPr>
                      <w:rFonts w:hint="default" w:ascii="宋体" w:hAnsi="宋体" w:cs="宋体"/>
                      <w:color w:val="auto"/>
                      <w:sz w:val="18"/>
                      <w:szCs w:val="18"/>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2" w:hRule="atLeast"/>
                <w:jc w:val="center"/>
              </w:trPr>
              <w:tc>
                <w:tcPr>
                  <w:tcW w:w="99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10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2021.0</w:t>
                  </w:r>
                  <w:r>
                    <w:rPr>
                      <w:rFonts w:hint="eastAsia" w:ascii="宋体" w:hAnsi="宋体" w:cs="宋体"/>
                      <w:color w:val="auto"/>
                      <w:sz w:val="18"/>
                      <w:szCs w:val="18"/>
                      <w:lang w:val="en-US" w:eastAsia="zh-CN"/>
                    </w:rPr>
                    <w:t>9</w:t>
                  </w:r>
                  <w:r>
                    <w:rPr>
                      <w:rFonts w:hint="eastAsia" w:ascii="宋体" w:hAnsi="宋体" w:eastAsia="宋体" w:cs="宋体"/>
                      <w:color w:val="auto"/>
                      <w:sz w:val="18"/>
                      <w:szCs w:val="18"/>
                    </w:rPr>
                    <w:t>.</w:t>
                  </w:r>
                  <w:r>
                    <w:rPr>
                      <w:rFonts w:hint="eastAsia" w:ascii="宋体" w:hAnsi="宋体" w:cs="宋体"/>
                      <w:color w:val="auto"/>
                      <w:sz w:val="18"/>
                      <w:szCs w:val="18"/>
                      <w:lang w:val="en-US" w:eastAsia="zh-CN"/>
                    </w:rPr>
                    <w:t>28</w:t>
                  </w:r>
                </w:p>
              </w:tc>
              <w:tc>
                <w:tcPr>
                  <w:tcW w:w="11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80</w:t>
                  </w:r>
                </w:p>
              </w:tc>
              <w:tc>
                <w:tcPr>
                  <w:tcW w:w="101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30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cs="宋体"/>
                      <w:color w:val="auto"/>
                      <w:sz w:val="18"/>
                      <w:szCs w:val="18"/>
                      <w:lang w:eastAsia="zh-CN"/>
                    </w:rPr>
                  </w:pPr>
                  <w:r>
                    <w:rPr>
                      <w:rFonts w:hint="default" w:ascii="宋体" w:hAnsi="宋体" w:cs="宋体"/>
                      <w:color w:val="auto"/>
                      <w:sz w:val="18"/>
                      <w:szCs w:val="18"/>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1" w:hRule="atLeast"/>
                <w:jc w:val="center"/>
              </w:trPr>
              <w:tc>
                <w:tcPr>
                  <w:tcW w:w="99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10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2021.0</w:t>
                  </w:r>
                  <w:r>
                    <w:rPr>
                      <w:rFonts w:hint="eastAsia" w:ascii="宋体" w:hAnsi="宋体" w:cs="宋体"/>
                      <w:color w:val="auto"/>
                      <w:sz w:val="18"/>
                      <w:szCs w:val="18"/>
                      <w:lang w:val="en-US" w:eastAsia="zh-CN"/>
                    </w:rPr>
                    <w:t>9</w:t>
                  </w:r>
                  <w:r>
                    <w:rPr>
                      <w:rFonts w:hint="eastAsia" w:ascii="宋体" w:hAnsi="宋体" w:eastAsia="宋体" w:cs="宋体"/>
                      <w:color w:val="auto"/>
                      <w:sz w:val="18"/>
                      <w:szCs w:val="18"/>
                    </w:rPr>
                    <w:t>.</w:t>
                  </w:r>
                  <w:r>
                    <w:rPr>
                      <w:rFonts w:hint="eastAsia" w:ascii="宋体" w:hAnsi="宋体" w:cs="宋体"/>
                      <w:color w:val="auto"/>
                      <w:sz w:val="18"/>
                      <w:szCs w:val="18"/>
                      <w:lang w:val="en-US" w:eastAsia="zh-CN"/>
                    </w:rPr>
                    <w:t>29</w:t>
                  </w:r>
                </w:p>
              </w:tc>
              <w:tc>
                <w:tcPr>
                  <w:tcW w:w="11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85</w:t>
                  </w:r>
                </w:p>
              </w:tc>
              <w:tc>
                <w:tcPr>
                  <w:tcW w:w="101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30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cs="宋体"/>
                      <w:color w:val="auto"/>
                      <w:sz w:val="18"/>
                      <w:szCs w:val="18"/>
                      <w:lang w:eastAsia="zh-CN"/>
                    </w:rPr>
                  </w:pPr>
                  <w:r>
                    <w:rPr>
                      <w:rFonts w:hint="default" w:ascii="宋体" w:hAnsi="宋体" w:cs="宋体"/>
                      <w:color w:val="auto"/>
                      <w:sz w:val="18"/>
                      <w:szCs w:val="18"/>
                      <w:lang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2、地表水环境</w:t>
            </w:r>
          </w:p>
          <w:p>
            <w:pPr>
              <w:tabs>
                <w:tab w:val="left" w:pos="3544"/>
              </w:tabs>
              <w:adjustRightInd w:val="0"/>
              <w:snapToGrid w:val="0"/>
              <w:spacing w:line="360" w:lineRule="auto"/>
              <w:ind w:firstLine="420" w:firstLineChars="200"/>
              <w:rPr>
                <w:color w:val="auto"/>
                <w:sz w:val="21"/>
                <w:szCs w:val="21"/>
                <w:u w:val="none"/>
              </w:rPr>
            </w:pPr>
            <w:bookmarkStart w:id="6" w:name="_Ref476902464"/>
            <w:r>
              <w:rPr>
                <w:rFonts w:hint="eastAsia"/>
                <w:color w:val="auto"/>
                <w:sz w:val="21"/>
                <w:szCs w:val="21"/>
                <w:u w:val="none"/>
              </w:rPr>
              <w:t>为了解项目所在区域水环境质量现状，本次环评引用《</w:t>
            </w:r>
            <w:r>
              <w:rPr>
                <w:color w:val="auto"/>
                <w:sz w:val="21"/>
                <w:szCs w:val="21"/>
                <w:u w:val="none"/>
              </w:rPr>
              <w:t>衡阳县县城污水处理厂提标改造项目环境影响评价报告表</w:t>
            </w:r>
            <w:r>
              <w:rPr>
                <w:rFonts w:hint="eastAsia"/>
                <w:color w:val="auto"/>
                <w:sz w:val="21"/>
                <w:szCs w:val="21"/>
                <w:u w:val="none"/>
              </w:rPr>
              <w:t>》中的数据，</w:t>
            </w:r>
            <w:r>
              <w:rPr>
                <w:rFonts w:hAnsi="宋体"/>
                <w:color w:val="auto"/>
                <w:kern w:val="0"/>
                <w:sz w:val="21"/>
                <w:szCs w:val="21"/>
                <w:u w:val="none"/>
              </w:rPr>
              <w:t>该数据是由</w:t>
            </w:r>
            <w:r>
              <w:rPr>
                <w:rFonts w:hint="eastAsia" w:hAnsi="宋体"/>
                <w:color w:val="auto"/>
                <w:kern w:val="0"/>
                <w:sz w:val="21"/>
                <w:szCs w:val="21"/>
                <w:u w:val="none"/>
              </w:rPr>
              <w:t>湖南精博监测科技有限公司</w:t>
            </w:r>
            <w:r>
              <w:rPr>
                <w:rFonts w:hAnsi="宋体"/>
                <w:color w:val="auto"/>
                <w:kern w:val="0"/>
                <w:sz w:val="21"/>
                <w:szCs w:val="21"/>
                <w:u w:val="none"/>
              </w:rPr>
              <w:t>于</w:t>
            </w:r>
            <w:r>
              <w:rPr>
                <w:color w:val="auto"/>
                <w:sz w:val="21"/>
                <w:szCs w:val="21"/>
                <w:u w:val="none"/>
              </w:rPr>
              <w:t>2019年1月13~15日</w:t>
            </w:r>
            <w:r>
              <w:rPr>
                <w:rFonts w:hAnsi="宋体"/>
                <w:color w:val="auto"/>
                <w:kern w:val="0"/>
                <w:sz w:val="21"/>
                <w:szCs w:val="21"/>
                <w:u w:val="none"/>
              </w:rPr>
              <w:t>监测得到的，</w:t>
            </w:r>
            <w:r>
              <w:rPr>
                <w:color w:val="auto"/>
                <w:sz w:val="21"/>
                <w:szCs w:val="21"/>
                <w:u w:val="none"/>
              </w:rPr>
              <w:t>引用数据</w:t>
            </w:r>
            <w:r>
              <w:rPr>
                <w:color w:val="auto"/>
                <w:sz w:val="21"/>
                <w:szCs w:val="21"/>
                <w:u w:val="none"/>
                <w:shd w:val="clear" w:color="auto" w:fill="FFFFFF"/>
              </w:rPr>
              <w:t>符合3年时效性</w:t>
            </w:r>
            <w:r>
              <w:rPr>
                <w:rFonts w:hint="eastAsia"/>
                <w:color w:val="auto"/>
                <w:sz w:val="21"/>
                <w:szCs w:val="21"/>
                <w:u w:val="none"/>
                <w:shd w:val="clear" w:color="auto" w:fill="FFFFFF"/>
                <w:lang w:eastAsia="zh-CN"/>
              </w:rPr>
              <w:t>，项目区域所属流域与监测</w:t>
            </w:r>
            <w:r>
              <w:rPr>
                <w:rFonts w:hint="eastAsia"/>
                <w:color w:val="auto"/>
                <w:sz w:val="21"/>
                <w:szCs w:val="21"/>
                <w:u w:val="none"/>
                <w:shd w:val="clear" w:color="auto" w:fill="FFFFFF"/>
              </w:rPr>
              <w:t>断面一致</w:t>
            </w:r>
            <w:r>
              <w:rPr>
                <w:color w:val="auto"/>
                <w:sz w:val="21"/>
                <w:szCs w:val="21"/>
                <w:u w:val="none"/>
                <w:shd w:val="clear" w:color="auto" w:fill="FFFFFF"/>
              </w:rPr>
              <w:t>，</w:t>
            </w:r>
            <w:r>
              <w:rPr>
                <w:rFonts w:hint="eastAsia"/>
                <w:color w:val="auto"/>
                <w:sz w:val="21"/>
                <w:szCs w:val="21"/>
                <w:u w:val="none"/>
                <w:shd w:val="clear" w:color="auto" w:fill="FFFFFF"/>
              </w:rPr>
              <w:t>引用有效。</w:t>
            </w:r>
            <w:r>
              <w:rPr>
                <w:rFonts w:hint="eastAsia"/>
                <w:color w:val="auto"/>
                <w:sz w:val="21"/>
                <w:szCs w:val="21"/>
                <w:u w:val="none"/>
              </w:rPr>
              <w:t>具体情况如下：</w:t>
            </w:r>
          </w:p>
          <w:p>
            <w:pPr>
              <w:tabs>
                <w:tab w:val="left" w:pos="3544"/>
              </w:tabs>
              <w:adjustRightInd w:val="0"/>
              <w:snapToGrid w:val="0"/>
              <w:spacing w:line="360" w:lineRule="auto"/>
              <w:ind w:firstLine="420" w:firstLineChars="200"/>
              <w:rPr>
                <w:color w:val="auto"/>
                <w:sz w:val="21"/>
                <w:szCs w:val="21"/>
                <w:u w:val="none"/>
              </w:rPr>
            </w:pPr>
            <w:r>
              <w:rPr>
                <w:rFonts w:hint="eastAsia"/>
                <w:color w:val="auto"/>
                <w:sz w:val="21"/>
                <w:szCs w:val="21"/>
                <w:u w:val="none"/>
              </w:rPr>
              <w:t>（1）监测断面：共设置2个水质监测断面的监测数据，分别为：W1</w:t>
            </w:r>
            <w:r>
              <w:rPr>
                <w:color w:val="auto"/>
                <w:sz w:val="21"/>
                <w:szCs w:val="21"/>
                <w:u w:val="none"/>
              </w:rPr>
              <w:t>衡阳县</w:t>
            </w:r>
            <w:r>
              <w:rPr>
                <w:rFonts w:hint="eastAsia"/>
                <w:color w:val="auto"/>
                <w:sz w:val="21"/>
                <w:szCs w:val="21"/>
                <w:u w:val="none"/>
              </w:rPr>
              <w:t>国祯</w:t>
            </w:r>
            <w:r>
              <w:rPr>
                <w:color w:val="auto"/>
                <w:sz w:val="21"/>
                <w:szCs w:val="21"/>
                <w:u w:val="none"/>
              </w:rPr>
              <w:t>污水处理厂排污口上游200m（即本项目污水处理厂排口下游</w:t>
            </w:r>
            <w:r>
              <w:rPr>
                <w:rFonts w:hint="eastAsia"/>
                <w:color w:val="auto"/>
                <w:sz w:val="21"/>
                <w:szCs w:val="21"/>
                <w:u w:val="none"/>
              </w:rPr>
              <w:t>750m处</w:t>
            </w:r>
            <w:r>
              <w:rPr>
                <w:color w:val="auto"/>
                <w:sz w:val="21"/>
                <w:szCs w:val="21"/>
                <w:u w:val="none"/>
              </w:rPr>
              <w:t>）</w:t>
            </w:r>
            <w:r>
              <w:rPr>
                <w:rFonts w:hint="eastAsia"/>
                <w:color w:val="auto"/>
                <w:sz w:val="21"/>
                <w:szCs w:val="21"/>
                <w:u w:val="none"/>
              </w:rPr>
              <w:t>，W2</w:t>
            </w:r>
            <w:r>
              <w:rPr>
                <w:color w:val="auto"/>
                <w:sz w:val="21"/>
                <w:szCs w:val="21"/>
                <w:u w:val="none"/>
              </w:rPr>
              <w:t>衡阳县</w:t>
            </w:r>
            <w:r>
              <w:rPr>
                <w:rFonts w:hint="eastAsia"/>
                <w:color w:val="auto"/>
                <w:sz w:val="21"/>
                <w:szCs w:val="21"/>
                <w:u w:val="none"/>
              </w:rPr>
              <w:t>国祯</w:t>
            </w:r>
            <w:r>
              <w:rPr>
                <w:color w:val="auto"/>
                <w:sz w:val="21"/>
                <w:szCs w:val="21"/>
                <w:u w:val="none"/>
              </w:rPr>
              <w:t>污水处理厂排污口下游1000m</w:t>
            </w:r>
            <w:r>
              <w:rPr>
                <w:rFonts w:hint="eastAsia"/>
                <w:color w:val="auto"/>
                <w:sz w:val="21"/>
                <w:szCs w:val="21"/>
                <w:u w:val="none"/>
              </w:rPr>
              <w:t>（</w:t>
            </w:r>
            <w:r>
              <w:rPr>
                <w:color w:val="auto"/>
                <w:sz w:val="21"/>
                <w:szCs w:val="21"/>
                <w:u w:val="none"/>
              </w:rPr>
              <w:t>即本项目污水处理厂排口下游</w:t>
            </w:r>
            <w:r>
              <w:rPr>
                <w:rFonts w:hint="eastAsia"/>
                <w:color w:val="auto"/>
                <w:sz w:val="21"/>
                <w:szCs w:val="21"/>
                <w:u w:val="none"/>
              </w:rPr>
              <w:t>1950m处）。</w:t>
            </w:r>
          </w:p>
          <w:p>
            <w:pPr>
              <w:spacing w:before="156" w:beforeLines="50"/>
              <w:jc w:val="center"/>
              <w:rPr>
                <w:b/>
                <w:bCs/>
                <w:color w:val="auto"/>
                <w:szCs w:val="21"/>
              </w:rPr>
            </w:pPr>
            <w:r>
              <w:rPr>
                <w:rFonts w:hint="eastAsia"/>
                <w:b/>
                <w:bCs/>
                <w:color w:val="auto"/>
                <w:szCs w:val="21"/>
              </w:rPr>
              <w:t>表</w:t>
            </w:r>
            <w:r>
              <w:rPr>
                <w:rFonts w:hint="eastAsia"/>
                <w:b/>
                <w:bCs/>
                <w:color w:val="auto"/>
                <w:szCs w:val="21"/>
                <w:lang w:val="en-US" w:eastAsia="zh-CN"/>
              </w:rPr>
              <w:t>3</w:t>
            </w:r>
            <w:r>
              <w:rPr>
                <w:rFonts w:hint="eastAsia"/>
                <w:b/>
                <w:bCs/>
                <w:color w:val="auto"/>
                <w:szCs w:val="21"/>
              </w:rPr>
              <w:t>-</w:t>
            </w:r>
            <w:r>
              <w:rPr>
                <w:rFonts w:hint="eastAsia"/>
                <w:b/>
                <w:bCs/>
                <w:color w:val="auto"/>
                <w:szCs w:val="21"/>
                <w:lang w:val="en-US" w:eastAsia="zh-CN"/>
              </w:rPr>
              <w:t>3</w:t>
            </w:r>
            <w:r>
              <w:rPr>
                <w:rFonts w:hint="eastAsia"/>
                <w:b/>
                <w:bCs/>
                <w:color w:val="auto"/>
                <w:szCs w:val="21"/>
              </w:rPr>
              <w:t xml:space="preserve">  地表水环境现状监测一览表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4"/>
              <w:gridCol w:w="1028"/>
              <w:gridCol w:w="3601"/>
              <w:gridCol w:w="2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jc w:val="center"/>
              </w:trPr>
              <w:tc>
                <w:tcPr>
                  <w:tcW w:w="612" w:type="pct"/>
                  <w:tcBorders>
                    <w:tl2br w:val="nil"/>
                    <w:tr2bl w:val="nil"/>
                  </w:tcBorders>
                  <w:vAlign w:val="center"/>
                </w:tcPr>
                <w:p>
                  <w:pPr>
                    <w:adjustRightInd w:val="0"/>
                    <w:snapToGrid w:val="0"/>
                    <w:jc w:val="center"/>
                    <w:rPr>
                      <w:b w:val="0"/>
                      <w:bCs/>
                      <w:color w:val="auto"/>
                      <w:szCs w:val="21"/>
                    </w:rPr>
                  </w:pPr>
                  <w:r>
                    <w:rPr>
                      <w:b w:val="0"/>
                      <w:bCs/>
                      <w:color w:val="auto"/>
                      <w:szCs w:val="21"/>
                    </w:rPr>
                    <w:t>水体</w:t>
                  </w:r>
                </w:p>
              </w:tc>
              <w:tc>
                <w:tcPr>
                  <w:tcW w:w="645" w:type="pct"/>
                  <w:tcBorders>
                    <w:tl2br w:val="nil"/>
                    <w:tr2bl w:val="nil"/>
                  </w:tcBorders>
                  <w:vAlign w:val="center"/>
                </w:tcPr>
                <w:p>
                  <w:pPr>
                    <w:adjustRightInd w:val="0"/>
                    <w:snapToGrid w:val="0"/>
                    <w:jc w:val="center"/>
                    <w:rPr>
                      <w:b w:val="0"/>
                      <w:bCs/>
                      <w:color w:val="auto"/>
                      <w:szCs w:val="21"/>
                    </w:rPr>
                  </w:pPr>
                  <w:r>
                    <w:rPr>
                      <w:b w:val="0"/>
                      <w:bCs/>
                      <w:color w:val="auto"/>
                      <w:szCs w:val="21"/>
                    </w:rPr>
                    <w:t>监测断面</w:t>
                  </w:r>
                </w:p>
              </w:tc>
              <w:tc>
                <w:tcPr>
                  <w:tcW w:w="2261" w:type="pct"/>
                  <w:tcBorders>
                    <w:tl2br w:val="nil"/>
                    <w:tr2bl w:val="nil"/>
                  </w:tcBorders>
                  <w:vAlign w:val="center"/>
                </w:tcPr>
                <w:p>
                  <w:pPr>
                    <w:adjustRightInd w:val="0"/>
                    <w:snapToGrid w:val="0"/>
                    <w:jc w:val="center"/>
                    <w:rPr>
                      <w:b w:val="0"/>
                      <w:bCs/>
                      <w:color w:val="auto"/>
                      <w:szCs w:val="21"/>
                    </w:rPr>
                  </w:pPr>
                  <w:r>
                    <w:rPr>
                      <w:b w:val="0"/>
                      <w:bCs/>
                      <w:color w:val="auto"/>
                      <w:szCs w:val="21"/>
                    </w:rPr>
                    <w:t>引用监测断面</w:t>
                  </w:r>
                </w:p>
              </w:tc>
              <w:tc>
                <w:tcPr>
                  <w:tcW w:w="1482" w:type="pct"/>
                  <w:tcBorders>
                    <w:tl2br w:val="nil"/>
                    <w:tr2bl w:val="nil"/>
                  </w:tcBorders>
                  <w:vAlign w:val="center"/>
                </w:tcPr>
                <w:p>
                  <w:pPr>
                    <w:adjustRightInd w:val="0"/>
                    <w:snapToGrid w:val="0"/>
                    <w:jc w:val="center"/>
                    <w:rPr>
                      <w:b w:val="0"/>
                      <w:bCs/>
                      <w:color w:val="auto"/>
                      <w:szCs w:val="21"/>
                    </w:rPr>
                  </w:pPr>
                  <w:r>
                    <w:rPr>
                      <w:b w:val="0"/>
                      <w:bCs/>
                      <w:color w:val="auto"/>
                      <w:szCs w:val="21"/>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12" w:type="pct"/>
                  <w:vMerge w:val="restart"/>
                  <w:tcBorders>
                    <w:tl2br w:val="nil"/>
                    <w:tr2bl w:val="nil"/>
                  </w:tcBorders>
                  <w:vAlign w:val="center"/>
                </w:tcPr>
                <w:p>
                  <w:pPr>
                    <w:adjustRightInd w:val="0"/>
                    <w:snapToGrid w:val="0"/>
                    <w:jc w:val="center"/>
                    <w:rPr>
                      <w:color w:val="auto"/>
                      <w:szCs w:val="21"/>
                    </w:rPr>
                  </w:pPr>
                  <w:r>
                    <w:rPr>
                      <w:color w:val="auto"/>
                      <w:szCs w:val="21"/>
                    </w:rPr>
                    <w:t>蒸水</w:t>
                  </w:r>
                </w:p>
              </w:tc>
              <w:tc>
                <w:tcPr>
                  <w:tcW w:w="645" w:type="pct"/>
                  <w:tcBorders>
                    <w:tl2br w:val="nil"/>
                    <w:tr2bl w:val="nil"/>
                  </w:tcBorders>
                  <w:vAlign w:val="center"/>
                </w:tcPr>
                <w:p>
                  <w:pPr>
                    <w:adjustRightInd w:val="0"/>
                    <w:snapToGrid w:val="0"/>
                    <w:jc w:val="center"/>
                    <w:rPr>
                      <w:color w:val="auto"/>
                      <w:szCs w:val="21"/>
                    </w:rPr>
                  </w:pPr>
                  <w:r>
                    <w:rPr>
                      <w:color w:val="auto"/>
                      <w:szCs w:val="21"/>
                    </w:rPr>
                    <w:t>W1</w:t>
                  </w:r>
                </w:p>
              </w:tc>
              <w:tc>
                <w:tcPr>
                  <w:tcW w:w="2261" w:type="pct"/>
                  <w:tcBorders>
                    <w:tl2br w:val="nil"/>
                    <w:tr2bl w:val="nil"/>
                  </w:tcBorders>
                  <w:vAlign w:val="center"/>
                </w:tcPr>
                <w:p>
                  <w:pPr>
                    <w:adjustRightInd w:val="0"/>
                    <w:snapToGrid w:val="0"/>
                    <w:jc w:val="center"/>
                    <w:rPr>
                      <w:color w:val="auto"/>
                      <w:szCs w:val="21"/>
                    </w:rPr>
                  </w:pPr>
                  <w:r>
                    <w:rPr>
                      <w:color w:val="auto"/>
                      <w:szCs w:val="21"/>
                    </w:rPr>
                    <w:t>衡阳县国祯污水处理厂排污口上游200m</w:t>
                  </w:r>
                </w:p>
              </w:tc>
              <w:tc>
                <w:tcPr>
                  <w:tcW w:w="1482" w:type="pct"/>
                  <w:vMerge w:val="restart"/>
                  <w:tcBorders>
                    <w:tl2br w:val="nil"/>
                    <w:tr2bl w:val="nil"/>
                  </w:tcBorders>
                  <w:vAlign w:val="center"/>
                </w:tcPr>
                <w:p>
                  <w:pPr>
                    <w:adjustRightInd w:val="0"/>
                    <w:snapToGrid w:val="0"/>
                    <w:jc w:val="center"/>
                    <w:rPr>
                      <w:color w:val="auto"/>
                      <w:szCs w:val="21"/>
                    </w:rPr>
                  </w:pPr>
                  <w:r>
                    <w:rPr>
                      <w:color w:val="auto"/>
                      <w:szCs w:val="21"/>
                    </w:rPr>
                    <w:t>pH</w:t>
                  </w:r>
                  <w:r>
                    <w:rPr>
                      <w:rFonts w:hAnsi="宋体"/>
                      <w:color w:val="auto"/>
                      <w:szCs w:val="21"/>
                    </w:rPr>
                    <w:t>、</w:t>
                  </w:r>
                  <w:r>
                    <w:rPr>
                      <w:color w:val="auto"/>
                      <w:szCs w:val="21"/>
                    </w:rPr>
                    <w:t>COD</w:t>
                  </w:r>
                  <w:r>
                    <w:rPr>
                      <w:color w:val="auto"/>
                      <w:szCs w:val="21"/>
                      <w:vertAlign w:val="subscript"/>
                    </w:rPr>
                    <w:t>Cr</w:t>
                  </w:r>
                  <w:r>
                    <w:rPr>
                      <w:rFonts w:hAnsi="宋体"/>
                      <w:color w:val="auto"/>
                      <w:szCs w:val="21"/>
                    </w:rPr>
                    <w:t>、</w:t>
                  </w:r>
                  <w:r>
                    <w:rPr>
                      <w:color w:val="auto"/>
                      <w:szCs w:val="21"/>
                    </w:rPr>
                    <w:t>SS</w:t>
                  </w:r>
                  <w:r>
                    <w:rPr>
                      <w:rFonts w:hAnsi="宋体"/>
                      <w:color w:val="auto"/>
                      <w:szCs w:val="21"/>
                    </w:rPr>
                    <w:t>、</w:t>
                  </w:r>
                  <w:r>
                    <w:rPr>
                      <w:color w:val="auto"/>
                      <w:szCs w:val="21"/>
                    </w:rPr>
                    <w:t>BOD</w:t>
                  </w:r>
                  <w:r>
                    <w:rPr>
                      <w:color w:val="auto"/>
                      <w:szCs w:val="21"/>
                      <w:vertAlign w:val="subscript"/>
                    </w:rPr>
                    <w:t>5</w:t>
                  </w:r>
                  <w:r>
                    <w:rPr>
                      <w:rFonts w:hAnsi="宋体"/>
                      <w:color w:val="auto"/>
                      <w:szCs w:val="21"/>
                    </w:rPr>
                    <w:t>、氨氮、石油类、粪大肠菌群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jc w:val="center"/>
              </w:trPr>
              <w:tc>
                <w:tcPr>
                  <w:tcW w:w="612" w:type="pct"/>
                  <w:vMerge w:val="continue"/>
                  <w:tcBorders>
                    <w:tl2br w:val="nil"/>
                    <w:tr2bl w:val="nil"/>
                  </w:tcBorders>
                  <w:vAlign w:val="center"/>
                </w:tcPr>
                <w:p>
                  <w:pPr>
                    <w:adjustRightInd w:val="0"/>
                    <w:snapToGrid w:val="0"/>
                    <w:jc w:val="center"/>
                    <w:rPr>
                      <w:color w:val="auto"/>
                      <w:szCs w:val="21"/>
                    </w:rPr>
                  </w:pPr>
                </w:p>
              </w:tc>
              <w:tc>
                <w:tcPr>
                  <w:tcW w:w="645" w:type="pct"/>
                  <w:tcBorders>
                    <w:tl2br w:val="nil"/>
                    <w:tr2bl w:val="nil"/>
                  </w:tcBorders>
                  <w:vAlign w:val="center"/>
                </w:tcPr>
                <w:p>
                  <w:pPr>
                    <w:adjustRightInd w:val="0"/>
                    <w:snapToGrid w:val="0"/>
                    <w:jc w:val="center"/>
                    <w:rPr>
                      <w:color w:val="auto"/>
                      <w:szCs w:val="21"/>
                    </w:rPr>
                  </w:pPr>
                  <w:r>
                    <w:rPr>
                      <w:color w:val="auto"/>
                      <w:szCs w:val="21"/>
                    </w:rPr>
                    <w:t>W2</w:t>
                  </w:r>
                </w:p>
              </w:tc>
              <w:tc>
                <w:tcPr>
                  <w:tcW w:w="2261" w:type="pct"/>
                  <w:tcBorders>
                    <w:tl2br w:val="nil"/>
                    <w:tr2bl w:val="nil"/>
                  </w:tcBorders>
                  <w:vAlign w:val="center"/>
                </w:tcPr>
                <w:p>
                  <w:pPr>
                    <w:adjustRightInd w:val="0"/>
                    <w:snapToGrid w:val="0"/>
                    <w:jc w:val="center"/>
                    <w:rPr>
                      <w:color w:val="auto"/>
                      <w:szCs w:val="21"/>
                    </w:rPr>
                  </w:pPr>
                  <w:r>
                    <w:rPr>
                      <w:color w:val="auto"/>
                      <w:szCs w:val="21"/>
                    </w:rPr>
                    <w:t>衡阳县国祯污水处理厂排污口下游1000m</w:t>
                  </w:r>
                </w:p>
              </w:tc>
              <w:tc>
                <w:tcPr>
                  <w:tcW w:w="1482" w:type="pct"/>
                  <w:vMerge w:val="continue"/>
                  <w:tcBorders>
                    <w:tl2br w:val="nil"/>
                    <w:tr2bl w:val="nil"/>
                  </w:tcBorders>
                  <w:vAlign w:val="center"/>
                </w:tcPr>
                <w:p>
                  <w:pPr>
                    <w:adjustRightInd w:val="0"/>
                    <w:snapToGrid w:val="0"/>
                    <w:jc w:val="center"/>
                    <w:rPr>
                      <w:color w:val="auto"/>
                      <w:szCs w:val="21"/>
                    </w:rPr>
                  </w:pPr>
                </w:p>
              </w:tc>
            </w:tr>
          </w:tbl>
          <w:p>
            <w:pPr>
              <w:tabs>
                <w:tab w:val="left" w:pos="3544"/>
              </w:tabs>
              <w:adjustRightInd w:val="0"/>
              <w:snapToGrid w:val="0"/>
              <w:spacing w:line="360" w:lineRule="auto"/>
              <w:ind w:firstLine="420" w:firstLineChars="200"/>
              <w:rPr>
                <w:color w:val="auto"/>
                <w:sz w:val="21"/>
                <w:szCs w:val="21"/>
              </w:rPr>
            </w:pPr>
            <w:r>
              <w:rPr>
                <w:rFonts w:hint="eastAsia"/>
                <w:color w:val="auto"/>
                <w:sz w:val="21"/>
                <w:szCs w:val="21"/>
              </w:rPr>
              <w:t>（2）监测时间：</w:t>
            </w:r>
            <w:r>
              <w:rPr>
                <w:color w:val="auto"/>
                <w:sz w:val="21"/>
                <w:szCs w:val="21"/>
              </w:rPr>
              <w:t>2019年1月13~15日</w:t>
            </w:r>
            <w:r>
              <w:rPr>
                <w:rFonts w:hint="eastAsia"/>
                <w:color w:val="auto"/>
                <w:sz w:val="21"/>
                <w:szCs w:val="21"/>
              </w:rPr>
              <w:t>。</w:t>
            </w:r>
          </w:p>
          <w:p>
            <w:pPr>
              <w:tabs>
                <w:tab w:val="left" w:pos="3544"/>
              </w:tabs>
              <w:adjustRightInd w:val="0"/>
              <w:snapToGrid w:val="0"/>
              <w:spacing w:line="360" w:lineRule="auto"/>
              <w:ind w:firstLine="420" w:firstLineChars="200"/>
              <w:rPr>
                <w:color w:val="auto"/>
                <w:sz w:val="21"/>
                <w:szCs w:val="21"/>
              </w:rPr>
            </w:pPr>
            <w:r>
              <w:rPr>
                <w:rFonts w:hint="eastAsia"/>
                <w:color w:val="auto"/>
                <w:sz w:val="21"/>
                <w:szCs w:val="21"/>
              </w:rPr>
              <w:t>（3）监测项目：</w:t>
            </w:r>
            <w:r>
              <w:rPr>
                <w:color w:val="auto"/>
                <w:sz w:val="21"/>
                <w:szCs w:val="21"/>
              </w:rPr>
              <w:t>pH、COD</w:t>
            </w:r>
            <w:r>
              <w:rPr>
                <w:color w:val="auto"/>
                <w:sz w:val="21"/>
                <w:szCs w:val="21"/>
                <w:vertAlign w:val="subscript"/>
              </w:rPr>
              <w:t>Cr</w:t>
            </w:r>
            <w:r>
              <w:rPr>
                <w:color w:val="auto"/>
                <w:sz w:val="21"/>
                <w:szCs w:val="21"/>
              </w:rPr>
              <w:t>、SS、BOD</w:t>
            </w:r>
            <w:r>
              <w:rPr>
                <w:color w:val="auto"/>
                <w:sz w:val="21"/>
                <w:szCs w:val="21"/>
                <w:vertAlign w:val="subscript"/>
              </w:rPr>
              <w:t>5</w:t>
            </w:r>
            <w:r>
              <w:rPr>
                <w:color w:val="auto"/>
                <w:sz w:val="21"/>
                <w:szCs w:val="21"/>
              </w:rPr>
              <w:t>、氨氮、石油类、粪大肠菌群</w:t>
            </w:r>
            <w:r>
              <w:rPr>
                <w:rFonts w:hint="eastAsia"/>
                <w:color w:val="auto"/>
                <w:sz w:val="21"/>
                <w:szCs w:val="21"/>
              </w:rPr>
              <w:t>等7个项目。</w:t>
            </w:r>
          </w:p>
          <w:p>
            <w:pPr>
              <w:tabs>
                <w:tab w:val="left" w:pos="3544"/>
              </w:tabs>
              <w:adjustRightInd w:val="0"/>
              <w:snapToGrid w:val="0"/>
              <w:spacing w:line="360" w:lineRule="auto"/>
              <w:ind w:firstLine="420" w:firstLineChars="200"/>
              <w:rPr>
                <w:color w:val="auto"/>
                <w:sz w:val="21"/>
                <w:szCs w:val="21"/>
              </w:rPr>
            </w:pPr>
            <w:r>
              <w:rPr>
                <w:rFonts w:hint="eastAsia"/>
                <w:color w:val="auto"/>
                <w:sz w:val="21"/>
                <w:szCs w:val="21"/>
              </w:rPr>
              <w:t>（4）监测分析方法：按《地表水和污水监测技术规范》（HJ/T 91-2002）进行。</w:t>
            </w:r>
          </w:p>
          <w:p>
            <w:pPr>
              <w:tabs>
                <w:tab w:val="left" w:pos="3544"/>
              </w:tabs>
              <w:adjustRightInd w:val="0"/>
              <w:snapToGrid w:val="0"/>
              <w:spacing w:line="360" w:lineRule="auto"/>
              <w:ind w:firstLine="420" w:firstLineChars="200"/>
              <w:rPr>
                <w:color w:val="auto"/>
                <w:sz w:val="21"/>
                <w:szCs w:val="21"/>
              </w:rPr>
            </w:pPr>
            <w:r>
              <w:rPr>
                <w:rFonts w:hint="eastAsia"/>
                <w:color w:val="auto"/>
                <w:sz w:val="21"/>
                <w:szCs w:val="21"/>
              </w:rPr>
              <w:t>（5）评价标准：《地表水环境质量标准》（GB3838-2002）Ⅳ类标准。</w:t>
            </w:r>
          </w:p>
          <w:p>
            <w:pPr>
              <w:tabs>
                <w:tab w:val="left" w:pos="3544"/>
              </w:tabs>
              <w:adjustRightInd w:val="0"/>
              <w:snapToGrid w:val="0"/>
              <w:spacing w:line="360" w:lineRule="auto"/>
              <w:ind w:firstLine="420" w:firstLineChars="200"/>
              <w:rPr>
                <w:color w:val="auto"/>
                <w:sz w:val="21"/>
                <w:szCs w:val="21"/>
              </w:rPr>
            </w:pPr>
            <w:r>
              <w:rPr>
                <w:rFonts w:hint="eastAsia"/>
                <w:color w:val="auto"/>
                <w:sz w:val="21"/>
                <w:szCs w:val="21"/>
              </w:rPr>
              <w:t>（6）评价方法：采用单因子评价法，将监测结果与标准限值对照，计算超标率和最大超标倍数。</w:t>
            </w:r>
          </w:p>
          <w:p>
            <w:pPr>
              <w:tabs>
                <w:tab w:val="left" w:pos="3544"/>
              </w:tabs>
              <w:adjustRightInd w:val="0"/>
              <w:snapToGrid w:val="0"/>
              <w:spacing w:line="360" w:lineRule="auto"/>
              <w:ind w:firstLine="420" w:firstLineChars="200"/>
              <w:rPr>
                <w:color w:val="auto"/>
                <w:sz w:val="21"/>
                <w:szCs w:val="21"/>
              </w:rPr>
            </w:pPr>
            <w:r>
              <w:rPr>
                <w:rFonts w:hint="eastAsia"/>
                <w:color w:val="auto"/>
                <w:sz w:val="21"/>
                <w:szCs w:val="21"/>
              </w:rPr>
              <w:t>（7）评价结果：地表水监测结果及统计见表</w:t>
            </w:r>
            <w:r>
              <w:rPr>
                <w:rFonts w:hint="eastAsia"/>
                <w:color w:val="auto"/>
                <w:sz w:val="21"/>
                <w:szCs w:val="21"/>
                <w:lang w:val="en-US" w:eastAsia="zh-CN"/>
              </w:rPr>
              <w:t>3</w:t>
            </w:r>
            <w:r>
              <w:rPr>
                <w:rFonts w:hint="eastAsia"/>
                <w:color w:val="auto"/>
                <w:sz w:val="21"/>
                <w:szCs w:val="21"/>
              </w:rPr>
              <w:t>-</w:t>
            </w:r>
            <w:r>
              <w:rPr>
                <w:rFonts w:hint="eastAsia"/>
                <w:color w:val="auto"/>
                <w:sz w:val="21"/>
                <w:szCs w:val="21"/>
                <w:lang w:val="en-US" w:eastAsia="zh-CN"/>
              </w:rPr>
              <w:t>4</w:t>
            </w:r>
            <w:r>
              <w:rPr>
                <w:rFonts w:hint="eastAsia"/>
                <w:color w:val="auto"/>
                <w:sz w:val="21"/>
                <w:szCs w:val="21"/>
              </w:rPr>
              <w:t>。</w:t>
            </w:r>
          </w:p>
          <w:p>
            <w:pPr>
              <w:spacing w:before="156" w:beforeLines="50"/>
              <w:jc w:val="center"/>
              <w:rPr>
                <w:b/>
                <w:bCs/>
                <w:color w:val="auto"/>
                <w:szCs w:val="21"/>
              </w:rPr>
            </w:pPr>
            <w:r>
              <w:rPr>
                <w:rFonts w:hint="eastAsia"/>
                <w:b/>
                <w:bCs/>
                <w:color w:val="auto"/>
                <w:szCs w:val="21"/>
              </w:rPr>
              <w:t>表</w:t>
            </w:r>
            <w:r>
              <w:rPr>
                <w:rFonts w:hint="eastAsia"/>
                <w:b/>
                <w:bCs/>
                <w:color w:val="auto"/>
                <w:szCs w:val="21"/>
                <w:lang w:val="en-US" w:eastAsia="zh-CN"/>
              </w:rPr>
              <w:t>3</w:t>
            </w:r>
            <w:r>
              <w:rPr>
                <w:rFonts w:hint="eastAsia"/>
                <w:b/>
                <w:bCs/>
                <w:color w:val="auto"/>
                <w:szCs w:val="21"/>
              </w:rPr>
              <w:t>-</w:t>
            </w:r>
            <w:r>
              <w:rPr>
                <w:rFonts w:hint="eastAsia"/>
                <w:b/>
                <w:bCs/>
                <w:color w:val="auto"/>
                <w:szCs w:val="21"/>
                <w:lang w:val="en-US" w:eastAsia="zh-CN"/>
              </w:rPr>
              <w:t>4</w:t>
            </w:r>
            <w:r>
              <w:rPr>
                <w:rFonts w:hint="eastAsia"/>
                <w:b/>
                <w:bCs/>
                <w:color w:val="auto"/>
                <w:szCs w:val="21"/>
              </w:rPr>
              <w:t xml:space="preserve">  地表水环境质量现状监测结果统计表  单位：mg/L，pH值除外</w:t>
            </w:r>
          </w:p>
          <w:tbl>
            <w:tblPr>
              <w:tblStyle w:val="22"/>
              <w:tblW w:w="0" w:type="auto"/>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1080"/>
              <w:gridCol w:w="1213"/>
              <w:gridCol w:w="991"/>
              <w:gridCol w:w="944"/>
              <w:gridCol w:w="1476"/>
              <w:gridCol w:w="1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1077"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监测</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断面</w:t>
                  </w:r>
                </w:p>
              </w:tc>
              <w:tc>
                <w:tcPr>
                  <w:tcW w:w="108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监测</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项目</w:t>
                  </w:r>
                </w:p>
              </w:tc>
              <w:tc>
                <w:tcPr>
                  <w:tcW w:w="121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监测结果</w:t>
                  </w:r>
                </w:p>
              </w:tc>
              <w:tc>
                <w:tcPr>
                  <w:tcW w:w="99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最大超标倍数</w:t>
                  </w:r>
                </w:p>
              </w:tc>
              <w:tc>
                <w:tcPr>
                  <w:tcW w:w="944"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超标率</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w:t>
                  </w:r>
                </w:p>
              </w:tc>
              <w:tc>
                <w:tcPr>
                  <w:tcW w:w="14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GB3838-2002</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fldChar w:fldCharType="begin"/>
                  </w:r>
                  <w:r>
                    <w:rPr>
                      <w:rFonts w:hint="eastAsia" w:ascii="宋体" w:hAnsi="宋体" w:eastAsia="宋体" w:cs="宋体"/>
                      <w:b w:val="0"/>
                      <w:bCs/>
                      <w:color w:val="auto"/>
                      <w:kern w:val="0"/>
                      <w:sz w:val="18"/>
                      <w:szCs w:val="18"/>
                    </w:rPr>
                    <w:instrText xml:space="preserve"> = 4 \* ROMAN </w:instrText>
                  </w:r>
                  <w:r>
                    <w:rPr>
                      <w:rFonts w:hint="eastAsia" w:ascii="宋体" w:hAnsi="宋体" w:eastAsia="宋体" w:cs="宋体"/>
                      <w:b w:val="0"/>
                      <w:bCs/>
                      <w:color w:val="auto"/>
                      <w:kern w:val="0"/>
                      <w:sz w:val="18"/>
                      <w:szCs w:val="18"/>
                    </w:rPr>
                    <w:fldChar w:fldCharType="separate"/>
                  </w:r>
                  <w:r>
                    <w:rPr>
                      <w:rFonts w:hint="eastAsia" w:ascii="宋体" w:hAnsi="宋体" w:eastAsia="宋体" w:cs="宋体"/>
                      <w:b w:val="0"/>
                      <w:bCs/>
                      <w:color w:val="auto"/>
                      <w:kern w:val="0"/>
                      <w:sz w:val="18"/>
                      <w:szCs w:val="18"/>
                    </w:rPr>
                    <w:t>IV</w:t>
                  </w:r>
                  <w:r>
                    <w:rPr>
                      <w:rFonts w:hint="eastAsia" w:ascii="宋体" w:hAnsi="宋体" w:eastAsia="宋体" w:cs="宋体"/>
                      <w:b w:val="0"/>
                      <w:bCs/>
                      <w:color w:val="auto"/>
                      <w:kern w:val="0"/>
                      <w:sz w:val="18"/>
                      <w:szCs w:val="18"/>
                    </w:rPr>
                    <w:fldChar w:fldCharType="end"/>
                  </w:r>
                  <w:r>
                    <w:rPr>
                      <w:rFonts w:hint="eastAsia" w:ascii="宋体" w:hAnsi="宋体" w:eastAsia="宋体" w:cs="宋体"/>
                      <w:b w:val="0"/>
                      <w:bCs/>
                      <w:color w:val="auto"/>
                      <w:kern w:val="0"/>
                      <w:sz w:val="18"/>
                      <w:szCs w:val="18"/>
                    </w:rPr>
                    <w:t>类标准</w:t>
                  </w:r>
                </w:p>
              </w:tc>
              <w:tc>
                <w:tcPr>
                  <w:tcW w:w="10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评价</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1077" w:type="dxa"/>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W1：衡阳县国祯污水处理厂排污口上游200m</w:t>
                  </w:r>
                </w:p>
              </w:tc>
              <w:tc>
                <w:tcPr>
                  <w:tcW w:w="108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pH</w:t>
                  </w:r>
                </w:p>
              </w:tc>
              <w:tc>
                <w:tcPr>
                  <w:tcW w:w="121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7.34~7.40</w:t>
                  </w:r>
                </w:p>
              </w:tc>
              <w:tc>
                <w:tcPr>
                  <w:tcW w:w="99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w:t>
                  </w:r>
                </w:p>
              </w:tc>
              <w:tc>
                <w:tcPr>
                  <w:tcW w:w="944"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w:t>
                  </w:r>
                </w:p>
              </w:tc>
              <w:tc>
                <w:tcPr>
                  <w:tcW w:w="14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6~9</w:t>
                  </w:r>
                </w:p>
              </w:tc>
              <w:tc>
                <w:tcPr>
                  <w:tcW w:w="10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1077"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p>
              </w:tc>
              <w:tc>
                <w:tcPr>
                  <w:tcW w:w="108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COD</w:t>
                  </w:r>
                  <w:r>
                    <w:rPr>
                      <w:rFonts w:hint="eastAsia" w:ascii="宋体" w:hAnsi="宋体" w:eastAsia="宋体" w:cs="宋体"/>
                      <w:b w:val="0"/>
                      <w:bCs/>
                      <w:color w:val="auto"/>
                      <w:kern w:val="0"/>
                      <w:sz w:val="18"/>
                      <w:szCs w:val="18"/>
                      <w:vertAlign w:val="subscript"/>
                    </w:rPr>
                    <w:t>cr</w:t>
                  </w:r>
                </w:p>
              </w:tc>
              <w:tc>
                <w:tcPr>
                  <w:tcW w:w="121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14</w:t>
                  </w:r>
                </w:p>
              </w:tc>
              <w:tc>
                <w:tcPr>
                  <w:tcW w:w="99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944"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14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30</w:t>
                  </w:r>
                </w:p>
              </w:tc>
              <w:tc>
                <w:tcPr>
                  <w:tcW w:w="10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1077"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p>
              </w:tc>
              <w:tc>
                <w:tcPr>
                  <w:tcW w:w="108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SS</w:t>
                  </w:r>
                </w:p>
              </w:tc>
              <w:tc>
                <w:tcPr>
                  <w:tcW w:w="121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23~25</w:t>
                  </w:r>
                </w:p>
              </w:tc>
              <w:tc>
                <w:tcPr>
                  <w:tcW w:w="99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w:t>
                  </w:r>
                </w:p>
              </w:tc>
              <w:tc>
                <w:tcPr>
                  <w:tcW w:w="944"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w:t>
                  </w:r>
                </w:p>
              </w:tc>
              <w:tc>
                <w:tcPr>
                  <w:tcW w:w="14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w:t>
                  </w:r>
                </w:p>
              </w:tc>
              <w:tc>
                <w:tcPr>
                  <w:tcW w:w="10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1077"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p>
              </w:tc>
              <w:tc>
                <w:tcPr>
                  <w:tcW w:w="108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BOD</w:t>
                  </w:r>
                  <w:r>
                    <w:rPr>
                      <w:rFonts w:hint="eastAsia" w:ascii="宋体" w:hAnsi="宋体" w:eastAsia="宋体" w:cs="宋体"/>
                      <w:b w:val="0"/>
                      <w:bCs/>
                      <w:color w:val="auto"/>
                      <w:kern w:val="0"/>
                      <w:sz w:val="18"/>
                      <w:szCs w:val="18"/>
                      <w:vertAlign w:val="subscript"/>
                    </w:rPr>
                    <w:t>5</w:t>
                  </w:r>
                </w:p>
              </w:tc>
              <w:tc>
                <w:tcPr>
                  <w:tcW w:w="121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2.3</w:t>
                  </w:r>
                </w:p>
              </w:tc>
              <w:tc>
                <w:tcPr>
                  <w:tcW w:w="99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944"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14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6</w:t>
                  </w:r>
                </w:p>
              </w:tc>
              <w:tc>
                <w:tcPr>
                  <w:tcW w:w="10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trPr>
              <w:tc>
                <w:tcPr>
                  <w:tcW w:w="1077"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p>
              </w:tc>
              <w:tc>
                <w:tcPr>
                  <w:tcW w:w="108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氨氮</w:t>
                  </w:r>
                </w:p>
              </w:tc>
              <w:tc>
                <w:tcPr>
                  <w:tcW w:w="121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0.442~0.451</w:t>
                  </w:r>
                </w:p>
              </w:tc>
              <w:tc>
                <w:tcPr>
                  <w:tcW w:w="99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944"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14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1.5</w:t>
                  </w:r>
                </w:p>
              </w:tc>
              <w:tc>
                <w:tcPr>
                  <w:tcW w:w="10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1077"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p>
              </w:tc>
              <w:tc>
                <w:tcPr>
                  <w:tcW w:w="108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石油类</w:t>
                  </w:r>
                </w:p>
              </w:tc>
              <w:tc>
                <w:tcPr>
                  <w:tcW w:w="121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0.02</w:t>
                  </w:r>
                </w:p>
              </w:tc>
              <w:tc>
                <w:tcPr>
                  <w:tcW w:w="99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944"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14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0.5</w:t>
                  </w:r>
                </w:p>
              </w:tc>
              <w:tc>
                <w:tcPr>
                  <w:tcW w:w="10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trPr>
              <w:tc>
                <w:tcPr>
                  <w:tcW w:w="1077"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p>
              </w:tc>
              <w:tc>
                <w:tcPr>
                  <w:tcW w:w="108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粪大肠菌群（个/L）</w:t>
                  </w:r>
                </w:p>
              </w:tc>
              <w:tc>
                <w:tcPr>
                  <w:tcW w:w="121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3300~3500</w:t>
                  </w:r>
                </w:p>
              </w:tc>
              <w:tc>
                <w:tcPr>
                  <w:tcW w:w="99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944"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14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20000</w:t>
                  </w:r>
                </w:p>
              </w:tc>
              <w:tc>
                <w:tcPr>
                  <w:tcW w:w="10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1077" w:type="dxa"/>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W2：衡阳县国祯污水处理厂排污口下游1000m</w:t>
                  </w:r>
                </w:p>
              </w:tc>
              <w:tc>
                <w:tcPr>
                  <w:tcW w:w="108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pH</w:t>
                  </w:r>
                </w:p>
              </w:tc>
              <w:tc>
                <w:tcPr>
                  <w:tcW w:w="121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7.34~7.40</w:t>
                  </w:r>
                </w:p>
              </w:tc>
              <w:tc>
                <w:tcPr>
                  <w:tcW w:w="99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w:t>
                  </w:r>
                </w:p>
              </w:tc>
              <w:tc>
                <w:tcPr>
                  <w:tcW w:w="944"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w:t>
                  </w:r>
                </w:p>
              </w:tc>
              <w:tc>
                <w:tcPr>
                  <w:tcW w:w="14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6~9</w:t>
                  </w:r>
                </w:p>
              </w:tc>
              <w:tc>
                <w:tcPr>
                  <w:tcW w:w="10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1077"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p>
              </w:tc>
              <w:tc>
                <w:tcPr>
                  <w:tcW w:w="108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COD</w:t>
                  </w:r>
                  <w:r>
                    <w:rPr>
                      <w:rFonts w:hint="eastAsia" w:ascii="宋体" w:hAnsi="宋体" w:eastAsia="宋体" w:cs="宋体"/>
                      <w:b w:val="0"/>
                      <w:bCs/>
                      <w:color w:val="auto"/>
                      <w:kern w:val="0"/>
                      <w:sz w:val="18"/>
                      <w:szCs w:val="18"/>
                      <w:vertAlign w:val="subscript"/>
                    </w:rPr>
                    <w:t>cr</w:t>
                  </w:r>
                </w:p>
              </w:tc>
              <w:tc>
                <w:tcPr>
                  <w:tcW w:w="121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14</w:t>
                  </w:r>
                </w:p>
              </w:tc>
              <w:tc>
                <w:tcPr>
                  <w:tcW w:w="99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944"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14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30</w:t>
                  </w:r>
                </w:p>
              </w:tc>
              <w:tc>
                <w:tcPr>
                  <w:tcW w:w="10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1077"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p>
              </w:tc>
              <w:tc>
                <w:tcPr>
                  <w:tcW w:w="108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SS</w:t>
                  </w:r>
                </w:p>
              </w:tc>
              <w:tc>
                <w:tcPr>
                  <w:tcW w:w="121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23~25</w:t>
                  </w:r>
                </w:p>
              </w:tc>
              <w:tc>
                <w:tcPr>
                  <w:tcW w:w="99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w:t>
                  </w:r>
                </w:p>
              </w:tc>
              <w:tc>
                <w:tcPr>
                  <w:tcW w:w="944"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w:t>
                  </w:r>
                </w:p>
              </w:tc>
              <w:tc>
                <w:tcPr>
                  <w:tcW w:w="14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w:t>
                  </w:r>
                </w:p>
              </w:tc>
              <w:tc>
                <w:tcPr>
                  <w:tcW w:w="10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1077"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p>
              </w:tc>
              <w:tc>
                <w:tcPr>
                  <w:tcW w:w="108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BOD</w:t>
                  </w:r>
                  <w:r>
                    <w:rPr>
                      <w:rFonts w:hint="eastAsia" w:ascii="宋体" w:hAnsi="宋体" w:eastAsia="宋体" w:cs="宋体"/>
                      <w:b w:val="0"/>
                      <w:bCs/>
                      <w:color w:val="auto"/>
                      <w:kern w:val="0"/>
                      <w:sz w:val="18"/>
                      <w:szCs w:val="18"/>
                      <w:vertAlign w:val="subscript"/>
                    </w:rPr>
                    <w:t>5</w:t>
                  </w:r>
                </w:p>
              </w:tc>
              <w:tc>
                <w:tcPr>
                  <w:tcW w:w="121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2.3</w:t>
                  </w:r>
                </w:p>
              </w:tc>
              <w:tc>
                <w:tcPr>
                  <w:tcW w:w="99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944"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14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6</w:t>
                  </w:r>
                </w:p>
              </w:tc>
              <w:tc>
                <w:tcPr>
                  <w:tcW w:w="10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trPr>
              <w:tc>
                <w:tcPr>
                  <w:tcW w:w="1077"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p>
              </w:tc>
              <w:tc>
                <w:tcPr>
                  <w:tcW w:w="108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氨氮</w:t>
                  </w:r>
                </w:p>
              </w:tc>
              <w:tc>
                <w:tcPr>
                  <w:tcW w:w="121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0.442~0.451</w:t>
                  </w:r>
                </w:p>
              </w:tc>
              <w:tc>
                <w:tcPr>
                  <w:tcW w:w="99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944"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14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1.5</w:t>
                  </w:r>
                </w:p>
              </w:tc>
              <w:tc>
                <w:tcPr>
                  <w:tcW w:w="10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1077"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p>
              </w:tc>
              <w:tc>
                <w:tcPr>
                  <w:tcW w:w="108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石油类</w:t>
                  </w:r>
                </w:p>
              </w:tc>
              <w:tc>
                <w:tcPr>
                  <w:tcW w:w="121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0.02</w:t>
                  </w:r>
                </w:p>
              </w:tc>
              <w:tc>
                <w:tcPr>
                  <w:tcW w:w="99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944"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14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0.5</w:t>
                  </w:r>
                </w:p>
              </w:tc>
              <w:tc>
                <w:tcPr>
                  <w:tcW w:w="10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1077" w:type="dxa"/>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p>
              </w:tc>
              <w:tc>
                <w:tcPr>
                  <w:tcW w:w="108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粪大肠菌群（个/L）</w:t>
                  </w:r>
                </w:p>
              </w:tc>
              <w:tc>
                <w:tcPr>
                  <w:tcW w:w="121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3300~3500</w:t>
                  </w:r>
                </w:p>
              </w:tc>
              <w:tc>
                <w:tcPr>
                  <w:tcW w:w="99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944"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0</w:t>
                  </w:r>
                </w:p>
              </w:tc>
              <w:tc>
                <w:tcPr>
                  <w:tcW w:w="14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20000</w:t>
                  </w:r>
                </w:p>
              </w:tc>
              <w:tc>
                <w:tcPr>
                  <w:tcW w:w="107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宋体" w:hAnsi="宋体" w:eastAsia="宋体" w:cs="宋体"/>
                      <w:b w:val="0"/>
                      <w:bCs/>
                      <w:color w:val="auto"/>
                      <w:kern w:val="0"/>
                      <w:sz w:val="18"/>
                      <w:szCs w:val="18"/>
                    </w:rPr>
                  </w:pPr>
                  <w:r>
                    <w:rPr>
                      <w:rFonts w:hint="eastAsia" w:ascii="宋体" w:hAnsi="宋体" w:eastAsia="宋体" w:cs="宋体"/>
                      <w:b w:val="0"/>
                      <w:bCs/>
                      <w:color w:val="auto"/>
                      <w:kern w:val="0"/>
                      <w:sz w:val="18"/>
                      <w:szCs w:val="18"/>
                    </w:rPr>
                    <w:t>达标</w:t>
                  </w:r>
                </w:p>
              </w:tc>
            </w:tr>
          </w:tbl>
          <w:p>
            <w:pPr>
              <w:tabs>
                <w:tab w:val="left" w:pos="3544"/>
              </w:tabs>
              <w:adjustRightInd w:val="0"/>
              <w:snapToGrid w:val="0"/>
              <w:spacing w:line="360" w:lineRule="auto"/>
              <w:ind w:firstLine="420" w:firstLineChars="200"/>
              <w:rPr>
                <w:color w:val="auto"/>
                <w:sz w:val="21"/>
                <w:szCs w:val="21"/>
              </w:rPr>
            </w:pPr>
            <w:r>
              <w:rPr>
                <w:rFonts w:hint="eastAsia"/>
                <w:color w:val="auto"/>
                <w:sz w:val="21"/>
                <w:szCs w:val="21"/>
              </w:rPr>
              <w:t>根据表</w:t>
            </w:r>
            <w:r>
              <w:rPr>
                <w:rFonts w:hint="eastAsia"/>
                <w:color w:val="auto"/>
                <w:sz w:val="21"/>
                <w:szCs w:val="21"/>
                <w:lang w:val="en-US" w:eastAsia="zh-CN"/>
              </w:rPr>
              <w:t>3-4</w:t>
            </w:r>
            <w:r>
              <w:rPr>
                <w:rFonts w:hint="eastAsia"/>
                <w:color w:val="auto"/>
                <w:sz w:val="21"/>
                <w:szCs w:val="21"/>
              </w:rPr>
              <w:t>监测资料结果，各监测断面各项水质监测指标均符合《地表水环境质量标准》（GB3838-2002）中</w:t>
            </w:r>
            <w:r>
              <w:rPr>
                <w:rFonts w:hint="eastAsia"/>
                <w:color w:val="auto"/>
                <w:sz w:val="21"/>
                <w:szCs w:val="21"/>
              </w:rPr>
              <w:fldChar w:fldCharType="begin"/>
            </w:r>
            <w:r>
              <w:rPr>
                <w:rFonts w:hint="eastAsia"/>
                <w:color w:val="auto"/>
                <w:sz w:val="21"/>
                <w:szCs w:val="21"/>
              </w:rPr>
              <w:instrText xml:space="preserve"> = 4 \* ROMAN \* MERGEFORMAT </w:instrText>
            </w:r>
            <w:r>
              <w:rPr>
                <w:rFonts w:hint="eastAsia"/>
                <w:color w:val="auto"/>
                <w:sz w:val="21"/>
                <w:szCs w:val="21"/>
              </w:rPr>
              <w:fldChar w:fldCharType="separate"/>
            </w:r>
            <w:r>
              <w:rPr>
                <w:color w:val="auto"/>
                <w:sz w:val="21"/>
                <w:szCs w:val="21"/>
              </w:rPr>
              <w:t>IV</w:t>
            </w:r>
            <w:r>
              <w:rPr>
                <w:rFonts w:hint="eastAsia"/>
                <w:color w:val="auto"/>
                <w:sz w:val="21"/>
                <w:szCs w:val="21"/>
              </w:rPr>
              <w:fldChar w:fldCharType="end"/>
            </w:r>
            <w:r>
              <w:rPr>
                <w:rFonts w:hint="eastAsia"/>
                <w:color w:val="auto"/>
                <w:sz w:val="21"/>
                <w:szCs w:val="21"/>
              </w:rPr>
              <w:t>类标准要求。项目区域水环境能满足功能要求。</w:t>
            </w:r>
          </w:p>
          <w:bookmarkEnd w:id="6"/>
          <w:p>
            <w:pPr>
              <w:adjustRightInd w:val="0"/>
              <w:snapToGrid w:val="0"/>
              <w:spacing w:line="360" w:lineRule="auto"/>
              <w:jc w:val="left"/>
              <w:rPr>
                <w:b/>
                <w:snapToGrid w:val="0"/>
                <w:color w:val="auto"/>
                <w:kern w:val="0"/>
                <w:sz w:val="21"/>
                <w:szCs w:val="21"/>
                <w:u w:val="none"/>
              </w:rPr>
            </w:pPr>
            <w:bookmarkStart w:id="7" w:name="_Toc373420562"/>
            <w:bookmarkStart w:id="8" w:name="_Toc382922397"/>
            <w:r>
              <w:rPr>
                <w:b/>
                <w:snapToGrid w:val="0"/>
                <w:color w:val="auto"/>
                <w:kern w:val="0"/>
                <w:sz w:val="21"/>
                <w:szCs w:val="21"/>
                <w:u w:val="none"/>
              </w:rPr>
              <w:t>3、声环境质量现状调查与评价</w:t>
            </w:r>
            <w:bookmarkEnd w:id="7"/>
            <w:bookmarkEnd w:id="8"/>
          </w:p>
          <w:p>
            <w:pPr>
              <w:pStyle w:val="50"/>
              <w:ind w:firstLine="420"/>
              <w:rPr>
                <w:color w:val="auto"/>
                <w:sz w:val="21"/>
                <w:u w:val="none"/>
              </w:rPr>
            </w:pPr>
            <w:r>
              <w:rPr>
                <w:color w:val="auto"/>
                <w:sz w:val="21"/>
                <w:u w:val="none"/>
              </w:rPr>
              <w:t>本次采用</w:t>
            </w:r>
            <w:r>
              <w:rPr>
                <w:rFonts w:hint="eastAsia"/>
                <w:color w:val="auto"/>
                <w:sz w:val="21"/>
                <w:u w:val="none"/>
                <w:lang w:eastAsia="zh-CN"/>
              </w:rPr>
              <w:t>衡阳职安环保科技有限责任</w:t>
            </w:r>
            <w:r>
              <w:rPr>
                <w:color w:val="auto"/>
                <w:sz w:val="21"/>
                <w:u w:val="none"/>
              </w:rPr>
              <w:t>公司于2021年</w:t>
            </w:r>
            <w:r>
              <w:rPr>
                <w:rFonts w:hint="eastAsia"/>
                <w:color w:val="auto"/>
                <w:sz w:val="21"/>
                <w:u w:val="none"/>
                <w:lang w:val="en-US" w:eastAsia="zh-CN"/>
              </w:rPr>
              <w:t>9</w:t>
            </w:r>
            <w:r>
              <w:rPr>
                <w:color w:val="auto"/>
                <w:sz w:val="21"/>
                <w:u w:val="none"/>
              </w:rPr>
              <w:t>月</w:t>
            </w:r>
            <w:r>
              <w:rPr>
                <w:rFonts w:hint="eastAsia"/>
                <w:color w:val="auto"/>
                <w:sz w:val="21"/>
                <w:u w:val="none"/>
                <w:lang w:val="en-US" w:eastAsia="zh-CN"/>
              </w:rPr>
              <w:t>27</w:t>
            </w:r>
            <w:r>
              <w:rPr>
                <w:color w:val="auto"/>
                <w:sz w:val="21"/>
                <w:u w:val="none"/>
              </w:rPr>
              <w:t>日监测的数据进行评价，具体数据如下：</w:t>
            </w:r>
          </w:p>
          <w:p>
            <w:pPr>
              <w:pStyle w:val="6"/>
              <w:ind w:firstLine="472"/>
              <w:rPr>
                <w:color w:val="auto"/>
                <w:spacing w:val="-2"/>
              </w:rPr>
            </w:pPr>
            <w:r>
              <w:rPr>
                <w:color w:val="auto"/>
                <w:spacing w:val="-2"/>
              </w:rPr>
              <w:t>（1）监测点位：</w:t>
            </w:r>
            <w:r>
              <w:rPr>
                <w:color w:val="auto"/>
              </w:rPr>
              <w:t>本项目东、北</w:t>
            </w:r>
            <w:r>
              <w:rPr>
                <w:bCs/>
                <w:color w:val="auto"/>
              </w:rPr>
              <w:t>个方向边界外</w:t>
            </w:r>
            <w:r>
              <w:rPr>
                <w:rFonts w:hint="eastAsia"/>
                <w:bCs/>
                <w:color w:val="auto"/>
                <w:lang w:val="en-US" w:eastAsia="zh-CN"/>
              </w:rPr>
              <w:t>20-30米处民居点</w:t>
            </w:r>
            <w:r>
              <w:rPr>
                <w:bCs/>
                <w:color w:val="auto"/>
              </w:rPr>
              <w:t>；</w:t>
            </w:r>
          </w:p>
          <w:p>
            <w:pPr>
              <w:pStyle w:val="6"/>
              <w:ind w:firstLine="472"/>
              <w:rPr>
                <w:color w:val="auto"/>
                <w:spacing w:val="-2"/>
              </w:rPr>
            </w:pPr>
            <w:r>
              <w:rPr>
                <w:color w:val="auto"/>
                <w:spacing w:val="-2"/>
              </w:rPr>
              <w:t>（2）监测因子：</w:t>
            </w:r>
            <w:r>
              <w:rPr>
                <w:bCs/>
                <w:color w:val="auto"/>
              </w:rPr>
              <w:t>Leq(A)</w:t>
            </w:r>
            <w:r>
              <w:rPr>
                <w:color w:val="auto"/>
                <w:spacing w:val="-2"/>
              </w:rPr>
              <w:t>；</w:t>
            </w:r>
          </w:p>
          <w:p>
            <w:pPr>
              <w:pStyle w:val="6"/>
              <w:ind w:firstLine="472"/>
              <w:rPr>
                <w:color w:val="auto"/>
                <w:spacing w:val="-2"/>
              </w:rPr>
            </w:pPr>
            <w:r>
              <w:rPr>
                <w:color w:val="auto"/>
                <w:spacing w:val="-2"/>
              </w:rPr>
              <w:t>（3）监测时间及频次：20</w:t>
            </w:r>
            <w:r>
              <w:rPr>
                <w:rFonts w:hint="eastAsia"/>
                <w:color w:val="auto"/>
                <w:spacing w:val="-2"/>
                <w:lang w:eastAsia="zh-CN"/>
              </w:rPr>
              <w:t>2</w:t>
            </w:r>
            <w:r>
              <w:rPr>
                <w:rFonts w:hint="eastAsia"/>
                <w:color w:val="auto"/>
                <w:spacing w:val="-2"/>
                <w:lang w:val="en-US" w:eastAsia="zh-CN"/>
              </w:rPr>
              <w:t>1</w:t>
            </w:r>
            <w:r>
              <w:rPr>
                <w:color w:val="auto"/>
                <w:spacing w:val="-2"/>
              </w:rPr>
              <w:t>年</w:t>
            </w:r>
            <w:r>
              <w:rPr>
                <w:rFonts w:hint="eastAsia"/>
                <w:color w:val="auto"/>
                <w:spacing w:val="-2"/>
                <w:lang w:val="en-US" w:eastAsia="zh-CN"/>
              </w:rPr>
              <w:t>9</w:t>
            </w:r>
            <w:r>
              <w:rPr>
                <w:color w:val="auto"/>
                <w:spacing w:val="-2"/>
              </w:rPr>
              <w:t>月</w:t>
            </w:r>
            <w:r>
              <w:rPr>
                <w:rFonts w:hint="eastAsia"/>
                <w:color w:val="auto"/>
                <w:spacing w:val="-2"/>
                <w:lang w:val="en-US" w:eastAsia="zh-CN"/>
              </w:rPr>
              <w:t>27</w:t>
            </w:r>
            <w:r>
              <w:rPr>
                <w:color w:val="auto"/>
                <w:spacing w:val="-2"/>
              </w:rPr>
              <w:t>日，监测</w:t>
            </w:r>
            <w:r>
              <w:rPr>
                <w:rFonts w:hint="eastAsia"/>
                <w:color w:val="auto"/>
                <w:spacing w:val="-2"/>
                <w:lang w:val="en-US" w:eastAsia="zh-CN"/>
              </w:rPr>
              <w:t>1</w:t>
            </w:r>
            <w:r>
              <w:rPr>
                <w:color w:val="auto"/>
                <w:spacing w:val="-2"/>
              </w:rPr>
              <w:t>天，</w:t>
            </w:r>
            <w:r>
              <w:rPr>
                <w:color w:val="auto"/>
              </w:rPr>
              <w:t>昼间</w:t>
            </w:r>
            <w:r>
              <w:rPr>
                <w:color w:val="auto"/>
                <w:spacing w:val="-2"/>
              </w:rPr>
              <w:t>1次；</w:t>
            </w:r>
          </w:p>
          <w:p>
            <w:pPr>
              <w:pStyle w:val="6"/>
              <w:ind w:firstLine="480"/>
              <w:rPr>
                <w:color w:val="auto"/>
              </w:rPr>
            </w:pPr>
            <w:r>
              <w:rPr>
                <w:color w:val="auto"/>
              </w:rPr>
              <w:t>（4）评价标准：</w:t>
            </w:r>
            <w:r>
              <w:rPr>
                <w:bCs/>
                <w:color w:val="auto"/>
              </w:rPr>
              <w:t>《声环境质量标准》（GB3096-2008）中的2类标准；</w:t>
            </w:r>
          </w:p>
          <w:p>
            <w:pPr>
              <w:pStyle w:val="6"/>
              <w:ind w:firstLine="480"/>
              <w:rPr>
                <w:color w:val="auto"/>
              </w:rPr>
            </w:pPr>
            <w:r>
              <w:rPr>
                <w:color w:val="auto"/>
              </w:rPr>
              <w:t>（5）监测结果：见下表。</w:t>
            </w:r>
          </w:p>
          <w:tbl>
            <w:tblPr>
              <w:tblStyle w:val="21"/>
              <w:tblpPr w:leftFromText="180" w:rightFromText="180" w:vertAnchor="text" w:horzAnchor="page" w:tblpX="683" w:tblpY="29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334"/>
              <w:gridCol w:w="807"/>
              <w:gridCol w:w="807"/>
              <w:gridCol w:w="937"/>
              <w:gridCol w:w="938"/>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97" w:type="dxa"/>
                  <w:vMerge w:val="restart"/>
                  <w:noWrap w:val="0"/>
                  <w:vAlign w:val="center"/>
                </w:tcPr>
                <w:p>
                  <w:pPr>
                    <w:pStyle w:val="47"/>
                    <w:rPr>
                      <w:color w:val="auto"/>
                      <w:sz w:val="18"/>
                      <w:szCs w:val="18"/>
                    </w:rPr>
                  </w:pPr>
                  <w:r>
                    <w:rPr>
                      <w:color w:val="auto"/>
                      <w:sz w:val="18"/>
                      <w:szCs w:val="18"/>
                    </w:rPr>
                    <w:t>监测日期</w:t>
                  </w:r>
                </w:p>
              </w:tc>
              <w:tc>
                <w:tcPr>
                  <w:tcW w:w="1334" w:type="dxa"/>
                  <w:vMerge w:val="restart"/>
                  <w:noWrap w:val="0"/>
                  <w:vAlign w:val="center"/>
                </w:tcPr>
                <w:p>
                  <w:pPr>
                    <w:pStyle w:val="47"/>
                    <w:rPr>
                      <w:color w:val="auto"/>
                      <w:sz w:val="18"/>
                      <w:szCs w:val="18"/>
                    </w:rPr>
                  </w:pPr>
                  <w:r>
                    <w:rPr>
                      <w:color w:val="auto"/>
                      <w:sz w:val="18"/>
                      <w:szCs w:val="18"/>
                    </w:rPr>
                    <w:t>监测位置</w:t>
                  </w:r>
                </w:p>
              </w:tc>
              <w:tc>
                <w:tcPr>
                  <w:tcW w:w="1614" w:type="dxa"/>
                  <w:gridSpan w:val="2"/>
                  <w:noWrap w:val="0"/>
                  <w:vAlign w:val="center"/>
                </w:tcPr>
                <w:p>
                  <w:pPr>
                    <w:pStyle w:val="47"/>
                    <w:rPr>
                      <w:color w:val="auto"/>
                      <w:sz w:val="18"/>
                      <w:szCs w:val="18"/>
                    </w:rPr>
                  </w:pPr>
                  <w:r>
                    <w:rPr>
                      <w:color w:val="auto"/>
                      <w:sz w:val="18"/>
                      <w:szCs w:val="18"/>
                    </w:rPr>
                    <w:t>监测结果</w:t>
                  </w:r>
                </w:p>
              </w:tc>
              <w:tc>
                <w:tcPr>
                  <w:tcW w:w="2861" w:type="dxa"/>
                  <w:gridSpan w:val="3"/>
                  <w:noWrap w:val="0"/>
                  <w:vAlign w:val="center"/>
                </w:tcPr>
                <w:p>
                  <w:pPr>
                    <w:pStyle w:val="47"/>
                    <w:rPr>
                      <w:bCs/>
                      <w:color w:val="auto"/>
                      <w:sz w:val="18"/>
                      <w:szCs w:val="18"/>
                    </w:rPr>
                  </w:pPr>
                  <w:r>
                    <w:rPr>
                      <w:bCs/>
                      <w:color w:val="auto"/>
                      <w:sz w:val="18"/>
                      <w:szCs w:val="18"/>
                    </w:rPr>
                    <w:t>（GB3096-2008）</w:t>
                  </w:r>
                </w:p>
                <w:p>
                  <w:pPr>
                    <w:pStyle w:val="47"/>
                    <w:rPr>
                      <w:color w:val="auto"/>
                      <w:sz w:val="18"/>
                      <w:szCs w:val="18"/>
                    </w:rPr>
                  </w:pPr>
                  <w:r>
                    <w:rPr>
                      <w:bCs/>
                      <w:color w:val="auto"/>
                      <w:sz w:val="18"/>
                      <w:szCs w:val="18"/>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97" w:type="dxa"/>
                  <w:vMerge w:val="continue"/>
                  <w:noWrap w:val="0"/>
                  <w:vAlign w:val="center"/>
                </w:tcPr>
                <w:p>
                  <w:pPr>
                    <w:pStyle w:val="47"/>
                    <w:rPr>
                      <w:color w:val="auto"/>
                      <w:sz w:val="18"/>
                      <w:szCs w:val="18"/>
                    </w:rPr>
                  </w:pPr>
                </w:p>
              </w:tc>
              <w:tc>
                <w:tcPr>
                  <w:tcW w:w="1334" w:type="dxa"/>
                  <w:vMerge w:val="continue"/>
                  <w:noWrap w:val="0"/>
                  <w:vAlign w:val="center"/>
                </w:tcPr>
                <w:p>
                  <w:pPr>
                    <w:pStyle w:val="47"/>
                    <w:rPr>
                      <w:color w:val="auto"/>
                      <w:sz w:val="18"/>
                      <w:szCs w:val="18"/>
                    </w:rPr>
                  </w:pPr>
                </w:p>
              </w:tc>
              <w:tc>
                <w:tcPr>
                  <w:tcW w:w="807" w:type="dxa"/>
                  <w:noWrap w:val="0"/>
                  <w:vAlign w:val="center"/>
                </w:tcPr>
                <w:p>
                  <w:pPr>
                    <w:pStyle w:val="47"/>
                    <w:rPr>
                      <w:color w:val="auto"/>
                      <w:sz w:val="18"/>
                      <w:szCs w:val="18"/>
                    </w:rPr>
                  </w:pPr>
                  <w:r>
                    <w:rPr>
                      <w:color w:val="auto"/>
                      <w:sz w:val="18"/>
                      <w:szCs w:val="18"/>
                    </w:rPr>
                    <w:t>昼间</w:t>
                  </w:r>
                </w:p>
              </w:tc>
              <w:tc>
                <w:tcPr>
                  <w:tcW w:w="807" w:type="dxa"/>
                  <w:noWrap w:val="0"/>
                  <w:vAlign w:val="center"/>
                </w:tcPr>
                <w:p>
                  <w:pPr>
                    <w:pStyle w:val="47"/>
                    <w:rPr>
                      <w:rFonts w:hint="eastAsia" w:eastAsia="宋体"/>
                      <w:color w:val="auto"/>
                      <w:sz w:val="18"/>
                      <w:szCs w:val="18"/>
                      <w:lang w:eastAsia="zh-CN"/>
                    </w:rPr>
                  </w:pPr>
                  <w:r>
                    <w:rPr>
                      <w:rFonts w:hint="eastAsia"/>
                      <w:color w:val="auto"/>
                      <w:sz w:val="18"/>
                      <w:szCs w:val="18"/>
                      <w:lang w:eastAsia="zh-CN"/>
                    </w:rPr>
                    <w:t>夜间</w:t>
                  </w:r>
                </w:p>
              </w:tc>
              <w:tc>
                <w:tcPr>
                  <w:tcW w:w="937" w:type="dxa"/>
                  <w:noWrap w:val="0"/>
                  <w:vAlign w:val="center"/>
                </w:tcPr>
                <w:p>
                  <w:pPr>
                    <w:pStyle w:val="47"/>
                    <w:rPr>
                      <w:color w:val="auto"/>
                      <w:sz w:val="18"/>
                      <w:szCs w:val="18"/>
                    </w:rPr>
                  </w:pPr>
                  <w:r>
                    <w:rPr>
                      <w:color w:val="auto"/>
                      <w:sz w:val="18"/>
                      <w:szCs w:val="18"/>
                    </w:rPr>
                    <w:t>昼间</w:t>
                  </w:r>
                </w:p>
              </w:tc>
              <w:tc>
                <w:tcPr>
                  <w:tcW w:w="938" w:type="dxa"/>
                  <w:noWrap w:val="0"/>
                  <w:vAlign w:val="center"/>
                </w:tcPr>
                <w:p>
                  <w:pPr>
                    <w:pStyle w:val="47"/>
                    <w:rPr>
                      <w:rFonts w:hint="eastAsia" w:eastAsia="宋体"/>
                      <w:color w:val="auto"/>
                      <w:sz w:val="18"/>
                      <w:szCs w:val="18"/>
                      <w:lang w:eastAsia="zh-CN"/>
                    </w:rPr>
                  </w:pPr>
                  <w:r>
                    <w:rPr>
                      <w:rFonts w:hint="eastAsia"/>
                      <w:color w:val="auto"/>
                      <w:sz w:val="18"/>
                      <w:szCs w:val="18"/>
                      <w:lang w:eastAsia="zh-CN"/>
                    </w:rPr>
                    <w:t>夜间</w:t>
                  </w:r>
                </w:p>
              </w:tc>
              <w:tc>
                <w:tcPr>
                  <w:tcW w:w="986" w:type="dxa"/>
                  <w:noWrap w:val="0"/>
                  <w:vAlign w:val="center"/>
                </w:tcPr>
                <w:p>
                  <w:pPr>
                    <w:pStyle w:val="47"/>
                    <w:rPr>
                      <w:color w:val="auto"/>
                      <w:sz w:val="18"/>
                      <w:szCs w:val="18"/>
                    </w:rPr>
                  </w:pPr>
                  <w:r>
                    <w:rPr>
                      <w:color w:val="auto"/>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3" w:hRule="atLeast"/>
              </w:trPr>
              <w:tc>
                <w:tcPr>
                  <w:tcW w:w="997" w:type="dxa"/>
                  <w:vMerge w:val="restart"/>
                  <w:noWrap w:val="0"/>
                  <w:vAlign w:val="center"/>
                </w:tcPr>
                <w:p>
                  <w:pPr>
                    <w:pStyle w:val="47"/>
                    <w:rPr>
                      <w:color w:val="auto"/>
                      <w:sz w:val="18"/>
                      <w:szCs w:val="18"/>
                    </w:rPr>
                  </w:pPr>
                  <w:r>
                    <w:rPr>
                      <w:color w:val="auto"/>
                      <w:spacing w:val="-2"/>
                      <w:sz w:val="18"/>
                      <w:szCs w:val="18"/>
                    </w:rPr>
                    <w:t>20</w:t>
                  </w:r>
                  <w:r>
                    <w:rPr>
                      <w:rFonts w:hint="eastAsia"/>
                      <w:color w:val="auto"/>
                      <w:spacing w:val="-2"/>
                      <w:sz w:val="18"/>
                      <w:szCs w:val="18"/>
                      <w:lang w:eastAsia="zh-CN"/>
                    </w:rPr>
                    <w:t>2</w:t>
                  </w:r>
                  <w:r>
                    <w:rPr>
                      <w:rFonts w:hint="eastAsia"/>
                      <w:color w:val="auto"/>
                      <w:spacing w:val="-2"/>
                      <w:sz w:val="18"/>
                      <w:szCs w:val="18"/>
                      <w:lang w:val="en-US" w:eastAsia="zh-CN"/>
                    </w:rPr>
                    <w:t>1</w:t>
                  </w:r>
                  <w:r>
                    <w:rPr>
                      <w:color w:val="auto"/>
                      <w:spacing w:val="-2"/>
                      <w:sz w:val="18"/>
                      <w:szCs w:val="18"/>
                    </w:rPr>
                    <w:t>年</w:t>
                  </w:r>
                  <w:r>
                    <w:rPr>
                      <w:rFonts w:hint="eastAsia"/>
                      <w:color w:val="auto"/>
                      <w:spacing w:val="-2"/>
                      <w:sz w:val="18"/>
                      <w:szCs w:val="18"/>
                      <w:lang w:val="en-US" w:eastAsia="zh-CN"/>
                    </w:rPr>
                    <w:t>9</w:t>
                  </w:r>
                  <w:r>
                    <w:rPr>
                      <w:color w:val="auto"/>
                      <w:spacing w:val="-2"/>
                      <w:sz w:val="18"/>
                      <w:szCs w:val="18"/>
                    </w:rPr>
                    <w:t>月</w:t>
                  </w:r>
                  <w:r>
                    <w:rPr>
                      <w:rFonts w:hint="eastAsia"/>
                      <w:color w:val="auto"/>
                      <w:spacing w:val="-2"/>
                      <w:sz w:val="18"/>
                      <w:szCs w:val="18"/>
                      <w:lang w:val="en-US" w:eastAsia="zh-CN"/>
                    </w:rPr>
                    <w:t>27</w:t>
                  </w:r>
                  <w:r>
                    <w:rPr>
                      <w:color w:val="auto"/>
                      <w:spacing w:val="-2"/>
                      <w:sz w:val="18"/>
                      <w:szCs w:val="18"/>
                    </w:rPr>
                    <w:t>日</w:t>
                  </w:r>
                </w:p>
              </w:tc>
              <w:tc>
                <w:tcPr>
                  <w:tcW w:w="1334" w:type="dxa"/>
                  <w:noWrap w:val="0"/>
                  <w:vAlign w:val="center"/>
                </w:tcPr>
                <w:p>
                  <w:pPr>
                    <w:pStyle w:val="47"/>
                    <w:rPr>
                      <w:color w:val="auto"/>
                      <w:sz w:val="18"/>
                      <w:szCs w:val="18"/>
                    </w:rPr>
                  </w:pPr>
                  <w:r>
                    <w:rPr>
                      <w:color w:val="auto"/>
                      <w:sz w:val="18"/>
                      <w:szCs w:val="18"/>
                    </w:rPr>
                    <w:t>N1：</w:t>
                  </w:r>
                  <w:r>
                    <w:rPr>
                      <w:rFonts w:hint="eastAsia"/>
                      <w:color w:val="auto"/>
                      <w:sz w:val="18"/>
                      <w:szCs w:val="18"/>
                      <w:lang w:val="en-US" w:eastAsia="zh-CN"/>
                    </w:rPr>
                    <w:t>厂界东侧20米处民居</w:t>
                  </w:r>
                </w:p>
              </w:tc>
              <w:tc>
                <w:tcPr>
                  <w:tcW w:w="807" w:type="dxa"/>
                  <w:noWrap w:val="0"/>
                  <w:vAlign w:val="center"/>
                </w:tcPr>
                <w:p>
                  <w:pPr>
                    <w:pStyle w:val="47"/>
                    <w:rPr>
                      <w:rFonts w:hint="default" w:eastAsia="宋体"/>
                      <w:bCs/>
                      <w:color w:val="auto"/>
                      <w:sz w:val="18"/>
                      <w:szCs w:val="18"/>
                      <w:lang w:val="en-US" w:eastAsia="zh-CN"/>
                    </w:rPr>
                  </w:pPr>
                  <w:r>
                    <w:rPr>
                      <w:rFonts w:hint="eastAsia"/>
                      <w:bCs/>
                      <w:color w:val="auto"/>
                      <w:sz w:val="18"/>
                      <w:szCs w:val="18"/>
                      <w:lang w:val="en-US" w:eastAsia="zh-CN"/>
                    </w:rPr>
                    <w:t>55</w:t>
                  </w:r>
                </w:p>
              </w:tc>
              <w:tc>
                <w:tcPr>
                  <w:tcW w:w="807" w:type="dxa"/>
                  <w:noWrap w:val="0"/>
                  <w:vAlign w:val="center"/>
                </w:tcPr>
                <w:p>
                  <w:pPr>
                    <w:pStyle w:val="47"/>
                    <w:rPr>
                      <w:rFonts w:hint="default"/>
                      <w:bCs/>
                      <w:color w:val="auto"/>
                      <w:sz w:val="18"/>
                      <w:szCs w:val="18"/>
                      <w:lang w:val="en-US" w:eastAsia="zh-CN"/>
                    </w:rPr>
                  </w:pPr>
                  <w:r>
                    <w:rPr>
                      <w:rFonts w:hint="eastAsia"/>
                      <w:bCs/>
                      <w:color w:val="auto"/>
                      <w:sz w:val="18"/>
                      <w:szCs w:val="18"/>
                      <w:lang w:val="en-US" w:eastAsia="zh-CN"/>
                    </w:rPr>
                    <w:t>42</w:t>
                  </w:r>
                </w:p>
              </w:tc>
              <w:tc>
                <w:tcPr>
                  <w:tcW w:w="937" w:type="dxa"/>
                  <w:noWrap w:val="0"/>
                  <w:vAlign w:val="center"/>
                </w:tcPr>
                <w:p>
                  <w:pPr>
                    <w:pStyle w:val="47"/>
                    <w:rPr>
                      <w:color w:val="auto"/>
                      <w:sz w:val="18"/>
                      <w:szCs w:val="18"/>
                    </w:rPr>
                  </w:pPr>
                  <w:r>
                    <w:rPr>
                      <w:color w:val="auto"/>
                      <w:sz w:val="18"/>
                      <w:szCs w:val="18"/>
                    </w:rPr>
                    <w:t>60</w:t>
                  </w:r>
                </w:p>
              </w:tc>
              <w:tc>
                <w:tcPr>
                  <w:tcW w:w="938" w:type="dxa"/>
                  <w:noWrap w:val="0"/>
                  <w:vAlign w:val="center"/>
                </w:tcPr>
                <w:p>
                  <w:pPr>
                    <w:pStyle w:val="47"/>
                    <w:rPr>
                      <w:rFonts w:hint="default" w:eastAsia="宋体"/>
                      <w:color w:val="auto"/>
                      <w:sz w:val="18"/>
                      <w:szCs w:val="18"/>
                      <w:lang w:val="en-US" w:eastAsia="zh-CN"/>
                    </w:rPr>
                  </w:pPr>
                  <w:r>
                    <w:rPr>
                      <w:rFonts w:hint="eastAsia"/>
                      <w:color w:val="auto"/>
                      <w:sz w:val="18"/>
                      <w:szCs w:val="18"/>
                      <w:lang w:val="en-US" w:eastAsia="zh-CN"/>
                    </w:rPr>
                    <w:t>50</w:t>
                  </w:r>
                </w:p>
              </w:tc>
              <w:tc>
                <w:tcPr>
                  <w:tcW w:w="986" w:type="dxa"/>
                  <w:noWrap w:val="0"/>
                  <w:vAlign w:val="center"/>
                </w:tcPr>
                <w:p>
                  <w:pPr>
                    <w:pStyle w:val="47"/>
                    <w:rPr>
                      <w:color w:val="auto"/>
                      <w:sz w:val="18"/>
                      <w:szCs w:val="18"/>
                    </w:rPr>
                  </w:pPr>
                  <w:r>
                    <w:rPr>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97" w:type="dxa"/>
                  <w:vMerge w:val="continue"/>
                  <w:noWrap w:val="0"/>
                  <w:vAlign w:val="center"/>
                </w:tcPr>
                <w:p>
                  <w:pPr>
                    <w:pStyle w:val="47"/>
                    <w:rPr>
                      <w:color w:val="auto"/>
                      <w:sz w:val="18"/>
                      <w:szCs w:val="18"/>
                    </w:rPr>
                  </w:pPr>
                </w:p>
              </w:tc>
              <w:tc>
                <w:tcPr>
                  <w:tcW w:w="1334" w:type="dxa"/>
                  <w:noWrap w:val="0"/>
                  <w:vAlign w:val="center"/>
                </w:tcPr>
                <w:p>
                  <w:pPr>
                    <w:pStyle w:val="47"/>
                    <w:rPr>
                      <w:color w:val="auto"/>
                      <w:sz w:val="18"/>
                      <w:szCs w:val="18"/>
                    </w:rPr>
                  </w:pPr>
                  <w:r>
                    <w:rPr>
                      <w:color w:val="auto"/>
                      <w:sz w:val="18"/>
                      <w:szCs w:val="18"/>
                    </w:rPr>
                    <w:t>N2：</w:t>
                  </w:r>
                  <w:r>
                    <w:rPr>
                      <w:rFonts w:hint="eastAsia"/>
                      <w:color w:val="auto"/>
                      <w:sz w:val="18"/>
                      <w:szCs w:val="18"/>
                      <w:lang w:val="en-US" w:eastAsia="zh-CN"/>
                    </w:rPr>
                    <w:t>厂界北侧30米处民居</w:t>
                  </w:r>
                </w:p>
              </w:tc>
              <w:tc>
                <w:tcPr>
                  <w:tcW w:w="807" w:type="dxa"/>
                  <w:noWrap w:val="0"/>
                  <w:vAlign w:val="center"/>
                </w:tcPr>
                <w:p>
                  <w:pPr>
                    <w:pStyle w:val="47"/>
                    <w:rPr>
                      <w:rFonts w:hint="eastAsia" w:eastAsia="宋体"/>
                      <w:bCs/>
                      <w:color w:val="auto"/>
                      <w:sz w:val="18"/>
                      <w:szCs w:val="18"/>
                      <w:lang w:eastAsia="zh-CN"/>
                    </w:rPr>
                  </w:pPr>
                  <w:r>
                    <w:rPr>
                      <w:bCs/>
                      <w:color w:val="auto"/>
                      <w:sz w:val="18"/>
                      <w:szCs w:val="18"/>
                    </w:rPr>
                    <w:t>5</w:t>
                  </w:r>
                  <w:r>
                    <w:rPr>
                      <w:rFonts w:hint="eastAsia"/>
                      <w:bCs/>
                      <w:color w:val="auto"/>
                      <w:sz w:val="18"/>
                      <w:szCs w:val="18"/>
                      <w:lang w:val="en-US" w:eastAsia="zh-CN"/>
                    </w:rPr>
                    <w:t>6</w:t>
                  </w:r>
                </w:p>
              </w:tc>
              <w:tc>
                <w:tcPr>
                  <w:tcW w:w="807" w:type="dxa"/>
                  <w:noWrap w:val="0"/>
                  <w:vAlign w:val="center"/>
                </w:tcPr>
                <w:p>
                  <w:pPr>
                    <w:pStyle w:val="47"/>
                    <w:rPr>
                      <w:rFonts w:hint="default" w:eastAsia="宋体"/>
                      <w:bCs/>
                      <w:color w:val="auto"/>
                      <w:sz w:val="18"/>
                      <w:szCs w:val="18"/>
                      <w:lang w:val="en-US" w:eastAsia="zh-CN"/>
                    </w:rPr>
                  </w:pPr>
                  <w:r>
                    <w:rPr>
                      <w:rFonts w:hint="eastAsia"/>
                      <w:bCs/>
                      <w:color w:val="auto"/>
                      <w:sz w:val="18"/>
                      <w:szCs w:val="18"/>
                      <w:lang w:val="en-US" w:eastAsia="zh-CN"/>
                    </w:rPr>
                    <w:t>41</w:t>
                  </w:r>
                </w:p>
              </w:tc>
              <w:tc>
                <w:tcPr>
                  <w:tcW w:w="937" w:type="dxa"/>
                  <w:noWrap w:val="0"/>
                  <w:vAlign w:val="center"/>
                </w:tcPr>
                <w:p>
                  <w:pPr>
                    <w:pStyle w:val="47"/>
                    <w:rPr>
                      <w:color w:val="auto"/>
                      <w:sz w:val="18"/>
                      <w:szCs w:val="18"/>
                    </w:rPr>
                  </w:pPr>
                  <w:r>
                    <w:rPr>
                      <w:color w:val="auto"/>
                      <w:sz w:val="18"/>
                      <w:szCs w:val="18"/>
                    </w:rPr>
                    <w:t>60</w:t>
                  </w:r>
                </w:p>
              </w:tc>
              <w:tc>
                <w:tcPr>
                  <w:tcW w:w="938" w:type="dxa"/>
                  <w:noWrap w:val="0"/>
                  <w:vAlign w:val="center"/>
                </w:tcPr>
                <w:p>
                  <w:pPr>
                    <w:pStyle w:val="47"/>
                    <w:rPr>
                      <w:rFonts w:hint="default" w:eastAsia="宋体"/>
                      <w:color w:val="auto"/>
                      <w:sz w:val="18"/>
                      <w:szCs w:val="18"/>
                      <w:lang w:val="en-US" w:eastAsia="zh-CN"/>
                    </w:rPr>
                  </w:pPr>
                  <w:r>
                    <w:rPr>
                      <w:rFonts w:hint="eastAsia"/>
                      <w:color w:val="auto"/>
                      <w:sz w:val="18"/>
                      <w:szCs w:val="18"/>
                      <w:lang w:val="en-US" w:eastAsia="zh-CN"/>
                    </w:rPr>
                    <w:t>50</w:t>
                  </w:r>
                </w:p>
              </w:tc>
              <w:tc>
                <w:tcPr>
                  <w:tcW w:w="986" w:type="dxa"/>
                  <w:noWrap w:val="0"/>
                  <w:vAlign w:val="center"/>
                </w:tcPr>
                <w:p>
                  <w:pPr>
                    <w:pStyle w:val="47"/>
                    <w:rPr>
                      <w:color w:val="auto"/>
                      <w:sz w:val="18"/>
                      <w:szCs w:val="18"/>
                    </w:rPr>
                  </w:pPr>
                  <w:r>
                    <w:rPr>
                      <w:color w:val="auto"/>
                      <w:sz w:val="18"/>
                      <w:szCs w:val="18"/>
                    </w:rPr>
                    <w:t>达标</w:t>
                  </w:r>
                </w:p>
              </w:tc>
            </w:tr>
          </w:tbl>
          <w:p>
            <w:pPr>
              <w:pStyle w:val="9"/>
              <w:rPr>
                <w:rFonts w:hint="eastAsia" w:ascii="宋体" w:hAnsi="宋体" w:eastAsia="宋体" w:cs="宋体"/>
                <w:b/>
                <w:bCs/>
                <w:color w:val="auto"/>
                <w:spacing w:val="2"/>
                <w:sz w:val="21"/>
                <w:szCs w:val="21"/>
              </w:rPr>
            </w:pPr>
            <w:r>
              <w:rPr>
                <w:rFonts w:hint="eastAsia" w:ascii="宋体" w:hAnsi="宋体" w:eastAsia="宋体" w:cs="宋体"/>
                <w:b/>
                <w:bCs/>
                <w:color w:val="auto"/>
                <w:sz w:val="21"/>
                <w:szCs w:val="21"/>
              </w:rPr>
              <w:t>表3</w:t>
            </w:r>
            <w:r>
              <w:rPr>
                <w:rFonts w:hint="eastAsia" w:ascii="宋体" w:hAnsi="宋体" w:eastAsia="宋体" w:cs="宋体"/>
                <w:b/>
                <w:bCs/>
                <w:color w:val="auto"/>
                <w:sz w:val="21"/>
                <w:szCs w:val="21"/>
                <w:lang w:val="en-US" w:eastAsia="zh-CN"/>
              </w:rPr>
              <w:t>-5</w:t>
            </w:r>
            <w:r>
              <w:rPr>
                <w:rFonts w:hint="eastAsia" w:ascii="宋体" w:hAnsi="宋体" w:eastAsia="宋体" w:cs="宋体"/>
                <w:b/>
                <w:bCs/>
                <w:color w:val="auto"/>
                <w:sz w:val="21"/>
                <w:szCs w:val="21"/>
              </w:rPr>
              <w:t xml:space="preserve">   噪声监测结果单位：dB(A)</w:t>
            </w:r>
          </w:p>
          <w:p>
            <w:pPr>
              <w:spacing w:line="360" w:lineRule="auto"/>
              <w:ind w:firstLine="420" w:firstLineChars="200"/>
              <w:jc w:val="left"/>
              <w:rPr>
                <w:color w:val="auto"/>
                <w:kern w:val="0"/>
                <w:szCs w:val="21"/>
                <w:u w:val="single"/>
                <w:lang w:val="zh-CN"/>
              </w:rPr>
            </w:pP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Cs w:val="21"/>
                <w:u w:val="none"/>
                <w:lang w:val="zh-CN"/>
              </w:rPr>
            </w:pPr>
            <w:r>
              <w:rPr>
                <w:color w:val="auto"/>
                <w:kern w:val="0"/>
                <w:szCs w:val="21"/>
                <w:u w:val="none"/>
                <w:lang w:val="zh-CN"/>
              </w:rPr>
              <w:t>根据监测结果，区域声环境质量能够达到《声环境质量标准》（GB3096-2008）2类标准，声环境质量良好。</w:t>
            </w:r>
          </w:p>
          <w:p>
            <w:pPr>
              <w:spacing w:line="360" w:lineRule="auto"/>
              <w:ind w:firstLine="422" w:firstLineChars="200"/>
              <w:jc w:val="left"/>
              <w:rPr>
                <w:rFonts w:hint="eastAsia"/>
                <w:b/>
                <w:bCs/>
                <w:color w:val="auto"/>
                <w:kern w:val="0"/>
                <w:szCs w:val="21"/>
                <w:u w:val="none"/>
                <w:lang w:val="zh-CN"/>
              </w:rPr>
            </w:pPr>
            <w:r>
              <w:rPr>
                <w:rFonts w:hint="eastAsia"/>
                <w:b/>
                <w:bCs/>
                <w:color w:val="auto"/>
                <w:kern w:val="0"/>
                <w:szCs w:val="21"/>
                <w:u w:val="none"/>
                <w:lang w:val="zh-CN"/>
              </w:rPr>
              <w:t>4、生态环境</w:t>
            </w:r>
            <w:r>
              <w:rPr>
                <w:b/>
                <w:snapToGrid w:val="0"/>
                <w:color w:val="auto"/>
                <w:kern w:val="0"/>
                <w:sz w:val="21"/>
                <w:szCs w:val="21"/>
                <w:u w:val="none"/>
              </w:rPr>
              <w:t>质量现状调查与评价</w:t>
            </w:r>
          </w:p>
          <w:p>
            <w:pPr>
              <w:spacing w:line="360" w:lineRule="auto"/>
              <w:ind w:firstLine="420" w:firstLineChars="200"/>
              <w:jc w:val="left"/>
              <w:rPr>
                <w:color w:val="auto"/>
                <w:kern w:val="0"/>
                <w:szCs w:val="21"/>
                <w:u w:val="single"/>
                <w:lang w:val="zh-CN"/>
              </w:rPr>
            </w:pPr>
            <w:r>
              <w:rPr>
                <w:rFonts w:hint="eastAsia"/>
                <w:color w:val="auto"/>
                <w:kern w:val="0"/>
                <w:szCs w:val="21"/>
                <w:u w:val="none"/>
                <w:lang w:val="zh-CN"/>
              </w:rPr>
              <w:t>根据现场勘查、项目评价区域位于衡阳县西渡镇咸中亭村，项目所在区域人类活动频繁，主要野生动物为田鼠、青蛙、蛇、山雀等常见物种，家畜以牛、羊、猪为主， 家禽以鸡、鸭、鹅为主，水生鱼类以青、草、鲤、鲫四大家鱼为主，区域内现有的植被类型和植物种类都较为简单，无大型乔木、珍贵植物；项目及周边没有国家和地方重点保护的植物种类和珍稀物种，也未发现国家和地方重点保护的野生动物及珍稀野生动物。项目所在地周边无基本农田保护区、自然保护区、风景名胜区等特殊环境敏感区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69" w:hRule="atLeast"/>
          <w:jc w:val="center"/>
        </w:trPr>
        <w:tc>
          <w:tcPr>
            <w:tcW w:w="800" w:type="dxa"/>
            <w:vAlign w:val="center"/>
          </w:tcPr>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保护</w:t>
            </w:r>
          </w:p>
          <w:p>
            <w:pPr>
              <w:adjustRightInd w:val="0"/>
              <w:snapToGrid w:val="0"/>
              <w:jc w:val="center"/>
              <w:rPr>
                <w:color w:val="auto"/>
                <w:kern w:val="0"/>
                <w:szCs w:val="21"/>
              </w:rPr>
            </w:pPr>
            <w:r>
              <w:rPr>
                <w:color w:val="auto"/>
                <w:kern w:val="0"/>
                <w:szCs w:val="21"/>
              </w:rPr>
              <w:t>目标</w:t>
            </w:r>
          </w:p>
        </w:tc>
        <w:tc>
          <w:tcPr>
            <w:tcW w:w="8190" w:type="dxa"/>
            <w:vAlign w:val="center"/>
          </w:tcPr>
          <w:p>
            <w:pPr>
              <w:widowControl/>
              <w:adjustRightInd w:val="0"/>
              <w:snapToGrid w:val="0"/>
              <w:spacing w:line="360" w:lineRule="auto"/>
              <w:ind w:firstLine="420" w:firstLineChars="200"/>
              <w:rPr>
                <w:rFonts w:hint="eastAsia"/>
                <w:color w:val="auto"/>
                <w:kern w:val="0"/>
                <w:szCs w:val="21"/>
                <w:u w:val="none"/>
              </w:rPr>
            </w:pPr>
            <w:r>
              <w:rPr>
                <w:rFonts w:hint="eastAsia"/>
                <w:color w:val="auto"/>
                <w:kern w:val="0"/>
                <w:szCs w:val="21"/>
                <w:u w:val="none"/>
              </w:rPr>
              <w:t>本项目位于湖南省衡阳市衡阳县</w:t>
            </w:r>
            <w:r>
              <w:rPr>
                <w:rFonts w:hint="eastAsia"/>
                <w:color w:val="auto"/>
                <w:kern w:val="0"/>
                <w:szCs w:val="21"/>
                <w:u w:val="none"/>
                <w:lang w:val="zh-CN"/>
              </w:rPr>
              <w:t>西渡镇咸中亭村</w:t>
            </w:r>
            <w:r>
              <w:rPr>
                <w:rFonts w:hint="eastAsia"/>
                <w:color w:val="auto"/>
                <w:kern w:val="0"/>
                <w:szCs w:val="21"/>
                <w:u w:val="none"/>
              </w:rPr>
              <w:t>，经现场踏勘，项目周围没有文物、历史名胜古迹及有价值的自然景观和珍稀动植物物种等需要特殊保护的对象，项目主要环境保护目标见下表。</w:t>
            </w:r>
          </w:p>
          <w:p>
            <w:pPr>
              <w:widowControl/>
              <w:adjustRightInd w:val="0"/>
              <w:snapToGrid w:val="0"/>
              <w:jc w:val="center"/>
              <w:rPr>
                <w:rFonts w:eastAsia="黑体"/>
                <w:color w:val="auto"/>
                <w:kern w:val="0"/>
                <w:szCs w:val="21"/>
                <w:u w:val="none"/>
              </w:rPr>
            </w:pPr>
            <w:r>
              <w:rPr>
                <w:rFonts w:eastAsia="黑体"/>
                <w:color w:val="auto"/>
                <w:kern w:val="0"/>
                <w:szCs w:val="21"/>
                <w:u w:val="none"/>
              </w:rPr>
              <w:t>表3.</w:t>
            </w:r>
            <w:r>
              <w:rPr>
                <w:rFonts w:hint="eastAsia" w:eastAsia="黑体"/>
                <w:color w:val="auto"/>
                <w:kern w:val="0"/>
                <w:szCs w:val="21"/>
                <w:u w:val="none"/>
                <w:lang w:val="en-US" w:eastAsia="zh-CN"/>
              </w:rPr>
              <w:t>6</w:t>
            </w:r>
            <w:r>
              <w:rPr>
                <w:rFonts w:eastAsia="黑体"/>
                <w:color w:val="auto"/>
                <w:kern w:val="0"/>
                <w:szCs w:val="21"/>
                <w:u w:val="none"/>
              </w:rPr>
              <w:t xml:space="preserve">  环境保护目标</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219"/>
              <w:gridCol w:w="1118"/>
              <w:gridCol w:w="1022"/>
              <w:gridCol w:w="1365"/>
              <w:gridCol w:w="1077"/>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rPr>
              <w:tc>
                <w:tcPr>
                  <w:tcW w:w="361" w:type="pct"/>
                  <w:vMerge w:val="restart"/>
                  <w:noWrap w:val="0"/>
                  <w:vAlign w:val="center"/>
                </w:tcPr>
                <w:p>
                  <w:pPr>
                    <w:widowControl/>
                    <w:adjustRightInd w:val="0"/>
                    <w:snapToGrid w:val="0"/>
                    <w:jc w:val="center"/>
                    <w:rPr>
                      <w:color w:val="auto"/>
                      <w:kern w:val="0"/>
                      <w:sz w:val="18"/>
                      <w:szCs w:val="18"/>
                      <w:u w:val="none"/>
                    </w:rPr>
                  </w:pPr>
                  <w:r>
                    <w:rPr>
                      <w:color w:val="auto"/>
                      <w:kern w:val="0"/>
                      <w:sz w:val="18"/>
                      <w:szCs w:val="18"/>
                      <w:u w:val="none"/>
                    </w:rPr>
                    <w:t>环境要素</w:t>
                  </w:r>
                </w:p>
              </w:tc>
              <w:tc>
                <w:tcPr>
                  <w:tcW w:w="1467" w:type="pct"/>
                  <w:gridSpan w:val="2"/>
                  <w:noWrap w:val="0"/>
                  <w:vAlign w:val="center"/>
                </w:tcPr>
                <w:p>
                  <w:pPr>
                    <w:widowControl/>
                    <w:adjustRightInd w:val="0"/>
                    <w:snapToGrid w:val="0"/>
                    <w:jc w:val="center"/>
                    <w:rPr>
                      <w:color w:val="auto"/>
                      <w:kern w:val="0"/>
                      <w:sz w:val="18"/>
                      <w:szCs w:val="18"/>
                      <w:u w:val="none"/>
                    </w:rPr>
                  </w:pPr>
                  <w:r>
                    <w:rPr>
                      <w:color w:val="auto"/>
                      <w:kern w:val="0"/>
                      <w:sz w:val="18"/>
                      <w:szCs w:val="18"/>
                      <w:u w:val="none"/>
                    </w:rPr>
                    <w:t>坐标</w:t>
                  </w:r>
                </w:p>
              </w:tc>
              <w:tc>
                <w:tcPr>
                  <w:tcW w:w="641" w:type="pct"/>
                  <w:vMerge w:val="restart"/>
                  <w:noWrap w:val="0"/>
                  <w:vAlign w:val="center"/>
                </w:tcPr>
                <w:p>
                  <w:pPr>
                    <w:widowControl/>
                    <w:adjustRightInd w:val="0"/>
                    <w:snapToGrid w:val="0"/>
                    <w:jc w:val="center"/>
                    <w:rPr>
                      <w:color w:val="auto"/>
                      <w:kern w:val="0"/>
                      <w:sz w:val="18"/>
                      <w:szCs w:val="18"/>
                      <w:u w:val="none"/>
                    </w:rPr>
                  </w:pPr>
                  <w:r>
                    <w:rPr>
                      <w:color w:val="auto"/>
                      <w:kern w:val="0"/>
                      <w:sz w:val="18"/>
                      <w:szCs w:val="18"/>
                      <w:u w:val="none"/>
                    </w:rPr>
                    <w:t>环境敏感点</w:t>
                  </w:r>
                </w:p>
              </w:tc>
              <w:tc>
                <w:tcPr>
                  <w:tcW w:w="857" w:type="pct"/>
                  <w:vMerge w:val="restart"/>
                  <w:noWrap w:val="0"/>
                  <w:vAlign w:val="center"/>
                </w:tcPr>
                <w:p>
                  <w:pPr>
                    <w:widowControl/>
                    <w:adjustRightInd w:val="0"/>
                    <w:snapToGrid w:val="0"/>
                    <w:jc w:val="center"/>
                    <w:rPr>
                      <w:color w:val="auto"/>
                      <w:kern w:val="0"/>
                      <w:sz w:val="18"/>
                      <w:szCs w:val="18"/>
                      <w:u w:val="none"/>
                    </w:rPr>
                  </w:pPr>
                  <w:r>
                    <w:rPr>
                      <w:color w:val="auto"/>
                      <w:kern w:val="0"/>
                      <w:sz w:val="18"/>
                      <w:szCs w:val="18"/>
                      <w:u w:val="none"/>
                    </w:rPr>
                    <w:t>与厂界方位距离</w:t>
                  </w:r>
                </w:p>
              </w:tc>
              <w:tc>
                <w:tcPr>
                  <w:tcW w:w="676" w:type="pct"/>
                  <w:vMerge w:val="restart"/>
                  <w:noWrap w:val="0"/>
                  <w:vAlign w:val="center"/>
                </w:tcPr>
                <w:p>
                  <w:pPr>
                    <w:widowControl/>
                    <w:adjustRightInd w:val="0"/>
                    <w:snapToGrid w:val="0"/>
                    <w:jc w:val="center"/>
                    <w:rPr>
                      <w:color w:val="auto"/>
                      <w:kern w:val="0"/>
                      <w:sz w:val="18"/>
                      <w:szCs w:val="18"/>
                      <w:u w:val="none"/>
                    </w:rPr>
                  </w:pPr>
                  <w:r>
                    <w:rPr>
                      <w:color w:val="auto"/>
                      <w:kern w:val="0"/>
                      <w:sz w:val="18"/>
                      <w:szCs w:val="18"/>
                      <w:u w:val="none"/>
                    </w:rPr>
                    <w:t>功</w:t>
                  </w:r>
                  <w:r>
                    <w:rPr>
                      <w:rFonts w:hint="eastAsia"/>
                      <w:color w:val="auto"/>
                      <w:kern w:val="0"/>
                      <w:sz w:val="18"/>
                      <w:szCs w:val="18"/>
                      <w:u w:val="none"/>
                    </w:rPr>
                    <w:t>能</w:t>
                  </w:r>
                  <w:r>
                    <w:rPr>
                      <w:color w:val="auto"/>
                      <w:kern w:val="0"/>
                      <w:sz w:val="18"/>
                      <w:szCs w:val="18"/>
                      <w:u w:val="none"/>
                    </w:rPr>
                    <w:t>/规模</w:t>
                  </w:r>
                </w:p>
              </w:tc>
              <w:tc>
                <w:tcPr>
                  <w:tcW w:w="995" w:type="pct"/>
                  <w:vMerge w:val="restart"/>
                  <w:noWrap w:val="0"/>
                  <w:vAlign w:val="center"/>
                </w:tcPr>
                <w:p>
                  <w:pPr>
                    <w:widowControl/>
                    <w:adjustRightInd w:val="0"/>
                    <w:snapToGrid w:val="0"/>
                    <w:jc w:val="center"/>
                    <w:rPr>
                      <w:color w:val="auto"/>
                      <w:kern w:val="0"/>
                      <w:sz w:val="18"/>
                      <w:szCs w:val="18"/>
                      <w:u w:val="none"/>
                    </w:rPr>
                  </w:pPr>
                  <w:r>
                    <w:rPr>
                      <w:color w:val="auto"/>
                      <w:kern w:val="0"/>
                      <w:sz w:val="18"/>
                      <w:szCs w:val="18"/>
                      <w:u w:val="none"/>
                    </w:rPr>
                    <w:t>环境保护区域标准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61" w:type="pct"/>
                  <w:vMerge w:val="continue"/>
                  <w:noWrap w:val="0"/>
                  <w:vAlign w:val="center"/>
                </w:tcPr>
                <w:p>
                  <w:pPr>
                    <w:widowControl/>
                    <w:adjustRightInd w:val="0"/>
                    <w:snapToGrid w:val="0"/>
                    <w:jc w:val="center"/>
                    <w:rPr>
                      <w:color w:val="auto"/>
                      <w:kern w:val="0"/>
                      <w:sz w:val="18"/>
                      <w:szCs w:val="18"/>
                      <w:u w:val="none"/>
                    </w:rPr>
                  </w:pPr>
                </w:p>
              </w:tc>
              <w:tc>
                <w:tcPr>
                  <w:tcW w:w="765" w:type="pct"/>
                  <w:noWrap w:val="0"/>
                  <w:vAlign w:val="center"/>
                </w:tcPr>
                <w:p>
                  <w:pPr>
                    <w:widowControl/>
                    <w:adjustRightInd w:val="0"/>
                    <w:snapToGrid w:val="0"/>
                    <w:jc w:val="center"/>
                    <w:rPr>
                      <w:color w:val="auto"/>
                      <w:kern w:val="0"/>
                      <w:sz w:val="18"/>
                      <w:szCs w:val="18"/>
                      <w:u w:val="none"/>
                    </w:rPr>
                  </w:pPr>
                  <w:r>
                    <w:rPr>
                      <w:color w:val="auto"/>
                      <w:kern w:val="0"/>
                      <w:sz w:val="18"/>
                      <w:szCs w:val="18"/>
                      <w:u w:val="none"/>
                    </w:rPr>
                    <w:t>东经</w:t>
                  </w:r>
                </w:p>
              </w:tc>
              <w:tc>
                <w:tcPr>
                  <w:tcW w:w="701" w:type="pct"/>
                  <w:noWrap w:val="0"/>
                  <w:vAlign w:val="center"/>
                </w:tcPr>
                <w:p>
                  <w:pPr>
                    <w:widowControl/>
                    <w:adjustRightInd w:val="0"/>
                    <w:snapToGrid w:val="0"/>
                    <w:jc w:val="center"/>
                    <w:rPr>
                      <w:color w:val="auto"/>
                      <w:kern w:val="0"/>
                      <w:sz w:val="18"/>
                      <w:szCs w:val="18"/>
                      <w:u w:val="none"/>
                    </w:rPr>
                  </w:pPr>
                  <w:r>
                    <w:rPr>
                      <w:color w:val="auto"/>
                      <w:kern w:val="0"/>
                      <w:sz w:val="18"/>
                      <w:szCs w:val="18"/>
                      <w:u w:val="none"/>
                    </w:rPr>
                    <w:t>北纬</w:t>
                  </w:r>
                </w:p>
              </w:tc>
              <w:tc>
                <w:tcPr>
                  <w:tcW w:w="641" w:type="pct"/>
                  <w:vMerge w:val="continue"/>
                  <w:noWrap w:val="0"/>
                  <w:vAlign w:val="center"/>
                </w:tcPr>
                <w:p>
                  <w:pPr>
                    <w:widowControl/>
                    <w:adjustRightInd w:val="0"/>
                    <w:snapToGrid w:val="0"/>
                    <w:jc w:val="center"/>
                    <w:rPr>
                      <w:color w:val="auto"/>
                      <w:kern w:val="0"/>
                      <w:sz w:val="18"/>
                      <w:szCs w:val="18"/>
                      <w:u w:val="none"/>
                    </w:rPr>
                  </w:pPr>
                </w:p>
              </w:tc>
              <w:tc>
                <w:tcPr>
                  <w:tcW w:w="857" w:type="pct"/>
                  <w:vMerge w:val="continue"/>
                  <w:noWrap w:val="0"/>
                  <w:vAlign w:val="center"/>
                </w:tcPr>
                <w:p>
                  <w:pPr>
                    <w:widowControl/>
                    <w:adjustRightInd w:val="0"/>
                    <w:snapToGrid w:val="0"/>
                    <w:jc w:val="center"/>
                    <w:rPr>
                      <w:color w:val="auto"/>
                      <w:kern w:val="0"/>
                      <w:sz w:val="18"/>
                      <w:szCs w:val="18"/>
                      <w:u w:val="none"/>
                    </w:rPr>
                  </w:pPr>
                </w:p>
              </w:tc>
              <w:tc>
                <w:tcPr>
                  <w:tcW w:w="676" w:type="pct"/>
                  <w:vMerge w:val="continue"/>
                  <w:noWrap w:val="0"/>
                  <w:vAlign w:val="center"/>
                </w:tcPr>
                <w:p>
                  <w:pPr>
                    <w:widowControl/>
                    <w:adjustRightInd w:val="0"/>
                    <w:snapToGrid w:val="0"/>
                    <w:jc w:val="center"/>
                    <w:rPr>
                      <w:color w:val="auto"/>
                      <w:kern w:val="0"/>
                      <w:sz w:val="18"/>
                      <w:szCs w:val="18"/>
                      <w:u w:val="none"/>
                    </w:rPr>
                  </w:pPr>
                </w:p>
              </w:tc>
              <w:tc>
                <w:tcPr>
                  <w:tcW w:w="995" w:type="pct"/>
                  <w:vMerge w:val="continue"/>
                  <w:noWrap w:val="0"/>
                  <w:vAlign w:val="center"/>
                </w:tcPr>
                <w:p>
                  <w:pPr>
                    <w:widowControl/>
                    <w:adjustRightInd w:val="0"/>
                    <w:snapToGrid w:val="0"/>
                    <w:jc w:val="center"/>
                    <w:rPr>
                      <w:color w:val="auto"/>
                      <w:kern w:val="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1" w:type="pct"/>
                  <w:vMerge w:val="restart"/>
                  <w:noWrap w:val="0"/>
                  <w:vAlign w:val="center"/>
                </w:tcPr>
                <w:p>
                  <w:pPr>
                    <w:widowControl/>
                    <w:adjustRightInd w:val="0"/>
                    <w:snapToGrid w:val="0"/>
                    <w:jc w:val="center"/>
                    <w:rPr>
                      <w:color w:val="auto"/>
                      <w:kern w:val="0"/>
                      <w:sz w:val="18"/>
                      <w:szCs w:val="18"/>
                      <w:u w:val="none"/>
                    </w:rPr>
                  </w:pPr>
                  <w:r>
                    <w:rPr>
                      <w:color w:val="auto"/>
                      <w:kern w:val="0"/>
                      <w:sz w:val="18"/>
                      <w:szCs w:val="18"/>
                      <w:u w:val="none"/>
                    </w:rPr>
                    <w:t>大气环境</w:t>
                  </w:r>
                </w:p>
              </w:tc>
              <w:tc>
                <w:tcPr>
                  <w:tcW w:w="765"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112.3401981</w:t>
                  </w:r>
                </w:p>
              </w:tc>
              <w:tc>
                <w:tcPr>
                  <w:tcW w:w="701"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26.9954276</w:t>
                  </w:r>
                </w:p>
              </w:tc>
              <w:tc>
                <w:tcPr>
                  <w:tcW w:w="641"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lang w:eastAsia="zh-CN"/>
                    </w:rPr>
                    <w:t>咸中亭村</w:t>
                  </w:r>
                  <w:r>
                    <w:rPr>
                      <w:rFonts w:hint="eastAsia"/>
                      <w:color w:val="auto"/>
                      <w:kern w:val="0"/>
                      <w:sz w:val="18"/>
                      <w:szCs w:val="18"/>
                      <w:u w:val="none"/>
                    </w:rPr>
                    <w:t>居民点</w:t>
                  </w:r>
                  <w:r>
                    <w:rPr>
                      <w:rFonts w:hint="eastAsia"/>
                      <w:color w:val="auto"/>
                      <w:kern w:val="0"/>
                      <w:sz w:val="18"/>
                      <w:szCs w:val="18"/>
                      <w:u w:val="none"/>
                      <w:lang w:val="en-US" w:eastAsia="zh-CN"/>
                    </w:rPr>
                    <w:t>H</w:t>
                  </w:r>
                  <w:r>
                    <w:rPr>
                      <w:rFonts w:hint="eastAsia"/>
                      <w:color w:val="auto"/>
                      <w:kern w:val="0"/>
                      <w:sz w:val="18"/>
                      <w:szCs w:val="18"/>
                      <w:u w:val="none"/>
                    </w:rPr>
                    <w:t>1</w:t>
                  </w:r>
                </w:p>
              </w:tc>
              <w:tc>
                <w:tcPr>
                  <w:tcW w:w="857" w:type="pct"/>
                  <w:noWrap w:val="0"/>
                  <w:vAlign w:val="center"/>
                </w:tcPr>
                <w:p>
                  <w:pPr>
                    <w:widowControl/>
                    <w:adjustRightInd w:val="0"/>
                    <w:snapToGrid w:val="0"/>
                    <w:jc w:val="center"/>
                    <w:rPr>
                      <w:rFonts w:hint="eastAsia"/>
                      <w:color w:val="auto"/>
                      <w:kern w:val="0"/>
                      <w:sz w:val="18"/>
                      <w:szCs w:val="18"/>
                      <w:u w:val="none"/>
                      <w:lang w:val="en-US" w:eastAsia="zh-CN"/>
                    </w:rPr>
                  </w:pPr>
                  <w:r>
                    <w:rPr>
                      <w:rFonts w:hint="eastAsia"/>
                      <w:color w:val="auto"/>
                      <w:kern w:val="0"/>
                      <w:sz w:val="18"/>
                      <w:szCs w:val="18"/>
                      <w:u w:val="none"/>
                      <w:lang w:val="en-US" w:eastAsia="zh-CN"/>
                    </w:rPr>
                    <w:t>E</w:t>
                  </w:r>
                </w:p>
                <w:p>
                  <w:pPr>
                    <w:widowControl/>
                    <w:adjustRightInd w:val="0"/>
                    <w:snapToGrid w:val="0"/>
                    <w:jc w:val="center"/>
                    <w:rPr>
                      <w:color w:val="auto"/>
                      <w:kern w:val="0"/>
                      <w:sz w:val="18"/>
                      <w:szCs w:val="18"/>
                      <w:u w:val="none"/>
                    </w:rPr>
                  </w:pPr>
                  <w:r>
                    <w:rPr>
                      <w:rFonts w:hint="eastAsia"/>
                      <w:color w:val="auto"/>
                      <w:kern w:val="0"/>
                      <w:sz w:val="18"/>
                      <w:szCs w:val="18"/>
                      <w:u w:val="none"/>
                      <w:lang w:val="en-US" w:eastAsia="zh-CN"/>
                    </w:rPr>
                    <w:t>30</w:t>
                  </w:r>
                  <w:r>
                    <w:rPr>
                      <w:rFonts w:hint="eastAsia"/>
                      <w:color w:val="auto"/>
                      <w:kern w:val="0"/>
                      <w:sz w:val="18"/>
                      <w:szCs w:val="18"/>
                      <w:u w:val="none"/>
                    </w:rPr>
                    <w:t>m~</w:t>
                  </w:r>
                  <w:r>
                    <w:rPr>
                      <w:rFonts w:hint="eastAsia"/>
                      <w:color w:val="auto"/>
                      <w:kern w:val="0"/>
                      <w:sz w:val="18"/>
                      <w:szCs w:val="18"/>
                      <w:u w:val="none"/>
                      <w:lang w:val="en-US" w:eastAsia="zh-CN"/>
                    </w:rPr>
                    <w:t>50</w:t>
                  </w:r>
                  <w:r>
                    <w:rPr>
                      <w:rFonts w:hint="eastAsia"/>
                      <w:color w:val="auto"/>
                      <w:kern w:val="0"/>
                      <w:sz w:val="18"/>
                      <w:szCs w:val="18"/>
                      <w:u w:val="none"/>
                    </w:rPr>
                    <w:t xml:space="preserve">m </w:t>
                  </w:r>
                </w:p>
              </w:tc>
              <w:tc>
                <w:tcPr>
                  <w:tcW w:w="676"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居住，</w:t>
                  </w:r>
                  <w:r>
                    <w:rPr>
                      <w:rFonts w:hint="eastAsia"/>
                      <w:color w:val="auto"/>
                      <w:kern w:val="0"/>
                      <w:sz w:val="18"/>
                      <w:szCs w:val="18"/>
                      <w:u w:val="none"/>
                      <w:lang w:val="en-US" w:eastAsia="zh-CN"/>
                    </w:rPr>
                    <w:t>4</w:t>
                  </w:r>
                  <w:r>
                    <w:rPr>
                      <w:rFonts w:hint="eastAsia"/>
                      <w:color w:val="auto"/>
                      <w:kern w:val="0"/>
                      <w:sz w:val="18"/>
                      <w:szCs w:val="18"/>
                      <w:u w:val="none"/>
                    </w:rPr>
                    <w:t>户，</w:t>
                  </w:r>
                  <w:r>
                    <w:rPr>
                      <w:rFonts w:hint="eastAsia"/>
                      <w:color w:val="auto"/>
                      <w:kern w:val="0"/>
                      <w:sz w:val="18"/>
                      <w:szCs w:val="18"/>
                      <w:u w:val="none"/>
                      <w:lang w:val="en-US" w:eastAsia="zh-CN"/>
                    </w:rPr>
                    <w:t>12</w:t>
                  </w:r>
                  <w:r>
                    <w:rPr>
                      <w:rFonts w:hint="eastAsia"/>
                      <w:color w:val="auto"/>
                      <w:kern w:val="0"/>
                      <w:sz w:val="18"/>
                      <w:szCs w:val="18"/>
                      <w:u w:val="none"/>
                    </w:rPr>
                    <w:t>人</w:t>
                  </w:r>
                </w:p>
              </w:tc>
              <w:tc>
                <w:tcPr>
                  <w:tcW w:w="995" w:type="pct"/>
                  <w:vMerge w:val="restart"/>
                  <w:noWrap w:val="0"/>
                  <w:vAlign w:val="center"/>
                </w:tcPr>
                <w:p>
                  <w:pPr>
                    <w:widowControl/>
                    <w:adjustRightInd w:val="0"/>
                    <w:snapToGrid w:val="0"/>
                    <w:jc w:val="center"/>
                    <w:rPr>
                      <w:color w:val="auto"/>
                      <w:kern w:val="0"/>
                      <w:sz w:val="18"/>
                      <w:szCs w:val="18"/>
                      <w:u w:val="none"/>
                    </w:rPr>
                  </w:pPr>
                  <w:r>
                    <w:rPr>
                      <w:color w:val="auto"/>
                      <w:kern w:val="0"/>
                      <w:sz w:val="18"/>
                      <w:szCs w:val="18"/>
                      <w:u w:val="none"/>
                    </w:rPr>
                    <w:t>《环境空气质量标准》（GB3095-2012）及其修改</w:t>
                  </w:r>
                  <w:r>
                    <w:rPr>
                      <w:color w:val="auto"/>
                      <w:kern w:val="0"/>
                      <w:sz w:val="18"/>
                      <w:szCs w:val="18"/>
                      <w:u w:val="none"/>
                    </w:rPr>
                    <w:cr/>
                  </w:r>
                  <w:r>
                    <w:rPr>
                      <w:color w:val="auto"/>
                      <w:kern w:val="0"/>
                      <w:sz w:val="18"/>
                      <w:szCs w:val="18"/>
                      <w:u w:val="none"/>
                    </w:rPr>
                    <w:t>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61" w:type="pct"/>
                  <w:vMerge w:val="continue"/>
                  <w:noWrap w:val="0"/>
                  <w:vAlign w:val="center"/>
                </w:tcPr>
                <w:p>
                  <w:pPr>
                    <w:widowControl/>
                    <w:adjustRightInd w:val="0"/>
                    <w:snapToGrid w:val="0"/>
                    <w:jc w:val="center"/>
                    <w:rPr>
                      <w:color w:val="auto"/>
                      <w:kern w:val="0"/>
                      <w:sz w:val="18"/>
                      <w:szCs w:val="18"/>
                      <w:u w:val="none"/>
                    </w:rPr>
                  </w:pPr>
                </w:p>
              </w:tc>
              <w:tc>
                <w:tcPr>
                  <w:tcW w:w="765"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112.3430092</w:t>
                  </w:r>
                </w:p>
              </w:tc>
              <w:tc>
                <w:tcPr>
                  <w:tcW w:w="701"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26.995463</w:t>
                  </w:r>
                </w:p>
              </w:tc>
              <w:tc>
                <w:tcPr>
                  <w:tcW w:w="641" w:type="pct"/>
                  <w:noWrap w:val="0"/>
                  <w:vAlign w:val="center"/>
                </w:tcPr>
                <w:p>
                  <w:pPr>
                    <w:widowControl/>
                    <w:adjustRightInd w:val="0"/>
                    <w:snapToGrid w:val="0"/>
                    <w:jc w:val="center"/>
                    <w:rPr>
                      <w:rFonts w:hint="eastAsia" w:eastAsia="宋体"/>
                      <w:color w:val="auto"/>
                      <w:szCs w:val="21"/>
                      <w:u w:val="none"/>
                      <w:lang w:eastAsia="zh-CN"/>
                    </w:rPr>
                  </w:pPr>
                  <w:r>
                    <w:rPr>
                      <w:rFonts w:hint="eastAsia"/>
                      <w:color w:val="auto"/>
                      <w:kern w:val="0"/>
                      <w:sz w:val="18"/>
                      <w:szCs w:val="18"/>
                      <w:u w:val="none"/>
                      <w:lang w:eastAsia="zh-CN"/>
                    </w:rPr>
                    <w:t>咸中亭村</w:t>
                  </w:r>
                  <w:r>
                    <w:rPr>
                      <w:rFonts w:hint="eastAsia"/>
                      <w:color w:val="auto"/>
                      <w:kern w:val="0"/>
                      <w:sz w:val="18"/>
                      <w:szCs w:val="18"/>
                      <w:u w:val="none"/>
                    </w:rPr>
                    <w:t>居民点</w:t>
                  </w:r>
                  <w:r>
                    <w:rPr>
                      <w:rFonts w:hint="eastAsia"/>
                      <w:color w:val="auto"/>
                      <w:kern w:val="0"/>
                      <w:sz w:val="18"/>
                      <w:szCs w:val="18"/>
                      <w:u w:val="none"/>
                      <w:lang w:val="en-US" w:eastAsia="zh-CN"/>
                    </w:rPr>
                    <w:t>H2</w:t>
                  </w:r>
                </w:p>
              </w:tc>
              <w:tc>
                <w:tcPr>
                  <w:tcW w:w="857" w:type="pct"/>
                  <w:noWrap w:val="0"/>
                  <w:vAlign w:val="center"/>
                </w:tcPr>
                <w:p>
                  <w:pPr>
                    <w:widowControl/>
                    <w:adjustRightInd w:val="0"/>
                    <w:snapToGrid w:val="0"/>
                    <w:jc w:val="center"/>
                    <w:rPr>
                      <w:rFonts w:hint="eastAsia"/>
                      <w:color w:val="auto"/>
                      <w:kern w:val="0"/>
                      <w:sz w:val="18"/>
                      <w:szCs w:val="18"/>
                      <w:u w:val="none"/>
                      <w:lang w:val="en-US" w:eastAsia="zh-CN"/>
                    </w:rPr>
                  </w:pPr>
                  <w:r>
                    <w:rPr>
                      <w:rFonts w:hint="eastAsia"/>
                      <w:color w:val="auto"/>
                      <w:kern w:val="0"/>
                      <w:sz w:val="18"/>
                      <w:szCs w:val="18"/>
                      <w:u w:val="none"/>
                      <w:lang w:val="en-US" w:eastAsia="zh-CN"/>
                    </w:rPr>
                    <w:t>E</w:t>
                  </w:r>
                </w:p>
                <w:p>
                  <w:pPr>
                    <w:widowControl/>
                    <w:adjustRightInd w:val="0"/>
                    <w:snapToGrid w:val="0"/>
                    <w:jc w:val="center"/>
                    <w:rPr>
                      <w:color w:val="auto"/>
                      <w:kern w:val="0"/>
                      <w:sz w:val="18"/>
                      <w:szCs w:val="18"/>
                      <w:u w:val="none"/>
                    </w:rPr>
                  </w:pPr>
                  <w:r>
                    <w:rPr>
                      <w:rFonts w:hint="eastAsia"/>
                      <w:color w:val="auto"/>
                      <w:kern w:val="0"/>
                      <w:sz w:val="18"/>
                      <w:szCs w:val="18"/>
                      <w:u w:val="none"/>
                      <w:lang w:val="en-US" w:eastAsia="zh-CN"/>
                    </w:rPr>
                    <w:t>235</w:t>
                  </w:r>
                  <w:r>
                    <w:rPr>
                      <w:rFonts w:hint="eastAsia"/>
                      <w:color w:val="auto"/>
                      <w:kern w:val="0"/>
                      <w:sz w:val="18"/>
                      <w:szCs w:val="18"/>
                      <w:u w:val="none"/>
                    </w:rPr>
                    <w:t>m~</w:t>
                  </w:r>
                  <w:r>
                    <w:rPr>
                      <w:rFonts w:hint="eastAsia"/>
                      <w:color w:val="auto"/>
                      <w:kern w:val="0"/>
                      <w:sz w:val="18"/>
                      <w:szCs w:val="18"/>
                      <w:u w:val="none"/>
                      <w:lang w:val="en-US" w:eastAsia="zh-CN"/>
                    </w:rPr>
                    <w:t>400</w:t>
                  </w:r>
                  <w:r>
                    <w:rPr>
                      <w:rFonts w:hint="eastAsia"/>
                      <w:color w:val="auto"/>
                      <w:kern w:val="0"/>
                      <w:sz w:val="18"/>
                      <w:szCs w:val="18"/>
                      <w:u w:val="none"/>
                    </w:rPr>
                    <w:t>m</w:t>
                  </w:r>
                </w:p>
              </w:tc>
              <w:tc>
                <w:tcPr>
                  <w:tcW w:w="676"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居住，</w:t>
                  </w:r>
                  <w:r>
                    <w:rPr>
                      <w:rFonts w:hint="eastAsia"/>
                      <w:color w:val="auto"/>
                      <w:kern w:val="0"/>
                      <w:sz w:val="18"/>
                      <w:szCs w:val="18"/>
                      <w:u w:val="none"/>
                      <w:lang w:val="en-US" w:eastAsia="zh-CN"/>
                    </w:rPr>
                    <w:t>20</w:t>
                  </w:r>
                  <w:r>
                    <w:rPr>
                      <w:rFonts w:hint="eastAsia"/>
                      <w:color w:val="auto"/>
                      <w:kern w:val="0"/>
                      <w:sz w:val="18"/>
                      <w:szCs w:val="18"/>
                      <w:u w:val="none"/>
                    </w:rPr>
                    <w:t>户，</w:t>
                  </w:r>
                  <w:r>
                    <w:rPr>
                      <w:rFonts w:hint="eastAsia"/>
                      <w:color w:val="auto"/>
                      <w:kern w:val="0"/>
                      <w:sz w:val="18"/>
                      <w:szCs w:val="18"/>
                      <w:u w:val="none"/>
                      <w:lang w:val="en-US" w:eastAsia="zh-CN"/>
                    </w:rPr>
                    <w:t>60</w:t>
                  </w:r>
                  <w:r>
                    <w:rPr>
                      <w:rFonts w:hint="eastAsia"/>
                      <w:color w:val="auto"/>
                      <w:kern w:val="0"/>
                      <w:sz w:val="18"/>
                      <w:szCs w:val="18"/>
                      <w:u w:val="none"/>
                    </w:rPr>
                    <w:t>人</w:t>
                  </w:r>
                </w:p>
              </w:tc>
              <w:tc>
                <w:tcPr>
                  <w:tcW w:w="995" w:type="pct"/>
                  <w:vMerge w:val="continue"/>
                  <w:noWrap w:val="0"/>
                  <w:vAlign w:val="center"/>
                </w:tcPr>
                <w:p>
                  <w:pPr>
                    <w:widowControl/>
                    <w:adjustRightInd w:val="0"/>
                    <w:snapToGrid w:val="0"/>
                    <w:jc w:val="center"/>
                    <w:rPr>
                      <w:color w:val="auto"/>
                      <w:kern w:val="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1" w:type="pct"/>
                  <w:vMerge w:val="continue"/>
                  <w:noWrap w:val="0"/>
                  <w:vAlign w:val="center"/>
                </w:tcPr>
                <w:p>
                  <w:pPr>
                    <w:widowControl/>
                    <w:adjustRightInd w:val="0"/>
                    <w:snapToGrid w:val="0"/>
                    <w:jc w:val="center"/>
                    <w:rPr>
                      <w:color w:val="auto"/>
                      <w:kern w:val="0"/>
                      <w:sz w:val="18"/>
                      <w:szCs w:val="18"/>
                      <w:u w:val="none"/>
                    </w:rPr>
                  </w:pPr>
                </w:p>
              </w:tc>
              <w:tc>
                <w:tcPr>
                  <w:tcW w:w="765"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112.3395652</w:t>
                  </w:r>
                </w:p>
              </w:tc>
              <w:tc>
                <w:tcPr>
                  <w:tcW w:w="701"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26.9965543</w:t>
                  </w:r>
                </w:p>
              </w:tc>
              <w:tc>
                <w:tcPr>
                  <w:tcW w:w="641" w:type="pct"/>
                  <w:noWrap w:val="0"/>
                  <w:vAlign w:val="center"/>
                </w:tcPr>
                <w:p>
                  <w:pPr>
                    <w:widowControl/>
                    <w:adjustRightInd w:val="0"/>
                    <w:snapToGrid w:val="0"/>
                    <w:jc w:val="center"/>
                    <w:rPr>
                      <w:rFonts w:hint="eastAsia" w:eastAsia="宋体"/>
                      <w:color w:val="auto"/>
                      <w:szCs w:val="21"/>
                      <w:u w:val="none"/>
                      <w:lang w:eastAsia="zh-CN"/>
                    </w:rPr>
                  </w:pPr>
                  <w:r>
                    <w:rPr>
                      <w:rFonts w:hint="eastAsia"/>
                      <w:color w:val="auto"/>
                      <w:kern w:val="0"/>
                      <w:sz w:val="18"/>
                      <w:szCs w:val="18"/>
                      <w:u w:val="none"/>
                      <w:lang w:eastAsia="zh-CN"/>
                    </w:rPr>
                    <w:t>咸中亭村</w:t>
                  </w:r>
                  <w:r>
                    <w:rPr>
                      <w:rFonts w:hint="eastAsia"/>
                      <w:color w:val="auto"/>
                      <w:kern w:val="0"/>
                      <w:sz w:val="18"/>
                      <w:szCs w:val="18"/>
                      <w:u w:val="none"/>
                    </w:rPr>
                    <w:t>民点</w:t>
                  </w:r>
                  <w:r>
                    <w:rPr>
                      <w:rFonts w:hint="eastAsia"/>
                      <w:color w:val="auto"/>
                      <w:kern w:val="0"/>
                      <w:sz w:val="18"/>
                      <w:szCs w:val="18"/>
                      <w:u w:val="none"/>
                      <w:lang w:val="en-US" w:eastAsia="zh-CN"/>
                    </w:rPr>
                    <w:t>H3</w:t>
                  </w:r>
                </w:p>
              </w:tc>
              <w:tc>
                <w:tcPr>
                  <w:tcW w:w="857" w:type="pct"/>
                  <w:noWrap w:val="0"/>
                  <w:vAlign w:val="center"/>
                </w:tcPr>
                <w:p>
                  <w:pPr>
                    <w:widowControl/>
                    <w:adjustRightInd w:val="0"/>
                    <w:snapToGrid w:val="0"/>
                    <w:jc w:val="center"/>
                    <w:rPr>
                      <w:rFonts w:hint="eastAsia"/>
                      <w:color w:val="auto"/>
                      <w:kern w:val="0"/>
                      <w:sz w:val="18"/>
                      <w:szCs w:val="18"/>
                      <w:u w:val="none"/>
                      <w:lang w:val="en-US" w:eastAsia="zh-CN"/>
                    </w:rPr>
                  </w:pPr>
                  <w:r>
                    <w:rPr>
                      <w:rFonts w:hint="eastAsia"/>
                      <w:color w:val="auto"/>
                      <w:kern w:val="0"/>
                      <w:sz w:val="18"/>
                      <w:szCs w:val="18"/>
                      <w:u w:val="none"/>
                      <w:lang w:val="en-US" w:eastAsia="zh-CN"/>
                    </w:rPr>
                    <w:t>N</w:t>
                  </w:r>
                </w:p>
                <w:p>
                  <w:pPr>
                    <w:widowControl/>
                    <w:adjustRightInd w:val="0"/>
                    <w:snapToGrid w:val="0"/>
                    <w:jc w:val="center"/>
                    <w:rPr>
                      <w:color w:val="auto"/>
                      <w:kern w:val="0"/>
                      <w:sz w:val="18"/>
                      <w:szCs w:val="18"/>
                      <w:u w:val="none"/>
                    </w:rPr>
                  </w:pPr>
                  <w:r>
                    <w:rPr>
                      <w:rFonts w:hint="eastAsia"/>
                      <w:color w:val="auto"/>
                      <w:kern w:val="0"/>
                      <w:sz w:val="18"/>
                      <w:szCs w:val="18"/>
                      <w:u w:val="none"/>
                      <w:lang w:val="en-US" w:eastAsia="zh-CN"/>
                    </w:rPr>
                    <w:t>60</w:t>
                  </w:r>
                  <w:r>
                    <w:rPr>
                      <w:rFonts w:hint="eastAsia"/>
                      <w:color w:val="auto"/>
                      <w:kern w:val="0"/>
                      <w:sz w:val="18"/>
                      <w:szCs w:val="18"/>
                      <w:u w:val="none"/>
                    </w:rPr>
                    <w:t>m~</w:t>
                  </w:r>
                  <w:r>
                    <w:rPr>
                      <w:rFonts w:hint="eastAsia"/>
                      <w:color w:val="auto"/>
                      <w:kern w:val="0"/>
                      <w:sz w:val="18"/>
                      <w:szCs w:val="18"/>
                      <w:u w:val="none"/>
                      <w:lang w:val="en-US" w:eastAsia="zh-CN"/>
                    </w:rPr>
                    <w:t>130</w:t>
                  </w:r>
                  <w:r>
                    <w:rPr>
                      <w:rFonts w:hint="eastAsia"/>
                      <w:color w:val="auto"/>
                      <w:kern w:val="0"/>
                      <w:sz w:val="18"/>
                      <w:szCs w:val="18"/>
                      <w:u w:val="none"/>
                    </w:rPr>
                    <w:t>m</w:t>
                  </w:r>
                </w:p>
              </w:tc>
              <w:tc>
                <w:tcPr>
                  <w:tcW w:w="676"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居住，</w:t>
                  </w:r>
                  <w:r>
                    <w:rPr>
                      <w:rFonts w:hint="eastAsia"/>
                      <w:color w:val="auto"/>
                      <w:kern w:val="0"/>
                      <w:sz w:val="18"/>
                      <w:szCs w:val="18"/>
                      <w:u w:val="none"/>
                      <w:lang w:val="en-US" w:eastAsia="zh-CN"/>
                    </w:rPr>
                    <w:t>6</w:t>
                  </w:r>
                  <w:r>
                    <w:rPr>
                      <w:rFonts w:hint="eastAsia"/>
                      <w:color w:val="auto"/>
                      <w:kern w:val="0"/>
                      <w:sz w:val="18"/>
                      <w:szCs w:val="18"/>
                      <w:u w:val="none"/>
                    </w:rPr>
                    <w:t>户，</w:t>
                  </w:r>
                  <w:r>
                    <w:rPr>
                      <w:rFonts w:hint="eastAsia"/>
                      <w:color w:val="auto"/>
                      <w:kern w:val="0"/>
                      <w:sz w:val="18"/>
                      <w:szCs w:val="18"/>
                      <w:u w:val="none"/>
                      <w:lang w:val="en-US" w:eastAsia="zh-CN"/>
                    </w:rPr>
                    <w:t>18</w:t>
                  </w:r>
                  <w:r>
                    <w:rPr>
                      <w:rFonts w:hint="eastAsia"/>
                      <w:color w:val="auto"/>
                      <w:kern w:val="0"/>
                      <w:sz w:val="18"/>
                      <w:szCs w:val="18"/>
                      <w:u w:val="none"/>
                    </w:rPr>
                    <w:t>人</w:t>
                  </w:r>
                </w:p>
              </w:tc>
              <w:tc>
                <w:tcPr>
                  <w:tcW w:w="995" w:type="pct"/>
                  <w:vMerge w:val="continue"/>
                  <w:noWrap w:val="0"/>
                  <w:vAlign w:val="center"/>
                </w:tcPr>
                <w:p>
                  <w:pPr>
                    <w:widowControl/>
                    <w:adjustRightInd w:val="0"/>
                    <w:snapToGrid w:val="0"/>
                    <w:jc w:val="center"/>
                    <w:rPr>
                      <w:color w:val="auto"/>
                      <w:kern w:val="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361" w:type="pct"/>
                  <w:vMerge w:val="continue"/>
                  <w:noWrap w:val="0"/>
                  <w:vAlign w:val="center"/>
                </w:tcPr>
                <w:p>
                  <w:pPr>
                    <w:widowControl/>
                    <w:adjustRightInd w:val="0"/>
                    <w:snapToGrid w:val="0"/>
                    <w:jc w:val="center"/>
                    <w:rPr>
                      <w:color w:val="auto"/>
                      <w:kern w:val="0"/>
                      <w:sz w:val="18"/>
                      <w:szCs w:val="18"/>
                      <w:u w:val="none"/>
                    </w:rPr>
                  </w:pPr>
                </w:p>
              </w:tc>
              <w:tc>
                <w:tcPr>
                  <w:tcW w:w="765"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112.3397798</w:t>
                  </w:r>
                </w:p>
              </w:tc>
              <w:tc>
                <w:tcPr>
                  <w:tcW w:w="701"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26.9975628</w:t>
                  </w:r>
                </w:p>
              </w:tc>
              <w:tc>
                <w:tcPr>
                  <w:tcW w:w="641" w:type="pct"/>
                  <w:noWrap w:val="0"/>
                  <w:vAlign w:val="center"/>
                </w:tcPr>
                <w:p>
                  <w:pPr>
                    <w:widowControl/>
                    <w:adjustRightInd w:val="0"/>
                    <w:snapToGrid w:val="0"/>
                    <w:jc w:val="center"/>
                    <w:rPr>
                      <w:rFonts w:hint="eastAsia" w:eastAsia="宋体"/>
                      <w:color w:val="auto"/>
                      <w:szCs w:val="21"/>
                      <w:u w:val="none"/>
                      <w:lang w:eastAsia="zh-CN"/>
                    </w:rPr>
                  </w:pPr>
                  <w:r>
                    <w:rPr>
                      <w:rFonts w:hint="eastAsia"/>
                      <w:color w:val="auto"/>
                      <w:kern w:val="0"/>
                      <w:sz w:val="18"/>
                      <w:szCs w:val="18"/>
                      <w:u w:val="none"/>
                      <w:lang w:eastAsia="zh-CN"/>
                    </w:rPr>
                    <w:t>咸育村</w:t>
                  </w:r>
                  <w:r>
                    <w:rPr>
                      <w:rFonts w:hint="eastAsia"/>
                      <w:color w:val="auto"/>
                      <w:kern w:val="0"/>
                      <w:sz w:val="18"/>
                      <w:szCs w:val="18"/>
                      <w:u w:val="none"/>
                    </w:rPr>
                    <w:t>居民点</w:t>
                  </w:r>
                  <w:r>
                    <w:rPr>
                      <w:rFonts w:hint="eastAsia"/>
                      <w:color w:val="auto"/>
                      <w:kern w:val="0"/>
                      <w:sz w:val="18"/>
                      <w:szCs w:val="18"/>
                      <w:u w:val="none"/>
                      <w:lang w:val="en-US" w:eastAsia="zh-CN"/>
                    </w:rPr>
                    <w:t>H4</w:t>
                  </w:r>
                </w:p>
              </w:tc>
              <w:tc>
                <w:tcPr>
                  <w:tcW w:w="857" w:type="pct"/>
                  <w:noWrap w:val="0"/>
                  <w:vAlign w:val="center"/>
                </w:tcPr>
                <w:p>
                  <w:pPr>
                    <w:widowControl/>
                    <w:adjustRightInd w:val="0"/>
                    <w:snapToGrid w:val="0"/>
                    <w:jc w:val="center"/>
                    <w:rPr>
                      <w:rFonts w:hint="eastAsia"/>
                      <w:color w:val="auto"/>
                      <w:kern w:val="0"/>
                      <w:sz w:val="18"/>
                      <w:szCs w:val="18"/>
                      <w:u w:val="none"/>
                      <w:lang w:val="en-US" w:eastAsia="zh-CN"/>
                    </w:rPr>
                  </w:pPr>
                  <w:r>
                    <w:rPr>
                      <w:rFonts w:hint="eastAsia"/>
                      <w:color w:val="auto"/>
                      <w:kern w:val="0"/>
                      <w:sz w:val="18"/>
                      <w:szCs w:val="18"/>
                      <w:u w:val="none"/>
                      <w:lang w:val="en-US" w:eastAsia="zh-CN"/>
                    </w:rPr>
                    <w:t>N</w:t>
                  </w:r>
                </w:p>
                <w:p>
                  <w:pPr>
                    <w:widowControl/>
                    <w:adjustRightInd w:val="0"/>
                    <w:snapToGrid w:val="0"/>
                    <w:jc w:val="center"/>
                    <w:rPr>
                      <w:color w:val="auto"/>
                      <w:kern w:val="0"/>
                      <w:sz w:val="18"/>
                      <w:szCs w:val="18"/>
                      <w:u w:val="none"/>
                    </w:rPr>
                  </w:pPr>
                  <w:r>
                    <w:rPr>
                      <w:rFonts w:hint="eastAsia"/>
                      <w:color w:val="auto"/>
                      <w:kern w:val="0"/>
                      <w:sz w:val="18"/>
                      <w:szCs w:val="18"/>
                      <w:u w:val="none"/>
                      <w:lang w:val="en-US" w:eastAsia="zh-CN"/>
                    </w:rPr>
                    <w:t>150</w:t>
                  </w:r>
                  <w:r>
                    <w:rPr>
                      <w:rFonts w:hint="eastAsia"/>
                      <w:color w:val="auto"/>
                      <w:kern w:val="0"/>
                      <w:sz w:val="18"/>
                      <w:szCs w:val="18"/>
                      <w:u w:val="none"/>
                    </w:rPr>
                    <w:t>m~</w:t>
                  </w:r>
                  <w:r>
                    <w:rPr>
                      <w:rFonts w:hint="eastAsia"/>
                      <w:color w:val="auto"/>
                      <w:kern w:val="0"/>
                      <w:sz w:val="18"/>
                      <w:szCs w:val="18"/>
                      <w:u w:val="none"/>
                      <w:lang w:val="en-US" w:eastAsia="zh-CN"/>
                    </w:rPr>
                    <w:t>270</w:t>
                  </w:r>
                  <w:r>
                    <w:rPr>
                      <w:rFonts w:hint="eastAsia"/>
                      <w:color w:val="auto"/>
                      <w:kern w:val="0"/>
                      <w:sz w:val="18"/>
                      <w:szCs w:val="18"/>
                      <w:u w:val="none"/>
                    </w:rPr>
                    <w:t>m</w:t>
                  </w:r>
                </w:p>
              </w:tc>
              <w:tc>
                <w:tcPr>
                  <w:tcW w:w="676"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居住，</w:t>
                  </w:r>
                  <w:r>
                    <w:rPr>
                      <w:rFonts w:hint="eastAsia"/>
                      <w:color w:val="auto"/>
                      <w:kern w:val="0"/>
                      <w:sz w:val="18"/>
                      <w:szCs w:val="18"/>
                      <w:u w:val="none"/>
                      <w:lang w:val="en-US" w:eastAsia="zh-CN"/>
                    </w:rPr>
                    <w:t>9</w:t>
                  </w:r>
                  <w:r>
                    <w:rPr>
                      <w:rFonts w:hint="eastAsia"/>
                      <w:color w:val="auto"/>
                      <w:kern w:val="0"/>
                      <w:sz w:val="18"/>
                      <w:szCs w:val="18"/>
                      <w:u w:val="none"/>
                    </w:rPr>
                    <w:t>户，</w:t>
                  </w:r>
                  <w:r>
                    <w:rPr>
                      <w:rFonts w:hint="eastAsia"/>
                      <w:color w:val="auto"/>
                      <w:kern w:val="0"/>
                      <w:sz w:val="18"/>
                      <w:szCs w:val="18"/>
                      <w:u w:val="none"/>
                      <w:lang w:val="en-US" w:eastAsia="zh-CN"/>
                    </w:rPr>
                    <w:t>27</w:t>
                  </w:r>
                  <w:r>
                    <w:rPr>
                      <w:rFonts w:hint="eastAsia"/>
                      <w:color w:val="auto"/>
                      <w:kern w:val="0"/>
                      <w:sz w:val="18"/>
                      <w:szCs w:val="18"/>
                      <w:u w:val="none"/>
                    </w:rPr>
                    <w:t>人</w:t>
                  </w:r>
                </w:p>
              </w:tc>
              <w:tc>
                <w:tcPr>
                  <w:tcW w:w="995" w:type="pct"/>
                  <w:vMerge w:val="continue"/>
                  <w:noWrap w:val="0"/>
                  <w:vAlign w:val="center"/>
                </w:tcPr>
                <w:p>
                  <w:pPr>
                    <w:widowControl/>
                    <w:adjustRightInd w:val="0"/>
                    <w:snapToGrid w:val="0"/>
                    <w:jc w:val="center"/>
                    <w:rPr>
                      <w:color w:val="auto"/>
                      <w:kern w:val="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61" w:type="pct"/>
                  <w:vMerge w:val="continue"/>
                  <w:noWrap w:val="0"/>
                  <w:vAlign w:val="center"/>
                </w:tcPr>
                <w:p>
                  <w:pPr>
                    <w:widowControl/>
                    <w:adjustRightInd w:val="0"/>
                    <w:snapToGrid w:val="0"/>
                    <w:jc w:val="center"/>
                    <w:rPr>
                      <w:color w:val="auto"/>
                      <w:kern w:val="0"/>
                      <w:sz w:val="18"/>
                      <w:szCs w:val="18"/>
                      <w:u w:val="none"/>
                    </w:rPr>
                  </w:pPr>
                </w:p>
              </w:tc>
              <w:tc>
                <w:tcPr>
                  <w:tcW w:w="765"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112.3407561</w:t>
                  </w:r>
                </w:p>
              </w:tc>
              <w:tc>
                <w:tcPr>
                  <w:tcW w:w="701"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26.9971658</w:t>
                  </w:r>
                </w:p>
              </w:tc>
              <w:tc>
                <w:tcPr>
                  <w:tcW w:w="641" w:type="pct"/>
                  <w:noWrap w:val="0"/>
                  <w:vAlign w:val="center"/>
                </w:tcPr>
                <w:p>
                  <w:pPr>
                    <w:widowControl/>
                    <w:adjustRightInd w:val="0"/>
                    <w:snapToGrid w:val="0"/>
                    <w:jc w:val="center"/>
                    <w:rPr>
                      <w:rFonts w:hint="eastAsia" w:eastAsia="宋体"/>
                      <w:color w:val="auto"/>
                      <w:szCs w:val="21"/>
                      <w:u w:val="none"/>
                      <w:lang w:eastAsia="zh-CN"/>
                    </w:rPr>
                  </w:pPr>
                  <w:r>
                    <w:rPr>
                      <w:rFonts w:hint="eastAsia"/>
                      <w:color w:val="auto"/>
                      <w:kern w:val="0"/>
                      <w:sz w:val="18"/>
                      <w:szCs w:val="18"/>
                      <w:u w:val="none"/>
                      <w:lang w:eastAsia="zh-CN"/>
                    </w:rPr>
                    <w:t>咸育村</w:t>
                  </w:r>
                  <w:r>
                    <w:rPr>
                      <w:rFonts w:hint="eastAsia"/>
                      <w:color w:val="auto"/>
                      <w:kern w:val="0"/>
                      <w:sz w:val="18"/>
                      <w:szCs w:val="18"/>
                      <w:u w:val="none"/>
                    </w:rPr>
                    <w:t>居民点</w:t>
                  </w:r>
                  <w:r>
                    <w:rPr>
                      <w:rFonts w:hint="eastAsia"/>
                      <w:color w:val="auto"/>
                      <w:kern w:val="0"/>
                      <w:sz w:val="18"/>
                      <w:szCs w:val="18"/>
                      <w:u w:val="none"/>
                      <w:lang w:val="en-US" w:eastAsia="zh-CN"/>
                    </w:rPr>
                    <w:t>H5</w:t>
                  </w:r>
                </w:p>
              </w:tc>
              <w:tc>
                <w:tcPr>
                  <w:tcW w:w="857" w:type="pct"/>
                  <w:noWrap w:val="0"/>
                  <w:vAlign w:val="center"/>
                </w:tcPr>
                <w:p>
                  <w:pPr>
                    <w:widowControl/>
                    <w:adjustRightInd w:val="0"/>
                    <w:snapToGrid w:val="0"/>
                    <w:jc w:val="center"/>
                    <w:rPr>
                      <w:rFonts w:hint="default"/>
                      <w:color w:val="auto"/>
                      <w:kern w:val="0"/>
                      <w:sz w:val="18"/>
                      <w:szCs w:val="18"/>
                      <w:u w:val="none"/>
                      <w:lang w:val="en-US" w:eastAsia="zh-CN"/>
                    </w:rPr>
                  </w:pPr>
                  <w:r>
                    <w:rPr>
                      <w:rFonts w:hint="eastAsia"/>
                      <w:color w:val="auto"/>
                      <w:kern w:val="0"/>
                      <w:sz w:val="18"/>
                      <w:szCs w:val="18"/>
                      <w:u w:val="none"/>
                      <w:lang w:val="en-US" w:eastAsia="zh-CN"/>
                    </w:rPr>
                    <w:t>EN</w:t>
                  </w:r>
                </w:p>
                <w:p>
                  <w:pPr>
                    <w:widowControl/>
                    <w:adjustRightInd w:val="0"/>
                    <w:snapToGrid w:val="0"/>
                    <w:jc w:val="center"/>
                    <w:rPr>
                      <w:color w:val="auto"/>
                      <w:kern w:val="0"/>
                      <w:sz w:val="18"/>
                      <w:szCs w:val="18"/>
                      <w:u w:val="none"/>
                    </w:rPr>
                  </w:pPr>
                  <w:r>
                    <w:rPr>
                      <w:rFonts w:hint="eastAsia"/>
                      <w:color w:val="auto"/>
                      <w:kern w:val="0"/>
                      <w:sz w:val="18"/>
                      <w:szCs w:val="18"/>
                      <w:u w:val="none"/>
                    </w:rPr>
                    <w:t xml:space="preserve"> </w:t>
                  </w:r>
                  <w:r>
                    <w:rPr>
                      <w:rFonts w:hint="eastAsia"/>
                      <w:color w:val="auto"/>
                      <w:kern w:val="0"/>
                      <w:sz w:val="18"/>
                      <w:szCs w:val="18"/>
                      <w:u w:val="none"/>
                      <w:lang w:val="en-US" w:eastAsia="zh-CN"/>
                    </w:rPr>
                    <w:t>170</w:t>
                  </w:r>
                  <w:r>
                    <w:rPr>
                      <w:rFonts w:hint="eastAsia"/>
                      <w:color w:val="auto"/>
                      <w:kern w:val="0"/>
                      <w:sz w:val="18"/>
                      <w:szCs w:val="18"/>
                      <w:u w:val="none"/>
                    </w:rPr>
                    <w:t>m~</w:t>
                  </w:r>
                  <w:r>
                    <w:rPr>
                      <w:rFonts w:hint="eastAsia"/>
                      <w:color w:val="auto"/>
                      <w:kern w:val="0"/>
                      <w:sz w:val="18"/>
                      <w:szCs w:val="18"/>
                      <w:u w:val="none"/>
                      <w:lang w:val="en-US" w:eastAsia="zh-CN"/>
                    </w:rPr>
                    <w:t>320</w:t>
                  </w:r>
                  <w:r>
                    <w:rPr>
                      <w:rFonts w:hint="eastAsia"/>
                      <w:color w:val="auto"/>
                      <w:kern w:val="0"/>
                      <w:sz w:val="18"/>
                      <w:szCs w:val="18"/>
                      <w:u w:val="none"/>
                    </w:rPr>
                    <w:t>m</w:t>
                  </w:r>
                </w:p>
              </w:tc>
              <w:tc>
                <w:tcPr>
                  <w:tcW w:w="676"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居住，</w:t>
                  </w:r>
                  <w:r>
                    <w:rPr>
                      <w:rFonts w:hint="eastAsia"/>
                      <w:color w:val="auto"/>
                      <w:kern w:val="0"/>
                      <w:sz w:val="18"/>
                      <w:szCs w:val="18"/>
                      <w:u w:val="none"/>
                      <w:lang w:val="en-US" w:eastAsia="zh-CN"/>
                    </w:rPr>
                    <w:t>12</w:t>
                  </w:r>
                  <w:r>
                    <w:rPr>
                      <w:rFonts w:hint="eastAsia"/>
                      <w:color w:val="auto"/>
                      <w:kern w:val="0"/>
                      <w:sz w:val="18"/>
                      <w:szCs w:val="18"/>
                      <w:u w:val="none"/>
                    </w:rPr>
                    <w:t>户，</w:t>
                  </w:r>
                  <w:r>
                    <w:rPr>
                      <w:rFonts w:hint="eastAsia"/>
                      <w:color w:val="auto"/>
                      <w:kern w:val="0"/>
                      <w:sz w:val="18"/>
                      <w:szCs w:val="18"/>
                      <w:u w:val="none"/>
                      <w:lang w:val="en-US" w:eastAsia="zh-CN"/>
                    </w:rPr>
                    <w:t>36</w:t>
                  </w:r>
                  <w:r>
                    <w:rPr>
                      <w:rFonts w:hint="eastAsia"/>
                      <w:color w:val="auto"/>
                      <w:kern w:val="0"/>
                      <w:sz w:val="18"/>
                      <w:szCs w:val="18"/>
                      <w:u w:val="none"/>
                    </w:rPr>
                    <w:t>人</w:t>
                  </w:r>
                </w:p>
              </w:tc>
              <w:tc>
                <w:tcPr>
                  <w:tcW w:w="995" w:type="pct"/>
                  <w:vMerge w:val="continue"/>
                  <w:noWrap w:val="0"/>
                  <w:vAlign w:val="center"/>
                </w:tcPr>
                <w:p>
                  <w:pPr>
                    <w:widowControl/>
                    <w:adjustRightInd w:val="0"/>
                    <w:snapToGrid w:val="0"/>
                    <w:jc w:val="center"/>
                    <w:rPr>
                      <w:color w:val="auto"/>
                      <w:kern w:val="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61" w:type="pct"/>
                  <w:vMerge w:val="continue"/>
                  <w:noWrap w:val="0"/>
                  <w:vAlign w:val="center"/>
                </w:tcPr>
                <w:p>
                  <w:pPr>
                    <w:widowControl/>
                    <w:adjustRightInd w:val="0"/>
                    <w:snapToGrid w:val="0"/>
                    <w:jc w:val="center"/>
                    <w:rPr>
                      <w:color w:val="auto"/>
                      <w:kern w:val="0"/>
                      <w:sz w:val="18"/>
                      <w:szCs w:val="18"/>
                      <w:u w:val="none"/>
                    </w:rPr>
                  </w:pPr>
                </w:p>
              </w:tc>
              <w:tc>
                <w:tcPr>
                  <w:tcW w:w="765"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112.3366255</w:t>
                  </w:r>
                </w:p>
              </w:tc>
              <w:tc>
                <w:tcPr>
                  <w:tcW w:w="701"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26.9934644</w:t>
                  </w:r>
                </w:p>
              </w:tc>
              <w:tc>
                <w:tcPr>
                  <w:tcW w:w="641" w:type="pct"/>
                  <w:noWrap w:val="0"/>
                  <w:vAlign w:val="center"/>
                </w:tcPr>
                <w:p>
                  <w:pPr>
                    <w:widowControl/>
                    <w:adjustRightInd w:val="0"/>
                    <w:snapToGrid w:val="0"/>
                    <w:jc w:val="center"/>
                    <w:rPr>
                      <w:rFonts w:hint="eastAsia" w:eastAsia="宋体"/>
                      <w:color w:val="auto"/>
                      <w:szCs w:val="21"/>
                      <w:u w:val="none"/>
                      <w:lang w:eastAsia="zh-CN"/>
                    </w:rPr>
                  </w:pPr>
                  <w:r>
                    <w:rPr>
                      <w:rFonts w:hint="eastAsia"/>
                      <w:color w:val="auto"/>
                      <w:kern w:val="0"/>
                      <w:sz w:val="18"/>
                      <w:szCs w:val="18"/>
                      <w:u w:val="none"/>
                      <w:lang w:eastAsia="zh-CN"/>
                    </w:rPr>
                    <w:t>咸中亭村</w:t>
                  </w:r>
                  <w:r>
                    <w:rPr>
                      <w:rFonts w:hint="eastAsia"/>
                      <w:color w:val="auto"/>
                      <w:kern w:val="0"/>
                      <w:sz w:val="18"/>
                      <w:szCs w:val="18"/>
                      <w:u w:val="none"/>
                    </w:rPr>
                    <w:t>居民点</w:t>
                  </w:r>
                  <w:r>
                    <w:rPr>
                      <w:rFonts w:hint="eastAsia"/>
                      <w:color w:val="auto"/>
                      <w:kern w:val="0"/>
                      <w:sz w:val="18"/>
                      <w:szCs w:val="18"/>
                      <w:u w:val="none"/>
                      <w:lang w:val="en-US" w:eastAsia="zh-CN"/>
                    </w:rPr>
                    <w:t>H6</w:t>
                  </w:r>
                </w:p>
              </w:tc>
              <w:tc>
                <w:tcPr>
                  <w:tcW w:w="857" w:type="pct"/>
                  <w:noWrap w:val="0"/>
                  <w:vAlign w:val="center"/>
                </w:tcPr>
                <w:p>
                  <w:pPr>
                    <w:widowControl/>
                    <w:adjustRightInd w:val="0"/>
                    <w:snapToGrid w:val="0"/>
                    <w:jc w:val="center"/>
                    <w:rPr>
                      <w:rFonts w:hint="eastAsia"/>
                      <w:color w:val="auto"/>
                      <w:kern w:val="0"/>
                      <w:sz w:val="18"/>
                      <w:szCs w:val="18"/>
                      <w:u w:val="none"/>
                      <w:lang w:val="en-US" w:eastAsia="zh-CN"/>
                    </w:rPr>
                  </w:pPr>
                  <w:r>
                    <w:rPr>
                      <w:rFonts w:hint="eastAsia"/>
                      <w:color w:val="auto"/>
                      <w:kern w:val="0"/>
                      <w:sz w:val="18"/>
                      <w:szCs w:val="18"/>
                      <w:u w:val="none"/>
                      <w:lang w:val="en-US" w:eastAsia="zh-CN"/>
                    </w:rPr>
                    <w:t>WS</w:t>
                  </w:r>
                </w:p>
                <w:p>
                  <w:pPr>
                    <w:widowControl/>
                    <w:adjustRightInd w:val="0"/>
                    <w:snapToGrid w:val="0"/>
                    <w:jc w:val="center"/>
                    <w:rPr>
                      <w:color w:val="auto"/>
                      <w:kern w:val="0"/>
                      <w:sz w:val="18"/>
                      <w:szCs w:val="18"/>
                      <w:u w:val="none"/>
                    </w:rPr>
                  </w:pPr>
                  <w:r>
                    <w:rPr>
                      <w:rFonts w:hint="eastAsia"/>
                      <w:color w:val="auto"/>
                      <w:kern w:val="0"/>
                      <w:sz w:val="18"/>
                      <w:szCs w:val="18"/>
                      <w:u w:val="none"/>
                    </w:rPr>
                    <w:t xml:space="preserve"> 8</w:t>
                  </w:r>
                  <w:r>
                    <w:rPr>
                      <w:rFonts w:hint="eastAsia"/>
                      <w:color w:val="auto"/>
                      <w:kern w:val="0"/>
                      <w:sz w:val="18"/>
                      <w:szCs w:val="18"/>
                      <w:u w:val="none"/>
                      <w:lang w:val="en-US" w:eastAsia="zh-CN"/>
                    </w:rPr>
                    <w:t>5</w:t>
                  </w:r>
                  <w:r>
                    <w:rPr>
                      <w:rFonts w:hint="eastAsia"/>
                      <w:color w:val="auto"/>
                      <w:kern w:val="0"/>
                      <w:sz w:val="18"/>
                      <w:szCs w:val="18"/>
                      <w:u w:val="none"/>
                    </w:rPr>
                    <w:t>m~3</w:t>
                  </w:r>
                  <w:r>
                    <w:rPr>
                      <w:rFonts w:hint="eastAsia"/>
                      <w:color w:val="auto"/>
                      <w:kern w:val="0"/>
                      <w:sz w:val="18"/>
                      <w:szCs w:val="18"/>
                      <w:u w:val="none"/>
                      <w:lang w:val="en-US" w:eastAsia="zh-CN"/>
                    </w:rPr>
                    <w:t>7</w:t>
                  </w:r>
                  <w:r>
                    <w:rPr>
                      <w:rFonts w:hint="eastAsia"/>
                      <w:color w:val="auto"/>
                      <w:kern w:val="0"/>
                      <w:sz w:val="18"/>
                      <w:szCs w:val="18"/>
                      <w:u w:val="none"/>
                    </w:rPr>
                    <w:t>0m</w:t>
                  </w:r>
                </w:p>
              </w:tc>
              <w:tc>
                <w:tcPr>
                  <w:tcW w:w="676"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居住，</w:t>
                  </w:r>
                  <w:r>
                    <w:rPr>
                      <w:rFonts w:hint="eastAsia"/>
                      <w:color w:val="auto"/>
                      <w:kern w:val="0"/>
                      <w:sz w:val="18"/>
                      <w:szCs w:val="18"/>
                      <w:u w:val="none"/>
                      <w:lang w:val="en-US" w:eastAsia="zh-CN"/>
                    </w:rPr>
                    <w:t>10</w:t>
                  </w:r>
                  <w:r>
                    <w:rPr>
                      <w:rFonts w:hint="eastAsia"/>
                      <w:color w:val="auto"/>
                      <w:kern w:val="0"/>
                      <w:sz w:val="18"/>
                      <w:szCs w:val="18"/>
                      <w:u w:val="none"/>
                    </w:rPr>
                    <w:t>户，</w:t>
                  </w:r>
                  <w:r>
                    <w:rPr>
                      <w:rFonts w:hint="eastAsia"/>
                      <w:color w:val="auto"/>
                      <w:kern w:val="0"/>
                      <w:sz w:val="18"/>
                      <w:szCs w:val="18"/>
                      <w:u w:val="none"/>
                      <w:lang w:val="en-US" w:eastAsia="zh-CN"/>
                    </w:rPr>
                    <w:t>30</w:t>
                  </w:r>
                  <w:r>
                    <w:rPr>
                      <w:rFonts w:hint="eastAsia"/>
                      <w:color w:val="auto"/>
                      <w:kern w:val="0"/>
                      <w:sz w:val="18"/>
                      <w:szCs w:val="18"/>
                      <w:u w:val="none"/>
                    </w:rPr>
                    <w:t>人</w:t>
                  </w:r>
                </w:p>
              </w:tc>
              <w:tc>
                <w:tcPr>
                  <w:tcW w:w="995" w:type="pct"/>
                  <w:vMerge w:val="continue"/>
                  <w:noWrap w:val="0"/>
                  <w:vAlign w:val="center"/>
                </w:tcPr>
                <w:p>
                  <w:pPr>
                    <w:widowControl/>
                    <w:adjustRightInd w:val="0"/>
                    <w:snapToGrid w:val="0"/>
                    <w:jc w:val="center"/>
                    <w:rPr>
                      <w:color w:val="auto"/>
                      <w:kern w:val="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61" w:type="pct"/>
                  <w:vMerge w:val="continue"/>
                  <w:noWrap w:val="0"/>
                  <w:vAlign w:val="center"/>
                </w:tcPr>
                <w:p>
                  <w:pPr>
                    <w:widowControl/>
                    <w:adjustRightInd w:val="0"/>
                    <w:snapToGrid w:val="0"/>
                    <w:jc w:val="center"/>
                    <w:rPr>
                      <w:color w:val="auto"/>
                      <w:kern w:val="0"/>
                      <w:sz w:val="18"/>
                      <w:szCs w:val="18"/>
                      <w:u w:val="none"/>
                    </w:rPr>
                  </w:pPr>
                </w:p>
              </w:tc>
              <w:tc>
                <w:tcPr>
                  <w:tcW w:w="765"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112.3360891</w:t>
                  </w:r>
                </w:p>
              </w:tc>
              <w:tc>
                <w:tcPr>
                  <w:tcW w:w="701" w:type="pct"/>
                  <w:noWrap w:val="0"/>
                  <w:vAlign w:val="center"/>
                </w:tcPr>
                <w:p>
                  <w:pPr>
                    <w:widowControl/>
                    <w:adjustRightInd w:val="0"/>
                    <w:snapToGrid w:val="0"/>
                    <w:jc w:val="center"/>
                    <w:rPr>
                      <w:rFonts w:hint="default" w:eastAsia="宋体"/>
                      <w:color w:val="auto"/>
                      <w:kern w:val="0"/>
                      <w:sz w:val="18"/>
                      <w:szCs w:val="18"/>
                      <w:u w:val="none"/>
                      <w:lang w:val="en-US" w:eastAsia="zh-CN"/>
                    </w:rPr>
                  </w:pPr>
                  <w:r>
                    <w:rPr>
                      <w:rFonts w:hint="eastAsia"/>
                      <w:color w:val="auto"/>
                      <w:kern w:val="0"/>
                      <w:sz w:val="18"/>
                      <w:szCs w:val="18"/>
                      <w:u w:val="none"/>
                      <w:lang w:val="en-US" w:eastAsia="zh-CN"/>
                    </w:rPr>
                    <w:t>26.9949664</w:t>
                  </w:r>
                </w:p>
              </w:tc>
              <w:tc>
                <w:tcPr>
                  <w:tcW w:w="641" w:type="pct"/>
                  <w:noWrap w:val="0"/>
                  <w:vAlign w:val="center"/>
                </w:tcPr>
                <w:p>
                  <w:pPr>
                    <w:widowControl/>
                    <w:adjustRightInd w:val="0"/>
                    <w:snapToGrid w:val="0"/>
                    <w:jc w:val="center"/>
                    <w:rPr>
                      <w:rFonts w:hint="eastAsia"/>
                      <w:color w:val="auto"/>
                      <w:kern w:val="0"/>
                      <w:sz w:val="18"/>
                      <w:szCs w:val="18"/>
                      <w:u w:val="none"/>
                      <w:lang w:eastAsia="zh-CN"/>
                    </w:rPr>
                  </w:pPr>
                  <w:r>
                    <w:rPr>
                      <w:rFonts w:hint="eastAsia"/>
                      <w:color w:val="auto"/>
                      <w:kern w:val="0"/>
                      <w:sz w:val="18"/>
                      <w:szCs w:val="18"/>
                      <w:u w:val="none"/>
                      <w:lang w:eastAsia="zh-CN"/>
                    </w:rPr>
                    <w:t>咸中亭村</w:t>
                  </w:r>
                  <w:r>
                    <w:rPr>
                      <w:rFonts w:hint="eastAsia"/>
                      <w:color w:val="auto"/>
                      <w:kern w:val="0"/>
                      <w:sz w:val="18"/>
                      <w:szCs w:val="18"/>
                      <w:u w:val="none"/>
                    </w:rPr>
                    <w:t>居民点</w:t>
                  </w:r>
                  <w:r>
                    <w:rPr>
                      <w:rFonts w:hint="eastAsia"/>
                      <w:color w:val="auto"/>
                      <w:kern w:val="0"/>
                      <w:sz w:val="18"/>
                      <w:szCs w:val="18"/>
                      <w:u w:val="none"/>
                      <w:lang w:val="en-US" w:eastAsia="zh-CN"/>
                    </w:rPr>
                    <w:t>H7</w:t>
                  </w:r>
                </w:p>
              </w:tc>
              <w:tc>
                <w:tcPr>
                  <w:tcW w:w="857" w:type="pct"/>
                  <w:noWrap w:val="0"/>
                  <w:vAlign w:val="center"/>
                </w:tcPr>
                <w:p>
                  <w:pPr>
                    <w:widowControl/>
                    <w:adjustRightInd w:val="0"/>
                    <w:snapToGrid w:val="0"/>
                    <w:jc w:val="center"/>
                    <w:rPr>
                      <w:rFonts w:hint="eastAsia"/>
                      <w:color w:val="auto"/>
                      <w:kern w:val="0"/>
                      <w:sz w:val="18"/>
                      <w:szCs w:val="18"/>
                      <w:u w:val="none"/>
                      <w:lang w:val="en-US" w:eastAsia="zh-CN"/>
                    </w:rPr>
                  </w:pPr>
                  <w:r>
                    <w:rPr>
                      <w:rFonts w:hint="eastAsia"/>
                      <w:color w:val="auto"/>
                      <w:kern w:val="0"/>
                      <w:sz w:val="18"/>
                      <w:szCs w:val="18"/>
                      <w:u w:val="none"/>
                      <w:lang w:val="en-US" w:eastAsia="zh-CN"/>
                    </w:rPr>
                    <w:t>W</w:t>
                  </w:r>
                </w:p>
                <w:p>
                  <w:pPr>
                    <w:widowControl/>
                    <w:adjustRightInd w:val="0"/>
                    <w:snapToGrid w:val="0"/>
                    <w:jc w:val="center"/>
                    <w:rPr>
                      <w:rFonts w:hint="default"/>
                      <w:color w:val="auto"/>
                      <w:kern w:val="0"/>
                      <w:sz w:val="18"/>
                      <w:szCs w:val="18"/>
                      <w:u w:val="none"/>
                      <w:lang w:val="en-US" w:eastAsia="zh-CN"/>
                    </w:rPr>
                  </w:pPr>
                  <w:r>
                    <w:rPr>
                      <w:rFonts w:hint="eastAsia"/>
                      <w:color w:val="auto"/>
                      <w:kern w:val="0"/>
                      <w:sz w:val="18"/>
                      <w:szCs w:val="18"/>
                      <w:u w:val="none"/>
                      <w:lang w:val="en-US" w:eastAsia="zh-CN"/>
                    </w:rPr>
                    <w:t>110m</w:t>
                  </w:r>
                  <w:r>
                    <w:rPr>
                      <w:rFonts w:hint="eastAsia"/>
                      <w:color w:val="auto"/>
                      <w:kern w:val="0"/>
                      <w:sz w:val="18"/>
                      <w:szCs w:val="18"/>
                      <w:u w:val="none"/>
                    </w:rPr>
                    <w:t>~</w:t>
                  </w:r>
                  <w:r>
                    <w:rPr>
                      <w:rFonts w:hint="eastAsia"/>
                      <w:color w:val="auto"/>
                      <w:kern w:val="0"/>
                      <w:sz w:val="18"/>
                      <w:szCs w:val="18"/>
                      <w:u w:val="none"/>
                      <w:lang w:val="en-US" w:eastAsia="zh-CN"/>
                    </w:rPr>
                    <w:t>340</w:t>
                  </w:r>
                  <w:r>
                    <w:rPr>
                      <w:rFonts w:hint="eastAsia"/>
                      <w:color w:val="auto"/>
                      <w:kern w:val="0"/>
                      <w:sz w:val="18"/>
                      <w:szCs w:val="18"/>
                      <w:u w:val="none"/>
                    </w:rPr>
                    <w:t>m</w:t>
                  </w:r>
                </w:p>
              </w:tc>
              <w:tc>
                <w:tcPr>
                  <w:tcW w:w="676" w:type="pct"/>
                  <w:noWrap w:val="0"/>
                  <w:vAlign w:val="center"/>
                </w:tcPr>
                <w:p>
                  <w:pPr>
                    <w:widowControl/>
                    <w:adjustRightInd w:val="0"/>
                    <w:snapToGrid w:val="0"/>
                    <w:jc w:val="center"/>
                    <w:rPr>
                      <w:rFonts w:hint="eastAsia"/>
                      <w:color w:val="auto"/>
                      <w:kern w:val="0"/>
                      <w:sz w:val="18"/>
                      <w:szCs w:val="18"/>
                      <w:u w:val="none"/>
                    </w:rPr>
                  </w:pPr>
                  <w:r>
                    <w:rPr>
                      <w:rFonts w:hint="eastAsia"/>
                      <w:color w:val="auto"/>
                      <w:kern w:val="0"/>
                      <w:sz w:val="18"/>
                      <w:szCs w:val="18"/>
                      <w:u w:val="none"/>
                    </w:rPr>
                    <w:t>居住，</w:t>
                  </w:r>
                  <w:r>
                    <w:rPr>
                      <w:rFonts w:hint="eastAsia"/>
                      <w:color w:val="auto"/>
                      <w:kern w:val="0"/>
                      <w:sz w:val="18"/>
                      <w:szCs w:val="18"/>
                      <w:u w:val="none"/>
                      <w:lang w:val="en-US" w:eastAsia="zh-CN"/>
                    </w:rPr>
                    <w:t>30</w:t>
                  </w:r>
                  <w:r>
                    <w:rPr>
                      <w:rFonts w:hint="eastAsia"/>
                      <w:color w:val="auto"/>
                      <w:kern w:val="0"/>
                      <w:sz w:val="18"/>
                      <w:szCs w:val="18"/>
                      <w:u w:val="none"/>
                    </w:rPr>
                    <w:t>户，</w:t>
                  </w:r>
                  <w:r>
                    <w:rPr>
                      <w:rFonts w:hint="eastAsia"/>
                      <w:color w:val="auto"/>
                      <w:kern w:val="0"/>
                      <w:sz w:val="18"/>
                      <w:szCs w:val="18"/>
                      <w:u w:val="none"/>
                      <w:lang w:val="en-US" w:eastAsia="zh-CN"/>
                    </w:rPr>
                    <w:t>90</w:t>
                  </w:r>
                  <w:r>
                    <w:rPr>
                      <w:rFonts w:hint="eastAsia"/>
                      <w:color w:val="auto"/>
                      <w:kern w:val="0"/>
                      <w:sz w:val="18"/>
                      <w:szCs w:val="18"/>
                      <w:u w:val="none"/>
                    </w:rPr>
                    <w:t>人</w:t>
                  </w:r>
                </w:p>
              </w:tc>
              <w:tc>
                <w:tcPr>
                  <w:tcW w:w="995" w:type="pct"/>
                  <w:vMerge w:val="continue"/>
                  <w:noWrap w:val="0"/>
                  <w:vAlign w:val="center"/>
                </w:tcPr>
                <w:p>
                  <w:pPr>
                    <w:widowControl/>
                    <w:adjustRightInd w:val="0"/>
                    <w:snapToGrid w:val="0"/>
                    <w:jc w:val="center"/>
                    <w:rPr>
                      <w:color w:val="auto"/>
                      <w:kern w:val="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361" w:type="pct"/>
                  <w:noWrap w:val="0"/>
                  <w:vAlign w:val="center"/>
                </w:tcPr>
                <w:p>
                  <w:pPr>
                    <w:adjustRightInd w:val="0"/>
                    <w:snapToGrid w:val="0"/>
                    <w:jc w:val="center"/>
                    <w:rPr>
                      <w:color w:val="auto"/>
                      <w:kern w:val="0"/>
                      <w:sz w:val="18"/>
                      <w:szCs w:val="18"/>
                      <w:u w:val="none"/>
                    </w:rPr>
                  </w:pPr>
                  <w:r>
                    <w:rPr>
                      <w:color w:val="auto"/>
                      <w:kern w:val="0"/>
                      <w:sz w:val="18"/>
                      <w:szCs w:val="18"/>
                      <w:u w:val="none"/>
                    </w:rPr>
                    <w:t>声环境</w:t>
                  </w:r>
                </w:p>
              </w:tc>
              <w:tc>
                <w:tcPr>
                  <w:tcW w:w="765" w:type="pct"/>
                  <w:noWrap w:val="0"/>
                  <w:vAlign w:val="center"/>
                </w:tcPr>
                <w:p>
                  <w:pPr>
                    <w:widowControl/>
                    <w:adjustRightInd w:val="0"/>
                    <w:snapToGrid w:val="0"/>
                    <w:jc w:val="center"/>
                    <w:rPr>
                      <w:color w:val="auto"/>
                      <w:kern w:val="0"/>
                      <w:sz w:val="18"/>
                      <w:szCs w:val="18"/>
                      <w:u w:val="none"/>
                    </w:rPr>
                  </w:pPr>
                  <w:r>
                    <w:rPr>
                      <w:color w:val="auto"/>
                      <w:kern w:val="0"/>
                      <w:sz w:val="18"/>
                      <w:szCs w:val="18"/>
                      <w:u w:val="none"/>
                    </w:rPr>
                    <w:t>112.</w:t>
                  </w:r>
                  <w:r>
                    <w:rPr>
                      <w:rFonts w:hint="eastAsia"/>
                      <w:color w:val="auto"/>
                      <w:kern w:val="0"/>
                      <w:sz w:val="18"/>
                      <w:szCs w:val="18"/>
                      <w:u w:val="none"/>
                      <w:lang w:val="en-US" w:eastAsia="zh-CN"/>
                    </w:rPr>
                    <w:t>5527214</w:t>
                  </w:r>
                </w:p>
              </w:tc>
              <w:tc>
                <w:tcPr>
                  <w:tcW w:w="701" w:type="pct"/>
                  <w:noWrap w:val="0"/>
                  <w:vAlign w:val="center"/>
                </w:tcPr>
                <w:p>
                  <w:pPr>
                    <w:widowControl/>
                    <w:adjustRightInd w:val="0"/>
                    <w:snapToGrid w:val="0"/>
                    <w:jc w:val="center"/>
                    <w:rPr>
                      <w:color w:val="auto"/>
                      <w:kern w:val="0"/>
                      <w:sz w:val="18"/>
                      <w:szCs w:val="18"/>
                      <w:u w:val="none"/>
                    </w:rPr>
                  </w:pPr>
                  <w:r>
                    <w:rPr>
                      <w:color w:val="auto"/>
                      <w:kern w:val="0"/>
                      <w:sz w:val="18"/>
                      <w:szCs w:val="18"/>
                      <w:u w:val="none"/>
                    </w:rPr>
                    <w:t>2</w:t>
                  </w:r>
                  <w:r>
                    <w:rPr>
                      <w:rFonts w:hint="eastAsia"/>
                      <w:color w:val="auto"/>
                      <w:kern w:val="0"/>
                      <w:sz w:val="18"/>
                      <w:szCs w:val="18"/>
                      <w:u w:val="none"/>
                      <w:lang w:val="en-US" w:eastAsia="zh-CN"/>
                    </w:rPr>
                    <w:t>7.2422851</w:t>
                  </w:r>
                </w:p>
              </w:tc>
              <w:tc>
                <w:tcPr>
                  <w:tcW w:w="641" w:type="pct"/>
                  <w:noWrap w:val="0"/>
                  <w:vAlign w:val="center"/>
                </w:tcPr>
                <w:p>
                  <w:pPr>
                    <w:widowControl/>
                    <w:adjustRightInd w:val="0"/>
                    <w:snapToGrid w:val="0"/>
                    <w:jc w:val="center"/>
                    <w:rPr>
                      <w:color w:val="auto"/>
                      <w:szCs w:val="21"/>
                      <w:u w:val="none"/>
                    </w:rPr>
                  </w:pPr>
                  <w:r>
                    <w:rPr>
                      <w:rFonts w:hint="eastAsia"/>
                      <w:color w:val="auto"/>
                      <w:kern w:val="0"/>
                      <w:sz w:val="18"/>
                      <w:szCs w:val="18"/>
                      <w:u w:val="none"/>
                      <w:lang w:eastAsia="zh-CN"/>
                    </w:rPr>
                    <w:t>咸中亭村</w:t>
                  </w:r>
                  <w:r>
                    <w:rPr>
                      <w:rFonts w:hint="eastAsia"/>
                      <w:color w:val="auto"/>
                      <w:kern w:val="0"/>
                      <w:sz w:val="18"/>
                      <w:szCs w:val="18"/>
                      <w:u w:val="none"/>
                    </w:rPr>
                    <w:t>居民点</w:t>
                  </w:r>
                  <w:r>
                    <w:rPr>
                      <w:rFonts w:hint="eastAsia"/>
                      <w:color w:val="auto"/>
                      <w:kern w:val="0"/>
                      <w:sz w:val="18"/>
                      <w:szCs w:val="18"/>
                      <w:u w:val="none"/>
                      <w:lang w:val="en-US" w:eastAsia="zh-CN"/>
                    </w:rPr>
                    <w:t>H</w:t>
                  </w:r>
                  <w:r>
                    <w:rPr>
                      <w:rFonts w:hint="eastAsia"/>
                      <w:color w:val="auto"/>
                      <w:kern w:val="0"/>
                      <w:sz w:val="18"/>
                      <w:szCs w:val="18"/>
                      <w:u w:val="none"/>
                    </w:rPr>
                    <w:t>1</w:t>
                  </w:r>
                </w:p>
              </w:tc>
              <w:tc>
                <w:tcPr>
                  <w:tcW w:w="857" w:type="pct"/>
                  <w:noWrap w:val="0"/>
                  <w:vAlign w:val="center"/>
                </w:tcPr>
                <w:p>
                  <w:pPr>
                    <w:widowControl/>
                    <w:adjustRightInd w:val="0"/>
                    <w:snapToGrid w:val="0"/>
                    <w:jc w:val="center"/>
                    <w:rPr>
                      <w:rFonts w:hint="eastAsia"/>
                      <w:color w:val="auto"/>
                      <w:kern w:val="0"/>
                      <w:sz w:val="18"/>
                      <w:szCs w:val="18"/>
                      <w:u w:val="none"/>
                      <w:lang w:val="en-US" w:eastAsia="zh-CN"/>
                    </w:rPr>
                  </w:pPr>
                  <w:r>
                    <w:rPr>
                      <w:rFonts w:hint="eastAsia"/>
                      <w:color w:val="auto"/>
                      <w:kern w:val="0"/>
                      <w:sz w:val="18"/>
                      <w:szCs w:val="18"/>
                      <w:u w:val="none"/>
                      <w:lang w:val="en-US" w:eastAsia="zh-CN"/>
                    </w:rPr>
                    <w:t>EN</w:t>
                  </w:r>
                </w:p>
                <w:p>
                  <w:pPr>
                    <w:widowControl/>
                    <w:adjustRightInd w:val="0"/>
                    <w:snapToGrid w:val="0"/>
                    <w:jc w:val="center"/>
                    <w:rPr>
                      <w:color w:val="auto"/>
                      <w:kern w:val="0"/>
                      <w:sz w:val="18"/>
                      <w:szCs w:val="18"/>
                      <w:u w:val="none"/>
                    </w:rPr>
                  </w:pPr>
                  <w:r>
                    <w:rPr>
                      <w:rFonts w:hint="eastAsia"/>
                      <w:color w:val="auto"/>
                      <w:kern w:val="0"/>
                      <w:sz w:val="18"/>
                      <w:szCs w:val="18"/>
                      <w:u w:val="none"/>
                      <w:lang w:val="en-US" w:eastAsia="zh-CN"/>
                    </w:rPr>
                    <w:t>30</w:t>
                  </w:r>
                  <w:r>
                    <w:rPr>
                      <w:rFonts w:hint="eastAsia"/>
                      <w:color w:val="auto"/>
                      <w:kern w:val="0"/>
                      <w:sz w:val="18"/>
                      <w:szCs w:val="18"/>
                      <w:u w:val="none"/>
                    </w:rPr>
                    <w:t>m~</w:t>
                  </w:r>
                  <w:r>
                    <w:rPr>
                      <w:rFonts w:hint="eastAsia"/>
                      <w:color w:val="auto"/>
                      <w:kern w:val="0"/>
                      <w:sz w:val="18"/>
                      <w:szCs w:val="18"/>
                      <w:u w:val="none"/>
                      <w:lang w:val="en-US" w:eastAsia="zh-CN"/>
                    </w:rPr>
                    <w:t>50</w:t>
                  </w:r>
                  <w:r>
                    <w:rPr>
                      <w:rFonts w:hint="eastAsia"/>
                      <w:color w:val="auto"/>
                      <w:kern w:val="0"/>
                      <w:sz w:val="18"/>
                      <w:szCs w:val="18"/>
                      <w:u w:val="none"/>
                    </w:rPr>
                    <w:t xml:space="preserve">m </w:t>
                  </w:r>
                </w:p>
              </w:tc>
              <w:tc>
                <w:tcPr>
                  <w:tcW w:w="676"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居住，</w:t>
                  </w:r>
                  <w:r>
                    <w:rPr>
                      <w:rFonts w:hint="eastAsia"/>
                      <w:color w:val="auto"/>
                      <w:kern w:val="0"/>
                      <w:sz w:val="18"/>
                      <w:szCs w:val="18"/>
                      <w:u w:val="none"/>
                      <w:lang w:val="en-US" w:eastAsia="zh-CN"/>
                    </w:rPr>
                    <w:t>4</w:t>
                  </w:r>
                  <w:r>
                    <w:rPr>
                      <w:rFonts w:hint="eastAsia"/>
                      <w:color w:val="auto"/>
                      <w:kern w:val="0"/>
                      <w:sz w:val="18"/>
                      <w:szCs w:val="18"/>
                      <w:u w:val="none"/>
                    </w:rPr>
                    <w:t>户，</w:t>
                  </w:r>
                  <w:r>
                    <w:rPr>
                      <w:rFonts w:hint="eastAsia"/>
                      <w:color w:val="auto"/>
                      <w:kern w:val="0"/>
                      <w:sz w:val="18"/>
                      <w:szCs w:val="18"/>
                      <w:u w:val="none"/>
                      <w:lang w:val="en-US" w:eastAsia="zh-CN"/>
                    </w:rPr>
                    <w:t>12</w:t>
                  </w:r>
                  <w:r>
                    <w:rPr>
                      <w:rFonts w:hint="eastAsia"/>
                      <w:color w:val="auto"/>
                      <w:kern w:val="0"/>
                      <w:sz w:val="18"/>
                      <w:szCs w:val="18"/>
                      <w:u w:val="none"/>
                    </w:rPr>
                    <w:t>人</w:t>
                  </w:r>
                </w:p>
              </w:tc>
              <w:tc>
                <w:tcPr>
                  <w:tcW w:w="995" w:type="pct"/>
                  <w:noWrap w:val="0"/>
                  <w:vAlign w:val="center"/>
                </w:tcPr>
                <w:p>
                  <w:pPr>
                    <w:adjustRightInd w:val="0"/>
                    <w:snapToGrid w:val="0"/>
                    <w:jc w:val="center"/>
                    <w:rPr>
                      <w:color w:val="auto"/>
                      <w:kern w:val="0"/>
                      <w:sz w:val="18"/>
                      <w:szCs w:val="18"/>
                      <w:u w:val="none"/>
                    </w:rPr>
                  </w:pPr>
                  <w:r>
                    <w:rPr>
                      <w:color w:val="auto"/>
                      <w:kern w:val="0"/>
                      <w:sz w:val="18"/>
                      <w:szCs w:val="18"/>
                      <w:u w:val="none"/>
                    </w:rPr>
                    <w:t>《声环境质量标准（GB3096-20</w:t>
                  </w:r>
                  <w:r>
                    <w:rPr>
                      <w:color w:val="auto"/>
                      <w:kern w:val="0"/>
                      <w:sz w:val="18"/>
                      <w:szCs w:val="18"/>
                      <w:u w:val="none"/>
                    </w:rPr>
                    <w:cr/>
                  </w:r>
                  <w:r>
                    <w:rPr>
                      <w:color w:val="auto"/>
                      <w:kern w:val="0"/>
                      <w:sz w:val="18"/>
                      <w:szCs w:val="18"/>
                      <w:u w:val="none"/>
                    </w:rPr>
                    <w:t>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61" w:type="pct"/>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生态环境</w:t>
                  </w:r>
                </w:p>
              </w:tc>
              <w:tc>
                <w:tcPr>
                  <w:tcW w:w="4638" w:type="pct"/>
                  <w:gridSpan w:val="6"/>
                  <w:noWrap w:val="0"/>
                  <w:vAlign w:val="center"/>
                </w:tcPr>
                <w:p>
                  <w:pPr>
                    <w:widowControl/>
                    <w:adjustRightInd w:val="0"/>
                    <w:snapToGrid w:val="0"/>
                    <w:jc w:val="center"/>
                    <w:rPr>
                      <w:color w:val="auto"/>
                      <w:kern w:val="0"/>
                      <w:sz w:val="18"/>
                      <w:szCs w:val="18"/>
                      <w:u w:val="none"/>
                    </w:rPr>
                  </w:pPr>
                  <w:r>
                    <w:rPr>
                      <w:rFonts w:hint="eastAsia"/>
                      <w:color w:val="auto"/>
                      <w:kern w:val="0"/>
                      <w:sz w:val="18"/>
                      <w:szCs w:val="18"/>
                      <w:u w:val="none"/>
                    </w:rPr>
                    <w:t>不受本项目施工影响</w:t>
                  </w:r>
                </w:p>
              </w:tc>
            </w:tr>
          </w:tbl>
          <w:p>
            <w:pPr>
              <w:adjustRightInd w:val="0"/>
              <w:snapToGrid w:val="0"/>
              <w:jc w:val="center"/>
              <w:rPr>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800" w:type="dxa"/>
            <w:tcMar>
              <w:left w:w="28" w:type="dxa"/>
              <w:right w:w="28" w:type="dxa"/>
            </w:tcMar>
            <w:vAlign w:val="center"/>
          </w:tcPr>
          <w:p>
            <w:pPr>
              <w:adjustRightInd w:val="0"/>
              <w:snapToGrid w:val="0"/>
              <w:jc w:val="center"/>
              <w:rPr>
                <w:color w:val="auto"/>
                <w:kern w:val="0"/>
                <w:szCs w:val="21"/>
              </w:rPr>
            </w:pPr>
            <w:r>
              <w:rPr>
                <w:color w:val="auto"/>
                <w:kern w:val="0"/>
                <w:szCs w:val="21"/>
              </w:rPr>
              <w:t>污染</w:t>
            </w:r>
          </w:p>
          <w:p>
            <w:pPr>
              <w:adjustRightInd w:val="0"/>
              <w:snapToGrid w:val="0"/>
              <w:jc w:val="center"/>
              <w:rPr>
                <w:color w:val="auto"/>
                <w:kern w:val="0"/>
                <w:szCs w:val="21"/>
              </w:rPr>
            </w:pPr>
            <w:r>
              <w:rPr>
                <w:color w:val="auto"/>
                <w:kern w:val="0"/>
                <w:szCs w:val="21"/>
              </w:rPr>
              <w:t>物排</w:t>
            </w:r>
          </w:p>
          <w:p>
            <w:pPr>
              <w:adjustRightInd w:val="0"/>
              <w:snapToGrid w:val="0"/>
              <w:jc w:val="center"/>
              <w:rPr>
                <w:color w:val="auto"/>
                <w:kern w:val="0"/>
                <w:szCs w:val="21"/>
              </w:rPr>
            </w:pPr>
            <w:r>
              <w:rPr>
                <w:color w:val="auto"/>
                <w:kern w:val="0"/>
                <w:szCs w:val="21"/>
              </w:rPr>
              <w:t>放控</w:t>
            </w:r>
          </w:p>
          <w:p>
            <w:pPr>
              <w:adjustRightInd w:val="0"/>
              <w:snapToGrid w:val="0"/>
              <w:jc w:val="center"/>
              <w:rPr>
                <w:color w:val="auto"/>
                <w:kern w:val="0"/>
                <w:szCs w:val="21"/>
              </w:rPr>
            </w:pPr>
            <w:r>
              <w:rPr>
                <w:color w:val="auto"/>
                <w:kern w:val="0"/>
                <w:szCs w:val="21"/>
              </w:rPr>
              <w:t>制标</w:t>
            </w:r>
          </w:p>
          <w:p>
            <w:pPr>
              <w:adjustRightInd w:val="0"/>
              <w:snapToGrid w:val="0"/>
              <w:jc w:val="center"/>
              <w:rPr>
                <w:color w:val="auto"/>
                <w:kern w:val="0"/>
                <w:szCs w:val="21"/>
              </w:rPr>
            </w:pPr>
            <w:r>
              <w:rPr>
                <w:color w:val="auto"/>
                <w:kern w:val="0"/>
                <w:szCs w:val="21"/>
              </w:rPr>
              <w:t>准</w:t>
            </w:r>
          </w:p>
        </w:tc>
        <w:tc>
          <w:tcPr>
            <w:tcW w:w="8190" w:type="dxa"/>
            <w:vAlign w:val="center"/>
          </w:tcPr>
          <w:p>
            <w:pPr>
              <w:widowControl/>
              <w:adjustRightInd w:val="0"/>
              <w:snapToGrid w:val="0"/>
              <w:spacing w:line="360" w:lineRule="auto"/>
              <w:ind w:firstLine="422" w:firstLineChars="200"/>
              <w:rPr>
                <w:rFonts w:hint="eastAsia"/>
                <w:b/>
                <w:bCs/>
                <w:color w:val="auto"/>
                <w:kern w:val="0"/>
                <w:szCs w:val="21"/>
                <w:u w:val="none"/>
              </w:rPr>
            </w:pPr>
            <w:r>
              <w:rPr>
                <w:rFonts w:hint="eastAsia"/>
                <w:b/>
                <w:bCs/>
                <w:color w:val="auto"/>
                <w:kern w:val="0"/>
                <w:szCs w:val="21"/>
                <w:u w:val="none"/>
              </w:rPr>
              <w:t>1、废气</w:t>
            </w:r>
          </w:p>
          <w:p>
            <w:pPr>
              <w:widowControl/>
              <w:adjustRightInd w:val="0"/>
              <w:snapToGrid w:val="0"/>
              <w:spacing w:line="360" w:lineRule="auto"/>
              <w:ind w:firstLine="420" w:firstLineChars="200"/>
              <w:rPr>
                <w:rFonts w:hint="eastAsia"/>
                <w:color w:val="auto"/>
                <w:kern w:val="0"/>
                <w:szCs w:val="21"/>
                <w:u w:val="none"/>
              </w:rPr>
            </w:pPr>
            <w:r>
              <w:rPr>
                <w:rFonts w:hint="eastAsia"/>
                <w:color w:val="auto"/>
                <w:kern w:val="0"/>
                <w:szCs w:val="21"/>
                <w:u w:val="none"/>
              </w:rPr>
              <w:t>本项目颗粒物、非甲烷总烃执行《大气污染物综合排放标准》（GB16297-1996） 表 2 排放限值要求，同时车间及厂房外有机废气还需执行《挥发性有机物无组织排放控制标准》（GB37822-2019）附录A中厂区内VOCs无组织排放监控要求</w:t>
            </w:r>
            <w:r>
              <w:rPr>
                <w:rFonts w:hint="eastAsia"/>
                <w:color w:val="auto"/>
                <w:kern w:val="0"/>
                <w:szCs w:val="21"/>
                <w:u w:val="none"/>
                <w:lang w:eastAsia="zh-CN"/>
              </w:rPr>
              <w:t>，</w:t>
            </w:r>
            <w:r>
              <w:rPr>
                <w:rFonts w:hint="eastAsia"/>
                <w:color w:val="auto"/>
                <w:kern w:val="0"/>
                <w:szCs w:val="21"/>
                <w:u w:val="none"/>
              </w:rPr>
              <w:t>具体值见表 3-</w:t>
            </w:r>
            <w:r>
              <w:rPr>
                <w:rFonts w:hint="eastAsia"/>
                <w:color w:val="auto"/>
                <w:kern w:val="0"/>
                <w:szCs w:val="21"/>
                <w:u w:val="none"/>
                <w:lang w:val="en-US" w:eastAsia="zh-CN"/>
              </w:rPr>
              <w:t>7及表3-8</w:t>
            </w:r>
            <w:r>
              <w:rPr>
                <w:rFonts w:hint="eastAsia"/>
                <w:color w:val="auto"/>
                <w:kern w:val="0"/>
                <w:szCs w:val="21"/>
                <w:u w:val="none"/>
              </w:rPr>
              <w:t>。</w:t>
            </w:r>
          </w:p>
          <w:p>
            <w:pPr>
              <w:pStyle w:val="6"/>
              <w:numPr>
                <w:ilvl w:val="0"/>
                <w:numId w:val="0"/>
              </w:numPr>
              <w:ind w:right="0" w:rightChars="0"/>
              <w:jc w:val="center"/>
              <w:rPr>
                <w:rFonts w:hint="eastAsia" w:eastAsia="宋体"/>
                <w:b/>
                <w:bCs/>
                <w:color w:val="auto"/>
                <w:lang w:val="en-US" w:eastAsia="zh-CN"/>
              </w:rPr>
            </w:pPr>
            <w:r>
              <w:rPr>
                <w:rFonts w:hint="eastAsia"/>
                <w:b/>
                <w:bCs/>
                <w:color w:val="auto"/>
              </w:rPr>
              <w:t>表 3-</w:t>
            </w:r>
            <w:r>
              <w:rPr>
                <w:rFonts w:hint="eastAsia"/>
                <w:b/>
                <w:bCs/>
                <w:color w:val="auto"/>
                <w:lang w:val="en-US" w:eastAsia="zh-CN"/>
              </w:rPr>
              <w:t>7</w:t>
            </w:r>
            <w:r>
              <w:rPr>
                <w:rFonts w:hint="eastAsia"/>
                <w:b/>
                <w:bCs/>
                <w:color w:val="auto"/>
              </w:rPr>
              <w:tab/>
            </w:r>
            <w:r>
              <w:rPr>
                <w:rFonts w:hint="eastAsia"/>
                <w:b/>
                <w:bCs/>
                <w:color w:val="auto"/>
                <w:lang w:eastAsia="zh-CN"/>
              </w:rPr>
              <w:t>厂区外</w:t>
            </w:r>
            <w:r>
              <w:rPr>
                <w:rFonts w:hint="eastAsia"/>
                <w:b/>
                <w:bCs/>
                <w:color w:val="auto"/>
              </w:rPr>
              <w:t>大气污染物排放标准</w:t>
            </w:r>
            <w:r>
              <w:rPr>
                <w:rFonts w:hint="eastAsia"/>
                <w:b/>
                <w:bCs/>
                <w:color w:val="auto"/>
              </w:rPr>
              <w:tab/>
            </w:r>
            <w:r>
              <w:rPr>
                <w:rFonts w:hint="eastAsia"/>
                <w:b/>
                <w:bCs/>
                <w:color w:val="auto"/>
              </w:rPr>
              <w:t>单位：mg/m</w:t>
            </w:r>
            <w:r>
              <w:rPr>
                <w:rFonts w:hint="eastAsia"/>
                <w:b/>
                <w:bCs/>
                <w:color w:val="auto"/>
                <w:vertAlign w:val="superscript"/>
                <w:lang w:val="en-US" w:eastAsia="zh-CN"/>
              </w:rPr>
              <w:t>3</w:t>
            </w:r>
          </w:p>
          <w:tbl>
            <w:tblPr>
              <w:tblStyle w:val="22"/>
              <w:tblpPr w:leftFromText="180" w:rightFromText="180" w:vertAnchor="text" w:horzAnchor="page" w:tblpXSpec="center" w:tblpY="10"/>
              <w:tblOverlap w:val="never"/>
              <w:tblW w:w="7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34"/>
              <w:gridCol w:w="1230"/>
              <w:gridCol w:w="1080"/>
              <w:gridCol w:w="1170"/>
              <w:gridCol w:w="630"/>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28" w:type="dxa"/>
                  <w:vMerge w:val="restart"/>
                  <w:tcBorders>
                    <w:tl2br w:val="nil"/>
                    <w:tr2bl w:val="nil"/>
                  </w:tcBorders>
                  <w:vAlign w:val="center"/>
                </w:tcPr>
                <w:p>
                  <w:pPr>
                    <w:jc w:val="center"/>
                    <w:rPr>
                      <w:rFonts w:hint="eastAsia" w:eastAsia="宋体"/>
                      <w:color w:val="auto"/>
                      <w:sz w:val="18"/>
                      <w:szCs w:val="18"/>
                      <w:u w:val="none"/>
                      <w:lang w:eastAsia="zh-CN"/>
                    </w:rPr>
                  </w:pPr>
                  <w:r>
                    <w:rPr>
                      <w:rFonts w:hint="eastAsia"/>
                      <w:color w:val="auto"/>
                      <w:sz w:val="18"/>
                      <w:szCs w:val="18"/>
                      <w:u w:val="none"/>
                      <w:lang w:eastAsia="zh-CN"/>
                    </w:rPr>
                    <w:t>污染物</w:t>
                  </w:r>
                </w:p>
              </w:tc>
              <w:tc>
                <w:tcPr>
                  <w:tcW w:w="3544" w:type="dxa"/>
                  <w:gridSpan w:val="3"/>
                  <w:tcBorders>
                    <w:tl2br w:val="nil"/>
                    <w:tr2bl w:val="nil"/>
                  </w:tcBorders>
                  <w:vAlign w:val="center"/>
                </w:tcPr>
                <w:p>
                  <w:pPr>
                    <w:jc w:val="center"/>
                    <w:rPr>
                      <w:rFonts w:hint="eastAsia" w:eastAsia="宋体"/>
                      <w:color w:val="auto"/>
                      <w:sz w:val="18"/>
                      <w:szCs w:val="18"/>
                      <w:u w:val="none"/>
                      <w:lang w:eastAsia="zh-CN"/>
                    </w:rPr>
                  </w:pPr>
                  <w:r>
                    <w:rPr>
                      <w:rFonts w:hint="eastAsia"/>
                      <w:color w:val="auto"/>
                      <w:sz w:val="18"/>
                      <w:szCs w:val="18"/>
                      <w:u w:val="none"/>
                      <w:lang w:eastAsia="zh-CN"/>
                    </w:rPr>
                    <w:t>有组织监控浓度</w:t>
                  </w:r>
                </w:p>
              </w:tc>
              <w:tc>
                <w:tcPr>
                  <w:tcW w:w="1800" w:type="dxa"/>
                  <w:gridSpan w:val="2"/>
                  <w:vMerge w:val="restart"/>
                  <w:tcBorders>
                    <w:tl2br w:val="nil"/>
                    <w:tr2bl w:val="nil"/>
                  </w:tcBorders>
                  <w:vAlign w:val="center"/>
                </w:tcPr>
                <w:p>
                  <w:pPr>
                    <w:jc w:val="center"/>
                    <w:rPr>
                      <w:color w:val="auto"/>
                      <w:sz w:val="18"/>
                      <w:szCs w:val="18"/>
                      <w:u w:val="none"/>
                    </w:rPr>
                  </w:pPr>
                  <w:r>
                    <w:rPr>
                      <w:color w:val="auto"/>
                      <w:sz w:val="18"/>
                      <w:szCs w:val="18"/>
                      <w:u w:val="none"/>
                    </w:rPr>
                    <w:t>无组织监控浓度限值（mg/m</w:t>
                  </w:r>
                  <w:r>
                    <w:rPr>
                      <w:color w:val="auto"/>
                      <w:sz w:val="18"/>
                      <w:szCs w:val="18"/>
                      <w:u w:val="none"/>
                      <w:vertAlign w:val="superscript"/>
                    </w:rPr>
                    <w:t>3</w:t>
                  </w:r>
                  <w:r>
                    <w:rPr>
                      <w:color w:val="auto"/>
                      <w:sz w:val="18"/>
                      <w:szCs w:val="18"/>
                      <w:u w:val="none"/>
                    </w:rPr>
                    <w:t>）</w:t>
                  </w:r>
                </w:p>
              </w:tc>
              <w:tc>
                <w:tcPr>
                  <w:tcW w:w="1504" w:type="dxa"/>
                  <w:vMerge w:val="restart"/>
                  <w:tcBorders>
                    <w:tl2br w:val="nil"/>
                    <w:tr2bl w:val="nil"/>
                  </w:tcBorders>
                  <w:vAlign w:val="center"/>
                </w:tcPr>
                <w:p>
                  <w:pPr>
                    <w:jc w:val="center"/>
                    <w:rPr>
                      <w:rFonts w:hint="eastAsia" w:eastAsia="宋体"/>
                      <w:color w:val="auto"/>
                      <w:sz w:val="18"/>
                      <w:szCs w:val="18"/>
                      <w:u w:val="none"/>
                      <w:lang w:eastAsia="zh-CN"/>
                    </w:rPr>
                  </w:pPr>
                  <w:r>
                    <w:rPr>
                      <w:rFonts w:hint="eastAsia"/>
                      <w:color w:val="auto"/>
                      <w:sz w:val="18"/>
                      <w:szCs w:val="18"/>
                      <w:u w:val="none"/>
                      <w:lang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28" w:type="dxa"/>
                  <w:vMerge w:val="continue"/>
                  <w:tcBorders>
                    <w:tl2br w:val="nil"/>
                    <w:tr2bl w:val="nil"/>
                  </w:tcBorders>
                  <w:vAlign w:val="center"/>
                </w:tcPr>
                <w:p>
                  <w:pPr>
                    <w:jc w:val="center"/>
                    <w:rPr>
                      <w:rFonts w:hint="eastAsia"/>
                      <w:color w:val="auto"/>
                      <w:sz w:val="18"/>
                      <w:szCs w:val="18"/>
                      <w:u w:val="none"/>
                      <w:lang w:eastAsia="zh-CN"/>
                    </w:rPr>
                  </w:pPr>
                </w:p>
              </w:tc>
              <w:tc>
                <w:tcPr>
                  <w:tcW w:w="1234" w:type="dxa"/>
                  <w:tcBorders>
                    <w:tl2br w:val="nil"/>
                    <w:tr2bl w:val="nil"/>
                  </w:tcBorders>
                  <w:vAlign w:val="center"/>
                </w:tcPr>
                <w:p>
                  <w:pPr>
                    <w:jc w:val="center"/>
                    <w:rPr>
                      <w:color w:val="auto"/>
                      <w:sz w:val="18"/>
                      <w:szCs w:val="18"/>
                      <w:u w:val="none"/>
                    </w:rPr>
                  </w:pPr>
                  <w:r>
                    <w:rPr>
                      <w:color w:val="auto"/>
                      <w:sz w:val="18"/>
                      <w:szCs w:val="18"/>
                      <w:u w:val="none"/>
                    </w:rPr>
                    <w:t>最高允许排放浓度</w:t>
                  </w:r>
                </w:p>
              </w:tc>
              <w:tc>
                <w:tcPr>
                  <w:tcW w:w="1230" w:type="dxa"/>
                  <w:tcBorders>
                    <w:tl2br w:val="nil"/>
                    <w:tr2bl w:val="nil"/>
                  </w:tcBorders>
                  <w:vAlign w:val="center"/>
                </w:tcPr>
                <w:p>
                  <w:pPr>
                    <w:jc w:val="center"/>
                    <w:rPr>
                      <w:rFonts w:hint="eastAsia" w:eastAsia="宋体"/>
                      <w:color w:val="auto"/>
                      <w:sz w:val="18"/>
                      <w:szCs w:val="18"/>
                      <w:u w:val="none"/>
                      <w:lang w:eastAsia="zh-CN"/>
                    </w:rPr>
                  </w:pPr>
                  <w:r>
                    <w:rPr>
                      <w:rFonts w:hint="eastAsia"/>
                      <w:color w:val="auto"/>
                      <w:sz w:val="18"/>
                      <w:szCs w:val="18"/>
                      <w:u w:val="none"/>
                      <w:lang w:eastAsia="zh-CN"/>
                    </w:rPr>
                    <w:t>排气筒高度</w:t>
                  </w:r>
                </w:p>
              </w:tc>
              <w:tc>
                <w:tcPr>
                  <w:tcW w:w="1080" w:type="dxa"/>
                  <w:tcBorders>
                    <w:tl2br w:val="nil"/>
                    <w:tr2bl w:val="nil"/>
                  </w:tcBorders>
                  <w:vAlign w:val="center"/>
                </w:tcPr>
                <w:p>
                  <w:pPr>
                    <w:jc w:val="center"/>
                    <w:rPr>
                      <w:color w:val="auto"/>
                      <w:sz w:val="18"/>
                      <w:szCs w:val="18"/>
                      <w:u w:val="none"/>
                    </w:rPr>
                  </w:pPr>
                  <w:r>
                    <w:rPr>
                      <w:color w:val="auto"/>
                      <w:sz w:val="18"/>
                      <w:szCs w:val="18"/>
                      <w:u w:val="none"/>
                    </w:rPr>
                    <w:t>最高允许排放速率</w:t>
                  </w:r>
                </w:p>
              </w:tc>
              <w:tc>
                <w:tcPr>
                  <w:tcW w:w="1800" w:type="dxa"/>
                  <w:gridSpan w:val="2"/>
                  <w:vMerge w:val="continue"/>
                  <w:tcBorders>
                    <w:tl2br w:val="nil"/>
                    <w:tr2bl w:val="nil"/>
                  </w:tcBorders>
                  <w:vAlign w:val="center"/>
                </w:tcPr>
                <w:p>
                  <w:pPr>
                    <w:jc w:val="center"/>
                    <w:rPr>
                      <w:color w:val="auto"/>
                      <w:sz w:val="18"/>
                      <w:szCs w:val="18"/>
                      <w:u w:val="none"/>
                    </w:rPr>
                  </w:pPr>
                </w:p>
              </w:tc>
              <w:tc>
                <w:tcPr>
                  <w:tcW w:w="1504" w:type="dxa"/>
                  <w:vMerge w:val="continue"/>
                  <w:tcBorders>
                    <w:tl2br w:val="nil"/>
                    <w:tr2bl w:val="nil"/>
                  </w:tcBorders>
                  <w:vAlign w:val="center"/>
                </w:tcPr>
                <w:p>
                  <w:pPr>
                    <w:jc w:val="center"/>
                    <w:rPr>
                      <w:color w:val="auto"/>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6" w:hRule="atLeast"/>
                <w:jc w:val="center"/>
              </w:trPr>
              <w:tc>
                <w:tcPr>
                  <w:tcW w:w="828" w:type="dxa"/>
                  <w:tcBorders>
                    <w:tl2br w:val="nil"/>
                    <w:tr2bl w:val="nil"/>
                  </w:tcBorders>
                  <w:vAlign w:val="center"/>
                </w:tcPr>
                <w:p>
                  <w:pPr>
                    <w:jc w:val="center"/>
                    <w:rPr>
                      <w:rFonts w:hint="eastAsia" w:eastAsia="宋体"/>
                      <w:color w:val="auto"/>
                      <w:sz w:val="18"/>
                      <w:szCs w:val="18"/>
                      <w:u w:val="none"/>
                      <w:lang w:eastAsia="zh-CN"/>
                    </w:rPr>
                  </w:pPr>
                  <w:r>
                    <w:rPr>
                      <w:rFonts w:hint="eastAsia"/>
                      <w:color w:val="auto"/>
                      <w:sz w:val="18"/>
                      <w:szCs w:val="18"/>
                      <w:u w:val="none"/>
                      <w:lang w:eastAsia="zh-CN"/>
                    </w:rPr>
                    <w:t>非甲烷总烃</w:t>
                  </w:r>
                </w:p>
              </w:tc>
              <w:tc>
                <w:tcPr>
                  <w:tcW w:w="1234" w:type="dxa"/>
                  <w:tcBorders>
                    <w:tl2br w:val="nil"/>
                    <w:tr2bl w:val="nil"/>
                  </w:tcBorders>
                  <w:vAlign w:val="center"/>
                </w:tcPr>
                <w:p>
                  <w:pPr>
                    <w:jc w:val="center"/>
                    <w:rPr>
                      <w:rFonts w:hint="default" w:eastAsia="宋体"/>
                      <w:color w:val="auto"/>
                      <w:sz w:val="18"/>
                      <w:szCs w:val="18"/>
                      <w:u w:val="none"/>
                      <w:lang w:val="en-US" w:eastAsia="zh-CN"/>
                    </w:rPr>
                  </w:pPr>
                  <w:r>
                    <w:rPr>
                      <w:rFonts w:hint="eastAsia"/>
                      <w:color w:val="auto"/>
                      <w:sz w:val="18"/>
                      <w:szCs w:val="18"/>
                      <w:u w:val="none"/>
                      <w:lang w:val="en-US" w:eastAsia="zh-CN"/>
                    </w:rPr>
                    <w:t>/</w:t>
                  </w:r>
                </w:p>
              </w:tc>
              <w:tc>
                <w:tcPr>
                  <w:tcW w:w="1230" w:type="dxa"/>
                  <w:tcBorders>
                    <w:tl2br w:val="nil"/>
                    <w:tr2bl w:val="nil"/>
                  </w:tcBorders>
                  <w:vAlign w:val="center"/>
                </w:tcPr>
                <w:p>
                  <w:pPr>
                    <w:jc w:val="center"/>
                    <w:rPr>
                      <w:rFonts w:hint="default" w:eastAsia="宋体"/>
                      <w:color w:val="auto"/>
                      <w:sz w:val="18"/>
                      <w:szCs w:val="18"/>
                      <w:u w:val="none"/>
                      <w:lang w:val="en-US" w:eastAsia="zh-CN"/>
                    </w:rPr>
                  </w:pPr>
                  <w:r>
                    <w:rPr>
                      <w:rFonts w:hint="eastAsia"/>
                      <w:color w:val="auto"/>
                      <w:sz w:val="18"/>
                      <w:szCs w:val="18"/>
                      <w:u w:val="none"/>
                      <w:lang w:val="en-US" w:eastAsia="zh-CN"/>
                    </w:rPr>
                    <w:t>/</w:t>
                  </w:r>
                </w:p>
              </w:tc>
              <w:tc>
                <w:tcPr>
                  <w:tcW w:w="1080" w:type="dxa"/>
                  <w:tcBorders>
                    <w:tl2br w:val="nil"/>
                    <w:tr2bl w:val="nil"/>
                  </w:tcBorders>
                  <w:vAlign w:val="center"/>
                </w:tcPr>
                <w:p>
                  <w:pPr>
                    <w:jc w:val="center"/>
                    <w:rPr>
                      <w:rFonts w:hint="default" w:eastAsia="宋体"/>
                      <w:color w:val="auto"/>
                      <w:sz w:val="18"/>
                      <w:szCs w:val="18"/>
                      <w:u w:val="none"/>
                      <w:lang w:val="en-US" w:eastAsia="zh-CN"/>
                    </w:rPr>
                  </w:pPr>
                  <w:r>
                    <w:rPr>
                      <w:rFonts w:hint="eastAsia"/>
                      <w:color w:val="auto"/>
                      <w:sz w:val="18"/>
                      <w:szCs w:val="18"/>
                      <w:u w:val="none"/>
                      <w:lang w:val="en-US" w:eastAsia="zh-CN"/>
                    </w:rPr>
                    <w:t>/</w:t>
                  </w:r>
                </w:p>
              </w:tc>
              <w:tc>
                <w:tcPr>
                  <w:tcW w:w="1170" w:type="dxa"/>
                  <w:tcBorders>
                    <w:tl2br w:val="nil"/>
                    <w:tr2bl w:val="nil"/>
                  </w:tcBorders>
                  <w:vAlign w:val="center"/>
                </w:tcPr>
                <w:p>
                  <w:pPr>
                    <w:jc w:val="center"/>
                    <w:rPr>
                      <w:rFonts w:hint="default" w:eastAsia="宋体"/>
                      <w:color w:val="auto"/>
                      <w:sz w:val="18"/>
                      <w:szCs w:val="18"/>
                      <w:u w:val="none"/>
                      <w:lang w:val="en-US" w:eastAsia="zh-CN"/>
                    </w:rPr>
                  </w:pPr>
                  <w:r>
                    <w:rPr>
                      <w:rFonts w:hint="eastAsia"/>
                      <w:color w:val="auto"/>
                      <w:sz w:val="18"/>
                      <w:szCs w:val="18"/>
                      <w:u w:val="none"/>
                      <w:lang w:val="en-US" w:eastAsia="zh-CN"/>
                    </w:rPr>
                    <w:t>周界外浓度最高点</w:t>
                  </w:r>
                </w:p>
              </w:tc>
              <w:tc>
                <w:tcPr>
                  <w:tcW w:w="630" w:type="dxa"/>
                  <w:tcBorders>
                    <w:tl2br w:val="nil"/>
                    <w:tr2bl w:val="nil"/>
                  </w:tcBorders>
                  <w:vAlign w:val="center"/>
                </w:tcPr>
                <w:p>
                  <w:pPr>
                    <w:jc w:val="center"/>
                    <w:rPr>
                      <w:rFonts w:hint="default" w:eastAsia="宋体"/>
                      <w:color w:val="auto"/>
                      <w:sz w:val="18"/>
                      <w:szCs w:val="18"/>
                      <w:u w:val="none"/>
                      <w:lang w:val="en-US" w:eastAsia="zh-CN"/>
                    </w:rPr>
                  </w:pPr>
                  <w:r>
                    <w:rPr>
                      <w:rFonts w:hint="eastAsia"/>
                      <w:color w:val="auto"/>
                      <w:sz w:val="18"/>
                      <w:szCs w:val="18"/>
                      <w:u w:val="none"/>
                      <w:lang w:val="en-US" w:eastAsia="zh-CN"/>
                    </w:rPr>
                    <w:t>4.0</w:t>
                  </w:r>
                </w:p>
              </w:tc>
              <w:tc>
                <w:tcPr>
                  <w:tcW w:w="1504" w:type="dxa"/>
                  <w:vMerge w:val="restart"/>
                  <w:tcBorders>
                    <w:tl2br w:val="nil"/>
                    <w:tr2bl w:val="nil"/>
                  </w:tcBorders>
                  <w:vAlign w:val="center"/>
                </w:tcPr>
                <w:p>
                  <w:pPr>
                    <w:jc w:val="center"/>
                    <w:rPr>
                      <w:color w:val="auto"/>
                      <w:sz w:val="18"/>
                      <w:szCs w:val="18"/>
                      <w:u w:val="none"/>
                    </w:rPr>
                  </w:pPr>
                  <w:r>
                    <w:rPr>
                      <w:color w:val="auto"/>
                      <w:sz w:val="18"/>
                      <w:szCs w:val="18"/>
                      <w:u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828" w:type="dxa"/>
                  <w:tcBorders>
                    <w:tl2br w:val="nil"/>
                    <w:tr2bl w:val="nil"/>
                  </w:tcBorders>
                  <w:vAlign w:val="center"/>
                </w:tcPr>
                <w:p>
                  <w:pPr>
                    <w:jc w:val="center"/>
                    <w:rPr>
                      <w:rFonts w:hint="eastAsia" w:eastAsia="宋体"/>
                      <w:color w:val="auto"/>
                      <w:kern w:val="0"/>
                      <w:sz w:val="18"/>
                      <w:szCs w:val="18"/>
                      <w:u w:val="none"/>
                      <w:lang w:eastAsia="zh-CN"/>
                    </w:rPr>
                  </w:pPr>
                  <w:r>
                    <w:rPr>
                      <w:rFonts w:hint="eastAsia"/>
                      <w:color w:val="auto"/>
                      <w:kern w:val="0"/>
                      <w:sz w:val="18"/>
                      <w:szCs w:val="18"/>
                      <w:u w:val="none"/>
                      <w:lang w:eastAsia="zh-CN"/>
                    </w:rPr>
                    <w:t>颗粒物</w:t>
                  </w:r>
                </w:p>
              </w:tc>
              <w:tc>
                <w:tcPr>
                  <w:tcW w:w="3544" w:type="dxa"/>
                  <w:gridSpan w:val="3"/>
                  <w:tcBorders>
                    <w:tl2br w:val="nil"/>
                    <w:tr2bl w:val="nil"/>
                  </w:tcBorders>
                  <w:vAlign w:val="center"/>
                </w:tcPr>
                <w:p>
                  <w:pPr>
                    <w:jc w:val="center"/>
                    <w:rPr>
                      <w:rFonts w:hint="default" w:eastAsia="宋体"/>
                      <w:color w:val="auto"/>
                      <w:sz w:val="18"/>
                      <w:szCs w:val="18"/>
                      <w:u w:val="none"/>
                      <w:lang w:val="en-US" w:eastAsia="zh-CN"/>
                    </w:rPr>
                  </w:pPr>
                  <w:r>
                    <w:rPr>
                      <w:rFonts w:hint="eastAsia"/>
                      <w:color w:val="auto"/>
                      <w:sz w:val="18"/>
                      <w:szCs w:val="18"/>
                      <w:u w:val="none"/>
                      <w:lang w:val="en-US" w:eastAsia="zh-CN"/>
                    </w:rPr>
                    <w:t>/</w:t>
                  </w:r>
                </w:p>
              </w:tc>
              <w:tc>
                <w:tcPr>
                  <w:tcW w:w="1170" w:type="dxa"/>
                  <w:tcBorders>
                    <w:tl2br w:val="nil"/>
                    <w:tr2bl w:val="nil"/>
                  </w:tcBorders>
                  <w:vAlign w:val="center"/>
                </w:tcPr>
                <w:p>
                  <w:pPr>
                    <w:jc w:val="center"/>
                    <w:rPr>
                      <w:rFonts w:hint="eastAsia"/>
                      <w:color w:val="auto"/>
                      <w:sz w:val="18"/>
                      <w:szCs w:val="18"/>
                      <w:u w:val="none"/>
                      <w:lang w:val="en-US" w:eastAsia="zh-CN"/>
                    </w:rPr>
                  </w:pPr>
                  <w:r>
                    <w:rPr>
                      <w:rFonts w:hint="eastAsia"/>
                      <w:color w:val="auto"/>
                      <w:sz w:val="18"/>
                      <w:szCs w:val="18"/>
                      <w:u w:val="none"/>
                      <w:lang w:val="en-US" w:eastAsia="zh-CN"/>
                    </w:rPr>
                    <w:t>周界外浓度最高点</w:t>
                  </w:r>
                </w:p>
              </w:tc>
              <w:tc>
                <w:tcPr>
                  <w:tcW w:w="630" w:type="dxa"/>
                  <w:tcBorders>
                    <w:tl2br w:val="nil"/>
                    <w:tr2bl w:val="nil"/>
                  </w:tcBorders>
                  <w:vAlign w:val="center"/>
                </w:tcPr>
                <w:p>
                  <w:pPr>
                    <w:jc w:val="center"/>
                    <w:rPr>
                      <w:rFonts w:hint="default" w:eastAsia="宋体"/>
                      <w:color w:val="auto"/>
                      <w:sz w:val="18"/>
                      <w:szCs w:val="18"/>
                      <w:u w:val="none"/>
                      <w:lang w:val="en-US" w:eastAsia="zh-CN"/>
                    </w:rPr>
                  </w:pPr>
                  <w:r>
                    <w:rPr>
                      <w:rFonts w:hint="eastAsia"/>
                      <w:color w:val="auto"/>
                      <w:sz w:val="18"/>
                      <w:szCs w:val="18"/>
                      <w:u w:val="none"/>
                      <w:lang w:val="en-US" w:eastAsia="zh-CN"/>
                    </w:rPr>
                    <w:t>1.0</w:t>
                  </w:r>
                </w:p>
              </w:tc>
              <w:tc>
                <w:tcPr>
                  <w:tcW w:w="1504" w:type="dxa"/>
                  <w:vMerge w:val="continue"/>
                  <w:tcBorders>
                    <w:tl2br w:val="nil"/>
                    <w:tr2bl w:val="nil"/>
                  </w:tcBorders>
                  <w:vAlign w:val="center"/>
                </w:tcPr>
                <w:p>
                  <w:pPr>
                    <w:jc w:val="center"/>
                    <w:rPr>
                      <w:color w:val="auto"/>
                      <w:sz w:val="18"/>
                      <w:szCs w:val="18"/>
                      <w:u w:val="none"/>
                    </w:rPr>
                  </w:pPr>
                </w:p>
              </w:tc>
            </w:tr>
          </w:tbl>
          <w:p>
            <w:pPr>
              <w:pStyle w:val="6"/>
              <w:numPr>
                <w:ilvl w:val="0"/>
                <w:numId w:val="0"/>
              </w:numPr>
              <w:ind w:right="0" w:rightChars="0"/>
              <w:jc w:val="center"/>
              <w:rPr>
                <w:rFonts w:hint="eastAsia"/>
                <w:b/>
                <w:bCs/>
                <w:color w:val="auto"/>
              </w:rPr>
            </w:pPr>
            <w:r>
              <w:rPr>
                <w:rFonts w:hint="eastAsia"/>
                <w:b/>
                <w:bCs/>
                <w:color w:val="auto"/>
              </w:rPr>
              <w:t>表3-</w:t>
            </w:r>
            <w:r>
              <w:rPr>
                <w:rFonts w:hint="eastAsia"/>
                <w:b/>
                <w:bCs/>
                <w:color w:val="auto"/>
                <w:lang w:val="en-US" w:eastAsia="zh-CN"/>
              </w:rPr>
              <w:t>8</w:t>
            </w:r>
            <w:r>
              <w:rPr>
                <w:rFonts w:hint="eastAsia"/>
                <w:b/>
                <w:bCs/>
                <w:color w:val="auto"/>
              </w:rPr>
              <w:t xml:space="preserve">  厂区内VOCs无组织排放监控要求  单位：mg/m</w:t>
            </w:r>
            <w:r>
              <w:rPr>
                <w:rFonts w:hint="eastAsia"/>
                <w:b/>
                <w:bCs/>
                <w:color w:val="auto"/>
                <w:vertAlign w:val="superscript"/>
              </w:rPr>
              <w:t>3</w:t>
            </w:r>
          </w:p>
          <w:tbl>
            <w:tblPr>
              <w:tblStyle w:val="21"/>
              <w:tblW w:w="487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380"/>
              <w:gridCol w:w="1605"/>
              <w:gridCol w:w="1845"/>
              <w:gridCol w:w="17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32" w:hRule="atLeast"/>
                <w:jc w:val="center"/>
              </w:trPr>
              <w:tc>
                <w:tcPr>
                  <w:tcW w:w="756" w:type="pct"/>
                  <w:noWrap w:val="0"/>
                  <w:vAlign w:val="center"/>
                </w:tcPr>
                <w:p>
                  <w:pPr>
                    <w:jc w:val="center"/>
                    <w:rPr>
                      <w:color w:val="auto"/>
                      <w:sz w:val="18"/>
                      <w:szCs w:val="18"/>
                    </w:rPr>
                  </w:pPr>
                  <w:r>
                    <w:rPr>
                      <w:color w:val="auto"/>
                      <w:sz w:val="18"/>
                      <w:szCs w:val="18"/>
                    </w:rPr>
                    <w:t>污染物项目</w:t>
                  </w:r>
                </w:p>
              </w:tc>
              <w:tc>
                <w:tcPr>
                  <w:tcW w:w="889" w:type="pct"/>
                  <w:noWrap w:val="0"/>
                  <w:vAlign w:val="center"/>
                </w:tcPr>
                <w:p>
                  <w:pPr>
                    <w:jc w:val="center"/>
                    <w:rPr>
                      <w:color w:val="auto"/>
                      <w:sz w:val="18"/>
                      <w:szCs w:val="18"/>
                    </w:rPr>
                  </w:pPr>
                  <w:r>
                    <w:rPr>
                      <w:color w:val="auto"/>
                      <w:sz w:val="18"/>
                      <w:szCs w:val="18"/>
                    </w:rPr>
                    <w:t>特别排放限值</w:t>
                  </w:r>
                </w:p>
              </w:tc>
              <w:tc>
                <w:tcPr>
                  <w:tcW w:w="1034" w:type="pct"/>
                  <w:noWrap w:val="0"/>
                  <w:vAlign w:val="center"/>
                </w:tcPr>
                <w:p>
                  <w:pPr>
                    <w:jc w:val="center"/>
                    <w:rPr>
                      <w:color w:val="auto"/>
                      <w:sz w:val="18"/>
                      <w:szCs w:val="18"/>
                    </w:rPr>
                  </w:pPr>
                  <w:r>
                    <w:rPr>
                      <w:color w:val="auto"/>
                      <w:sz w:val="18"/>
                      <w:szCs w:val="18"/>
                    </w:rPr>
                    <w:t>限值含义</w:t>
                  </w:r>
                </w:p>
              </w:tc>
              <w:tc>
                <w:tcPr>
                  <w:tcW w:w="1189" w:type="pct"/>
                  <w:noWrap w:val="0"/>
                  <w:vAlign w:val="center"/>
                </w:tcPr>
                <w:p>
                  <w:pPr>
                    <w:jc w:val="center"/>
                    <w:rPr>
                      <w:color w:val="auto"/>
                      <w:sz w:val="18"/>
                      <w:szCs w:val="18"/>
                    </w:rPr>
                  </w:pPr>
                  <w:r>
                    <w:rPr>
                      <w:color w:val="auto"/>
                      <w:sz w:val="18"/>
                      <w:szCs w:val="18"/>
                    </w:rPr>
                    <w:t>无组织排放监控位置</w:t>
                  </w:r>
                </w:p>
              </w:tc>
              <w:tc>
                <w:tcPr>
                  <w:tcW w:w="1128" w:type="pct"/>
                  <w:noWrap w:val="0"/>
                  <w:vAlign w:val="center"/>
                </w:tcPr>
                <w:p>
                  <w:pPr>
                    <w:jc w:val="center"/>
                    <w:rPr>
                      <w:color w:val="auto"/>
                      <w:sz w:val="18"/>
                      <w:szCs w:val="18"/>
                    </w:rPr>
                  </w:pPr>
                  <w:r>
                    <w:rPr>
                      <w:rFonts w:hint="eastAsia"/>
                      <w:color w:val="auto"/>
                      <w:sz w:val="18"/>
                      <w:szCs w:val="18"/>
                      <w:u w:val="none"/>
                      <w:lang w:eastAsia="zh-CN"/>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56" w:type="pct"/>
                  <w:vMerge w:val="restart"/>
                  <w:noWrap w:val="0"/>
                  <w:vAlign w:val="center"/>
                </w:tcPr>
                <w:p>
                  <w:pPr>
                    <w:jc w:val="center"/>
                    <w:rPr>
                      <w:bCs/>
                      <w:color w:val="auto"/>
                      <w:sz w:val="18"/>
                      <w:szCs w:val="18"/>
                    </w:rPr>
                  </w:pPr>
                  <w:r>
                    <w:rPr>
                      <w:bCs/>
                      <w:color w:val="auto"/>
                      <w:sz w:val="18"/>
                      <w:szCs w:val="18"/>
                    </w:rPr>
                    <w:t>NMHC</w:t>
                  </w:r>
                </w:p>
              </w:tc>
              <w:tc>
                <w:tcPr>
                  <w:tcW w:w="889" w:type="pct"/>
                  <w:noWrap w:val="0"/>
                  <w:vAlign w:val="center"/>
                </w:tcPr>
                <w:p>
                  <w:pPr>
                    <w:jc w:val="center"/>
                    <w:rPr>
                      <w:bCs/>
                      <w:color w:val="auto"/>
                      <w:sz w:val="18"/>
                      <w:szCs w:val="18"/>
                    </w:rPr>
                  </w:pPr>
                  <w:r>
                    <w:rPr>
                      <w:bCs/>
                      <w:color w:val="auto"/>
                      <w:sz w:val="18"/>
                      <w:szCs w:val="18"/>
                    </w:rPr>
                    <w:t>6</w:t>
                  </w:r>
                </w:p>
              </w:tc>
              <w:tc>
                <w:tcPr>
                  <w:tcW w:w="1034" w:type="pct"/>
                  <w:noWrap w:val="0"/>
                  <w:vAlign w:val="center"/>
                </w:tcPr>
                <w:p>
                  <w:pPr>
                    <w:jc w:val="center"/>
                    <w:rPr>
                      <w:bCs/>
                      <w:color w:val="auto"/>
                      <w:sz w:val="18"/>
                      <w:szCs w:val="18"/>
                    </w:rPr>
                  </w:pPr>
                  <w:r>
                    <w:rPr>
                      <w:bCs/>
                      <w:color w:val="auto"/>
                      <w:sz w:val="18"/>
                      <w:szCs w:val="18"/>
                    </w:rPr>
                    <w:t>监控点处1h平均浓度值</w:t>
                  </w:r>
                </w:p>
              </w:tc>
              <w:tc>
                <w:tcPr>
                  <w:tcW w:w="1189" w:type="pct"/>
                  <w:vMerge w:val="restart"/>
                  <w:noWrap w:val="0"/>
                  <w:vAlign w:val="center"/>
                </w:tcPr>
                <w:p>
                  <w:pPr>
                    <w:jc w:val="center"/>
                    <w:rPr>
                      <w:bCs/>
                      <w:color w:val="auto"/>
                      <w:sz w:val="18"/>
                      <w:szCs w:val="18"/>
                    </w:rPr>
                  </w:pPr>
                  <w:r>
                    <w:rPr>
                      <w:bCs/>
                      <w:color w:val="auto"/>
                      <w:sz w:val="18"/>
                      <w:szCs w:val="18"/>
                    </w:rPr>
                    <w:t>在厂房外设置监控点</w:t>
                  </w:r>
                </w:p>
              </w:tc>
              <w:tc>
                <w:tcPr>
                  <w:tcW w:w="1128" w:type="pct"/>
                  <w:vMerge w:val="restart"/>
                  <w:noWrap w:val="0"/>
                  <w:vAlign w:val="center"/>
                </w:tcPr>
                <w:p>
                  <w:pPr>
                    <w:jc w:val="center"/>
                    <w:rPr>
                      <w:bCs/>
                      <w:color w:val="auto"/>
                      <w:sz w:val="18"/>
                      <w:szCs w:val="18"/>
                    </w:rPr>
                  </w:pPr>
                  <w:r>
                    <w:rPr>
                      <w:rFonts w:hint="eastAsia"/>
                      <w:color w:val="auto"/>
                      <w:sz w:val="18"/>
                      <w:szCs w:val="18"/>
                      <w:u w:val="none"/>
                    </w:rPr>
                    <w:t>《挥发性有机物无组织排放控制标准》（GB37822-2019）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6" w:hRule="atLeast"/>
                <w:jc w:val="center"/>
              </w:trPr>
              <w:tc>
                <w:tcPr>
                  <w:tcW w:w="756" w:type="pct"/>
                  <w:vMerge w:val="continue"/>
                  <w:noWrap w:val="0"/>
                  <w:vAlign w:val="center"/>
                </w:tcPr>
                <w:p>
                  <w:pPr>
                    <w:jc w:val="center"/>
                    <w:rPr>
                      <w:color w:val="auto"/>
                      <w:sz w:val="18"/>
                      <w:szCs w:val="18"/>
                    </w:rPr>
                  </w:pPr>
                </w:p>
              </w:tc>
              <w:tc>
                <w:tcPr>
                  <w:tcW w:w="889" w:type="pct"/>
                  <w:noWrap w:val="0"/>
                  <w:vAlign w:val="center"/>
                </w:tcPr>
                <w:p>
                  <w:pPr>
                    <w:jc w:val="center"/>
                    <w:rPr>
                      <w:color w:val="auto"/>
                      <w:sz w:val="18"/>
                      <w:szCs w:val="18"/>
                    </w:rPr>
                  </w:pPr>
                  <w:r>
                    <w:rPr>
                      <w:color w:val="auto"/>
                      <w:sz w:val="18"/>
                      <w:szCs w:val="18"/>
                    </w:rPr>
                    <w:t>20</w:t>
                  </w:r>
                </w:p>
              </w:tc>
              <w:tc>
                <w:tcPr>
                  <w:tcW w:w="1034" w:type="pct"/>
                  <w:noWrap w:val="0"/>
                  <w:vAlign w:val="center"/>
                </w:tcPr>
                <w:p>
                  <w:pPr>
                    <w:jc w:val="center"/>
                    <w:rPr>
                      <w:color w:val="auto"/>
                      <w:sz w:val="18"/>
                      <w:szCs w:val="18"/>
                    </w:rPr>
                  </w:pPr>
                  <w:r>
                    <w:rPr>
                      <w:color w:val="auto"/>
                      <w:sz w:val="18"/>
                      <w:szCs w:val="18"/>
                    </w:rPr>
                    <w:t>监控点处任意一次浓度值</w:t>
                  </w:r>
                </w:p>
              </w:tc>
              <w:tc>
                <w:tcPr>
                  <w:tcW w:w="1189" w:type="pct"/>
                  <w:vMerge w:val="continue"/>
                  <w:noWrap w:val="0"/>
                  <w:vAlign w:val="center"/>
                </w:tcPr>
                <w:p>
                  <w:pPr>
                    <w:jc w:val="center"/>
                    <w:rPr>
                      <w:color w:val="auto"/>
                      <w:sz w:val="18"/>
                      <w:szCs w:val="18"/>
                    </w:rPr>
                  </w:pPr>
                </w:p>
              </w:tc>
              <w:tc>
                <w:tcPr>
                  <w:tcW w:w="1128" w:type="pct"/>
                  <w:vMerge w:val="continue"/>
                  <w:noWrap w:val="0"/>
                  <w:vAlign w:val="center"/>
                </w:tcPr>
                <w:p>
                  <w:pPr>
                    <w:jc w:val="center"/>
                    <w:rPr>
                      <w:color w:val="auto"/>
                      <w:sz w:val="18"/>
                      <w:szCs w:val="18"/>
                    </w:rPr>
                  </w:pPr>
                </w:p>
              </w:tc>
            </w:tr>
          </w:tbl>
          <w:p>
            <w:pPr>
              <w:pStyle w:val="6"/>
              <w:numPr>
                <w:ilvl w:val="0"/>
                <w:numId w:val="0"/>
              </w:numPr>
              <w:ind w:right="0" w:rightChars="0" w:firstLine="422" w:firstLineChars="200"/>
              <w:rPr>
                <w:b/>
                <w:bCs/>
                <w:color w:val="auto"/>
                <w:szCs w:val="24"/>
              </w:rPr>
            </w:pPr>
            <w:r>
              <w:rPr>
                <w:rFonts w:hint="eastAsia"/>
                <w:b/>
                <w:bCs/>
                <w:color w:val="auto"/>
                <w:szCs w:val="24"/>
                <w:lang w:val="en-US" w:eastAsia="zh-CN"/>
              </w:rPr>
              <w:t>2、</w:t>
            </w:r>
            <w:r>
              <w:rPr>
                <w:b/>
                <w:bCs/>
                <w:color w:val="auto"/>
                <w:szCs w:val="24"/>
              </w:rPr>
              <w:t>噪声</w:t>
            </w:r>
          </w:p>
          <w:p>
            <w:pPr>
              <w:pStyle w:val="6"/>
              <w:numPr>
                <w:ilvl w:val="0"/>
                <w:numId w:val="0"/>
              </w:numPr>
              <w:ind w:right="0" w:rightChars="0" w:firstLine="420" w:firstLineChars="200"/>
              <w:rPr>
                <w:rFonts w:hint="eastAsia"/>
                <w:color w:val="auto"/>
              </w:rPr>
            </w:pPr>
            <w:r>
              <w:rPr>
                <w:color w:val="auto"/>
                <w:szCs w:val="24"/>
              </w:rPr>
              <w:t>控制标准：</w:t>
            </w:r>
            <w:r>
              <w:rPr>
                <w:rFonts w:hint="eastAsia"/>
                <w:color w:val="auto"/>
              </w:rPr>
              <w:t>营运期执行《工业企业厂界环境噪声排放标准》（GB12348-2008）2类标准。</w:t>
            </w:r>
          </w:p>
          <w:p>
            <w:pPr>
              <w:pStyle w:val="9"/>
              <w:ind w:firstLine="210"/>
              <w:rPr>
                <w:color w:val="auto"/>
                <w:sz w:val="21"/>
              </w:rPr>
            </w:pPr>
            <w:r>
              <w:rPr>
                <w:color w:val="auto"/>
                <w:sz w:val="21"/>
              </w:rPr>
              <w:t>表</w:t>
            </w:r>
            <w:r>
              <w:rPr>
                <w:color w:val="auto"/>
                <w:sz w:val="21"/>
                <w:lang w:eastAsia="zh-CN"/>
              </w:rPr>
              <w:t>3-</w:t>
            </w:r>
            <w:r>
              <w:rPr>
                <w:rFonts w:hint="eastAsia"/>
                <w:color w:val="auto"/>
                <w:sz w:val="21"/>
                <w:lang w:val="en-US" w:eastAsia="zh-CN"/>
              </w:rPr>
              <w:t>9</w:t>
            </w:r>
            <w:r>
              <w:rPr>
                <w:color w:val="auto"/>
                <w:sz w:val="21"/>
                <w:lang w:eastAsia="zh-CN"/>
              </w:rPr>
              <w:t xml:space="preserve">  </w:t>
            </w:r>
            <w:r>
              <w:rPr>
                <w:color w:val="auto"/>
                <w:sz w:val="21"/>
              </w:rPr>
              <w:t xml:space="preserve"> 环境噪声排放标准（单位：dB（A））</w:t>
            </w:r>
          </w:p>
          <w:tbl>
            <w:tblPr>
              <w:tblStyle w:val="21"/>
              <w:tblW w:w="7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2691"/>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478" w:type="dxa"/>
                  <w:tcBorders>
                    <w:tl2br w:val="nil"/>
                    <w:tr2bl w:val="nil"/>
                  </w:tcBorders>
                  <w:shd w:val="clear" w:color="auto" w:fill="auto"/>
                  <w:vAlign w:val="center"/>
                </w:tcPr>
                <w:p>
                  <w:pPr>
                    <w:jc w:val="center"/>
                    <w:rPr>
                      <w:color w:val="auto"/>
                      <w:kern w:val="0"/>
                      <w:sz w:val="18"/>
                    </w:rPr>
                  </w:pPr>
                  <w:r>
                    <w:rPr>
                      <w:color w:val="auto"/>
                      <w:kern w:val="0"/>
                      <w:sz w:val="18"/>
                    </w:rPr>
                    <w:t>类别</w:t>
                  </w:r>
                </w:p>
              </w:tc>
              <w:tc>
                <w:tcPr>
                  <w:tcW w:w="2691" w:type="dxa"/>
                  <w:tcBorders>
                    <w:tl2br w:val="nil"/>
                    <w:tr2bl w:val="nil"/>
                  </w:tcBorders>
                  <w:shd w:val="clear" w:color="auto" w:fill="auto"/>
                  <w:vAlign w:val="center"/>
                </w:tcPr>
                <w:p>
                  <w:pPr>
                    <w:jc w:val="center"/>
                    <w:rPr>
                      <w:color w:val="auto"/>
                      <w:kern w:val="0"/>
                      <w:sz w:val="18"/>
                    </w:rPr>
                  </w:pPr>
                  <w:r>
                    <w:rPr>
                      <w:color w:val="auto"/>
                      <w:kern w:val="0"/>
                      <w:sz w:val="18"/>
                    </w:rPr>
                    <w:t>昼间</w:t>
                  </w:r>
                </w:p>
              </w:tc>
              <w:tc>
                <w:tcPr>
                  <w:tcW w:w="2309" w:type="dxa"/>
                  <w:tcBorders>
                    <w:tl2br w:val="nil"/>
                    <w:tr2bl w:val="nil"/>
                  </w:tcBorders>
                  <w:shd w:val="clear" w:color="auto" w:fill="auto"/>
                  <w:vAlign w:val="center"/>
                </w:tcPr>
                <w:p>
                  <w:pPr>
                    <w:jc w:val="center"/>
                    <w:rPr>
                      <w:color w:val="auto"/>
                      <w:kern w:val="0"/>
                      <w:sz w:val="18"/>
                    </w:rPr>
                  </w:pPr>
                  <w:r>
                    <w:rPr>
                      <w:color w:val="auto"/>
                      <w:kern w:val="0"/>
                      <w:sz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8" w:type="dxa"/>
                  <w:tcBorders>
                    <w:tl2br w:val="nil"/>
                    <w:tr2bl w:val="nil"/>
                  </w:tcBorders>
                  <w:shd w:val="clear" w:color="auto" w:fill="auto"/>
                  <w:vAlign w:val="center"/>
                </w:tcPr>
                <w:p>
                  <w:pPr>
                    <w:jc w:val="center"/>
                    <w:rPr>
                      <w:color w:val="auto"/>
                      <w:kern w:val="0"/>
                      <w:sz w:val="18"/>
                    </w:rPr>
                  </w:pPr>
                  <w:r>
                    <w:rPr>
                      <w:color w:val="auto"/>
                      <w:sz w:val="18"/>
                    </w:rPr>
                    <w:t>2类</w:t>
                  </w:r>
                </w:p>
              </w:tc>
              <w:tc>
                <w:tcPr>
                  <w:tcW w:w="2691" w:type="dxa"/>
                  <w:tcBorders>
                    <w:tl2br w:val="nil"/>
                    <w:tr2bl w:val="nil"/>
                  </w:tcBorders>
                  <w:shd w:val="clear" w:color="auto" w:fill="auto"/>
                  <w:vAlign w:val="center"/>
                </w:tcPr>
                <w:p>
                  <w:pPr>
                    <w:jc w:val="center"/>
                    <w:rPr>
                      <w:color w:val="auto"/>
                      <w:kern w:val="0"/>
                      <w:sz w:val="18"/>
                    </w:rPr>
                  </w:pPr>
                  <w:r>
                    <w:rPr>
                      <w:color w:val="auto"/>
                      <w:kern w:val="0"/>
                      <w:sz w:val="18"/>
                    </w:rPr>
                    <w:t>60</w:t>
                  </w:r>
                </w:p>
              </w:tc>
              <w:tc>
                <w:tcPr>
                  <w:tcW w:w="2309" w:type="dxa"/>
                  <w:tcBorders>
                    <w:tl2br w:val="nil"/>
                    <w:tr2bl w:val="nil"/>
                  </w:tcBorders>
                  <w:shd w:val="clear" w:color="auto" w:fill="auto"/>
                  <w:vAlign w:val="center"/>
                </w:tcPr>
                <w:p>
                  <w:pPr>
                    <w:jc w:val="center"/>
                    <w:rPr>
                      <w:color w:val="auto"/>
                      <w:kern w:val="0"/>
                      <w:sz w:val="18"/>
                    </w:rPr>
                  </w:pPr>
                  <w:r>
                    <w:rPr>
                      <w:color w:val="auto"/>
                      <w:kern w:val="0"/>
                      <w:sz w:val="18"/>
                    </w:rPr>
                    <w:t>50</w:t>
                  </w:r>
                </w:p>
              </w:tc>
            </w:tr>
          </w:tbl>
          <w:p>
            <w:pPr>
              <w:pStyle w:val="6"/>
              <w:numPr>
                <w:ilvl w:val="0"/>
                <w:numId w:val="0"/>
              </w:numPr>
              <w:spacing w:after="0" w:line="360" w:lineRule="auto"/>
              <w:ind w:left="420" w:leftChars="0" w:right="0" w:rightChars="0" w:firstLine="0" w:firstLineChars="0"/>
              <w:rPr>
                <w:rFonts w:hint="eastAsia"/>
                <w:b/>
                <w:bCs/>
                <w:color w:val="auto"/>
                <w:szCs w:val="24"/>
              </w:rPr>
            </w:pPr>
            <w:r>
              <w:rPr>
                <w:rFonts w:hint="eastAsia"/>
                <w:b/>
                <w:bCs/>
                <w:color w:val="auto"/>
                <w:szCs w:val="24"/>
                <w:lang w:val="en-US" w:eastAsia="zh-CN"/>
              </w:rPr>
              <w:t>3、</w:t>
            </w:r>
            <w:r>
              <w:rPr>
                <w:rFonts w:hint="eastAsia"/>
                <w:b/>
                <w:bCs/>
                <w:color w:val="auto"/>
                <w:szCs w:val="24"/>
              </w:rPr>
              <w:t>固体废物</w:t>
            </w:r>
          </w:p>
          <w:p>
            <w:pPr>
              <w:pStyle w:val="6"/>
              <w:numPr>
                <w:ilvl w:val="0"/>
                <w:numId w:val="0"/>
              </w:numPr>
              <w:spacing w:after="0" w:line="360" w:lineRule="auto"/>
              <w:ind w:right="0" w:rightChars="0" w:firstLine="420" w:firstLineChars="200"/>
              <w:rPr>
                <w:color w:val="auto"/>
                <w:kern w:val="0"/>
                <w:szCs w:val="21"/>
              </w:rPr>
            </w:pPr>
            <w:r>
              <w:rPr>
                <w:rFonts w:hint="eastAsia"/>
                <w:color w:val="auto"/>
                <w:szCs w:val="24"/>
              </w:rPr>
              <w:t>一般固体废物执行《 一般工业固体废物贮存和填埋污染控制标准》(GB18599-2020) ；危险废物执行《危险废物贮存污染控制标准》（GB18597-2001）及 2013 年修改单；生活垃圾执行《生活垃圾填埋污染控制标准》（GB16889-2008）。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00" w:type="dxa"/>
            <w:vAlign w:val="center"/>
          </w:tcPr>
          <w:p>
            <w:pPr>
              <w:adjustRightInd w:val="0"/>
              <w:snapToGrid w:val="0"/>
              <w:jc w:val="center"/>
              <w:rPr>
                <w:color w:val="auto"/>
                <w:kern w:val="0"/>
                <w:szCs w:val="21"/>
              </w:rPr>
            </w:pPr>
            <w:r>
              <w:rPr>
                <w:color w:val="auto"/>
                <w:kern w:val="0"/>
                <w:szCs w:val="21"/>
              </w:rPr>
              <w:t>总量</w:t>
            </w:r>
          </w:p>
          <w:p>
            <w:pPr>
              <w:adjustRightInd w:val="0"/>
              <w:snapToGrid w:val="0"/>
              <w:jc w:val="center"/>
              <w:rPr>
                <w:color w:val="auto"/>
                <w:kern w:val="0"/>
                <w:szCs w:val="21"/>
              </w:rPr>
            </w:pPr>
            <w:r>
              <w:rPr>
                <w:color w:val="auto"/>
                <w:kern w:val="0"/>
                <w:szCs w:val="21"/>
              </w:rPr>
              <w:t>控制</w:t>
            </w:r>
          </w:p>
          <w:p>
            <w:pPr>
              <w:adjustRightInd w:val="0"/>
              <w:snapToGrid w:val="0"/>
              <w:jc w:val="center"/>
              <w:rPr>
                <w:color w:val="auto"/>
                <w:kern w:val="0"/>
                <w:szCs w:val="21"/>
              </w:rPr>
            </w:pPr>
            <w:r>
              <w:rPr>
                <w:color w:val="auto"/>
                <w:kern w:val="0"/>
                <w:szCs w:val="21"/>
              </w:rPr>
              <w:t>指标</w:t>
            </w:r>
          </w:p>
        </w:tc>
        <w:tc>
          <w:tcPr>
            <w:tcW w:w="8190" w:type="dxa"/>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ind w:firstLine="480"/>
              <w:jc w:val="left"/>
              <w:textAlignment w:val="auto"/>
              <w:rPr>
                <w:color w:val="auto"/>
                <w:kern w:val="0"/>
                <w:szCs w:val="21"/>
              </w:rPr>
            </w:pPr>
            <w:r>
              <w:rPr>
                <w:rFonts w:hint="eastAsia"/>
                <w:color w:val="auto"/>
                <w:kern w:val="2"/>
                <w:szCs w:val="21"/>
              </w:rPr>
              <w:t>本项目生活废水经化粪池处理后</w:t>
            </w:r>
            <w:r>
              <w:rPr>
                <w:rFonts w:hint="eastAsia"/>
                <w:color w:val="auto"/>
                <w:kern w:val="2"/>
                <w:szCs w:val="21"/>
                <w:lang w:eastAsia="zh-CN"/>
              </w:rPr>
              <w:t>经环卫部门回收后</w:t>
            </w:r>
            <w:r>
              <w:rPr>
                <w:rFonts w:hint="eastAsia"/>
                <w:color w:val="auto"/>
                <w:kern w:val="2"/>
                <w:szCs w:val="21"/>
              </w:rPr>
              <w:t>用做农肥，</w:t>
            </w:r>
            <w:r>
              <w:rPr>
                <w:rFonts w:hint="eastAsia"/>
                <w:color w:val="auto"/>
                <w:kern w:val="2"/>
                <w:szCs w:val="21"/>
                <w:lang w:eastAsia="zh-CN"/>
              </w:rPr>
              <w:t>生产废水经隔油池预处理及一体化污水处理设备后达到 GB8978-1996 一级标准后回用于绿化浇灌，</w:t>
            </w:r>
            <w:r>
              <w:rPr>
                <w:rFonts w:hint="eastAsia"/>
                <w:color w:val="auto"/>
                <w:kern w:val="2"/>
                <w:szCs w:val="21"/>
              </w:rPr>
              <w:t>无生产废水排放，不涉及总量控制指标。</w:t>
            </w:r>
          </w:p>
        </w:tc>
      </w:tr>
    </w:tbl>
    <w:p>
      <w:pPr>
        <w:pStyle w:val="19"/>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9" w:name="_Toc71360646"/>
      <w:r>
        <w:rPr>
          <w:rFonts w:ascii="Times New Roman" w:hAnsi="Times New Roman" w:eastAsia="黑体"/>
          <w:snapToGrid w:val="0"/>
          <w:color w:val="auto"/>
          <w:sz w:val="30"/>
          <w:szCs w:val="30"/>
        </w:rPr>
        <w:t>四、主要环境影响和保护措施</w:t>
      </w:r>
      <w:bookmarkEnd w:id="9"/>
    </w:p>
    <w:tbl>
      <w:tblPr>
        <w:tblStyle w:val="21"/>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1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3" w:hRule="atLeast"/>
          <w:jc w:val="center"/>
        </w:trPr>
        <w:tc>
          <w:tcPr>
            <w:tcW w:w="753" w:type="dxa"/>
            <w:tcMar>
              <w:left w:w="28" w:type="dxa"/>
              <w:right w:w="28" w:type="dxa"/>
            </w:tcMar>
            <w:vAlign w:val="center"/>
          </w:tcPr>
          <w:p>
            <w:pPr>
              <w:pStyle w:val="1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施工</w:t>
            </w:r>
          </w:p>
          <w:p>
            <w:pPr>
              <w:pStyle w:val="1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期环</w:t>
            </w:r>
          </w:p>
          <w:p>
            <w:pPr>
              <w:pStyle w:val="1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境保</w:t>
            </w:r>
          </w:p>
          <w:p>
            <w:pPr>
              <w:pStyle w:val="1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护措</w:t>
            </w:r>
          </w:p>
          <w:p>
            <w:pPr>
              <w:pStyle w:val="19"/>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施</w:t>
            </w:r>
          </w:p>
        </w:tc>
        <w:tc>
          <w:tcPr>
            <w:tcW w:w="8155" w:type="dxa"/>
            <w:vAlign w:val="center"/>
          </w:tcPr>
          <w:p>
            <w:pPr>
              <w:pStyle w:val="5"/>
              <w:pageBreakBefore w:val="0"/>
              <w:widowControl w:val="0"/>
              <w:numPr>
                <w:ilvl w:val="3"/>
                <w:numId w:val="0"/>
              </w:numPr>
              <w:kinsoku/>
              <w:wordWrap/>
              <w:overflowPunct/>
              <w:topLinePunct w:val="0"/>
              <w:autoSpaceDE/>
              <w:autoSpaceDN/>
              <w:bidi w:val="0"/>
              <w:adjustRightInd/>
              <w:snapToGrid w:val="0"/>
              <w:spacing w:line="360" w:lineRule="auto"/>
              <w:ind w:leftChars="0"/>
              <w:textAlignment w:val="auto"/>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lang w:val="en-US" w:eastAsia="zh-CN"/>
              </w:rPr>
              <w:t>1.</w:t>
            </w:r>
            <w:r>
              <w:rPr>
                <w:rFonts w:hint="eastAsia" w:ascii="宋体" w:hAnsi="宋体" w:eastAsia="宋体" w:cs="宋体"/>
                <w:b/>
                <w:bCs w:val="0"/>
                <w:color w:val="auto"/>
                <w:kern w:val="0"/>
                <w:sz w:val="21"/>
                <w:szCs w:val="21"/>
              </w:rPr>
              <w:t>废气污染控制措施</w:t>
            </w:r>
          </w:p>
          <w:p>
            <w:pPr>
              <w:pStyle w:val="6"/>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（1）扬尘控制措施</w:t>
            </w:r>
          </w:p>
          <w:p>
            <w:pPr>
              <w:pStyle w:val="6"/>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①平整场地、开挖基础作业时，土方应随挖、随装车运走，不要堆存在施工场地，以免风吹扬尘。施工场地应经常洒水，使作业面土壤保持较高的湿度；对施工场地内裸露的地面，也应经常洒水防止扬尘。</w:t>
            </w:r>
          </w:p>
          <w:p>
            <w:pPr>
              <w:pStyle w:val="6"/>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②及时硬化地面或道路，干燥天气定期在泥土地面和路面洒水，防止施工车辆行驶产生的扬尘和渣土装卸产生的扬尘。</w:t>
            </w:r>
          </w:p>
          <w:p>
            <w:pPr>
              <w:pStyle w:val="6"/>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③运土及运粉状建筑材料的运输车辆应采用加盖专用车辆或者配置防洒落装置，车辆装载不宜过满，保证运输过程中不散落。对运输过程中散落在路面上的泥土要及时清扫，以减少运行过程中的扬尘。</w:t>
            </w:r>
          </w:p>
          <w:p>
            <w:pPr>
              <w:pStyle w:val="6"/>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④在施工场地边界建设临时围墙，整个施工场地只设一个供人员和车辆出入的大门。</w:t>
            </w:r>
          </w:p>
          <w:p>
            <w:pPr>
              <w:pStyle w:val="6"/>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⑤施工过程中，应严禁将废弃的建筑材料焚烧。粉状建材应设临时工棚或仓库储存，不得露天堆放。</w:t>
            </w:r>
          </w:p>
          <w:p>
            <w:pPr>
              <w:pStyle w:val="6"/>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⑥建议采用商品混凝土拌，不采用袋装水泥，防止水泥粉尘产生。</w:t>
            </w:r>
          </w:p>
          <w:p>
            <w:pPr>
              <w:pStyle w:val="6"/>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⑦工程项目竣工后30日内，建设单位应当平整施工工地，清除积土、堆物，并同步做好绿化、场地硬化，避免水土流失。</w:t>
            </w:r>
          </w:p>
          <w:p>
            <w:pPr>
              <w:pStyle w:val="6"/>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（2）汽车尾气及燃油机械废气控制措施</w:t>
            </w:r>
          </w:p>
          <w:p>
            <w:pPr>
              <w:pStyle w:val="6"/>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施工单位应采用尾气排放符合国家规定标准的车辆和施工机械，确保其在运行时尾气达标排放，减少对环境空气的污染。禁止尾气排放不达标的车辆和施工机械运行作业。</w:t>
            </w:r>
          </w:p>
          <w:p>
            <w:pPr>
              <w:pStyle w:val="5"/>
              <w:pageBreakBefore w:val="0"/>
              <w:widowControl w:val="0"/>
              <w:numPr>
                <w:ilvl w:val="3"/>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2.</w:t>
            </w:r>
            <w:r>
              <w:rPr>
                <w:rFonts w:hint="eastAsia" w:ascii="宋体" w:hAnsi="宋体" w:eastAsia="宋体" w:cs="宋体"/>
                <w:b/>
                <w:bCs w:val="0"/>
                <w:color w:val="auto"/>
                <w:sz w:val="21"/>
                <w:szCs w:val="21"/>
              </w:rPr>
              <w:t>水污染控制措施</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（1）施工人员生活污水经化粪池预处理后提供给当地居民用于农田施肥。</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做好建筑材料和施工废渣的管理和回收，特别是含有油污的物体，不能露天存放，以免因雨废油水冲刷而污染水体，已用废油桶收集起来，集中保管，定期送有关单位进行处理回收，严禁将废油随意倾倒，造成污染。</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施工期废水不外排，对附近水环境影响较小。</w:t>
            </w:r>
          </w:p>
          <w:p>
            <w:pPr>
              <w:pStyle w:val="5"/>
              <w:pageBreakBefore w:val="0"/>
              <w:widowControl w:val="0"/>
              <w:numPr>
                <w:ilvl w:val="3"/>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3.</w:t>
            </w:r>
            <w:r>
              <w:rPr>
                <w:rFonts w:hint="eastAsia" w:ascii="宋体" w:hAnsi="宋体" w:eastAsia="宋体" w:cs="宋体"/>
                <w:b/>
                <w:bCs w:val="0"/>
                <w:color w:val="auto"/>
                <w:sz w:val="21"/>
                <w:szCs w:val="21"/>
              </w:rPr>
              <w:t>噪声污染控制措施</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选用低噪声施工设备，如以液压机械代替燃油机械，低频振捣器代替高频振捣器等。固定机械设备与挖土、运土机械，如挖土机、推土机等，可以通过排气管消音器和隔离发机振动部件的方法降低噪声。对动力机械设备应进行定期的维修、养护。</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（2）合理安排施工作业，尽量避免多台强噪声施工机械在同一地点同时施工。</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（3）高噪声设备的施工时间尽量安排在昼间，减少夜间施工，禁止夜间10点至翌日6点、中午12点至14点的休息时间施工。</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（4）尽量采用各种隔声降噪措施，在用地范围四周设置施工围墙以减轻施工噪声对附近居民区（项目北侧、西侧、西南侧集中居民区）以及其他敏感点的影响等。</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（5）对冲压机械、压缩机、振动筛等强振动污染源，应尽可能采取隔振措施，以减弱机械设备扰动对周围环境的振动污染。</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（6）减少交通噪声，大型载重车辆在进出施工场地时应限速20km/h，并禁止鸣笛。</w:t>
            </w:r>
          </w:p>
          <w:p>
            <w:pPr>
              <w:pStyle w:val="5"/>
              <w:pageBreakBefore w:val="0"/>
              <w:widowControl w:val="0"/>
              <w:numPr>
                <w:ilvl w:val="3"/>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4.</w:t>
            </w:r>
            <w:r>
              <w:rPr>
                <w:rFonts w:hint="eastAsia" w:ascii="宋体" w:hAnsi="宋体" w:eastAsia="宋体" w:cs="宋体"/>
                <w:b/>
                <w:bCs w:val="0"/>
                <w:color w:val="auto"/>
                <w:sz w:val="21"/>
                <w:szCs w:val="21"/>
              </w:rPr>
              <w:t>固体废物污染防治措施</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（1）在施工过程中施工弃渣均要求集中堆置于临时弃渣场或用于地基填筑，临时弃渣场采取彩条布覆盖等临时防护措施。</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（2）建议对施工期表土开挖产生的土方设置临时表土堆放场，并采取相应的水土保持措施，在本项目施工后期用于项目区绿化用土。</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（3）施工期生活垃圾主要为有机废物，包括剩饭菜、粪便等。根据本建设项目实际情况，施工人员生活垃圾依托站区已有的垃圾收集桶收集后再由当地乡镇环卫部门定期清运。</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bCs/>
                <w:color w:val="auto"/>
                <w:spacing w:val="-10"/>
                <w:szCs w:val="21"/>
              </w:rPr>
            </w:pPr>
            <w:r>
              <w:rPr>
                <w:rFonts w:hint="eastAsia" w:ascii="宋体" w:hAnsi="宋体" w:eastAsia="宋体" w:cs="宋体"/>
                <w:color w:val="auto"/>
                <w:sz w:val="21"/>
                <w:szCs w:val="21"/>
              </w:rPr>
              <w:t>（4）建筑垃圾处置严格执行《城市建筑垃圾管理规定》，按照衡阳县渣土管理部门要求，及时清运至衡阳县建筑垃圾消纳场所。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tcMar>
              <w:left w:w="28" w:type="dxa"/>
              <w:right w:w="28" w:type="dxa"/>
            </w:tcMar>
            <w:vAlign w:val="center"/>
          </w:tcPr>
          <w:p>
            <w:pPr>
              <w:adjustRightInd w:val="0"/>
              <w:snapToGrid w:val="0"/>
              <w:jc w:val="center"/>
              <w:rPr>
                <w:bCs/>
                <w:color w:val="auto"/>
                <w:szCs w:val="21"/>
              </w:rPr>
            </w:pPr>
            <w:r>
              <w:rPr>
                <w:bCs/>
                <w:color w:val="auto"/>
                <w:szCs w:val="21"/>
              </w:rPr>
              <w:t>运营</w:t>
            </w:r>
          </w:p>
          <w:p>
            <w:pPr>
              <w:adjustRightInd w:val="0"/>
              <w:snapToGrid w:val="0"/>
              <w:jc w:val="center"/>
              <w:rPr>
                <w:bCs/>
                <w:color w:val="auto"/>
                <w:szCs w:val="21"/>
              </w:rPr>
            </w:pPr>
            <w:r>
              <w:rPr>
                <w:bCs/>
                <w:color w:val="auto"/>
                <w:szCs w:val="21"/>
              </w:rPr>
              <w:t>期环</w:t>
            </w:r>
          </w:p>
          <w:p>
            <w:pPr>
              <w:adjustRightInd w:val="0"/>
              <w:snapToGrid w:val="0"/>
              <w:jc w:val="center"/>
              <w:rPr>
                <w:bCs/>
                <w:color w:val="auto"/>
                <w:szCs w:val="21"/>
              </w:rPr>
            </w:pPr>
            <w:r>
              <w:rPr>
                <w:bCs/>
                <w:color w:val="auto"/>
                <w:szCs w:val="21"/>
              </w:rPr>
              <w:t>境影</w:t>
            </w:r>
          </w:p>
          <w:p>
            <w:pPr>
              <w:adjustRightInd w:val="0"/>
              <w:snapToGrid w:val="0"/>
              <w:jc w:val="center"/>
              <w:rPr>
                <w:bCs/>
                <w:color w:val="auto"/>
                <w:szCs w:val="21"/>
              </w:rPr>
            </w:pPr>
            <w:r>
              <w:rPr>
                <w:bCs/>
                <w:color w:val="auto"/>
                <w:szCs w:val="21"/>
              </w:rPr>
              <w:t>响和</w:t>
            </w:r>
          </w:p>
          <w:p>
            <w:pPr>
              <w:adjustRightInd w:val="0"/>
              <w:snapToGrid w:val="0"/>
              <w:jc w:val="center"/>
              <w:rPr>
                <w:bCs/>
                <w:color w:val="auto"/>
                <w:szCs w:val="21"/>
              </w:rPr>
            </w:pPr>
            <w:r>
              <w:rPr>
                <w:bCs/>
                <w:color w:val="auto"/>
                <w:szCs w:val="21"/>
              </w:rPr>
              <w:t>保护</w:t>
            </w:r>
          </w:p>
          <w:p>
            <w:pPr>
              <w:pStyle w:val="1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eastAsia="宋体" w:cs="Times New Roman"/>
                <w:bCs/>
                <w:color w:val="auto"/>
                <w:kern w:val="2"/>
                <w:sz w:val="21"/>
                <w:szCs w:val="21"/>
                <w:lang w:val="en-US" w:eastAsia="zh-CN" w:bidi="ar-SA"/>
              </w:rPr>
              <w:t>措施</w:t>
            </w:r>
          </w:p>
        </w:tc>
        <w:tc>
          <w:tcPr>
            <w:tcW w:w="8155" w:type="dxa"/>
            <w:vAlign w:val="center"/>
          </w:tcPr>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一、废气</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1、废气主要污染工序</w:t>
            </w:r>
          </w:p>
          <w:p>
            <w:pPr>
              <w:pStyle w:val="19"/>
              <w:widowControl w:val="0"/>
              <w:spacing w:before="0" w:beforeAutospacing="0" w:after="0" w:afterAutospacing="0" w:line="360" w:lineRule="auto"/>
              <w:ind w:firstLine="420" w:firstLineChars="200"/>
              <w:jc w:val="both"/>
              <w:rPr>
                <w:rFonts w:hAnsi="Times New Roman"/>
                <w:color w:val="auto"/>
                <w:sz w:val="21"/>
                <w:szCs w:val="21"/>
              </w:rPr>
            </w:pPr>
            <w:r>
              <w:rPr>
                <w:rFonts w:hint="eastAsia" w:ascii="Times New Roman" w:hAnsi="Times New Roman"/>
                <w:color w:val="auto"/>
                <w:sz w:val="21"/>
                <w:szCs w:val="21"/>
                <w:lang w:bidi="ar"/>
              </w:rPr>
              <w:t>报废汽车拆解企业在作业过程中，产生的废气很少，大气污染物主要是废油液挥发产生的有机废气（以</w:t>
            </w:r>
            <w:r>
              <w:rPr>
                <w:rFonts w:ascii="Times New Roman" w:hAnsi="Times New Roman" w:cs="Times New Roman"/>
                <w:color w:val="auto"/>
                <w:sz w:val="21"/>
                <w:szCs w:val="21"/>
                <w:lang w:bidi="ar"/>
              </w:rPr>
              <w:t>VOCs</w:t>
            </w:r>
            <w:r>
              <w:rPr>
                <w:rFonts w:hint="eastAsia" w:ascii="Times New Roman" w:hAnsi="Times New Roman"/>
                <w:color w:val="auto"/>
                <w:sz w:val="21"/>
                <w:szCs w:val="21"/>
                <w:lang w:bidi="ar"/>
              </w:rPr>
              <w:t>进行表征计）；制冷剂回收时挥发产生的制冷剂废气（</w:t>
            </w:r>
            <w:r>
              <w:rPr>
                <w:rFonts w:ascii="Times New Roman" w:hAnsi="Times New Roman" w:cs="Times New Roman"/>
                <w:color w:val="auto"/>
                <w:sz w:val="21"/>
                <w:szCs w:val="21"/>
                <w:lang w:bidi="ar"/>
              </w:rPr>
              <w:t>R12</w:t>
            </w:r>
            <w:r>
              <w:rPr>
                <w:rFonts w:hint="eastAsia" w:ascii="Times New Roman" w:hAnsi="Times New Roman"/>
                <w:color w:val="auto"/>
                <w:sz w:val="21"/>
                <w:szCs w:val="21"/>
                <w:lang w:bidi="ar"/>
              </w:rPr>
              <w:t>制冷剂、</w:t>
            </w:r>
            <w:r>
              <w:rPr>
                <w:rFonts w:ascii="Times New Roman" w:hAnsi="Times New Roman" w:cs="Times New Roman"/>
                <w:color w:val="auto"/>
                <w:sz w:val="21"/>
                <w:szCs w:val="21"/>
                <w:lang w:bidi="ar"/>
              </w:rPr>
              <w:t>R134a</w:t>
            </w:r>
            <w:r>
              <w:rPr>
                <w:rFonts w:hint="eastAsia" w:ascii="Times New Roman" w:hAnsi="Times New Roman"/>
                <w:color w:val="auto"/>
                <w:sz w:val="21"/>
                <w:szCs w:val="21"/>
                <w:lang w:bidi="ar"/>
              </w:rPr>
              <w:t>制冷剂，以</w:t>
            </w:r>
            <w:r>
              <w:rPr>
                <w:rFonts w:ascii="Times New Roman" w:hAnsi="Times New Roman" w:cs="Times New Roman"/>
                <w:color w:val="auto"/>
                <w:sz w:val="21"/>
                <w:szCs w:val="21"/>
                <w:lang w:bidi="ar"/>
              </w:rPr>
              <w:t>VOCs</w:t>
            </w:r>
            <w:r>
              <w:rPr>
                <w:rFonts w:hint="eastAsia" w:ascii="Times New Roman" w:hAnsi="Times New Roman"/>
                <w:color w:val="auto"/>
                <w:sz w:val="21"/>
                <w:szCs w:val="21"/>
                <w:lang w:bidi="ar"/>
              </w:rPr>
              <w:t>表征）；切割产生的切割废气；安全气囊引爆时产生的废气等。（报废车辆一般使用拖车或者运输车辆运到报废拆解工厂。报废汽车进入拆解工厂时，一般有价值的油液大部分已被抽走，只剩下残留的极少部分油液。本项目平均每天抽取得到的废油极少，采用相应的密封性的油桶进行储存且产生的油类、制冷剂每月进行转运一次，储存量少，油桶不属于储罐，无大小呼吸，仅考虑灌桶过程挥发的有机废气）。</w:t>
            </w:r>
          </w:p>
          <w:p>
            <w:pPr>
              <w:pStyle w:val="19"/>
              <w:widowControl w:val="0"/>
              <w:spacing w:before="0" w:beforeAutospacing="0" w:after="0" w:afterAutospacing="0" w:line="360" w:lineRule="auto"/>
              <w:ind w:firstLine="420" w:firstLineChars="200"/>
              <w:jc w:val="both"/>
              <w:rPr>
                <w:rFonts w:hAnsi="Times New Roman"/>
                <w:b/>
                <w:color w:val="auto"/>
                <w:sz w:val="21"/>
                <w:szCs w:val="21"/>
              </w:rPr>
            </w:pPr>
            <w:r>
              <w:rPr>
                <w:rFonts w:hint="eastAsia" w:ascii="Times New Roman" w:hAnsi="Times New Roman"/>
                <w:color w:val="auto"/>
                <w:sz w:val="21"/>
                <w:szCs w:val="21"/>
                <w:lang w:bidi="ar"/>
              </w:rPr>
              <w:t>根据本项目生产工艺流程，经拆解完成后的车架、车厢等不进行破碎，而是采用压实打包机进行压实和打包。因此，本项目营运后无破碎粉尘产生，其颗粒物的产生环节主要来自切割以及安全气囊爆破。</w:t>
            </w:r>
          </w:p>
          <w:p>
            <w:pPr>
              <w:pStyle w:val="19"/>
              <w:widowControl w:val="0"/>
              <w:spacing w:before="0" w:beforeAutospacing="0" w:after="0" w:afterAutospacing="0" w:line="360" w:lineRule="auto"/>
              <w:ind w:firstLine="480"/>
              <w:jc w:val="both"/>
              <w:rPr>
                <w:rFonts w:hAnsi="Times New Roman"/>
                <w:b/>
                <w:color w:val="auto"/>
                <w:sz w:val="21"/>
                <w:szCs w:val="21"/>
              </w:rPr>
            </w:pPr>
            <w:r>
              <w:rPr>
                <w:rFonts w:hint="eastAsia" w:ascii="Times New Roman" w:hAnsi="Times New Roman"/>
                <w:b/>
                <w:color w:val="auto"/>
                <w:sz w:val="21"/>
                <w:szCs w:val="21"/>
                <w:lang w:eastAsia="zh-CN" w:bidi="ar"/>
              </w:rPr>
              <w:t>（</w:t>
            </w:r>
            <w:r>
              <w:rPr>
                <w:rFonts w:hint="eastAsia" w:ascii="Times New Roman" w:hAnsi="Times New Roman"/>
                <w:b/>
                <w:color w:val="auto"/>
                <w:sz w:val="21"/>
                <w:szCs w:val="21"/>
                <w:lang w:val="en-US" w:eastAsia="zh-CN" w:bidi="ar"/>
              </w:rPr>
              <w:t>1</w:t>
            </w:r>
            <w:r>
              <w:rPr>
                <w:rFonts w:hint="eastAsia" w:ascii="Times New Roman" w:hAnsi="Times New Roman"/>
                <w:b/>
                <w:color w:val="auto"/>
                <w:sz w:val="21"/>
                <w:szCs w:val="21"/>
                <w:lang w:eastAsia="zh-CN" w:bidi="ar"/>
              </w:rPr>
              <w:t>）</w:t>
            </w:r>
            <w:r>
              <w:rPr>
                <w:rFonts w:hint="eastAsia" w:ascii="Times New Roman" w:hAnsi="Times New Roman"/>
                <w:b/>
                <w:color w:val="auto"/>
                <w:sz w:val="21"/>
                <w:szCs w:val="21"/>
                <w:lang w:bidi="ar"/>
              </w:rPr>
              <w:t>废油液挥发产生的有机废气</w:t>
            </w:r>
          </w:p>
          <w:p>
            <w:pPr>
              <w:spacing w:line="360" w:lineRule="auto"/>
              <w:ind w:firstLine="420" w:firstLineChars="200"/>
              <w:rPr>
                <w:color w:val="auto"/>
                <w:sz w:val="21"/>
                <w:szCs w:val="21"/>
              </w:rPr>
            </w:pPr>
            <w:r>
              <w:rPr>
                <w:rFonts w:hint="eastAsia" w:ascii="Times New Roman" w:hAnsi="Times New Roman"/>
                <w:color w:val="auto"/>
                <w:sz w:val="21"/>
                <w:szCs w:val="21"/>
                <w:lang w:bidi="ar"/>
              </w:rPr>
              <w:t>本项目拆解过程中可能产生的有机废气主要为废油液抽取和残留于油箱内的油液挥发产生的有机废气，以VOCs进行表征计。在拆解预处理过程中，首先利用油液抽排系统抽取废油液，抽取后采用密闭钢桶进行储存，在油液抽取系统置入、拔出容器的过程中会有少量的VOCs挥发。类比同类企业，废油液的抽取量高于</w:t>
            </w:r>
            <w:r>
              <w:rPr>
                <w:rFonts w:ascii="Times New Roman" w:hAnsi="Times New Roman" w:cs="Times New Roman"/>
                <w:color w:val="auto"/>
                <w:sz w:val="21"/>
                <w:szCs w:val="21"/>
                <w:lang w:bidi="ar"/>
              </w:rPr>
              <w:t>90%</w:t>
            </w:r>
            <w:r>
              <w:rPr>
                <w:rFonts w:hint="eastAsia" w:ascii="Times New Roman" w:hAnsi="Times New Roman"/>
                <w:color w:val="auto"/>
                <w:sz w:val="21"/>
                <w:szCs w:val="21"/>
                <w:lang w:bidi="ar"/>
              </w:rPr>
              <w:t>，本报告按</w:t>
            </w:r>
            <w:r>
              <w:rPr>
                <w:rFonts w:ascii="Times New Roman" w:hAnsi="Times New Roman" w:cs="Times New Roman"/>
                <w:color w:val="auto"/>
                <w:sz w:val="21"/>
                <w:szCs w:val="21"/>
                <w:lang w:bidi="ar"/>
              </w:rPr>
              <w:t>90%</w:t>
            </w:r>
            <w:r>
              <w:rPr>
                <w:rFonts w:hint="eastAsia" w:ascii="Times New Roman" w:hAnsi="Times New Roman"/>
                <w:color w:val="auto"/>
                <w:sz w:val="21"/>
                <w:szCs w:val="21"/>
                <w:lang w:bidi="ar"/>
              </w:rPr>
              <w:t>计算，则剩余少量未抽出的废油液以及抽取废油液过程中会有少量的VOCs产生，最终以无组织形式排放到车间以外的大气环境中。油液抽排系统是利用压缩空气，通过特殊设计的真空发生装置将密闭钢瓶抽真空，产生一定的真空度，在外界空气压力的作用下，通过抽油管，将废油液抽入密闭钢瓶内。</w:t>
            </w:r>
          </w:p>
          <w:p>
            <w:pPr>
              <w:pStyle w:val="19"/>
              <w:widowControl w:val="0"/>
              <w:spacing w:before="0" w:beforeAutospacing="0" w:after="0" w:afterAutospacing="0" w:line="360" w:lineRule="auto"/>
              <w:ind w:firstLine="480"/>
              <w:jc w:val="both"/>
              <w:rPr>
                <w:rFonts w:hAnsi="Times New Roman"/>
                <w:color w:val="auto"/>
                <w:sz w:val="21"/>
                <w:szCs w:val="21"/>
              </w:rPr>
            </w:pPr>
            <w:r>
              <w:rPr>
                <w:rFonts w:hint="eastAsia" w:ascii="Times New Roman" w:hAnsi="Times New Roman"/>
                <w:color w:val="auto"/>
                <w:sz w:val="21"/>
                <w:szCs w:val="21"/>
                <w:lang w:bidi="ar"/>
              </w:rPr>
              <w:t>参照《散装液态石油拆解物品损耗》（</w:t>
            </w:r>
            <w:r>
              <w:rPr>
                <w:rFonts w:ascii="Times New Roman" w:hAnsi="Times New Roman" w:cs="Times New Roman"/>
                <w:color w:val="auto"/>
                <w:sz w:val="21"/>
                <w:szCs w:val="21"/>
                <w:lang w:bidi="ar"/>
              </w:rPr>
              <w:t>GB11085-89</w:t>
            </w:r>
            <w:r>
              <w:rPr>
                <w:rFonts w:hint="eastAsia" w:ascii="Times New Roman" w:hAnsi="Times New Roman"/>
                <w:color w:val="auto"/>
                <w:sz w:val="21"/>
                <w:szCs w:val="21"/>
                <w:lang w:bidi="ar"/>
              </w:rPr>
              <w:t>）中灌桶（</w:t>
            </w:r>
            <w:r>
              <w:rPr>
                <w:rFonts w:ascii="Times New Roman" w:hAnsi="Times New Roman" w:cs="Times New Roman"/>
                <w:color w:val="auto"/>
                <w:sz w:val="21"/>
                <w:szCs w:val="21"/>
                <w:lang w:bidi="ar"/>
              </w:rPr>
              <w:t>0.18%</w:t>
            </w:r>
            <w:r>
              <w:rPr>
                <w:rFonts w:hint="eastAsia" w:ascii="Times New Roman" w:hAnsi="Times New Roman"/>
                <w:color w:val="auto"/>
                <w:sz w:val="21"/>
                <w:szCs w:val="21"/>
                <w:lang w:bidi="ar"/>
              </w:rPr>
              <w:t>）和零售加注时（</w:t>
            </w:r>
            <w:r>
              <w:rPr>
                <w:rFonts w:ascii="Times New Roman" w:hAnsi="Times New Roman" w:cs="Times New Roman"/>
                <w:color w:val="auto"/>
                <w:sz w:val="21"/>
                <w:szCs w:val="21"/>
                <w:lang w:bidi="ar"/>
              </w:rPr>
              <w:t>0.29%</w:t>
            </w:r>
            <w:r>
              <w:rPr>
                <w:rFonts w:hint="eastAsia" w:ascii="Times New Roman" w:hAnsi="Times New Roman"/>
                <w:color w:val="auto"/>
                <w:sz w:val="21"/>
                <w:szCs w:val="21"/>
                <w:lang w:bidi="ar"/>
              </w:rPr>
              <w:t>）的两部分的损失率，按总体</w:t>
            </w:r>
            <w:r>
              <w:rPr>
                <w:rFonts w:ascii="Times New Roman" w:hAnsi="Times New Roman" w:cs="Times New Roman"/>
                <w:color w:val="auto"/>
                <w:sz w:val="21"/>
                <w:szCs w:val="21"/>
                <w:lang w:bidi="ar"/>
              </w:rPr>
              <w:t>0.47%</w:t>
            </w:r>
            <w:r>
              <w:rPr>
                <w:rFonts w:hint="eastAsia" w:ascii="Times New Roman" w:hAnsi="Times New Roman"/>
                <w:color w:val="auto"/>
                <w:sz w:val="21"/>
                <w:szCs w:val="21"/>
                <w:lang w:bidi="ar"/>
              </w:rPr>
              <w:t>的损失率进行。根据本报告项目拆解物品方案章节的分析，本项目营运后废燃料油和各类废油液的产生量共计</w:t>
            </w:r>
            <w:r>
              <w:rPr>
                <w:rFonts w:hint="eastAsia" w:ascii="Times New Roman" w:hAnsi="Times New Roman" w:cs="Times New Roman"/>
                <w:color w:val="auto"/>
                <w:sz w:val="21"/>
                <w:szCs w:val="21"/>
                <w:lang w:val="en-US" w:eastAsia="zh-CN" w:bidi="ar"/>
              </w:rPr>
              <w:t>72.2</w:t>
            </w:r>
            <w:r>
              <w:rPr>
                <w:rFonts w:ascii="Times New Roman" w:hAnsi="Times New Roman" w:cs="Times New Roman"/>
                <w:color w:val="auto"/>
                <w:sz w:val="21"/>
                <w:szCs w:val="21"/>
                <w:lang w:bidi="ar"/>
              </w:rPr>
              <w:t>t/a</w:t>
            </w:r>
            <w:r>
              <w:rPr>
                <w:rFonts w:hint="eastAsia" w:ascii="Times New Roman" w:hAnsi="Times New Roman"/>
                <w:color w:val="auto"/>
                <w:sz w:val="21"/>
                <w:szCs w:val="21"/>
                <w:lang w:bidi="ar"/>
              </w:rPr>
              <w:t>，则废油液挥发产生的VOCs量约为</w:t>
            </w:r>
            <w:r>
              <w:rPr>
                <w:rFonts w:hint="eastAsia" w:ascii="Times New Roman" w:hAnsi="Times New Roman" w:cs="Times New Roman"/>
                <w:color w:val="auto"/>
                <w:sz w:val="21"/>
                <w:szCs w:val="21"/>
                <w:lang w:val="en-US" w:eastAsia="zh-CN" w:bidi="ar"/>
              </w:rPr>
              <w:t>72.2</w:t>
            </w:r>
            <w:r>
              <w:rPr>
                <w:rFonts w:ascii="Times New Roman" w:hAnsi="Times New Roman" w:cs="Times New Roman"/>
                <w:color w:val="auto"/>
                <w:sz w:val="21"/>
                <w:szCs w:val="21"/>
                <w:lang w:bidi="ar"/>
              </w:rPr>
              <w:t>×0.0047=0.</w:t>
            </w:r>
            <w:r>
              <w:rPr>
                <w:rFonts w:hint="eastAsia" w:ascii="Times New Roman" w:hAnsi="Times New Roman" w:cs="Times New Roman"/>
                <w:color w:val="auto"/>
                <w:sz w:val="21"/>
                <w:szCs w:val="21"/>
                <w:lang w:val="en-US" w:eastAsia="zh-CN" w:bidi="ar"/>
              </w:rPr>
              <w:t>339</w:t>
            </w:r>
            <w:r>
              <w:rPr>
                <w:rFonts w:ascii="Times New Roman" w:hAnsi="Times New Roman" w:cs="Times New Roman"/>
                <w:color w:val="auto"/>
                <w:sz w:val="21"/>
                <w:szCs w:val="21"/>
                <w:lang w:bidi="ar"/>
              </w:rPr>
              <w:t>t/a</w:t>
            </w:r>
            <w:r>
              <w:rPr>
                <w:rFonts w:hint="eastAsia" w:ascii="Times New Roman" w:hAnsi="Times New Roman"/>
                <w:color w:val="auto"/>
                <w:sz w:val="21"/>
                <w:szCs w:val="21"/>
                <w:lang w:bidi="ar"/>
              </w:rPr>
              <w:t>。</w:t>
            </w:r>
          </w:p>
          <w:p>
            <w:pPr>
              <w:pStyle w:val="19"/>
              <w:widowControl w:val="0"/>
              <w:spacing w:before="0" w:beforeAutospacing="0" w:after="0" w:afterAutospacing="0" w:line="360" w:lineRule="auto"/>
              <w:ind w:firstLine="480"/>
              <w:jc w:val="both"/>
              <w:rPr>
                <w:rFonts w:hAnsi="Times New Roman"/>
                <w:color w:val="auto"/>
                <w:sz w:val="21"/>
                <w:szCs w:val="21"/>
              </w:rPr>
            </w:pPr>
            <w:r>
              <w:rPr>
                <w:rFonts w:hint="eastAsia" w:ascii="Times New Roman" w:hAnsi="Times New Roman"/>
                <w:color w:val="auto"/>
                <w:sz w:val="21"/>
                <w:szCs w:val="21"/>
                <w:lang w:bidi="ar"/>
              </w:rPr>
              <w:t>为减小废油液抽取过程中VOCs的排放量，废油液抽取真空泵配套安装油气回收装置。根据</w:t>
            </w:r>
            <w:r>
              <w:rPr>
                <w:rFonts w:hint="eastAsia" w:ascii="Times New Roman" w:hAnsi="Times New Roman"/>
                <w:color w:val="auto"/>
                <w:sz w:val="21"/>
                <w:szCs w:val="21"/>
                <w:lang w:eastAsia="zh-CN" w:bidi="ar"/>
              </w:rPr>
              <w:t>类比同类型企业</w:t>
            </w:r>
            <w:r>
              <w:rPr>
                <w:rFonts w:hint="eastAsia" w:ascii="Times New Roman" w:hAnsi="Times New Roman"/>
                <w:color w:val="auto"/>
                <w:sz w:val="21"/>
                <w:szCs w:val="21"/>
                <w:lang w:bidi="ar"/>
              </w:rPr>
              <w:t>，油气回收装置处理效率可稳定达到</w:t>
            </w:r>
            <w:r>
              <w:rPr>
                <w:rFonts w:ascii="Times New Roman" w:hAnsi="Times New Roman" w:cs="Times New Roman"/>
                <w:color w:val="auto"/>
                <w:sz w:val="21"/>
                <w:szCs w:val="21"/>
                <w:lang w:bidi="ar"/>
              </w:rPr>
              <w:t>95%</w:t>
            </w:r>
            <w:r>
              <w:rPr>
                <w:rFonts w:hint="eastAsia" w:ascii="Times New Roman" w:hAnsi="Times New Roman"/>
                <w:color w:val="auto"/>
                <w:sz w:val="21"/>
                <w:szCs w:val="21"/>
                <w:lang w:bidi="ar"/>
              </w:rPr>
              <w:t>以上，保守起见，本项目油气回收装置处理效率取</w:t>
            </w:r>
            <w:r>
              <w:rPr>
                <w:rFonts w:ascii="Times New Roman" w:hAnsi="Times New Roman" w:cs="Times New Roman"/>
                <w:color w:val="auto"/>
                <w:sz w:val="21"/>
                <w:szCs w:val="21"/>
                <w:lang w:bidi="ar"/>
              </w:rPr>
              <w:t>90%</w:t>
            </w:r>
            <w:r>
              <w:rPr>
                <w:rFonts w:hint="eastAsia" w:ascii="Times New Roman" w:hAnsi="Times New Roman"/>
                <w:color w:val="auto"/>
                <w:sz w:val="21"/>
                <w:szCs w:val="21"/>
                <w:lang w:bidi="ar"/>
              </w:rPr>
              <w:t>，则本项目经过油气回收装置后排放的VOCs量为</w:t>
            </w:r>
            <w:r>
              <w:rPr>
                <w:rFonts w:ascii="Times New Roman" w:hAnsi="Times New Roman" w:cs="Times New Roman"/>
                <w:color w:val="auto"/>
                <w:sz w:val="21"/>
                <w:szCs w:val="21"/>
                <w:lang w:bidi="ar"/>
              </w:rPr>
              <w:t>0.0</w:t>
            </w:r>
            <w:r>
              <w:rPr>
                <w:rFonts w:hint="eastAsia" w:ascii="Times New Roman" w:hAnsi="Times New Roman" w:cs="Times New Roman"/>
                <w:color w:val="auto"/>
                <w:sz w:val="21"/>
                <w:szCs w:val="21"/>
                <w:lang w:val="en-US" w:eastAsia="zh-CN" w:bidi="ar"/>
              </w:rPr>
              <w:t>34</w:t>
            </w:r>
            <w:r>
              <w:rPr>
                <w:rFonts w:ascii="Times New Roman" w:hAnsi="Times New Roman" w:cs="Times New Roman"/>
                <w:color w:val="auto"/>
                <w:sz w:val="21"/>
                <w:szCs w:val="21"/>
                <w:lang w:bidi="ar"/>
              </w:rPr>
              <w:t>t/a</w:t>
            </w:r>
            <w:r>
              <w:rPr>
                <w:rFonts w:hint="eastAsia" w:ascii="Times New Roman" w:hAnsi="Times New Roman"/>
                <w:color w:val="auto"/>
                <w:sz w:val="21"/>
                <w:szCs w:val="21"/>
                <w:lang w:bidi="ar"/>
              </w:rPr>
              <w:t>，经车间通风扩散后无组织排放。</w:t>
            </w:r>
          </w:p>
          <w:p>
            <w:pPr>
              <w:pStyle w:val="19"/>
              <w:widowControl w:val="0"/>
              <w:spacing w:before="0" w:beforeAutospacing="0" w:after="0" w:afterAutospacing="0" w:line="360" w:lineRule="auto"/>
              <w:ind w:firstLine="482"/>
              <w:jc w:val="both"/>
              <w:rPr>
                <w:rFonts w:hAnsi="Times New Roman"/>
                <w:b/>
                <w:color w:val="auto"/>
                <w:sz w:val="21"/>
                <w:szCs w:val="21"/>
              </w:rPr>
            </w:pPr>
            <w:r>
              <w:rPr>
                <w:rFonts w:hint="eastAsia" w:ascii="Times New Roman" w:hAnsi="Times New Roman"/>
                <w:b/>
                <w:color w:val="auto"/>
                <w:sz w:val="21"/>
                <w:szCs w:val="21"/>
                <w:lang w:eastAsia="zh-CN" w:bidi="ar"/>
              </w:rPr>
              <w:t>（</w:t>
            </w:r>
            <w:r>
              <w:rPr>
                <w:rFonts w:hint="eastAsia" w:ascii="Times New Roman" w:hAnsi="Times New Roman"/>
                <w:b/>
                <w:color w:val="auto"/>
                <w:sz w:val="21"/>
                <w:szCs w:val="21"/>
                <w:lang w:val="en-US" w:eastAsia="zh-CN" w:bidi="ar"/>
              </w:rPr>
              <w:t>2</w:t>
            </w:r>
            <w:r>
              <w:rPr>
                <w:rFonts w:hint="eastAsia" w:ascii="Times New Roman" w:hAnsi="Times New Roman"/>
                <w:b/>
                <w:color w:val="auto"/>
                <w:sz w:val="21"/>
                <w:szCs w:val="21"/>
                <w:lang w:eastAsia="zh-CN" w:bidi="ar"/>
              </w:rPr>
              <w:t>）</w:t>
            </w:r>
            <w:r>
              <w:rPr>
                <w:rFonts w:hint="eastAsia" w:ascii="Times New Roman" w:hAnsi="Times New Roman"/>
                <w:b/>
                <w:color w:val="auto"/>
                <w:sz w:val="21"/>
                <w:szCs w:val="21"/>
                <w:lang w:bidi="ar"/>
              </w:rPr>
              <w:t>制冷剂废气</w:t>
            </w:r>
          </w:p>
          <w:p>
            <w:pPr>
              <w:pStyle w:val="19"/>
              <w:widowControl w:val="0"/>
              <w:spacing w:before="0" w:beforeAutospacing="0" w:after="0" w:afterAutospacing="0" w:line="360" w:lineRule="auto"/>
              <w:ind w:firstLine="420" w:firstLineChars="200"/>
              <w:jc w:val="both"/>
              <w:rPr>
                <w:color w:val="auto"/>
                <w:sz w:val="21"/>
                <w:szCs w:val="21"/>
              </w:rPr>
            </w:pPr>
            <w:r>
              <w:rPr>
                <w:rFonts w:hint="eastAsia" w:ascii="Times New Roman" w:hAnsi="Times New Roman"/>
                <w:color w:val="auto"/>
                <w:kern w:val="2"/>
                <w:sz w:val="21"/>
                <w:szCs w:val="21"/>
                <w:lang w:bidi="ar"/>
              </w:rPr>
              <w:t>本项目在拆解预处理阶段需要用专业的制冷剂抽排设备对制冷剂进行抽取存放，设备用软管进行密封抽取，收集设备接入瞬间会产生制冷剂泄漏废气。存储空调制冷剂的钢瓶中气体只进不出，操作时将回收钳卡在空调压缩机管道上刺穿管道，根据报废汽车所用空调制冷剂的不同种类，将制冷剂回收至相应的专用容器内，并交给有资质的单位进行回收处置。</w:t>
            </w:r>
          </w:p>
          <w:p>
            <w:pPr>
              <w:pStyle w:val="19"/>
              <w:widowControl w:val="0"/>
              <w:spacing w:before="0" w:beforeAutospacing="0" w:after="0" w:afterAutospacing="0" w:line="360" w:lineRule="auto"/>
              <w:ind w:firstLine="480"/>
              <w:jc w:val="both"/>
              <w:rPr>
                <w:rFonts w:hAnsi="Times New Roman"/>
                <w:color w:val="auto"/>
                <w:sz w:val="21"/>
                <w:szCs w:val="21"/>
              </w:rPr>
            </w:pPr>
            <w:r>
              <w:rPr>
                <w:rFonts w:hint="eastAsia" w:ascii="Times New Roman" w:hAnsi="Times New Roman"/>
                <w:color w:val="auto"/>
                <w:sz w:val="21"/>
                <w:szCs w:val="21"/>
                <w:lang w:bidi="ar"/>
              </w:rPr>
              <w:t>部分车辆的制冷剂中有氟利昂（</w:t>
            </w:r>
            <w:r>
              <w:rPr>
                <w:rFonts w:ascii="Times New Roman" w:hAnsi="Times New Roman" w:cs="Times New Roman"/>
                <w:color w:val="auto"/>
                <w:sz w:val="21"/>
                <w:szCs w:val="21"/>
                <w:lang w:bidi="ar"/>
              </w:rPr>
              <w:t>CF</w:t>
            </w:r>
            <w:r>
              <w:rPr>
                <w:rFonts w:ascii="Times New Roman" w:hAnsi="Times New Roman" w:cs="Times New Roman"/>
                <w:color w:val="auto"/>
                <w:sz w:val="21"/>
                <w:szCs w:val="21"/>
                <w:vertAlign w:val="subscript"/>
                <w:lang w:bidi="ar"/>
              </w:rPr>
              <w:t>2</w:t>
            </w:r>
            <w:r>
              <w:rPr>
                <w:rFonts w:ascii="Times New Roman" w:hAnsi="Times New Roman" w:cs="Times New Roman"/>
                <w:color w:val="auto"/>
                <w:sz w:val="21"/>
                <w:szCs w:val="21"/>
                <w:lang w:bidi="ar"/>
              </w:rPr>
              <w:t>Cl</w:t>
            </w:r>
            <w:r>
              <w:rPr>
                <w:rFonts w:ascii="Times New Roman" w:hAnsi="Times New Roman" w:cs="Times New Roman"/>
                <w:color w:val="auto"/>
                <w:sz w:val="21"/>
                <w:szCs w:val="21"/>
                <w:vertAlign w:val="subscript"/>
                <w:lang w:bidi="ar"/>
              </w:rPr>
              <w:t>2</w:t>
            </w:r>
            <w:r>
              <w:rPr>
                <w:rFonts w:hint="eastAsia" w:ascii="Times New Roman" w:hAnsi="Times New Roman"/>
                <w:color w:val="auto"/>
                <w:sz w:val="21"/>
                <w:szCs w:val="21"/>
                <w:lang w:bidi="ar"/>
              </w:rPr>
              <w:t>），但这些车辆所占的比例较小。在正式拆解前，用氟利昂回收装置收集到密闭的容器中进行储存，遇到含有氟利昂的制冷剂时，操作过程中会有氟利昂逸散到空气中，但数量较少，经大气稀释扩散后排放。根据《蒙特利尔议定书》规定，我国于</w:t>
            </w:r>
            <w:r>
              <w:rPr>
                <w:rFonts w:ascii="Times New Roman" w:hAnsi="Times New Roman" w:cs="Times New Roman"/>
                <w:color w:val="auto"/>
                <w:sz w:val="21"/>
                <w:szCs w:val="21"/>
                <w:lang w:bidi="ar"/>
              </w:rPr>
              <w:t>2010</w:t>
            </w:r>
            <w:r>
              <w:rPr>
                <w:rFonts w:hint="eastAsia" w:ascii="Times New Roman" w:hAnsi="Times New Roman"/>
                <w:color w:val="auto"/>
                <w:sz w:val="21"/>
                <w:szCs w:val="21"/>
                <w:lang w:bidi="ar"/>
              </w:rPr>
              <w:t>年</w:t>
            </w:r>
            <w:r>
              <w:rPr>
                <w:rFonts w:ascii="Times New Roman" w:hAnsi="Times New Roman" w:cs="Times New Roman"/>
                <w:color w:val="auto"/>
                <w:sz w:val="21"/>
                <w:szCs w:val="21"/>
                <w:lang w:bidi="ar"/>
              </w:rPr>
              <w:t>1</w:t>
            </w:r>
            <w:r>
              <w:rPr>
                <w:rFonts w:hint="eastAsia" w:ascii="Times New Roman" w:hAnsi="Times New Roman"/>
                <w:color w:val="auto"/>
                <w:sz w:val="21"/>
                <w:szCs w:val="21"/>
                <w:lang w:bidi="ar"/>
              </w:rPr>
              <w:t>月</w:t>
            </w:r>
            <w:r>
              <w:rPr>
                <w:rFonts w:ascii="Times New Roman" w:hAnsi="Times New Roman" w:cs="Times New Roman"/>
                <w:color w:val="auto"/>
                <w:sz w:val="21"/>
                <w:szCs w:val="21"/>
                <w:lang w:bidi="ar"/>
              </w:rPr>
              <w:t>1</w:t>
            </w:r>
            <w:r>
              <w:rPr>
                <w:rFonts w:hint="eastAsia" w:ascii="Times New Roman" w:hAnsi="Times New Roman"/>
                <w:color w:val="auto"/>
                <w:sz w:val="21"/>
                <w:szCs w:val="21"/>
                <w:lang w:bidi="ar"/>
              </w:rPr>
              <w:t>日起全面禁用氟利昂物质，在汽车生产、制造、维护行业中，氟利昂将随着其更新换代而被淘汰，因此，这种污染物将进一步减少。运营前期部分报废汽车制冷剂有氟利昂，在抽取过程中会有极少量的氟利昂逸散到空气中，而随着新型环保制冷剂的不断研发、推广和应用，汽车制冷剂中氟利昂将逐步淘汰，这种影响将逐步降低，最后消失。收集的报废车辆中仅有部分车辆的制冷剂中含有氟利昂，</w:t>
            </w:r>
            <w:r>
              <w:rPr>
                <w:rFonts w:ascii="Times New Roman" w:hAnsi="Times New Roman" w:cs="Times New Roman"/>
                <w:color w:val="auto"/>
                <w:sz w:val="21"/>
                <w:szCs w:val="21"/>
                <w:lang w:bidi="ar"/>
              </w:rPr>
              <w:t xml:space="preserve"> </w:t>
            </w:r>
            <w:r>
              <w:rPr>
                <w:rFonts w:hint="eastAsia" w:ascii="Times New Roman" w:hAnsi="Times New Roman"/>
                <w:color w:val="auto"/>
                <w:sz w:val="21"/>
                <w:szCs w:val="21"/>
                <w:lang w:bidi="ar"/>
              </w:rPr>
              <w:t>但这些车辆所占比例较少，在此不作定量分析。</w:t>
            </w:r>
          </w:p>
          <w:p>
            <w:pPr>
              <w:pStyle w:val="19"/>
              <w:widowControl w:val="0"/>
              <w:spacing w:before="0" w:beforeAutospacing="0" w:after="0" w:afterAutospacing="0" w:line="360" w:lineRule="auto"/>
              <w:ind w:firstLine="480"/>
              <w:jc w:val="both"/>
              <w:rPr>
                <w:rFonts w:hAnsi="Times New Roman"/>
                <w:color w:val="auto"/>
                <w:sz w:val="21"/>
                <w:szCs w:val="21"/>
              </w:rPr>
            </w:pPr>
            <w:r>
              <w:rPr>
                <w:rFonts w:hint="eastAsia" w:ascii="Times New Roman" w:hAnsi="Times New Roman"/>
                <w:color w:val="auto"/>
                <w:sz w:val="21"/>
                <w:szCs w:val="21"/>
                <w:lang w:bidi="ar"/>
              </w:rPr>
              <w:t>因此，项目运营前期报废汽车的制冷剂主要有</w:t>
            </w:r>
            <w:r>
              <w:rPr>
                <w:rFonts w:ascii="Times New Roman" w:hAnsi="Times New Roman" w:cs="Times New Roman"/>
                <w:color w:val="auto"/>
                <w:sz w:val="21"/>
                <w:szCs w:val="21"/>
                <w:lang w:bidi="ar"/>
              </w:rPr>
              <w:t>R12</w:t>
            </w:r>
            <w:r>
              <w:rPr>
                <w:rFonts w:hint="eastAsia" w:ascii="Times New Roman" w:hAnsi="Times New Roman"/>
                <w:color w:val="auto"/>
                <w:sz w:val="21"/>
                <w:szCs w:val="21"/>
                <w:lang w:bidi="ar"/>
              </w:rPr>
              <w:t>、</w:t>
            </w:r>
            <w:r>
              <w:rPr>
                <w:rFonts w:ascii="Times New Roman" w:hAnsi="Times New Roman" w:cs="Times New Roman"/>
                <w:color w:val="auto"/>
                <w:sz w:val="21"/>
                <w:szCs w:val="21"/>
                <w:lang w:bidi="ar"/>
              </w:rPr>
              <w:t>R134a</w:t>
            </w:r>
            <w:r>
              <w:rPr>
                <w:rFonts w:hint="eastAsia" w:ascii="Times New Roman" w:hAnsi="Times New Roman"/>
                <w:color w:val="auto"/>
                <w:sz w:val="21"/>
                <w:szCs w:val="21"/>
                <w:lang w:bidi="ar"/>
              </w:rPr>
              <w:t>，中后期报废汽车的制冷剂主要为</w:t>
            </w:r>
            <w:r>
              <w:rPr>
                <w:rFonts w:ascii="Times New Roman" w:hAnsi="Times New Roman" w:cs="Times New Roman"/>
                <w:color w:val="auto"/>
                <w:sz w:val="21"/>
                <w:szCs w:val="21"/>
                <w:lang w:bidi="ar"/>
              </w:rPr>
              <w:t>R134a</w:t>
            </w:r>
            <w:r>
              <w:rPr>
                <w:rFonts w:hint="eastAsia" w:ascii="Times New Roman" w:hAnsi="Times New Roman"/>
                <w:color w:val="auto"/>
                <w:sz w:val="21"/>
                <w:szCs w:val="21"/>
                <w:lang w:bidi="ar"/>
              </w:rPr>
              <w:t>。在抽取过程中，制冷剂会挥发至空气中，以无组织形式排放。氟利昂（</w:t>
            </w:r>
            <w:r>
              <w:rPr>
                <w:rFonts w:ascii="Times New Roman" w:hAnsi="Times New Roman" w:cs="Times New Roman"/>
                <w:color w:val="auto"/>
                <w:sz w:val="21"/>
                <w:szCs w:val="21"/>
                <w:lang w:bidi="ar"/>
              </w:rPr>
              <w:t>R12</w:t>
            </w:r>
            <w:r>
              <w:rPr>
                <w:rFonts w:hint="eastAsia" w:ascii="Times New Roman" w:hAnsi="Times New Roman"/>
                <w:color w:val="auto"/>
                <w:sz w:val="21"/>
                <w:szCs w:val="21"/>
                <w:lang w:bidi="ar"/>
              </w:rPr>
              <w:t>）为二氯二氟甲烷，为氟氯烃，</w:t>
            </w:r>
            <w:r>
              <w:rPr>
                <w:rFonts w:ascii="Times New Roman" w:hAnsi="Times New Roman" w:cs="Times New Roman"/>
                <w:color w:val="auto"/>
                <w:sz w:val="21"/>
                <w:szCs w:val="21"/>
                <w:lang w:bidi="ar"/>
              </w:rPr>
              <w:t>R134a</w:t>
            </w:r>
            <w:r>
              <w:rPr>
                <w:rFonts w:hint="eastAsia" w:ascii="Times New Roman" w:hAnsi="Times New Roman"/>
                <w:color w:val="auto"/>
                <w:sz w:val="21"/>
                <w:szCs w:val="21"/>
                <w:lang w:bidi="ar"/>
              </w:rPr>
              <w:t>为（</w:t>
            </w:r>
            <w:r>
              <w:rPr>
                <w:rFonts w:ascii="Times New Roman" w:hAnsi="Times New Roman" w:cs="Times New Roman"/>
                <w:color w:val="auto"/>
                <w:sz w:val="21"/>
                <w:szCs w:val="21"/>
                <w:lang w:bidi="ar"/>
              </w:rPr>
              <w:t>1</w:t>
            </w:r>
            <w:r>
              <w:rPr>
                <w:rFonts w:hint="eastAsia" w:ascii="Times New Roman" w:hAnsi="Times New Roman"/>
                <w:color w:val="auto"/>
                <w:sz w:val="21"/>
                <w:szCs w:val="21"/>
                <w:lang w:bidi="ar"/>
              </w:rPr>
              <w:t>，</w:t>
            </w:r>
            <w:r>
              <w:rPr>
                <w:rFonts w:ascii="Times New Roman" w:hAnsi="Times New Roman" w:cs="Times New Roman"/>
                <w:color w:val="auto"/>
                <w:sz w:val="21"/>
                <w:szCs w:val="21"/>
                <w:lang w:bidi="ar"/>
              </w:rPr>
              <w:t>1</w:t>
            </w:r>
            <w:r>
              <w:rPr>
                <w:rFonts w:hint="eastAsia" w:ascii="Times New Roman" w:hAnsi="Times New Roman"/>
                <w:color w:val="auto"/>
                <w:sz w:val="21"/>
                <w:szCs w:val="21"/>
                <w:lang w:bidi="ar"/>
              </w:rPr>
              <w:t>，</w:t>
            </w:r>
            <w:r>
              <w:rPr>
                <w:rFonts w:ascii="Times New Roman" w:hAnsi="Times New Roman" w:cs="Times New Roman"/>
                <w:color w:val="auto"/>
                <w:sz w:val="21"/>
                <w:szCs w:val="21"/>
                <w:lang w:bidi="ar"/>
              </w:rPr>
              <w:t>1</w:t>
            </w:r>
            <w:r>
              <w:rPr>
                <w:rFonts w:hint="eastAsia" w:ascii="Times New Roman" w:hAnsi="Times New Roman"/>
                <w:color w:val="auto"/>
                <w:sz w:val="21"/>
                <w:szCs w:val="21"/>
                <w:lang w:bidi="ar"/>
              </w:rPr>
              <w:t>，</w:t>
            </w:r>
            <w:r>
              <w:rPr>
                <w:rFonts w:ascii="Times New Roman" w:hAnsi="Times New Roman" w:cs="Times New Roman"/>
                <w:color w:val="auto"/>
                <w:sz w:val="21"/>
                <w:szCs w:val="21"/>
                <w:lang w:bidi="ar"/>
              </w:rPr>
              <w:t>2-</w:t>
            </w:r>
            <w:r>
              <w:rPr>
                <w:rFonts w:hint="eastAsia" w:ascii="Times New Roman" w:hAnsi="Times New Roman"/>
                <w:color w:val="auto"/>
                <w:sz w:val="21"/>
                <w:szCs w:val="21"/>
                <w:lang w:bidi="ar"/>
              </w:rPr>
              <w:t>四氟乙烷），均为挥发性有机物，以</w:t>
            </w:r>
            <w:r>
              <w:rPr>
                <w:rFonts w:ascii="Times New Roman" w:hAnsi="Times New Roman" w:cs="Times New Roman"/>
                <w:color w:val="auto"/>
                <w:sz w:val="21"/>
                <w:szCs w:val="21"/>
                <w:lang w:bidi="ar"/>
              </w:rPr>
              <w:t>VOCs</w:t>
            </w:r>
            <w:r>
              <w:rPr>
                <w:rFonts w:hint="eastAsia" w:ascii="Times New Roman" w:hAnsi="Times New Roman"/>
                <w:color w:val="auto"/>
                <w:sz w:val="21"/>
                <w:szCs w:val="21"/>
                <w:lang w:bidi="ar"/>
              </w:rPr>
              <w:t>进行表征。</w:t>
            </w:r>
          </w:p>
          <w:p>
            <w:pPr>
              <w:pStyle w:val="19"/>
              <w:widowControl w:val="0"/>
              <w:spacing w:before="0" w:beforeAutospacing="0" w:after="0" w:afterAutospacing="0" w:line="360" w:lineRule="auto"/>
              <w:ind w:firstLine="480"/>
              <w:jc w:val="both"/>
              <w:rPr>
                <w:rFonts w:hint="eastAsia" w:ascii="Times New Roman" w:hAnsi="Times New Roman"/>
                <w:color w:val="auto"/>
                <w:sz w:val="21"/>
                <w:szCs w:val="21"/>
                <w:lang w:bidi="ar"/>
              </w:rPr>
            </w:pPr>
            <w:r>
              <w:rPr>
                <w:rFonts w:hint="eastAsia" w:ascii="Times New Roman" w:hAnsi="Times New Roman"/>
                <w:color w:val="auto"/>
                <w:sz w:val="21"/>
                <w:szCs w:val="21"/>
                <w:lang w:bidi="ar"/>
              </w:rPr>
              <w:t>根据《大连市报废汽车回收拆解有限公司建设项目竣工环境保护验收监测报告》</w:t>
            </w:r>
          </w:p>
          <w:p>
            <w:pPr>
              <w:pStyle w:val="19"/>
              <w:widowControl w:val="0"/>
              <w:spacing w:before="0" w:beforeAutospacing="0" w:after="0" w:afterAutospacing="0" w:line="360" w:lineRule="auto"/>
              <w:ind w:left="0" w:leftChars="0" w:firstLine="0" w:firstLineChars="0"/>
              <w:jc w:val="both"/>
              <w:rPr>
                <w:rFonts w:hAnsi="Times New Roman"/>
                <w:color w:val="auto"/>
                <w:sz w:val="21"/>
                <w:szCs w:val="21"/>
              </w:rPr>
            </w:pPr>
            <w:r>
              <w:rPr>
                <w:rFonts w:hint="eastAsia" w:ascii="Times New Roman" w:hAnsi="Times New Roman"/>
                <w:color w:val="auto"/>
                <w:sz w:val="21"/>
                <w:szCs w:val="21"/>
                <w:lang w:bidi="ar"/>
              </w:rPr>
              <w:t>（海环检（</w:t>
            </w:r>
            <w:r>
              <w:rPr>
                <w:rFonts w:ascii="Times New Roman" w:hAnsi="Times New Roman" w:cs="Times New Roman"/>
                <w:color w:val="auto"/>
                <w:sz w:val="21"/>
                <w:szCs w:val="21"/>
                <w:lang w:bidi="ar"/>
              </w:rPr>
              <w:t>2018</w:t>
            </w:r>
            <w:r>
              <w:rPr>
                <w:rFonts w:hint="eastAsia" w:ascii="Times New Roman" w:hAnsi="Times New Roman"/>
                <w:color w:val="auto"/>
                <w:sz w:val="21"/>
                <w:szCs w:val="21"/>
                <w:lang w:bidi="ar"/>
              </w:rPr>
              <w:t>）第</w:t>
            </w:r>
            <w:r>
              <w:rPr>
                <w:rFonts w:ascii="Times New Roman" w:hAnsi="Times New Roman" w:cs="Times New Roman"/>
                <w:color w:val="auto"/>
                <w:sz w:val="21"/>
                <w:szCs w:val="21"/>
                <w:lang w:bidi="ar"/>
              </w:rPr>
              <w:t>274</w:t>
            </w:r>
            <w:r>
              <w:rPr>
                <w:rFonts w:hint="eastAsia" w:ascii="Times New Roman" w:hAnsi="Times New Roman"/>
                <w:color w:val="auto"/>
                <w:sz w:val="21"/>
                <w:szCs w:val="21"/>
                <w:lang w:bidi="ar"/>
              </w:rPr>
              <w:t>号），该项目使用同类似的制冷剂抽排系统进行抽排，抽排效率为</w:t>
            </w:r>
            <w:r>
              <w:rPr>
                <w:rFonts w:ascii="Times New Roman" w:hAnsi="Times New Roman" w:cs="Times New Roman"/>
                <w:color w:val="auto"/>
                <w:sz w:val="21"/>
                <w:szCs w:val="21"/>
                <w:lang w:bidi="ar"/>
              </w:rPr>
              <w:t>99.9%</w:t>
            </w:r>
            <w:r>
              <w:rPr>
                <w:rFonts w:hint="eastAsia" w:ascii="Times New Roman" w:hAnsi="Times New Roman"/>
                <w:color w:val="auto"/>
                <w:sz w:val="21"/>
                <w:szCs w:val="21"/>
                <w:lang w:bidi="ar"/>
              </w:rPr>
              <w:t>，保守起见，本项目制冷剂回收效率取</w:t>
            </w:r>
            <w:r>
              <w:rPr>
                <w:rFonts w:ascii="Times New Roman" w:hAnsi="Times New Roman" w:cs="Times New Roman"/>
                <w:color w:val="auto"/>
                <w:sz w:val="21"/>
                <w:szCs w:val="21"/>
                <w:lang w:bidi="ar"/>
              </w:rPr>
              <w:t>99.8%</w:t>
            </w:r>
            <w:r>
              <w:rPr>
                <w:rFonts w:hint="eastAsia" w:ascii="Times New Roman" w:hAnsi="Times New Roman"/>
                <w:color w:val="auto"/>
                <w:sz w:val="21"/>
                <w:szCs w:val="21"/>
                <w:lang w:bidi="ar"/>
              </w:rPr>
              <w:t>，其余挥发至空气中以无组织形式排放。根据本报告项目拆解物品方案章节的分析，本项目营运后废制冷剂总产生量为</w:t>
            </w:r>
            <w:r>
              <w:rPr>
                <w:rFonts w:hint="eastAsia" w:ascii="Times New Roman" w:hAnsi="Times New Roman" w:cs="Times New Roman"/>
                <w:color w:val="auto"/>
                <w:sz w:val="21"/>
                <w:szCs w:val="21"/>
                <w:lang w:val="en-US" w:eastAsia="zh-CN" w:bidi="ar"/>
              </w:rPr>
              <w:t>4.4</w:t>
            </w:r>
            <w:r>
              <w:rPr>
                <w:rFonts w:ascii="Times New Roman" w:hAnsi="Times New Roman" w:cs="Times New Roman"/>
                <w:color w:val="auto"/>
                <w:sz w:val="21"/>
                <w:szCs w:val="21"/>
                <w:lang w:bidi="ar"/>
              </w:rPr>
              <w:t>t/a</w:t>
            </w:r>
            <w:r>
              <w:rPr>
                <w:rFonts w:hint="eastAsia" w:ascii="Times New Roman" w:hAnsi="Times New Roman"/>
                <w:color w:val="auto"/>
                <w:sz w:val="21"/>
                <w:szCs w:val="21"/>
                <w:lang w:bidi="ar"/>
              </w:rPr>
              <w:t>，挥发产生的流失量为</w:t>
            </w:r>
            <w:r>
              <w:rPr>
                <w:rFonts w:ascii="Times New Roman" w:hAnsi="Times New Roman" w:cs="Times New Roman"/>
                <w:color w:val="auto"/>
                <w:sz w:val="21"/>
                <w:szCs w:val="21"/>
                <w:lang w:bidi="ar"/>
              </w:rPr>
              <w:t>0.2%</w:t>
            </w:r>
            <w:r>
              <w:rPr>
                <w:rFonts w:hint="eastAsia" w:ascii="Times New Roman" w:hAnsi="Times New Roman"/>
                <w:color w:val="auto"/>
                <w:sz w:val="21"/>
                <w:szCs w:val="21"/>
                <w:lang w:bidi="ar"/>
              </w:rPr>
              <w:t>，则</w:t>
            </w:r>
            <w:r>
              <w:rPr>
                <w:rFonts w:hint="eastAsia" w:ascii="Times New Roman" w:hAnsi="Times New Roman"/>
                <w:b w:val="0"/>
                <w:bCs w:val="0"/>
                <w:color w:val="auto"/>
                <w:sz w:val="21"/>
                <w:szCs w:val="21"/>
                <w:lang w:bidi="ar"/>
              </w:rPr>
              <w:t>制</w:t>
            </w:r>
            <w:r>
              <w:rPr>
                <w:rFonts w:hint="eastAsia" w:ascii="Times New Roman" w:hAnsi="Times New Roman"/>
                <w:color w:val="auto"/>
                <w:sz w:val="21"/>
                <w:szCs w:val="21"/>
                <w:lang w:bidi="ar"/>
              </w:rPr>
              <w:t>冷剂回收过程挥发产生的</w:t>
            </w:r>
            <w:r>
              <w:rPr>
                <w:rFonts w:ascii="Times New Roman" w:hAnsi="Times New Roman" w:cs="Times New Roman"/>
                <w:color w:val="auto"/>
                <w:sz w:val="21"/>
                <w:szCs w:val="21"/>
                <w:lang w:bidi="ar"/>
              </w:rPr>
              <w:t>VOCs</w:t>
            </w:r>
            <w:r>
              <w:rPr>
                <w:rFonts w:hint="eastAsia" w:ascii="Times New Roman" w:hAnsi="Times New Roman"/>
                <w:color w:val="auto"/>
                <w:sz w:val="21"/>
                <w:szCs w:val="21"/>
                <w:lang w:bidi="ar"/>
              </w:rPr>
              <w:t>排放量为</w:t>
            </w:r>
            <w:r>
              <w:rPr>
                <w:rFonts w:hint="eastAsia" w:ascii="Times New Roman" w:hAnsi="Times New Roman" w:cs="Times New Roman"/>
                <w:color w:val="auto"/>
                <w:sz w:val="21"/>
                <w:szCs w:val="21"/>
                <w:lang w:val="en-US" w:eastAsia="zh-CN" w:bidi="ar"/>
              </w:rPr>
              <w:t>4.4</w:t>
            </w:r>
            <w:r>
              <w:rPr>
                <w:rFonts w:ascii="Times New Roman" w:hAnsi="Times New Roman" w:cs="Times New Roman"/>
                <w:color w:val="auto"/>
                <w:sz w:val="21"/>
                <w:szCs w:val="21"/>
                <w:lang w:bidi="ar"/>
              </w:rPr>
              <w:t>×0.002=0.0</w:t>
            </w:r>
            <w:r>
              <w:rPr>
                <w:rFonts w:hint="eastAsia" w:ascii="Times New Roman" w:hAnsi="Times New Roman" w:cs="Times New Roman"/>
                <w:color w:val="auto"/>
                <w:sz w:val="21"/>
                <w:szCs w:val="21"/>
                <w:lang w:val="en-US" w:eastAsia="zh-CN" w:bidi="ar"/>
              </w:rPr>
              <w:t>09</w:t>
            </w:r>
            <w:r>
              <w:rPr>
                <w:rFonts w:ascii="Times New Roman" w:hAnsi="Times New Roman" w:cs="Times New Roman"/>
                <w:color w:val="auto"/>
                <w:sz w:val="21"/>
                <w:szCs w:val="21"/>
                <w:lang w:bidi="ar"/>
              </w:rPr>
              <w:t>t/a</w:t>
            </w:r>
            <w:r>
              <w:rPr>
                <w:rFonts w:hint="eastAsia" w:ascii="Times New Roman" w:hAnsi="Times New Roman"/>
                <w:color w:val="auto"/>
                <w:sz w:val="21"/>
                <w:szCs w:val="21"/>
                <w:lang w:bidi="ar"/>
              </w:rPr>
              <w:t>。</w:t>
            </w:r>
          </w:p>
          <w:p>
            <w:pPr>
              <w:spacing w:line="360" w:lineRule="auto"/>
              <w:ind w:firstLine="420" w:firstLineChars="200"/>
              <w:rPr>
                <w:color w:val="auto"/>
                <w:sz w:val="21"/>
                <w:szCs w:val="21"/>
              </w:rPr>
            </w:pPr>
            <w:r>
              <w:rPr>
                <w:rFonts w:hint="eastAsia" w:ascii="Times New Roman" w:hAnsi="Times New Roman"/>
                <w:color w:val="auto"/>
                <w:sz w:val="21"/>
                <w:szCs w:val="21"/>
                <w:lang w:bidi="ar"/>
              </w:rPr>
              <w:t>对于收集了的废油液以及制冷剂，危废处置单位拟将装有废油液以及制冷剂的容器直接外运。因此废油液与制冷剂在外运过程中不产生挥发的有机物。</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2"/>
              <w:jc w:val="both"/>
              <w:textAlignment w:val="auto"/>
              <w:rPr>
                <w:rFonts w:hAnsi="Times New Roman"/>
                <w:b/>
                <w:color w:val="auto"/>
                <w:sz w:val="21"/>
                <w:szCs w:val="21"/>
              </w:rPr>
            </w:pPr>
            <w:r>
              <w:rPr>
                <w:rFonts w:hint="eastAsia" w:ascii="Times New Roman" w:hAnsi="Times New Roman"/>
                <w:b/>
                <w:color w:val="auto"/>
                <w:sz w:val="21"/>
                <w:szCs w:val="21"/>
                <w:lang w:eastAsia="zh-CN" w:bidi="ar"/>
              </w:rPr>
              <w:t>（</w:t>
            </w:r>
            <w:r>
              <w:rPr>
                <w:rFonts w:hint="eastAsia" w:ascii="Times New Roman" w:hAnsi="Times New Roman"/>
                <w:b/>
                <w:color w:val="auto"/>
                <w:sz w:val="21"/>
                <w:szCs w:val="21"/>
                <w:lang w:val="en-US" w:eastAsia="zh-CN" w:bidi="ar"/>
              </w:rPr>
              <w:t>3</w:t>
            </w:r>
            <w:r>
              <w:rPr>
                <w:rFonts w:hint="eastAsia" w:ascii="Times New Roman" w:hAnsi="Times New Roman"/>
                <w:b/>
                <w:color w:val="auto"/>
                <w:sz w:val="21"/>
                <w:szCs w:val="21"/>
                <w:lang w:eastAsia="zh-CN" w:bidi="ar"/>
              </w:rPr>
              <w:t>）</w:t>
            </w:r>
            <w:r>
              <w:rPr>
                <w:rFonts w:hint="eastAsia" w:ascii="Times New Roman" w:hAnsi="Times New Roman"/>
                <w:b/>
                <w:color w:val="auto"/>
                <w:sz w:val="21"/>
                <w:szCs w:val="21"/>
                <w:lang w:bidi="ar"/>
              </w:rPr>
              <w:t>切割粉尘</w:t>
            </w:r>
          </w:p>
          <w:p>
            <w:pPr>
              <w:pStyle w:val="19"/>
              <w:widowControl w:val="0"/>
              <w:spacing w:before="0" w:beforeAutospacing="0" w:after="0" w:afterAutospacing="0" w:line="360" w:lineRule="auto"/>
              <w:ind w:firstLine="480"/>
              <w:jc w:val="both"/>
              <w:rPr>
                <w:rFonts w:hAnsi="Times New Roman"/>
                <w:color w:val="auto"/>
                <w:sz w:val="21"/>
                <w:szCs w:val="21"/>
              </w:rPr>
            </w:pPr>
            <w:r>
              <w:rPr>
                <w:rFonts w:hint="eastAsia" w:ascii="Times New Roman" w:hAnsi="Times New Roman"/>
                <w:color w:val="auto"/>
                <w:sz w:val="21"/>
                <w:szCs w:val="21"/>
                <w:lang w:bidi="ar"/>
              </w:rPr>
              <w:t>项目压实和切割均会产生少量的粉尘，项目压实打包机为密封装置，项目把已经解体的车身和底盘吊至压实打包机上方，放入压实打包机进行压实打包，在大功率电机的驱动下，在压实打包机的压力作用下，被挤压成一定规格的钢块，压实过程位于密闭的压实打包机内，因此压实过程产生的粉尘不外溢，本报告不作具体的分析。项目产生的粉尘主要为切割粉尘。项目主要使用大力钳对大件金属进行剪切，不设置焊接、破碎等设备，类比</w:t>
            </w:r>
            <w:r>
              <w:rPr>
                <w:rFonts w:hint="eastAsia" w:ascii="Times New Roman" w:hAnsi="Times New Roman"/>
                <w:color w:val="auto"/>
                <w:sz w:val="21"/>
                <w:szCs w:val="21"/>
                <w:lang w:eastAsia="zh-CN" w:bidi="ar"/>
              </w:rPr>
              <w:t>同类型企业</w:t>
            </w:r>
            <w:r>
              <w:rPr>
                <w:rFonts w:hint="eastAsia" w:ascii="Times New Roman" w:hAnsi="Times New Roman"/>
                <w:color w:val="auto"/>
                <w:sz w:val="21"/>
                <w:szCs w:val="21"/>
                <w:lang w:bidi="ar"/>
              </w:rPr>
              <w:t>，无组织粉尘量以切割废钢铁量的万分之一算。本项目运营期产生的废钢铁量约为</w:t>
            </w:r>
            <w:r>
              <w:rPr>
                <w:rFonts w:hint="eastAsia" w:ascii="Times New Roman" w:hAnsi="Times New Roman" w:cs="Times New Roman"/>
                <w:color w:val="auto"/>
                <w:sz w:val="21"/>
                <w:szCs w:val="21"/>
                <w:lang w:val="en-US" w:eastAsia="zh-CN" w:bidi="ar"/>
              </w:rPr>
              <w:t>17201</w:t>
            </w:r>
            <w:r>
              <w:rPr>
                <w:rFonts w:ascii="Times New Roman" w:hAnsi="Times New Roman" w:cs="Times New Roman"/>
                <w:color w:val="auto"/>
                <w:sz w:val="21"/>
                <w:szCs w:val="21"/>
                <w:lang w:bidi="ar"/>
              </w:rPr>
              <w:t>t/a</w:t>
            </w:r>
            <w:r>
              <w:rPr>
                <w:rFonts w:hint="eastAsia" w:ascii="Times New Roman" w:hAnsi="Times New Roman"/>
                <w:color w:val="auto"/>
                <w:sz w:val="21"/>
                <w:szCs w:val="21"/>
                <w:lang w:bidi="ar"/>
              </w:rPr>
              <w:t>，则粉尘产生量为</w:t>
            </w:r>
            <w:r>
              <w:rPr>
                <w:rFonts w:hint="eastAsia" w:ascii="Times New Roman" w:hAnsi="Times New Roman" w:cs="Times New Roman"/>
                <w:color w:val="auto"/>
                <w:sz w:val="21"/>
                <w:szCs w:val="21"/>
                <w:lang w:val="en-US" w:eastAsia="zh-CN" w:bidi="ar"/>
              </w:rPr>
              <w:t>17201</w:t>
            </w:r>
            <w:r>
              <w:rPr>
                <w:rFonts w:ascii="Times New Roman" w:hAnsi="Times New Roman" w:cs="Times New Roman"/>
                <w:color w:val="auto"/>
                <w:sz w:val="21"/>
                <w:szCs w:val="21"/>
                <w:lang w:bidi="ar"/>
              </w:rPr>
              <w:t>×0.00001=0.</w:t>
            </w:r>
            <w:r>
              <w:rPr>
                <w:rFonts w:hint="eastAsia" w:ascii="Times New Roman" w:hAnsi="Times New Roman" w:cs="Times New Roman"/>
                <w:color w:val="auto"/>
                <w:sz w:val="21"/>
                <w:szCs w:val="21"/>
                <w:lang w:val="en-US" w:eastAsia="zh-CN" w:bidi="ar"/>
              </w:rPr>
              <w:t>172</w:t>
            </w:r>
            <w:r>
              <w:rPr>
                <w:rFonts w:ascii="Times New Roman" w:hAnsi="Times New Roman" w:cs="Times New Roman"/>
                <w:color w:val="auto"/>
                <w:sz w:val="21"/>
                <w:szCs w:val="21"/>
                <w:lang w:bidi="ar"/>
              </w:rPr>
              <w:t>t/a</w:t>
            </w:r>
            <w:r>
              <w:rPr>
                <w:rFonts w:hint="eastAsia" w:ascii="Times New Roman" w:hAnsi="Times New Roman"/>
                <w:color w:val="auto"/>
                <w:sz w:val="21"/>
                <w:szCs w:val="21"/>
                <w:lang w:bidi="ar"/>
              </w:rPr>
              <w:t>，所产生的粉尘以金属为主，大部分颗粒物的粒径较大，质量较重，可自然沉降于作业区周边设备或地面表面，仅少部分颗粒物遗散，颗粒物产生量按总粉尘量的</w:t>
            </w:r>
            <w:r>
              <w:rPr>
                <w:rFonts w:ascii="Times New Roman" w:hAnsi="Times New Roman" w:cs="Times New Roman"/>
                <w:color w:val="auto"/>
                <w:sz w:val="21"/>
                <w:szCs w:val="21"/>
                <w:lang w:bidi="ar"/>
              </w:rPr>
              <w:t>1</w:t>
            </w:r>
            <w:r>
              <w:rPr>
                <w:rFonts w:hint="eastAsia" w:ascii="Times New Roman" w:hAnsi="Times New Roman" w:cs="Times New Roman"/>
                <w:color w:val="auto"/>
                <w:sz w:val="21"/>
                <w:szCs w:val="21"/>
                <w:lang w:val="en-US" w:eastAsia="zh-CN" w:bidi="ar"/>
              </w:rPr>
              <w:t>0</w:t>
            </w:r>
            <w:r>
              <w:rPr>
                <w:rFonts w:ascii="Times New Roman" w:hAnsi="Times New Roman" w:cs="Times New Roman"/>
                <w:color w:val="auto"/>
                <w:sz w:val="21"/>
                <w:szCs w:val="21"/>
                <w:lang w:bidi="ar"/>
              </w:rPr>
              <w:t>%</w:t>
            </w:r>
            <w:r>
              <w:rPr>
                <w:rFonts w:hint="eastAsia" w:ascii="Times New Roman" w:hAnsi="Times New Roman"/>
                <w:color w:val="auto"/>
                <w:sz w:val="21"/>
                <w:szCs w:val="21"/>
                <w:lang w:bidi="ar"/>
              </w:rPr>
              <w:t>计，即</w:t>
            </w:r>
            <w:r>
              <w:rPr>
                <w:rFonts w:ascii="Times New Roman" w:hAnsi="Times New Roman" w:cs="Times New Roman"/>
                <w:color w:val="auto"/>
                <w:sz w:val="21"/>
                <w:szCs w:val="21"/>
                <w:lang w:bidi="ar"/>
              </w:rPr>
              <w:t>0.</w:t>
            </w:r>
            <w:r>
              <w:rPr>
                <w:rFonts w:hint="eastAsia" w:ascii="Times New Roman" w:hAnsi="Times New Roman" w:cs="Times New Roman"/>
                <w:color w:val="auto"/>
                <w:sz w:val="21"/>
                <w:szCs w:val="21"/>
                <w:lang w:val="en-US" w:eastAsia="zh-CN" w:bidi="ar"/>
              </w:rPr>
              <w:t>172</w:t>
            </w:r>
            <w:r>
              <w:rPr>
                <w:rFonts w:ascii="Times New Roman" w:hAnsi="Times New Roman" w:cs="Times New Roman"/>
                <w:color w:val="auto"/>
                <w:sz w:val="21"/>
                <w:szCs w:val="21"/>
                <w:lang w:bidi="ar"/>
              </w:rPr>
              <w:t>×0.1=0.0</w:t>
            </w:r>
            <w:r>
              <w:rPr>
                <w:rFonts w:hint="eastAsia" w:ascii="Times New Roman" w:hAnsi="Times New Roman" w:cs="Times New Roman"/>
                <w:color w:val="auto"/>
                <w:sz w:val="21"/>
                <w:szCs w:val="21"/>
                <w:lang w:val="en-US" w:eastAsia="zh-CN" w:bidi="ar"/>
              </w:rPr>
              <w:t>17</w:t>
            </w:r>
            <w:r>
              <w:rPr>
                <w:rFonts w:ascii="Times New Roman" w:hAnsi="Times New Roman" w:cs="Times New Roman"/>
                <w:color w:val="auto"/>
                <w:sz w:val="21"/>
                <w:szCs w:val="21"/>
                <w:lang w:bidi="ar"/>
              </w:rPr>
              <w:t>t/a</w:t>
            </w:r>
            <w:r>
              <w:rPr>
                <w:rFonts w:hint="eastAsia" w:ascii="Times New Roman" w:hAnsi="Times New Roman"/>
                <w:color w:val="auto"/>
                <w:sz w:val="21"/>
                <w:szCs w:val="21"/>
                <w:lang w:bidi="ar"/>
              </w:rPr>
              <w:t>。项目年生产</w:t>
            </w:r>
            <w:r>
              <w:rPr>
                <w:rFonts w:ascii="Times New Roman" w:hAnsi="Times New Roman" w:cs="Times New Roman"/>
                <w:color w:val="auto"/>
                <w:sz w:val="21"/>
                <w:szCs w:val="21"/>
                <w:lang w:bidi="ar"/>
              </w:rPr>
              <w:t>300</w:t>
            </w:r>
            <w:r>
              <w:rPr>
                <w:rFonts w:hint="eastAsia" w:ascii="Times New Roman" w:hAnsi="Times New Roman"/>
                <w:color w:val="auto"/>
                <w:sz w:val="21"/>
                <w:szCs w:val="21"/>
                <w:lang w:bidi="ar"/>
              </w:rPr>
              <w:t>天，采用一班制生产，每班工作小时为</w:t>
            </w:r>
            <w:r>
              <w:rPr>
                <w:rFonts w:ascii="Times New Roman" w:hAnsi="Times New Roman" w:cs="Times New Roman"/>
                <w:color w:val="auto"/>
                <w:sz w:val="21"/>
                <w:szCs w:val="21"/>
                <w:lang w:bidi="ar"/>
              </w:rPr>
              <w:t>8</w:t>
            </w:r>
            <w:r>
              <w:rPr>
                <w:rFonts w:hint="eastAsia" w:ascii="Times New Roman" w:hAnsi="Times New Roman"/>
                <w:color w:val="auto"/>
                <w:sz w:val="21"/>
                <w:szCs w:val="21"/>
                <w:lang w:bidi="ar"/>
              </w:rPr>
              <w:t>小时。则排放速率为</w:t>
            </w:r>
            <w:r>
              <w:rPr>
                <w:rFonts w:ascii="Times New Roman" w:hAnsi="Times New Roman" w:cs="Times New Roman"/>
                <w:color w:val="auto"/>
                <w:sz w:val="21"/>
                <w:szCs w:val="21"/>
                <w:lang w:bidi="ar"/>
              </w:rPr>
              <w:t>0.00</w:t>
            </w:r>
            <w:r>
              <w:rPr>
                <w:rFonts w:hint="eastAsia" w:ascii="Times New Roman" w:hAnsi="Times New Roman" w:cs="Times New Roman"/>
                <w:color w:val="auto"/>
                <w:sz w:val="21"/>
                <w:szCs w:val="21"/>
                <w:lang w:val="en-US" w:eastAsia="zh-CN" w:bidi="ar"/>
              </w:rPr>
              <w:t>7</w:t>
            </w:r>
            <w:r>
              <w:rPr>
                <w:rFonts w:ascii="Times New Roman" w:hAnsi="Times New Roman" w:cs="Times New Roman"/>
                <w:color w:val="auto"/>
                <w:sz w:val="21"/>
                <w:szCs w:val="21"/>
                <w:lang w:bidi="ar"/>
              </w:rPr>
              <w:t>kg/h</w:t>
            </w:r>
            <w:r>
              <w:rPr>
                <w:rFonts w:hint="eastAsia" w:ascii="Times New Roman" w:hAnsi="Times New Roman"/>
                <w:color w:val="auto"/>
                <w:sz w:val="21"/>
                <w:szCs w:val="21"/>
                <w:lang w:bidi="ar"/>
              </w:rPr>
              <w:t>。</w:t>
            </w:r>
          </w:p>
          <w:p>
            <w:pPr>
              <w:pStyle w:val="19"/>
              <w:widowControl w:val="0"/>
              <w:spacing w:before="0" w:beforeAutospacing="0" w:after="0" w:afterAutospacing="0" w:line="360" w:lineRule="auto"/>
              <w:ind w:firstLine="480"/>
              <w:jc w:val="both"/>
              <w:rPr>
                <w:rFonts w:hAnsi="Times New Roman"/>
                <w:b/>
                <w:color w:val="auto"/>
                <w:sz w:val="21"/>
                <w:szCs w:val="21"/>
              </w:rPr>
            </w:pPr>
            <w:r>
              <w:rPr>
                <w:rFonts w:hint="eastAsia" w:ascii="Times New Roman" w:hAnsi="Times New Roman"/>
                <w:b/>
                <w:color w:val="auto"/>
                <w:sz w:val="21"/>
                <w:szCs w:val="21"/>
                <w:lang w:eastAsia="zh-CN" w:bidi="ar"/>
              </w:rPr>
              <w:t>（</w:t>
            </w:r>
            <w:r>
              <w:rPr>
                <w:rFonts w:hint="eastAsia" w:ascii="Times New Roman" w:hAnsi="Times New Roman"/>
                <w:b/>
                <w:color w:val="auto"/>
                <w:sz w:val="21"/>
                <w:szCs w:val="21"/>
                <w:lang w:val="en-US" w:eastAsia="zh-CN" w:bidi="ar"/>
              </w:rPr>
              <w:t>4</w:t>
            </w:r>
            <w:r>
              <w:rPr>
                <w:rFonts w:hint="eastAsia" w:ascii="Times New Roman" w:hAnsi="Times New Roman"/>
                <w:b/>
                <w:color w:val="auto"/>
                <w:sz w:val="21"/>
                <w:szCs w:val="21"/>
                <w:lang w:eastAsia="zh-CN" w:bidi="ar"/>
              </w:rPr>
              <w:t>）</w:t>
            </w:r>
            <w:r>
              <w:rPr>
                <w:rFonts w:hint="eastAsia" w:ascii="Times New Roman" w:hAnsi="Times New Roman"/>
                <w:b/>
                <w:color w:val="auto"/>
                <w:sz w:val="21"/>
                <w:szCs w:val="21"/>
                <w:lang w:bidi="ar"/>
              </w:rPr>
              <w:t>安全气囊引爆废气</w:t>
            </w:r>
          </w:p>
          <w:p>
            <w:pPr>
              <w:pStyle w:val="19"/>
              <w:widowControl w:val="0"/>
              <w:spacing w:before="0" w:beforeAutospacing="0" w:after="0" w:afterAutospacing="0" w:line="360" w:lineRule="auto"/>
              <w:ind w:firstLine="480"/>
              <w:jc w:val="both"/>
              <w:rPr>
                <w:rFonts w:hAnsi="Times New Roman"/>
                <w:color w:val="auto"/>
                <w:sz w:val="21"/>
                <w:szCs w:val="21"/>
              </w:rPr>
            </w:pPr>
            <w:r>
              <w:rPr>
                <w:rFonts w:hint="eastAsia" w:ascii="Times New Roman" w:hAnsi="Times New Roman"/>
                <w:color w:val="auto"/>
                <w:sz w:val="21"/>
                <w:szCs w:val="21"/>
                <w:lang w:bidi="ar"/>
              </w:rPr>
              <w:t>汽车的安全气囊内主要化学物质为叠氮化钠（</w:t>
            </w:r>
            <w:r>
              <w:rPr>
                <w:rFonts w:ascii="Times New Roman" w:hAnsi="Times New Roman" w:cs="Times New Roman"/>
                <w:color w:val="auto"/>
                <w:sz w:val="21"/>
                <w:szCs w:val="21"/>
                <w:lang w:bidi="ar"/>
              </w:rPr>
              <w:t>NaN</w:t>
            </w:r>
            <w:r>
              <w:rPr>
                <w:rFonts w:ascii="Times New Roman" w:hAnsi="Times New Roman" w:cs="Times New Roman"/>
                <w:color w:val="auto"/>
                <w:sz w:val="21"/>
                <w:szCs w:val="21"/>
                <w:vertAlign w:val="subscript"/>
                <w:lang w:bidi="ar"/>
              </w:rPr>
              <w:t>3</w:t>
            </w:r>
            <w:r>
              <w:rPr>
                <w:rFonts w:hint="eastAsia" w:ascii="Times New Roman" w:hAnsi="Times New Roman"/>
                <w:color w:val="auto"/>
                <w:sz w:val="21"/>
                <w:szCs w:val="21"/>
                <w:lang w:bidi="ar"/>
              </w:rPr>
              <w:t>）、硝酸钾（</w:t>
            </w:r>
            <w:r>
              <w:rPr>
                <w:rFonts w:ascii="Times New Roman" w:hAnsi="Times New Roman" w:cs="Times New Roman"/>
                <w:color w:val="auto"/>
                <w:sz w:val="21"/>
                <w:szCs w:val="21"/>
                <w:lang w:bidi="ar"/>
              </w:rPr>
              <w:t>KNO</w:t>
            </w:r>
            <w:r>
              <w:rPr>
                <w:rFonts w:ascii="Times New Roman" w:hAnsi="Times New Roman" w:cs="Times New Roman"/>
                <w:color w:val="auto"/>
                <w:sz w:val="21"/>
                <w:szCs w:val="21"/>
                <w:vertAlign w:val="subscript"/>
                <w:lang w:bidi="ar"/>
              </w:rPr>
              <w:t>3</w:t>
            </w:r>
            <w:r>
              <w:rPr>
                <w:rFonts w:hint="eastAsia" w:ascii="Times New Roman" w:hAnsi="Times New Roman"/>
                <w:color w:val="auto"/>
                <w:sz w:val="21"/>
                <w:szCs w:val="21"/>
                <w:lang w:bidi="ar"/>
              </w:rPr>
              <w:t>）、二氧化硅。项目采用安全气囊引爆装置在单独的操作间引爆气囊；引爆时，首先叠氮化钠分解为钠和氮气的混合成分。然后，金属钠和硝酸钾反应释放更多氮气并形成氧化钾和氧化钠。这些氧化物会立即与二氧化硅结合，并形成无害的硅酸钠和硅酸钾，氮气则充进气囊。主要反应方程式如下：</w:t>
            </w:r>
          </w:p>
          <w:p>
            <w:pPr>
              <w:pStyle w:val="19"/>
              <w:widowControl w:val="0"/>
              <w:spacing w:before="0" w:beforeAutospacing="0" w:after="0" w:afterAutospacing="0" w:line="360" w:lineRule="auto"/>
              <w:ind w:firstLine="480"/>
              <w:jc w:val="both"/>
              <w:rPr>
                <w:rFonts w:hAnsi="Times New Roman"/>
                <w:color w:val="auto"/>
                <w:sz w:val="21"/>
                <w:szCs w:val="21"/>
              </w:rPr>
            </w:pPr>
            <w:r>
              <w:rPr>
                <w:rFonts w:ascii="Times New Roman" w:hAnsi="Times New Roman" w:cs="Times New Roman"/>
                <w:color w:val="auto"/>
                <w:sz w:val="21"/>
                <w:szCs w:val="21"/>
                <w:lang w:bidi="ar"/>
              </w:rPr>
              <w:t>2NaN</w:t>
            </w:r>
            <w:r>
              <w:rPr>
                <w:rFonts w:ascii="Times New Roman" w:hAnsi="Times New Roman" w:cs="Times New Roman"/>
                <w:color w:val="auto"/>
                <w:sz w:val="21"/>
                <w:szCs w:val="21"/>
                <w:vertAlign w:val="subscript"/>
                <w:lang w:bidi="ar"/>
              </w:rPr>
              <w:t>3</w:t>
            </w:r>
            <w:r>
              <w:rPr>
                <w:rFonts w:ascii="Times New Roman" w:hAnsi="Times New Roman" w:cs="Times New Roman"/>
                <w:color w:val="auto"/>
                <w:sz w:val="21"/>
                <w:szCs w:val="21"/>
                <w:lang w:bidi="ar"/>
              </w:rPr>
              <w:t>→2Na+3N</w:t>
            </w:r>
            <w:r>
              <w:rPr>
                <w:rFonts w:ascii="Times New Roman" w:hAnsi="Times New Roman" w:cs="Times New Roman"/>
                <w:color w:val="auto"/>
                <w:sz w:val="21"/>
                <w:szCs w:val="21"/>
                <w:vertAlign w:val="subscript"/>
                <w:lang w:bidi="ar"/>
              </w:rPr>
              <w:t>2</w:t>
            </w:r>
            <w:r>
              <w:rPr>
                <w:rFonts w:hint="eastAsia" w:ascii="Times New Roman" w:hAnsi="Times New Roman"/>
                <w:color w:val="auto"/>
                <w:sz w:val="21"/>
                <w:szCs w:val="21"/>
                <w:lang w:bidi="ar"/>
              </w:rPr>
              <w:t>（</w:t>
            </w:r>
            <w:r>
              <w:rPr>
                <w:rFonts w:ascii="Times New Roman" w:hAnsi="Times New Roman" w:cs="Times New Roman"/>
                <w:color w:val="auto"/>
                <w:sz w:val="21"/>
                <w:szCs w:val="21"/>
                <w:lang w:bidi="ar"/>
              </w:rPr>
              <w:t>↑</w:t>
            </w:r>
            <w:r>
              <w:rPr>
                <w:rFonts w:hint="eastAsia" w:ascii="Times New Roman" w:hAnsi="Times New Roman"/>
                <w:color w:val="auto"/>
                <w:sz w:val="21"/>
                <w:szCs w:val="21"/>
                <w:lang w:bidi="ar"/>
              </w:rPr>
              <w:t>）</w:t>
            </w:r>
          </w:p>
          <w:p>
            <w:pPr>
              <w:pStyle w:val="19"/>
              <w:widowControl w:val="0"/>
              <w:spacing w:before="0" w:beforeAutospacing="0" w:after="0" w:afterAutospacing="0" w:line="360" w:lineRule="auto"/>
              <w:ind w:firstLine="480"/>
              <w:jc w:val="both"/>
              <w:rPr>
                <w:rFonts w:hAnsi="Times New Roman"/>
                <w:color w:val="auto"/>
                <w:sz w:val="21"/>
                <w:szCs w:val="21"/>
              </w:rPr>
            </w:pPr>
            <w:r>
              <w:rPr>
                <w:rFonts w:ascii="Times New Roman" w:hAnsi="Times New Roman" w:cs="Times New Roman"/>
                <w:color w:val="auto"/>
                <w:sz w:val="21"/>
                <w:szCs w:val="21"/>
                <w:lang w:bidi="ar"/>
              </w:rPr>
              <w:t>10Na+2KNO</w:t>
            </w:r>
            <w:r>
              <w:rPr>
                <w:rFonts w:ascii="Times New Roman" w:hAnsi="Times New Roman" w:cs="Times New Roman"/>
                <w:color w:val="auto"/>
                <w:sz w:val="21"/>
                <w:szCs w:val="21"/>
                <w:vertAlign w:val="subscript"/>
                <w:lang w:bidi="ar"/>
              </w:rPr>
              <w:t>3</w:t>
            </w:r>
            <w:r>
              <w:rPr>
                <w:rFonts w:ascii="Times New Roman" w:hAnsi="Times New Roman" w:cs="Times New Roman"/>
                <w:color w:val="auto"/>
                <w:sz w:val="21"/>
                <w:szCs w:val="21"/>
                <w:lang w:bidi="ar"/>
              </w:rPr>
              <w:t>+6SiO</w:t>
            </w:r>
            <w:r>
              <w:rPr>
                <w:rFonts w:ascii="Times New Roman" w:hAnsi="Times New Roman" w:cs="Times New Roman"/>
                <w:color w:val="auto"/>
                <w:sz w:val="21"/>
                <w:szCs w:val="21"/>
                <w:vertAlign w:val="subscript"/>
                <w:lang w:bidi="ar"/>
              </w:rPr>
              <w:t>2</w:t>
            </w:r>
            <w:r>
              <w:rPr>
                <w:rFonts w:ascii="Times New Roman" w:hAnsi="Times New Roman" w:cs="Times New Roman"/>
                <w:color w:val="auto"/>
                <w:sz w:val="21"/>
                <w:szCs w:val="21"/>
                <w:lang w:bidi="ar"/>
              </w:rPr>
              <w:t>→5Na</w:t>
            </w:r>
            <w:r>
              <w:rPr>
                <w:rFonts w:ascii="Times New Roman" w:hAnsi="Times New Roman" w:cs="Times New Roman"/>
                <w:color w:val="auto"/>
                <w:sz w:val="21"/>
                <w:szCs w:val="21"/>
                <w:vertAlign w:val="subscript"/>
                <w:lang w:bidi="ar"/>
              </w:rPr>
              <w:t>2</w:t>
            </w:r>
            <w:r>
              <w:rPr>
                <w:rFonts w:ascii="Times New Roman" w:hAnsi="Times New Roman" w:cs="Times New Roman"/>
                <w:color w:val="auto"/>
                <w:sz w:val="21"/>
                <w:szCs w:val="21"/>
                <w:lang w:bidi="ar"/>
              </w:rPr>
              <w:t>SiO</w:t>
            </w:r>
            <w:r>
              <w:rPr>
                <w:rFonts w:ascii="Times New Roman" w:hAnsi="Times New Roman" w:cs="Times New Roman"/>
                <w:color w:val="auto"/>
                <w:sz w:val="21"/>
                <w:szCs w:val="21"/>
                <w:vertAlign w:val="subscript"/>
                <w:lang w:bidi="ar"/>
              </w:rPr>
              <w:t>3</w:t>
            </w:r>
            <w:r>
              <w:rPr>
                <w:rFonts w:ascii="Times New Roman" w:hAnsi="Times New Roman" w:cs="Times New Roman"/>
                <w:color w:val="auto"/>
                <w:sz w:val="21"/>
                <w:szCs w:val="21"/>
                <w:lang w:bidi="ar"/>
              </w:rPr>
              <w:t>+K</w:t>
            </w:r>
            <w:r>
              <w:rPr>
                <w:rFonts w:ascii="Times New Roman" w:hAnsi="Times New Roman" w:cs="Times New Roman"/>
                <w:color w:val="auto"/>
                <w:sz w:val="21"/>
                <w:szCs w:val="21"/>
                <w:vertAlign w:val="subscript"/>
                <w:lang w:bidi="ar"/>
              </w:rPr>
              <w:t>2</w:t>
            </w:r>
            <w:r>
              <w:rPr>
                <w:rFonts w:ascii="Times New Roman" w:hAnsi="Times New Roman" w:cs="Times New Roman"/>
                <w:color w:val="auto"/>
                <w:sz w:val="21"/>
                <w:szCs w:val="21"/>
                <w:lang w:bidi="ar"/>
              </w:rPr>
              <w:t>SiO</w:t>
            </w:r>
            <w:r>
              <w:rPr>
                <w:rFonts w:ascii="Times New Roman" w:hAnsi="Times New Roman" w:cs="Times New Roman"/>
                <w:color w:val="auto"/>
                <w:sz w:val="21"/>
                <w:szCs w:val="21"/>
                <w:vertAlign w:val="subscript"/>
                <w:lang w:bidi="ar"/>
              </w:rPr>
              <w:t>3</w:t>
            </w:r>
            <w:r>
              <w:rPr>
                <w:rFonts w:ascii="Times New Roman" w:hAnsi="Times New Roman" w:cs="Times New Roman"/>
                <w:color w:val="auto"/>
                <w:sz w:val="21"/>
                <w:szCs w:val="21"/>
                <w:lang w:bidi="ar"/>
              </w:rPr>
              <w:t>+N</w:t>
            </w:r>
            <w:r>
              <w:rPr>
                <w:rFonts w:ascii="Times New Roman" w:hAnsi="Times New Roman" w:cs="Times New Roman"/>
                <w:color w:val="auto"/>
                <w:sz w:val="21"/>
                <w:szCs w:val="21"/>
                <w:vertAlign w:val="subscript"/>
                <w:lang w:bidi="ar"/>
              </w:rPr>
              <w:t>2</w:t>
            </w:r>
            <w:r>
              <w:rPr>
                <w:rFonts w:hint="eastAsia" w:ascii="Times New Roman" w:hAnsi="Times New Roman"/>
                <w:color w:val="auto"/>
                <w:sz w:val="21"/>
                <w:szCs w:val="21"/>
                <w:lang w:bidi="ar"/>
              </w:rPr>
              <w:t>（</w:t>
            </w:r>
            <w:r>
              <w:rPr>
                <w:rFonts w:ascii="Times New Roman" w:hAnsi="Times New Roman" w:cs="Times New Roman"/>
                <w:color w:val="auto"/>
                <w:sz w:val="21"/>
                <w:szCs w:val="21"/>
                <w:lang w:bidi="ar"/>
              </w:rPr>
              <w:t>↑</w:t>
            </w:r>
            <w:r>
              <w:rPr>
                <w:rFonts w:hint="eastAsia" w:ascii="Times New Roman" w:hAnsi="Times New Roman"/>
                <w:color w:val="auto"/>
                <w:sz w:val="21"/>
                <w:szCs w:val="21"/>
                <w:lang w:bidi="ar"/>
              </w:rPr>
              <w:t>）</w:t>
            </w:r>
          </w:p>
          <w:p>
            <w:pPr>
              <w:pStyle w:val="19"/>
              <w:widowControl w:val="0"/>
              <w:spacing w:before="0" w:beforeAutospacing="0" w:after="0" w:afterAutospacing="0" w:line="360" w:lineRule="auto"/>
              <w:ind w:firstLine="480"/>
              <w:jc w:val="both"/>
              <w:rPr>
                <w:rFonts w:ascii="Times New Roman" w:hAnsi="Times New Roman"/>
                <w:color w:val="auto"/>
                <w:sz w:val="21"/>
                <w:szCs w:val="21"/>
                <w:lang w:bidi="ar"/>
              </w:rPr>
            </w:pPr>
            <w:r>
              <w:rPr>
                <w:rFonts w:hint="eastAsia" w:ascii="Times New Roman" w:hAnsi="Times New Roman"/>
                <w:color w:val="auto"/>
                <w:sz w:val="21"/>
                <w:szCs w:val="21"/>
                <w:lang w:bidi="ar"/>
              </w:rPr>
              <w:t>引爆过程会产生的废气主要成分氮气（</w:t>
            </w:r>
            <w:r>
              <w:rPr>
                <w:rFonts w:ascii="Times New Roman" w:hAnsi="Times New Roman" w:cs="Times New Roman"/>
                <w:color w:val="auto"/>
                <w:sz w:val="21"/>
                <w:szCs w:val="21"/>
                <w:lang w:bidi="ar"/>
              </w:rPr>
              <w:t>N</w:t>
            </w:r>
            <w:r>
              <w:rPr>
                <w:rFonts w:ascii="Times New Roman" w:hAnsi="Times New Roman" w:cs="Times New Roman"/>
                <w:color w:val="auto"/>
                <w:sz w:val="21"/>
                <w:szCs w:val="21"/>
                <w:vertAlign w:val="subscript"/>
                <w:lang w:bidi="ar"/>
              </w:rPr>
              <w:t>2</w:t>
            </w:r>
            <w:r>
              <w:rPr>
                <w:rFonts w:hint="eastAsia" w:ascii="Times New Roman" w:hAnsi="Times New Roman"/>
                <w:color w:val="auto"/>
                <w:sz w:val="21"/>
                <w:szCs w:val="21"/>
                <w:lang w:bidi="ar"/>
              </w:rPr>
              <w:t>）和颗粒物（主要为普通的玉米淀粉或滑石粉，安全气囊制造商用它们来确保气囊在贮存时保持柔韧和润滑），有害物质为颗粒物，产生量较小，且安全气囊引爆装置在气体排出口配置布袋装置。剩余逸散的极少量颗粒物经大气稀释扩散后排放，对环境空气的影响很小，本项目不做具体的定量分析。</w:t>
            </w:r>
          </w:p>
          <w:p>
            <w:pPr>
              <w:pStyle w:val="19"/>
              <w:widowControl w:val="0"/>
              <w:spacing w:before="0" w:beforeAutospacing="0" w:after="0" w:afterAutospacing="0" w:line="360" w:lineRule="auto"/>
              <w:ind w:firstLine="480"/>
              <w:jc w:val="both"/>
              <w:rPr>
                <w:rFonts w:ascii="Times New Roman" w:hAnsi="Times New Roman" w:cs="Times New Roman"/>
                <w:b/>
                <w:color w:val="auto"/>
                <w:sz w:val="21"/>
                <w:szCs w:val="21"/>
                <w:lang w:bidi="ar"/>
              </w:rPr>
            </w:pPr>
            <w:r>
              <w:rPr>
                <w:rFonts w:hint="eastAsia" w:ascii="Times New Roman" w:hAnsi="Times New Roman"/>
                <w:b/>
                <w:color w:val="auto"/>
                <w:sz w:val="21"/>
                <w:szCs w:val="21"/>
                <w:lang w:eastAsia="zh-CN" w:bidi="ar"/>
              </w:rPr>
              <w:t>（</w:t>
            </w:r>
            <w:r>
              <w:rPr>
                <w:rFonts w:hint="eastAsia" w:ascii="Times New Roman" w:hAnsi="Times New Roman"/>
                <w:b/>
                <w:color w:val="auto"/>
                <w:sz w:val="21"/>
                <w:szCs w:val="21"/>
                <w:lang w:val="en-US" w:eastAsia="zh-CN" w:bidi="ar"/>
              </w:rPr>
              <w:t>5</w:t>
            </w:r>
            <w:r>
              <w:rPr>
                <w:rFonts w:hint="eastAsia" w:ascii="Times New Roman" w:hAnsi="Times New Roman"/>
                <w:b/>
                <w:color w:val="auto"/>
                <w:sz w:val="21"/>
                <w:szCs w:val="21"/>
                <w:lang w:eastAsia="zh-CN" w:bidi="ar"/>
              </w:rPr>
              <w:t>）</w:t>
            </w:r>
            <w:r>
              <w:rPr>
                <w:rFonts w:hint="eastAsia" w:ascii="Times New Roman" w:hAnsi="Times New Roman" w:cs="Times New Roman"/>
                <w:b/>
                <w:color w:val="auto"/>
                <w:sz w:val="21"/>
                <w:szCs w:val="21"/>
                <w:lang w:bidi="ar"/>
              </w:rPr>
              <w:t>食堂油烟</w:t>
            </w:r>
          </w:p>
          <w:p>
            <w:pPr>
              <w:pStyle w:val="19"/>
              <w:widowControl w:val="0"/>
              <w:spacing w:before="0" w:beforeAutospacing="0" w:after="0" w:afterAutospacing="0" w:line="360" w:lineRule="auto"/>
              <w:ind w:firstLine="480"/>
              <w:jc w:val="both"/>
              <w:rPr>
                <w:rFonts w:hAnsi="Times New Roman"/>
                <w:color w:val="auto"/>
                <w:sz w:val="21"/>
                <w:szCs w:val="21"/>
              </w:rPr>
            </w:pPr>
            <w:r>
              <w:rPr>
                <w:rFonts w:hint="eastAsia" w:hAnsi="Times New Roman"/>
                <w:color w:val="auto"/>
                <w:sz w:val="21"/>
                <w:szCs w:val="21"/>
              </w:rPr>
              <w:t>员工厨房作业过程中会产生油烟，主要是食物在烹饪、加工过程中将挥发出油脂、有机质及热分解或裂解产物。本项目厨房有</w:t>
            </w:r>
            <w:r>
              <w:rPr>
                <w:rFonts w:hAnsi="Times New Roman"/>
                <w:color w:val="auto"/>
                <w:sz w:val="21"/>
                <w:szCs w:val="21"/>
              </w:rPr>
              <w:t>2个炒炉，厨房烹饪时间按每天2小时，每个炒炉产生的油烟量按</w:t>
            </w:r>
            <w:r>
              <w:rPr>
                <w:rFonts w:hint="eastAsia" w:hAnsi="Times New Roman"/>
                <w:color w:val="auto"/>
                <w:sz w:val="21"/>
                <w:szCs w:val="21"/>
                <w:lang w:val="en-US" w:eastAsia="zh-CN"/>
              </w:rPr>
              <w:t>10</w:t>
            </w:r>
            <w:r>
              <w:rPr>
                <w:rFonts w:hAnsi="Times New Roman"/>
                <w:color w:val="auto"/>
                <w:sz w:val="21"/>
                <w:szCs w:val="21"/>
              </w:rPr>
              <w:t>00m</w:t>
            </w:r>
            <w:r>
              <w:rPr>
                <w:rFonts w:hAnsi="Times New Roman"/>
                <w:color w:val="auto"/>
                <w:sz w:val="21"/>
                <w:szCs w:val="21"/>
                <w:vertAlign w:val="superscript"/>
              </w:rPr>
              <w:t>3</w:t>
            </w:r>
            <w:r>
              <w:rPr>
                <w:rFonts w:hAnsi="Times New Roman"/>
                <w:color w:val="auto"/>
                <w:sz w:val="21"/>
                <w:szCs w:val="21"/>
              </w:rPr>
              <w:t>/h计，可得油烟废气产生量为</w:t>
            </w:r>
            <w:r>
              <w:rPr>
                <w:rFonts w:hint="eastAsia" w:hAnsi="Times New Roman"/>
                <w:color w:val="auto"/>
                <w:sz w:val="21"/>
                <w:szCs w:val="21"/>
                <w:lang w:val="en-US" w:eastAsia="zh-CN"/>
              </w:rPr>
              <w:t>4</w:t>
            </w:r>
            <w:r>
              <w:rPr>
                <w:rFonts w:hAnsi="Times New Roman"/>
                <w:color w:val="auto"/>
                <w:sz w:val="21"/>
                <w:szCs w:val="21"/>
              </w:rPr>
              <w:t>000m</w:t>
            </w:r>
            <w:r>
              <w:rPr>
                <w:rFonts w:hAnsi="Times New Roman"/>
                <w:color w:val="auto"/>
                <w:sz w:val="21"/>
                <w:szCs w:val="21"/>
                <w:vertAlign w:val="superscript"/>
              </w:rPr>
              <w:t>3</w:t>
            </w:r>
            <w:r>
              <w:rPr>
                <w:rFonts w:hAnsi="Times New Roman"/>
                <w:color w:val="auto"/>
                <w:sz w:val="21"/>
                <w:szCs w:val="21"/>
              </w:rPr>
              <w:t>/d。根据饮食业油烟浓度经验数据，目前我国居民人均食用油用量30g/人·天计算，项目就餐人数为</w:t>
            </w:r>
            <w:r>
              <w:rPr>
                <w:rFonts w:hint="eastAsia" w:hAnsi="Times New Roman"/>
                <w:color w:val="auto"/>
                <w:sz w:val="21"/>
                <w:szCs w:val="21"/>
                <w:lang w:val="en-US" w:eastAsia="zh-CN"/>
              </w:rPr>
              <w:t>2</w:t>
            </w:r>
            <w:r>
              <w:rPr>
                <w:rFonts w:hAnsi="Times New Roman"/>
                <w:color w:val="auto"/>
                <w:sz w:val="21"/>
                <w:szCs w:val="21"/>
              </w:rPr>
              <w:t>0人，则项目日耗油量为</w:t>
            </w:r>
            <w:r>
              <w:rPr>
                <w:rFonts w:hint="eastAsia" w:hAnsi="Times New Roman"/>
                <w:color w:val="auto"/>
                <w:sz w:val="21"/>
                <w:szCs w:val="21"/>
                <w:lang w:val="en-US" w:eastAsia="zh-CN"/>
              </w:rPr>
              <w:t>0.6</w:t>
            </w:r>
            <w:r>
              <w:rPr>
                <w:rFonts w:hAnsi="Times New Roman"/>
                <w:color w:val="auto"/>
                <w:sz w:val="21"/>
                <w:szCs w:val="21"/>
              </w:rPr>
              <w:t>kg，年耗油量为</w:t>
            </w:r>
            <w:r>
              <w:rPr>
                <w:rFonts w:hint="eastAsia" w:hAnsi="Times New Roman"/>
                <w:color w:val="auto"/>
                <w:sz w:val="21"/>
                <w:szCs w:val="21"/>
                <w:lang w:val="en-US" w:eastAsia="zh-CN"/>
              </w:rPr>
              <w:t>180</w:t>
            </w:r>
            <w:r>
              <w:rPr>
                <w:rFonts w:hAnsi="Times New Roman"/>
                <w:color w:val="auto"/>
                <w:sz w:val="21"/>
                <w:szCs w:val="21"/>
              </w:rPr>
              <w:t>kg。据类比调查，油的平均挥发量为总耗油量的2.5%，经计算，该项目油烟年挥发量为</w:t>
            </w:r>
            <w:r>
              <w:rPr>
                <w:rFonts w:hint="eastAsia" w:hAnsi="Times New Roman"/>
                <w:color w:val="auto"/>
                <w:sz w:val="21"/>
                <w:szCs w:val="21"/>
                <w:lang w:val="en-US" w:eastAsia="zh-CN"/>
              </w:rPr>
              <w:t>4.5</w:t>
            </w:r>
            <w:r>
              <w:rPr>
                <w:rFonts w:hAnsi="Times New Roman"/>
                <w:color w:val="auto"/>
                <w:sz w:val="21"/>
                <w:szCs w:val="21"/>
              </w:rPr>
              <w:t>kg，油烟产生浓度为</w:t>
            </w:r>
            <w:r>
              <w:rPr>
                <w:rFonts w:hint="eastAsia" w:hAnsi="Times New Roman"/>
                <w:color w:val="auto"/>
                <w:sz w:val="21"/>
                <w:szCs w:val="21"/>
                <w:lang w:val="en-US" w:eastAsia="zh-CN"/>
              </w:rPr>
              <w:t>3.8</w:t>
            </w:r>
            <w:r>
              <w:rPr>
                <w:rFonts w:hAnsi="Times New Roman"/>
                <w:color w:val="auto"/>
                <w:sz w:val="21"/>
                <w:szCs w:val="21"/>
              </w:rPr>
              <w:t>mg/m</w:t>
            </w:r>
            <w:r>
              <w:rPr>
                <w:rFonts w:hAnsi="Times New Roman"/>
                <w:color w:val="auto"/>
                <w:sz w:val="21"/>
                <w:szCs w:val="21"/>
                <w:vertAlign w:val="superscript"/>
              </w:rPr>
              <w:t>3</w:t>
            </w:r>
            <w:r>
              <w:rPr>
                <w:rFonts w:hAnsi="Times New Roman"/>
                <w:color w:val="auto"/>
                <w:sz w:val="21"/>
                <w:szCs w:val="21"/>
              </w:rPr>
              <w:t>。经静电除油</w:t>
            </w:r>
            <w:r>
              <w:rPr>
                <w:rFonts w:hint="eastAsia" w:hAnsi="Times New Roman"/>
                <w:color w:val="auto"/>
                <w:sz w:val="21"/>
                <w:szCs w:val="21"/>
              </w:rPr>
              <w:t>烟装置处理后，去除效率按</w:t>
            </w:r>
            <w:r>
              <w:rPr>
                <w:rFonts w:hAnsi="Times New Roman"/>
                <w:color w:val="auto"/>
                <w:sz w:val="21"/>
                <w:szCs w:val="21"/>
              </w:rPr>
              <w:t>75%计，则油烟排放浓度为</w:t>
            </w:r>
            <w:r>
              <w:rPr>
                <w:rFonts w:hint="eastAsia" w:hAnsi="Times New Roman"/>
                <w:color w:val="auto"/>
                <w:sz w:val="21"/>
                <w:szCs w:val="21"/>
                <w:lang w:val="en-US" w:eastAsia="zh-CN"/>
              </w:rPr>
              <w:t>0.94</w:t>
            </w:r>
            <w:r>
              <w:rPr>
                <w:rFonts w:hAnsi="Times New Roman"/>
                <w:color w:val="auto"/>
                <w:sz w:val="21"/>
                <w:szCs w:val="21"/>
              </w:rPr>
              <w:t>g/m</w:t>
            </w:r>
            <w:r>
              <w:rPr>
                <w:rFonts w:hAnsi="Times New Roman"/>
                <w:color w:val="auto"/>
                <w:sz w:val="21"/>
                <w:szCs w:val="21"/>
                <w:vertAlign w:val="superscript"/>
              </w:rPr>
              <w:t>3</w:t>
            </w:r>
            <w:r>
              <w:rPr>
                <w:rFonts w:hAnsi="Times New Roman"/>
                <w:color w:val="auto"/>
                <w:sz w:val="21"/>
                <w:szCs w:val="21"/>
              </w:rPr>
              <w:t>，满足《饮食业油烟排放标准（试行）》（GB18483-2001）油烟最高允许排放浓度2.0mg/m</w:t>
            </w:r>
            <w:r>
              <w:rPr>
                <w:rFonts w:hAnsi="Times New Roman"/>
                <w:color w:val="auto"/>
                <w:sz w:val="21"/>
                <w:szCs w:val="21"/>
                <w:vertAlign w:val="superscript"/>
              </w:rPr>
              <w:t>3</w:t>
            </w:r>
            <w:r>
              <w:rPr>
                <w:rFonts w:hAnsi="Times New Roman"/>
                <w:color w:val="auto"/>
                <w:sz w:val="21"/>
                <w:szCs w:val="21"/>
              </w:rPr>
              <w:t>。</w:t>
            </w:r>
          </w:p>
          <w:p>
            <w:pPr>
              <w:pStyle w:val="19"/>
              <w:widowControl w:val="0"/>
              <w:spacing w:before="0" w:beforeAutospacing="0" w:after="0" w:afterAutospacing="0" w:line="360" w:lineRule="auto"/>
              <w:ind w:firstLine="480"/>
              <w:rPr>
                <w:rFonts w:hAnsi="Times New Roman"/>
                <w:color w:val="auto"/>
                <w:sz w:val="21"/>
                <w:szCs w:val="21"/>
              </w:rPr>
            </w:pPr>
            <w:r>
              <w:rPr>
                <w:rFonts w:hint="eastAsia" w:ascii="Times New Roman" w:hAnsi="Times New Roman"/>
                <w:color w:val="auto"/>
                <w:sz w:val="21"/>
                <w:szCs w:val="21"/>
                <w:lang w:bidi="ar"/>
              </w:rPr>
              <w:t>本项目运营期厂区废气污染物排放情况见表</w:t>
            </w:r>
            <w:r>
              <w:rPr>
                <w:rFonts w:hint="eastAsia" w:ascii="Times New Roman" w:hAnsi="Times New Roman" w:cs="Times New Roman"/>
                <w:color w:val="auto"/>
                <w:sz w:val="21"/>
                <w:szCs w:val="21"/>
                <w:lang w:bidi="ar"/>
              </w:rPr>
              <w:t>5</w:t>
            </w:r>
            <w:r>
              <w:rPr>
                <w:rFonts w:ascii="Times New Roman" w:hAnsi="Times New Roman" w:cs="Times New Roman"/>
                <w:color w:val="auto"/>
                <w:sz w:val="21"/>
                <w:szCs w:val="21"/>
                <w:lang w:bidi="ar"/>
              </w:rPr>
              <w:t>-</w:t>
            </w:r>
            <w:r>
              <w:rPr>
                <w:rFonts w:hint="eastAsia" w:ascii="Times New Roman" w:hAnsi="Times New Roman" w:cs="Times New Roman"/>
                <w:color w:val="auto"/>
                <w:sz w:val="21"/>
                <w:szCs w:val="21"/>
                <w:lang w:val="en-US" w:eastAsia="zh-CN" w:bidi="ar"/>
              </w:rPr>
              <w:t>1</w:t>
            </w:r>
            <w:r>
              <w:rPr>
                <w:rFonts w:hint="eastAsia" w:ascii="Times New Roman" w:hAnsi="Times New Roman"/>
                <w:color w:val="auto"/>
                <w:sz w:val="21"/>
                <w:szCs w:val="21"/>
                <w:lang w:bidi="ar"/>
              </w:rPr>
              <w:t>。</w:t>
            </w:r>
          </w:p>
          <w:p>
            <w:pPr>
              <w:jc w:val="center"/>
              <w:rPr>
                <w:b/>
                <w:color w:val="auto"/>
              </w:rPr>
            </w:pPr>
            <w:r>
              <w:rPr>
                <w:rFonts w:hint="eastAsia" w:ascii="Times New Roman" w:hAnsi="Times New Roman"/>
                <w:b/>
                <w:color w:val="auto"/>
                <w:sz w:val="21"/>
                <w:szCs w:val="21"/>
                <w:lang w:bidi="ar"/>
              </w:rPr>
              <w:t>表</w:t>
            </w:r>
            <w:r>
              <w:rPr>
                <w:rFonts w:hint="eastAsia" w:cs="Times New Roman"/>
                <w:b/>
                <w:color w:val="auto"/>
                <w:sz w:val="21"/>
                <w:szCs w:val="21"/>
                <w:lang w:val="en-US" w:eastAsia="zh-CN" w:bidi="ar"/>
              </w:rPr>
              <w:t>4</w:t>
            </w:r>
            <w:r>
              <w:rPr>
                <w:rFonts w:ascii="Times New Roman" w:hAnsi="Times New Roman" w:cs="Times New Roman"/>
                <w:b/>
                <w:color w:val="auto"/>
                <w:sz w:val="21"/>
                <w:szCs w:val="21"/>
                <w:lang w:bidi="ar"/>
              </w:rPr>
              <w:t>-</w:t>
            </w:r>
            <w:r>
              <w:rPr>
                <w:rFonts w:hint="eastAsia" w:cs="Times New Roman"/>
                <w:b/>
                <w:color w:val="auto"/>
                <w:sz w:val="21"/>
                <w:szCs w:val="21"/>
                <w:lang w:val="en-US" w:eastAsia="zh-CN" w:bidi="ar"/>
              </w:rPr>
              <w:t>1</w:t>
            </w:r>
            <w:r>
              <w:rPr>
                <w:rFonts w:hint="eastAsia" w:ascii="Times New Roman" w:hAnsi="Times New Roman"/>
                <w:b/>
                <w:color w:val="auto"/>
                <w:sz w:val="21"/>
                <w:szCs w:val="21"/>
                <w:lang w:bidi="ar"/>
              </w:rPr>
              <w:t>本项目营运后厂区废气污染物排放情况汇总</w:t>
            </w:r>
          </w:p>
          <w:tbl>
            <w:tblPr>
              <w:tblStyle w:val="21"/>
              <w:tblW w:w="7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261"/>
              <w:gridCol w:w="1175"/>
              <w:gridCol w:w="1200"/>
              <w:gridCol w:w="1033"/>
              <w:gridCol w:w="1200"/>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b/>
                      <w:snapToGrid w:val="0"/>
                      <w:color w:val="auto"/>
                      <w:sz w:val="18"/>
                      <w:szCs w:val="18"/>
                    </w:rPr>
                  </w:pPr>
                  <w:r>
                    <w:rPr>
                      <w:rFonts w:hint="eastAsia" w:ascii="Times New Roman" w:hAnsi="Times New Roman"/>
                      <w:b/>
                      <w:snapToGrid w:val="0"/>
                      <w:color w:val="auto"/>
                      <w:sz w:val="18"/>
                      <w:szCs w:val="18"/>
                      <w:lang w:bidi="ar"/>
                    </w:rPr>
                    <w:t>序号</w:t>
                  </w:r>
                </w:p>
              </w:tc>
              <w:tc>
                <w:tcPr>
                  <w:tcW w:w="12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b/>
                      <w:snapToGrid w:val="0"/>
                      <w:color w:val="auto"/>
                      <w:sz w:val="18"/>
                      <w:szCs w:val="18"/>
                    </w:rPr>
                  </w:pPr>
                  <w:r>
                    <w:rPr>
                      <w:rFonts w:hint="eastAsia" w:ascii="Times New Roman" w:hAnsi="Times New Roman"/>
                      <w:b/>
                      <w:snapToGrid w:val="0"/>
                      <w:color w:val="auto"/>
                      <w:sz w:val="18"/>
                      <w:szCs w:val="18"/>
                      <w:lang w:bidi="ar"/>
                    </w:rPr>
                    <w:t>污染源</w:t>
                  </w:r>
                </w:p>
              </w:tc>
              <w:tc>
                <w:tcPr>
                  <w:tcW w:w="11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b/>
                      <w:snapToGrid w:val="0"/>
                      <w:color w:val="auto"/>
                      <w:sz w:val="18"/>
                      <w:szCs w:val="18"/>
                    </w:rPr>
                  </w:pPr>
                  <w:r>
                    <w:rPr>
                      <w:rFonts w:hint="eastAsia" w:ascii="Times New Roman" w:hAnsi="Times New Roman"/>
                      <w:b/>
                      <w:snapToGrid w:val="0"/>
                      <w:color w:val="auto"/>
                      <w:sz w:val="18"/>
                      <w:szCs w:val="18"/>
                      <w:lang w:bidi="ar"/>
                    </w:rPr>
                    <w:t>污染物</w:t>
                  </w:r>
                </w:p>
              </w:tc>
              <w:tc>
                <w:tcPr>
                  <w:tcW w:w="22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b/>
                      <w:snapToGrid w:val="0"/>
                      <w:color w:val="auto"/>
                      <w:sz w:val="18"/>
                      <w:szCs w:val="18"/>
                    </w:rPr>
                  </w:pPr>
                  <w:r>
                    <w:rPr>
                      <w:rFonts w:hint="eastAsia" w:ascii="Times New Roman" w:hAnsi="Times New Roman"/>
                      <w:b/>
                      <w:snapToGrid w:val="0"/>
                      <w:color w:val="auto"/>
                      <w:sz w:val="18"/>
                      <w:szCs w:val="18"/>
                      <w:lang w:bidi="ar"/>
                    </w:rPr>
                    <w:t>产生情况</w:t>
                  </w:r>
                </w:p>
              </w:tc>
              <w:tc>
                <w:tcPr>
                  <w:tcW w:w="22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b/>
                      <w:snapToGrid w:val="0"/>
                      <w:color w:val="auto"/>
                      <w:sz w:val="18"/>
                      <w:szCs w:val="18"/>
                    </w:rPr>
                  </w:pPr>
                  <w:r>
                    <w:rPr>
                      <w:rFonts w:hint="eastAsia" w:ascii="Times New Roman" w:hAnsi="Times New Roman"/>
                      <w:b/>
                      <w:snapToGrid w:val="0"/>
                      <w:color w:val="auto"/>
                      <w:sz w:val="18"/>
                      <w:szCs w:val="18"/>
                      <w:lang w:bidi="ar"/>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textAlignment w:val="auto"/>
                    <w:rPr>
                      <w:rFonts w:ascii="Times New Roman" w:hAnsi="Times New Roman" w:cs="Times New Roman"/>
                      <w:color w:val="auto"/>
                      <w:sz w:val="18"/>
                      <w:szCs w:val="18"/>
                    </w:rPr>
                  </w:pPr>
                </w:p>
              </w:tc>
              <w:tc>
                <w:tcPr>
                  <w:tcW w:w="126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textAlignment w:val="auto"/>
                    <w:rPr>
                      <w:rFonts w:ascii="Times New Roman" w:hAnsi="Times New Roman" w:cs="Times New Roman"/>
                      <w:color w:val="auto"/>
                      <w:sz w:val="18"/>
                      <w:szCs w:val="18"/>
                    </w:rPr>
                  </w:pPr>
                </w:p>
              </w:tc>
              <w:tc>
                <w:tcPr>
                  <w:tcW w:w="11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textAlignment w:val="auto"/>
                    <w:rPr>
                      <w:rFonts w:ascii="Times New Roman" w:hAnsi="Times New Roman" w:cs="Times New Roman"/>
                      <w:color w:val="auto"/>
                      <w:sz w:val="18"/>
                      <w:szCs w:val="18"/>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b/>
                      <w:snapToGrid w:val="0"/>
                      <w:color w:val="auto"/>
                      <w:sz w:val="18"/>
                      <w:szCs w:val="18"/>
                    </w:rPr>
                  </w:pPr>
                  <w:r>
                    <w:rPr>
                      <w:rFonts w:hint="eastAsia" w:ascii="Times New Roman" w:hAnsi="Times New Roman"/>
                      <w:b/>
                      <w:snapToGrid w:val="0"/>
                      <w:color w:val="auto"/>
                      <w:sz w:val="18"/>
                      <w:szCs w:val="18"/>
                      <w:lang w:bidi="ar"/>
                    </w:rPr>
                    <w:t>产生浓度</w:t>
                  </w:r>
                </w:p>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b/>
                      <w:snapToGrid w:val="0"/>
                      <w:color w:val="auto"/>
                      <w:sz w:val="18"/>
                      <w:szCs w:val="18"/>
                    </w:rPr>
                  </w:pPr>
                  <w:r>
                    <w:rPr>
                      <w:rFonts w:hint="eastAsia" w:ascii="Times New Roman" w:hAnsi="Times New Roman"/>
                      <w:b/>
                      <w:snapToGrid w:val="0"/>
                      <w:color w:val="auto"/>
                      <w:sz w:val="18"/>
                      <w:szCs w:val="18"/>
                      <w:lang w:bidi="ar"/>
                    </w:rPr>
                    <w:t>（</w:t>
                  </w:r>
                  <w:r>
                    <w:rPr>
                      <w:rFonts w:ascii="Times New Roman" w:hAnsi="Times New Roman" w:cs="Times New Roman"/>
                      <w:b/>
                      <w:snapToGrid w:val="0"/>
                      <w:color w:val="auto"/>
                      <w:sz w:val="18"/>
                      <w:szCs w:val="18"/>
                      <w:lang w:bidi="ar"/>
                    </w:rPr>
                    <w:t>mg/m</w:t>
                  </w:r>
                  <w:r>
                    <w:rPr>
                      <w:rFonts w:ascii="Times New Roman" w:hAnsi="Times New Roman" w:cs="Times New Roman"/>
                      <w:b/>
                      <w:snapToGrid w:val="0"/>
                      <w:color w:val="auto"/>
                      <w:sz w:val="18"/>
                      <w:szCs w:val="18"/>
                      <w:vertAlign w:val="superscript"/>
                      <w:lang w:bidi="ar"/>
                    </w:rPr>
                    <w:t>3</w:t>
                  </w:r>
                  <w:r>
                    <w:rPr>
                      <w:rFonts w:hint="eastAsia" w:ascii="Times New Roman" w:hAnsi="Times New Roman"/>
                      <w:b/>
                      <w:snapToGrid w:val="0"/>
                      <w:color w:val="auto"/>
                      <w:sz w:val="18"/>
                      <w:szCs w:val="18"/>
                      <w:lang w:bidi="ar"/>
                    </w:rPr>
                    <w:t>）</w:t>
                  </w:r>
                </w:p>
              </w:tc>
              <w:tc>
                <w:tcPr>
                  <w:tcW w:w="10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b/>
                      <w:snapToGrid w:val="0"/>
                      <w:color w:val="auto"/>
                      <w:sz w:val="18"/>
                      <w:szCs w:val="18"/>
                    </w:rPr>
                  </w:pPr>
                  <w:r>
                    <w:rPr>
                      <w:rFonts w:hint="eastAsia" w:ascii="Times New Roman" w:hAnsi="Times New Roman"/>
                      <w:b/>
                      <w:snapToGrid w:val="0"/>
                      <w:color w:val="auto"/>
                      <w:sz w:val="18"/>
                      <w:szCs w:val="18"/>
                      <w:lang w:bidi="ar"/>
                    </w:rPr>
                    <w:t>产生量</w:t>
                  </w:r>
                </w:p>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b/>
                      <w:snapToGrid w:val="0"/>
                      <w:color w:val="auto"/>
                      <w:sz w:val="18"/>
                      <w:szCs w:val="18"/>
                    </w:rPr>
                  </w:pPr>
                  <w:r>
                    <w:rPr>
                      <w:rFonts w:hint="eastAsia" w:ascii="Times New Roman" w:hAnsi="Times New Roman"/>
                      <w:b/>
                      <w:snapToGrid w:val="0"/>
                      <w:color w:val="auto"/>
                      <w:sz w:val="18"/>
                      <w:szCs w:val="18"/>
                      <w:lang w:bidi="ar"/>
                    </w:rPr>
                    <w:t>（</w:t>
                  </w:r>
                  <w:r>
                    <w:rPr>
                      <w:rFonts w:ascii="Times New Roman" w:hAnsi="Times New Roman" w:cs="Times New Roman"/>
                      <w:b/>
                      <w:snapToGrid w:val="0"/>
                      <w:color w:val="auto"/>
                      <w:sz w:val="18"/>
                      <w:szCs w:val="18"/>
                      <w:lang w:bidi="ar"/>
                    </w:rPr>
                    <w:t>t/a</w:t>
                  </w:r>
                  <w:r>
                    <w:rPr>
                      <w:rFonts w:hint="eastAsia" w:ascii="Times New Roman" w:hAnsi="Times New Roman"/>
                      <w:b/>
                      <w:snapToGrid w:val="0"/>
                      <w:color w:val="auto"/>
                      <w:sz w:val="18"/>
                      <w:szCs w:val="18"/>
                      <w:lang w:bidi="ar"/>
                    </w:rPr>
                    <w:t>）</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b/>
                      <w:snapToGrid w:val="0"/>
                      <w:color w:val="auto"/>
                      <w:sz w:val="18"/>
                      <w:szCs w:val="18"/>
                    </w:rPr>
                  </w:pPr>
                  <w:r>
                    <w:rPr>
                      <w:rFonts w:hint="eastAsia" w:ascii="Times New Roman" w:hAnsi="Times New Roman"/>
                      <w:b/>
                      <w:snapToGrid w:val="0"/>
                      <w:color w:val="auto"/>
                      <w:sz w:val="18"/>
                      <w:szCs w:val="18"/>
                      <w:lang w:bidi="ar"/>
                    </w:rPr>
                    <w:t>排放浓度</w:t>
                  </w:r>
                </w:p>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b/>
                      <w:snapToGrid w:val="0"/>
                      <w:color w:val="auto"/>
                      <w:sz w:val="18"/>
                      <w:szCs w:val="18"/>
                    </w:rPr>
                  </w:pPr>
                  <w:r>
                    <w:rPr>
                      <w:rFonts w:hint="eastAsia" w:ascii="Times New Roman" w:hAnsi="Times New Roman"/>
                      <w:b/>
                      <w:snapToGrid w:val="0"/>
                      <w:color w:val="auto"/>
                      <w:sz w:val="18"/>
                      <w:szCs w:val="18"/>
                      <w:lang w:bidi="ar"/>
                    </w:rPr>
                    <w:t>（</w:t>
                  </w:r>
                  <w:r>
                    <w:rPr>
                      <w:rFonts w:ascii="Times New Roman" w:hAnsi="Times New Roman" w:cs="Times New Roman"/>
                      <w:b/>
                      <w:snapToGrid w:val="0"/>
                      <w:color w:val="auto"/>
                      <w:sz w:val="18"/>
                      <w:szCs w:val="18"/>
                      <w:lang w:bidi="ar"/>
                    </w:rPr>
                    <w:t>mg/m</w:t>
                  </w:r>
                  <w:r>
                    <w:rPr>
                      <w:rFonts w:ascii="Times New Roman" w:hAnsi="Times New Roman" w:cs="Times New Roman"/>
                      <w:b/>
                      <w:snapToGrid w:val="0"/>
                      <w:color w:val="auto"/>
                      <w:sz w:val="18"/>
                      <w:szCs w:val="18"/>
                      <w:vertAlign w:val="superscript"/>
                      <w:lang w:bidi="ar"/>
                    </w:rPr>
                    <w:t>3</w:t>
                  </w:r>
                  <w:r>
                    <w:rPr>
                      <w:rFonts w:hint="eastAsia" w:ascii="Times New Roman" w:hAnsi="Times New Roman"/>
                      <w:b/>
                      <w:snapToGrid w:val="0"/>
                      <w:color w:val="auto"/>
                      <w:sz w:val="18"/>
                      <w:szCs w:val="18"/>
                      <w:lang w:bidi="ar"/>
                    </w:rPr>
                    <w:t>）</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b/>
                      <w:snapToGrid w:val="0"/>
                      <w:color w:val="auto"/>
                      <w:sz w:val="18"/>
                      <w:szCs w:val="18"/>
                    </w:rPr>
                  </w:pPr>
                  <w:r>
                    <w:rPr>
                      <w:rFonts w:hint="eastAsia" w:ascii="Times New Roman" w:hAnsi="Times New Roman"/>
                      <w:b/>
                      <w:snapToGrid w:val="0"/>
                      <w:color w:val="auto"/>
                      <w:sz w:val="18"/>
                      <w:szCs w:val="18"/>
                      <w:lang w:bidi="ar"/>
                    </w:rPr>
                    <w:t>排放量</w:t>
                  </w:r>
                </w:p>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b/>
                      <w:snapToGrid w:val="0"/>
                      <w:color w:val="auto"/>
                      <w:sz w:val="18"/>
                      <w:szCs w:val="18"/>
                    </w:rPr>
                  </w:pPr>
                  <w:r>
                    <w:rPr>
                      <w:rFonts w:hint="eastAsia" w:ascii="Times New Roman" w:hAnsi="Times New Roman"/>
                      <w:b/>
                      <w:snapToGrid w:val="0"/>
                      <w:color w:val="auto"/>
                      <w:sz w:val="18"/>
                      <w:szCs w:val="18"/>
                      <w:lang w:bidi="ar"/>
                    </w:rPr>
                    <w:t>（</w:t>
                  </w:r>
                  <w:r>
                    <w:rPr>
                      <w:rFonts w:ascii="Times New Roman" w:hAnsi="Times New Roman" w:cs="Times New Roman"/>
                      <w:b/>
                      <w:snapToGrid w:val="0"/>
                      <w:color w:val="auto"/>
                      <w:sz w:val="18"/>
                      <w:szCs w:val="18"/>
                      <w:lang w:bidi="ar"/>
                    </w:rPr>
                    <w:t>t/a</w:t>
                  </w:r>
                  <w:r>
                    <w:rPr>
                      <w:rFonts w:hint="eastAsia" w:ascii="Times New Roman" w:hAnsi="Times New Roman"/>
                      <w:b/>
                      <w:snapToGrid w:val="0"/>
                      <w:color w:val="auto"/>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snapToGrid w:val="0"/>
                      <w:color w:val="auto"/>
                      <w:sz w:val="18"/>
                      <w:szCs w:val="18"/>
                    </w:rPr>
                  </w:pPr>
                  <w:r>
                    <w:rPr>
                      <w:rFonts w:ascii="Times New Roman" w:hAnsi="Times New Roman" w:cs="Times New Roman"/>
                      <w:snapToGrid w:val="0"/>
                      <w:color w:val="auto"/>
                      <w:sz w:val="18"/>
                      <w:szCs w:val="18"/>
                      <w:lang w:bidi="ar"/>
                    </w:rPr>
                    <w:t>1</w:t>
                  </w: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snapToGrid w:val="0"/>
                      <w:color w:val="auto"/>
                      <w:sz w:val="18"/>
                      <w:szCs w:val="18"/>
                    </w:rPr>
                  </w:pPr>
                  <w:r>
                    <w:rPr>
                      <w:rFonts w:hint="eastAsia" w:ascii="Times New Roman" w:hAnsi="Times New Roman"/>
                      <w:snapToGrid w:val="0"/>
                      <w:color w:val="auto"/>
                      <w:sz w:val="18"/>
                      <w:szCs w:val="18"/>
                      <w:lang w:bidi="ar"/>
                    </w:rPr>
                    <w:t>废油液抽排挥发</w:t>
                  </w:r>
                </w:p>
              </w:tc>
              <w:tc>
                <w:tcPr>
                  <w:tcW w:w="1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snapToGrid w:val="0"/>
                      <w:color w:val="auto"/>
                      <w:sz w:val="18"/>
                      <w:szCs w:val="18"/>
                    </w:rPr>
                  </w:pPr>
                  <w:r>
                    <w:rPr>
                      <w:rFonts w:ascii="Times New Roman" w:hAnsi="Times New Roman" w:cs="Times New Roman"/>
                      <w:color w:val="auto"/>
                      <w:sz w:val="18"/>
                      <w:szCs w:val="18"/>
                      <w:lang w:bidi="ar"/>
                    </w:rPr>
                    <w:t>VOCs</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snapToGrid w:val="0"/>
                      <w:color w:val="auto"/>
                      <w:sz w:val="18"/>
                      <w:szCs w:val="18"/>
                    </w:rPr>
                  </w:pPr>
                  <w:r>
                    <w:rPr>
                      <w:rFonts w:ascii="Times New Roman" w:hAnsi="Times New Roman" w:cs="Times New Roman"/>
                      <w:snapToGrid w:val="0"/>
                      <w:color w:val="auto"/>
                      <w:sz w:val="18"/>
                      <w:szCs w:val="18"/>
                      <w:lang w:bidi="ar"/>
                    </w:rPr>
                    <w:t>/</w:t>
                  </w:r>
                </w:p>
              </w:tc>
              <w:tc>
                <w:tcPr>
                  <w:tcW w:w="10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rFonts w:hint="default" w:eastAsia="宋体"/>
                      <w:snapToGrid w:val="0"/>
                      <w:color w:val="auto"/>
                      <w:sz w:val="18"/>
                      <w:szCs w:val="18"/>
                      <w:lang w:val="en-US" w:eastAsia="zh-CN"/>
                    </w:rPr>
                  </w:pPr>
                  <w:r>
                    <w:rPr>
                      <w:rFonts w:hint="eastAsia" w:ascii="Times New Roman" w:hAnsi="Times New Roman" w:cs="Times New Roman"/>
                      <w:snapToGrid w:val="0"/>
                      <w:color w:val="auto"/>
                      <w:sz w:val="18"/>
                      <w:szCs w:val="18"/>
                      <w:lang w:bidi="ar"/>
                    </w:rPr>
                    <w:t>0.3</w:t>
                  </w:r>
                  <w:r>
                    <w:rPr>
                      <w:rFonts w:hint="eastAsia" w:cs="Times New Roman"/>
                      <w:snapToGrid w:val="0"/>
                      <w:color w:val="auto"/>
                      <w:sz w:val="18"/>
                      <w:szCs w:val="18"/>
                      <w:lang w:val="en-US" w:eastAsia="zh-CN" w:bidi="ar"/>
                    </w:rPr>
                    <w:t>34</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snapToGrid w:val="0"/>
                      <w:color w:val="auto"/>
                      <w:sz w:val="18"/>
                      <w:szCs w:val="18"/>
                    </w:rPr>
                  </w:pPr>
                  <w:r>
                    <w:rPr>
                      <w:rFonts w:ascii="Times New Roman" w:hAnsi="Times New Roman" w:cs="Times New Roman"/>
                      <w:snapToGrid w:val="0"/>
                      <w:color w:val="auto"/>
                      <w:sz w:val="18"/>
                      <w:szCs w:val="18"/>
                      <w:lang w:bidi="ar"/>
                    </w:rPr>
                    <w:t>/</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rFonts w:hint="default" w:eastAsia="宋体"/>
                      <w:snapToGrid w:val="0"/>
                      <w:color w:val="auto"/>
                      <w:sz w:val="18"/>
                      <w:szCs w:val="18"/>
                      <w:lang w:val="en-US" w:eastAsia="zh-CN"/>
                    </w:rPr>
                  </w:pPr>
                  <w:r>
                    <w:rPr>
                      <w:rFonts w:ascii="Times New Roman" w:hAnsi="Times New Roman" w:cs="Times New Roman"/>
                      <w:snapToGrid w:val="0"/>
                      <w:color w:val="auto"/>
                      <w:sz w:val="18"/>
                      <w:szCs w:val="18"/>
                      <w:lang w:bidi="ar"/>
                    </w:rPr>
                    <w:t>0.0</w:t>
                  </w:r>
                  <w:r>
                    <w:rPr>
                      <w:rFonts w:hint="eastAsia" w:ascii="Times New Roman" w:hAnsi="Times New Roman" w:cs="Times New Roman"/>
                      <w:snapToGrid w:val="0"/>
                      <w:color w:val="auto"/>
                      <w:sz w:val="18"/>
                      <w:szCs w:val="18"/>
                      <w:lang w:val="en-US" w:eastAsia="zh-CN" w:bidi="ar"/>
                    </w:rPr>
                    <w:t>3</w:t>
                  </w:r>
                  <w:r>
                    <w:rPr>
                      <w:rFonts w:hint="eastAsia" w:cs="Times New Roman"/>
                      <w:snapToGrid w:val="0"/>
                      <w:color w:val="auto"/>
                      <w:sz w:val="18"/>
                      <w:szCs w:val="18"/>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snapToGrid w:val="0"/>
                      <w:color w:val="auto"/>
                      <w:sz w:val="18"/>
                      <w:szCs w:val="18"/>
                    </w:rPr>
                  </w:pPr>
                  <w:r>
                    <w:rPr>
                      <w:rFonts w:ascii="Times New Roman" w:hAnsi="Times New Roman" w:cs="Times New Roman"/>
                      <w:snapToGrid w:val="0"/>
                      <w:color w:val="auto"/>
                      <w:sz w:val="18"/>
                      <w:szCs w:val="18"/>
                      <w:lang w:bidi="ar"/>
                    </w:rPr>
                    <w:t>2</w:t>
                  </w: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color w:val="auto"/>
                      <w:sz w:val="18"/>
                      <w:szCs w:val="18"/>
                    </w:rPr>
                  </w:pPr>
                  <w:r>
                    <w:rPr>
                      <w:rFonts w:hint="eastAsia" w:ascii="Times New Roman" w:hAnsi="Times New Roman"/>
                      <w:color w:val="auto"/>
                      <w:sz w:val="18"/>
                      <w:szCs w:val="18"/>
                      <w:lang w:bidi="ar"/>
                    </w:rPr>
                    <w:t>废制冷剂抽排挥发</w:t>
                  </w:r>
                </w:p>
              </w:tc>
              <w:tc>
                <w:tcPr>
                  <w:tcW w:w="1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color w:val="auto"/>
                      <w:sz w:val="18"/>
                      <w:szCs w:val="18"/>
                    </w:rPr>
                  </w:pPr>
                  <w:r>
                    <w:rPr>
                      <w:rFonts w:ascii="Times New Roman" w:hAnsi="Times New Roman" w:cs="Times New Roman"/>
                      <w:color w:val="auto"/>
                      <w:sz w:val="18"/>
                      <w:szCs w:val="18"/>
                      <w:lang w:bidi="ar"/>
                    </w:rPr>
                    <w:t>VOCs</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18"/>
                      <w:szCs w:val="18"/>
                    </w:rPr>
                  </w:pPr>
                  <w:r>
                    <w:rPr>
                      <w:rFonts w:ascii="Times New Roman" w:hAnsi="Times New Roman" w:cs="Times New Roman"/>
                      <w:color w:val="auto"/>
                      <w:sz w:val="18"/>
                      <w:szCs w:val="18"/>
                      <w:lang w:bidi="ar"/>
                    </w:rPr>
                    <w:t>/</w:t>
                  </w:r>
                </w:p>
              </w:tc>
              <w:tc>
                <w:tcPr>
                  <w:tcW w:w="10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eastAsia="zh-CN"/>
                    </w:rPr>
                  </w:pPr>
                  <w:r>
                    <w:rPr>
                      <w:rFonts w:ascii="Times New Roman" w:hAnsi="Times New Roman" w:cs="Times New Roman"/>
                      <w:color w:val="auto"/>
                      <w:sz w:val="18"/>
                      <w:szCs w:val="18"/>
                      <w:lang w:bidi="ar"/>
                    </w:rPr>
                    <w:t>0.0</w:t>
                  </w:r>
                  <w:r>
                    <w:rPr>
                      <w:rFonts w:hint="eastAsia" w:ascii="Times New Roman" w:hAnsi="Times New Roman" w:cs="Times New Roman"/>
                      <w:color w:val="auto"/>
                      <w:sz w:val="18"/>
                      <w:szCs w:val="18"/>
                      <w:lang w:val="en-US" w:eastAsia="zh-CN" w:bidi="ar"/>
                    </w:rPr>
                    <w:t>0</w:t>
                  </w:r>
                  <w:r>
                    <w:rPr>
                      <w:rFonts w:hint="eastAsia" w:cs="Times New Roman"/>
                      <w:color w:val="auto"/>
                      <w:sz w:val="18"/>
                      <w:szCs w:val="18"/>
                      <w:lang w:val="en-US" w:eastAsia="zh-CN" w:bidi="ar"/>
                    </w:rPr>
                    <w:t>9</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18"/>
                      <w:szCs w:val="18"/>
                    </w:rPr>
                  </w:pPr>
                  <w:r>
                    <w:rPr>
                      <w:rFonts w:ascii="Times New Roman" w:hAnsi="Times New Roman" w:cs="Times New Roman"/>
                      <w:color w:val="auto"/>
                      <w:sz w:val="18"/>
                      <w:szCs w:val="18"/>
                      <w:lang w:bidi="ar"/>
                    </w:rPr>
                    <w:t>/</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eastAsia="zh-CN"/>
                    </w:rPr>
                  </w:pPr>
                  <w:r>
                    <w:rPr>
                      <w:rFonts w:ascii="Times New Roman" w:hAnsi="Times New Roman" w:cs="Times New Roman"/>
                      <w:color w:val="auto"/>
                      <w:sz w:val="18"/>
                      <w:szCs w:val="18"/>
                      <w:lang w:bidi="ar"/>
                    </w:rPr>
                    <w:t>0.0</w:t>
                  </w:r>
                  <w:r>
                    <w:rPr>
                      <w:rFonts w:hint="eastAsia" w:ascii="Times New Roman" w:hAnsi="Times New Roman" w:cs="Times New Roman"/>
                      <w:color w:val="auto"/>
                      <w:sz w:val="18"/>
                      <w:szCs w:val="18"/>
                      <w:lang w:val="en-US" w:eastAsia="zh-CN" w:bidi="ar"/>
                    </w:rPr>
                    <w:t>0</w:t>
                  </w:r>
                  <w:r>
                    <w:rPr>
                      <w:rFonts w:hint="eastAsia" w:cs="Times New Roman"/>
                      <w:color w:val="auto"/>
                      <w:sz w:val="18"/>
                      <w:szCs w:val="18"/>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snapToGrid w:val="0"/>
                      <w:color w:val="auto"/>
                      <w:sz w:val="18"/>
                      <w:szCs w:val="18"/>
                    </w:rPr>
                  </w:pPr>
                  <w:r>
                    <w:rPr>
                      <w:rFonts w:ascii="Times New Roman" w:hAnsi="Times New Roman" w:cs="Times New Roman"/>
                      <w:snapToGrid w:val="0"/>
                      <w:color w:val="auto"/>
                      <w:sz w:val="18"/>
                      <w:szCs w:val="18"/>
                      <w:lang w:bidi="ar"/>
                    </w:rPr>
                    <w:t>3</w:t>
                  </w: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color w:val="auto"/>
                      <w:sz w:val="18"/>
                      <w:szCs w:val="18"/>
                    </w:rPr>
                  </w:pPr>
                  <w:r>
                    <w:rPr>
                      <w:rFonts w:hint="eastAsia" w:ascii="Times New Roman" w:hAnsi="Times New Roman"/>
                      <w:color w:val="auto"/>
                      <w:sz w:val="18"/>
                      <w:szCs w:val="18"/>
                      <w:lang w:bidi="ar"/>
                    </w:rPr>
                    <w:t>切割拆解</w:t>
                  </w:r>
                </w:p>
              </w:tc>
              <w:tc>
                <w:tcPr>
                  <w:tcW w:w="1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color w:val="auto"/>
                      <w:sz w:val="18"/>
                      <w:szCs w:val="18"/>
                    </w:rPr>
                  </w:pPr>
                  <w:r>
                    <w:rPr>
                      <w:rFonts w:hint="eastAsia" w:ascii="Times New Roman" w:hAnsi="Times New Roman"/>
                      <w:color w:val="auto"/>
                      <w:sz w:val="18"/>
                      <w:szCs w:val="18"/>
                      <w:lang w:bidi="ar"/>
                    </w:rPr>
                    <w:t>颗粒物</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18"/>
                      <w:szCs w:val="18"/>
                    </w:rPr>
                  </w:pPr>
                  <w:r>
                    <w:rPr>
                      <w:rFonts w:ascii="Times New Roman" w:hAnsi="Times New Roman" w:cs="Times New Roman"/>
                      <w:color w:val="auto"/>
                      <w:sz w:val="18"/>
                      <w:szCs w:val="18"/>
                      <w:lang w:bidi="ar"/>
                    </w:rPr>
                    <w:t>/</w:t>
                  </w:r>
                </w:p>
              </w:tc>
              <w:tc>
                <w:tcPr>
                  <w:tcW w:w="10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olor w:val="auto"/>
                      <w:sz w:val="18"/>
                      <w:szCs w:val="18"/>
                      <w:lang w:val="en-US"/>
                    </w:rPr>
                  </w:pPr>
                  <w:r>
                    <w:rPr>
                      <w:rFonts w:ascii="Times New Roman" w:hAnsi="Times New Roman" w:cs="Times New Roman"/>
                      <w:color w:val="auto"/>
                      <w:sz w:val="18"/>
                      <w:szCs w:val="18"/>
                      <w:lang w:bidi="ar"/>
                    </w:rPr>
                    <w:t>0.</w:t>
                  </w:r>
                  <w:r>
                    <w:rPr>
                      <w:rFonts w:hint="eastAsia" w:ascii="Times New Roman" w:hAnsi="Times New Roman" w:cs="Times New Roman"/>
                      <w:color w:val="auto"/>
                      <w:sz w:val="18"/>
                      <w:szCs w:val="18"/>
                      <w:lang w:val="en-US" w:eastAsia="zh-CN" w:bidi="ar"/>
                    </w:rPr>
                    <w:t>1</w:t>
                  </w:r>
                  <w:r>
                    <w:rPr>
                      <w:rFonts w:hint="eastAsia" w:cs="Times New Roman"/>
                      <w:color w:val="auto"/>
                      <w:sz w:val="18"/>
                      <w:szCs w:val="18"/>
                      <w:lang w:val="en-US" w:eastAsia="zh-CN" w:bidi="ar"/>
                    </w:rPr>
                    <w:t>72</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18"/>
                      <w:szCs w:val="18"/>
                    </w:rPr>
                  </w:pPr>
                  <w:r>
                    <w:rPr>
                      <w:rFonts w:ascii="Times New Roman" w:hAnsi="Times New Roman" w:cs="Times New Roman"/>
                      <w:color w:val="auto"/>
                      <w:sz w:val="18"/>
                      <w:szCs w:val="18"/>
                      <w:lang w:bidi="ar"/>
                    </w:rPr>
                    <w:t>/</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18"/>
                      <w:szCs w:val="18"/>
                    </w:rPr>
                  </w:pPr>
                  <w:r>
                    <w:rPr>
                      <w:rFonts w:ascii="Times New Roman" w:hAnsi="Times New Roman" w:cs="Times New Roman"/>
                      <w:color w:val="auto"/>
                      <w:sz w:val="18"/>
                      <w:szCs w:val="18"/>
                      <w:lang w:bidi="ar"/>
                    </w:rPr>
                    <w:t>0.0</w:t>
                  </w:r>
                  <w:r>
                    <w:rPr>
                      <w:rFonts w:hint="eastAsia" w:ascii="Times New Roman" w:hAnsi="Times New Roman" w:cs="Times New Roman"/>
                      <w:color w:val="auto"/>
                      <w:sz w:val="18"/>
                      <w:szCs w:val="18"/>
                      <w:lang w:val="en-US" w:eastAsia="zh-CN" w:bidi="ar"/>
                    </w:rPr>
                    <w:t>1</w:t>
                  </w:r>
                  <w:r>
                    <w:rPr>
                      <w:rFonts w:hint="eastAsia" w:cs="Times New Roman"/>
                      <w:color w:val="auto"/>
                      <w:sz w:val="18"/>
                      <w:szCs w:val="18"/>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snapToGrid w:val="0"/>
                      <w:color w:val="auto"/>
                      <w:sz w:val="18"/>
                      <w:szCs w:val="18"/>
                    </w:rPr>
                  </w:pPr>
                  <w:r>
                    <w:rPr>
                      <w:rFonts w:ascii="Times New Roman" w:hAnsi="Times New Roman" w:cs="Times New Roman"/>
                      <w:snapToGrid w:val="0"/>
                      <w:color w:val="auto"/>
                      <w:sz w:val="18"/>
                      <w:szCs w:val="18"/>
                      <w:lang w:bidi="ar"/>
                    </w:rPr>
                    <w:t>4</w:t>
                  </w: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color w:val="auto"/>
                      <w:kern w:val="0"/>
                      <w:sz w:val="18"/>
                      <w:szCs w:val="18"/>
                    </w:rPr>
                  </w:pPr>
                  <w:r>
                    <w:rPr>
                      <w:rFonts w:hint="eastAsia" w:ascii="Times New Roman" w:hAnsi="Times New Roman"/>
                      <w:color w:val="auto"/>
                      <w:kern w:val="0"/>
                      <w:sz w:val="18"/>
                      <w:szCs w:val="18"/>
                      <w:lang w:bidi="ar"/>
                    </w:rPr>
                    <w:t>气囊引爆</w:t>
                  </w:r>
                </w:p>
              </w:tc>
              <w:tc>
                <w:tcPr>
                  <w:tcW w:w="1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color w:val="auto"/>
                      <w:kern w:val="0"/>
                      <w:sz w:val="18"/>
                      <w:szCs w:val="18"/>
                    </w:rPr>
                  </w:pPr>
                  <w:r>
                    <w:rPr>
                      <w:rFonts w:hint="eastAsia" w:ascii="Times New Roman" w:hAnsi="Times New Roman"/>
                      <w:color w:val="auto"/>
                      <w:kern w:val="0"/>
                      <w:sz w:val="18"/>
                      <w:szCs w:val="18"/>
                      <w:lang w:bidi="ar"/>
                    </w:rPr>
                    <w:t>颗粒物</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snapToGrid w:val="0"/>
                      <w:color w:val="auto"/>
                      <w:sz w:val="18"/>
                      <w:szCs w:val="18"/>
                    </w:rPr>
                  </w:pPr>
                  <w:r>
                    <w:rPr>
                      <w:rFonts w:ascii="Times New Roman" w:hAnsi="Times New Roman" w:cs="Times New Roman"/>
                      <w:snapToGrid w:val="0"/>
                      <w:color w:val="auto"/>
                      <w:sz w:val="18"/>
                      <w:szCs w:val="18"/>
                      <w:lang w:bidi="ar"/>
                    </w:rPr>
                    <w:t>/</w:t>
                  </w:r>
                </w:p>
              </w:tc>
              <w:tc>
                <w:tcPr>
                  <w:tcW w:w="10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snapToGrid w:val="0"/>
                      <w:color w:val="auto"/>
                      <w:sz w:val="18"/>
                      <w:szCs w:val="18"/>
                    </w:rPr>
                  </w:pPr>
                  <w:r>
                    <w:rPr>
                      <w:rFonts w:hint="eastAsia" w:ascii="Times New Roman" w:hAnsi="Times New Roman"/>
                      <w:snapToGrid w:val="0"/>
                      <w:color w:val="auto"/>
                      <w:sz w:val="18"/>
                      <w:szCs w:val="18"/>
                      <w:lang w:bidi="ar"/>
                    </w:rPr>
                    <w:t>少量</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snapToGrid w:val="0"/>
                      <w:color w:val="auto"/>
                      <w:sz w:val="18"/>
                      <w:szCs w:val="18"/>
                    </w:rPr>
                  </w:pPr>
                  <w:r>
                    <w:rPr>
                      <w:rFonts w:ascii="Times New Roman" w:hAnsi="Times New Roman" w:cs="Times New Roman"/>
                      <w:snapToGrid w:val="0"/>
                      <w:color w:val="auto"/>
                      <w:sz w:val="18"/>
                      <w:szCs w:val="18"/>
                      <w:lang w:bidi="ar"/>
                    </w:rPr>
                    <w:t>/</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snapToGrid w:val="0"/>
                      <w:color w:val="auto"/>
                      <w:sz w:val="18"/>
                      <w:szCs w:val="18"/>
                    </w:rPr>
                  </w:pPr>
                  <w:r>
                    <w:rPr>
                      <w:rFonts w:hint="eastAsia" w:ascii="Times New Roman" w:hAnsi="Times New Roman"/>
                      <w:snapToGrid w:val="0"/>
                      <w:color w:val="auto"/>
                      <w:sz w:val="18"/>
                      <w:szCs w:val="18"/>
                      <w:lang w:bidi="ar"/>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rFonts w:ascii="Times New Roman" w:hAnsi="Times New Roman" w:cs="Times New Roman"/>
                      <w:snapToGrid w:val="0"/>
                      <w:color w:val="auto"/>
                      <w:sz w:val="18"/>
                      <w:szCs w:val="18"/>
                      <w:lang w:bidi="ar"/>
                    </w:rPr>
                  </w:pPr>
                  <w:r>
                    <w:rPr>
                      <w:rFonts w:hint="eastAsia" w:ascii="Times New Roman" w:hAnsi="Times New Roman" w:cs="Times New Roman"/>
                      <w:snapToGrid w:val="0"/>
                      <w:color w:val="auto"/>
                      <w:sz w:val="18"/>
                      <w:szCs w:val="18"/>
                      <w:lang w:bidi="ar"/>
                    </w:rPr>
                    <w:t>5</w:t>
                  </w: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rFonts w:ascii="Times New Roman" w:hAnsi="Times New Roman"/>
                      <w:color w:val="auto"/>
                      <w:kern w:val="0"/>
                      <w:sz w:val="18"/>
                      <w:szCs w:val="18"/>
                      <w:lang w:bidi="ar"/>
                    </w:rPr>
                  </w:pPr>
                  <w:r>
                    <w:rPr>
                      <w:rFonts w:hint="eastAsia" w:ascii="Times New Roman" w:hAnsi="Times New Roman"/>
                      <w:color w:val="auto"/>
                      <w:kern w:val="0"/>
                      <w:sz w:val="18"/>
                      <w:szCs w:val="18"/>
                      <w:lang w:bidi="ar"/>
                    </w:rPr>
                    <w:t>食堂</w:t>
                  </w:r>
                </w:p>
              </w:tc>
              <w:tc>
                <w:tcPr>
                  <w:tcW w:w="1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rFonts w:ascii="Times New Roman" w:hAnsi="Times New Roman"/>
                      <w:color w:val="auto"/>
                      <w:kern w:val="0"/>
                      <w:sz w:val="18"/>
                      <w:szCs w:val="18"/>
                      <w:lang w:bidi="ar"/>
                    </w:rPr>
                  </w:pPr>
                  <w:r>
                    <w:rPr>
                      <w:rFonts w:hint="eastAsia" w:ascii="Times New Roman" w:hAnsi="Times New Roman"/>
                      <w:color w:val="auto"/>
                      <w:kern w:val="0"/>
                      <w:sz w:val="18"/>
                      <w:szCs w:val="18"/>
                      <w:lang w:bidi="ar"/>
                    </w:rPr>
                    <w:t>油烟废气</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rFonts w:ascii="Times New Roman" w:hAnsi="Times New Roman" w:cs="Times New Roman"/>
                      <w:snapToGrid w:val="0"/>
                      <w:color w:val="auto"/>
                      <w:sz w:val="18"/>
                      <w:szCs w:val="18"/>
                      <w:lang w:bidi="ar"/>
                    </w:rPr>
                  </w:pPr>
                  <w:r>
                    <w:rPr>
                      <w:rFonts w:hint="eastAsia" w:hAnsi="Times New Roman"/>
                      <w:color w:val="auto"/>
                      <w:sz w:val="18"/>
                      <w:szCs w:val="18"/>
                      <w:lang w:val="en-US" w:eastAsia="zh-CN"/>
                    </w:rPr>
                    <w:t>3.8</w:t>
                  </w:r>
                </w:p>
              </w:tc>
              <w:tc>
                <w:tcPr>
                  <w:tcW w:w="10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snapToGrid w:val="0"/>
                      <w:color w:val="auto"/>
                      <w:sz w:val="18"/>
                      <w:szCs w:val="18"/>
                      <w:lang w:val="en-US" w:eastAsia="zh-CN" w:bidi="ar"/>
                    </w:rPr>
                  </w:pPr>
                  <w:r>
                    <w:rPr>
                      <w:rFonts w:hAnsi="Times New Roman"/>
                      <w:color w:val="auto"/>
                      <w:sz w:val="18"/>
                      <w:szCs w:val="18"/>
                    </w:rPr>
                    <w:t>0.0</w:t>
                  </w:r>
                  <w:r>
                    <w:rPr>
                      <w:rFonts w:hint="eastAsia" w:hAnsi="Times New Roman"/>
                      <w:color w:val="auto"/>
                      <w:sz w:val="18"/>
                      <w:szCs w:val="18"/>
                      <w:lang w:val="en-US" w:eastAsia="zh-CN"/>
                    </w:rPr>
                    <w:t>05</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snapToGrid w:val="0"/>
                      <w:color w:val="auto"/>
                      <w:sz w:val="18"/>
                      <w:szCs w:val="18"/>
                      <w:lang w:val="en-US" w:eastAsia="zh-CN" w:bidi="ar"/>
                    </w:rPr>
                  </w:pPr>
                  <w:r>
                    <w:rPr>
                      <w:rFonts w:hint="eastAsia" w:hAnsi="Times New Roman"/>
                      <w:color w:val="auto"/>
                      <w:sz w:val="18"/>
                      <w:szCs w:val="18"/>
                      <w:lang w:val="en-US" w:eastAsia="zh-CN"/>
                    </w:rPr>
                    <w:t>0.94</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rFonts w:hint="eastAsia" w:ascii="Times New Roman" w:hAnsi="Times New Roman" w:eastAsia="宋体"/>
                      <w:snapToGrid w:val="0"/>
                      <w:color w:val="auto"/>
                      <w:sz w:val="18"/>
                      <w:szCs w:val="18"/>
                      <w:lang w:eastAsia="zh-CN" w:bidi="ar"/>
                    </w:rPr>
                  </w:pPr>
                  <w:r>
                    <w:rPr>
                      <w:rFonts w:hint="eastAsia" w:ascii="Times New Roman" w:hAnsi="Times New Roman"/>
                      <w:snapToGrid w:val="0"/>
                      <w:color w:val="auto"/>
                      <w:sz w:val="18"/>
                      <w:szCs w:val="18"/>
                      <w:lang w:bidi="ar"/>
                    </w:rPr>
                    <w:t>0</w:t>
                  </w:r>
                  <w:r>
                    <w:rPr>
                      <w:rFonts w:ascii="Times New Roman" w:hAnsi="Times New Roman"/>
                      <w:snapToGrid w:val="0"/>
                      <w:color w:val="auto"/>
                      <w:sz w:val="18"/>
                      <w:szCs w:val="18"/>
                      <w:lang w:bidi="ar"/>
                    </w:rPr>
                    <w:t>.00</w:t>
                  </w:r>
                  <w:r>
                    <w:rPr>
                      <w:rFonts w:hint="eastAsia" w:ascii="Times New Roman" w:hAnsi="Times New Roman"/>
                      <w:snapToGrid w:val="0"/>
                      <w:color w:val="auto"/>
                      <w:sz w:val="18"/>
                      <w:szCs w:val="18"/>
                      <w:lang w:val="en-US" w:eastAsia="zh-CN" w:bidi="ar"/>
                    </w:rPr>
                    <w:t>1</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textAlignment w:val="auto"/>
              <w:rPr>
                <w:rFonts w:ascii="宋体" w:hAnsi="Times New Roman" w:eastAsia="宋体" w:cs="宋体"/>
                <w:b/>
                <w:bCs/>
                <w:color w:val="auto"/>
                <w:kern w:val="0"/>
                <w:sz w:val="21"/>
                <w:szCs w:val="21"/>
                <w:lang w:val="zh-CN" w:eastAsia="zh-CN" w:bidi="zh-CN"/>
              </w:rPr>
            </w:pPr>
            <w:r>
              <w:rPr>
                <w:rFonts w:hint="eastAsia" w:ascii="宋体" w:hAnsi="Times New Roman" w:eastAsia="宋体" w:cs="宋体"/>
                <w:b/>
                <w:bCs/>
                <w:color w:val="auto"/>
                <w:kern w:val="0"/>
                <w:sz w:val="21"/>
                <w:szCs w:val="21"/>
                <w:lang w:val="en-US" w:eastAsia="zh-CN" w:bidi="zh-CN"/>
              </w:rPr>
              <w:t>2、</w:t>
            </w:r>
            <w:r>
              <w:rPr>
                <w:rFonts w:ascii="宋体" w:hAnsi="Times New Roman" w:eastAsia="宋体" w:cs="宋体"/>
                <w:b/>
                <w:bCs/>
                <w:color w:val="auto"/>
                <w:kern w:val="0"/>
                <w:sz w:val="21"/>
                <w:szCs w:val="21"/>
                <w:lang w:val="zh-CN" w:eastAsia="zh-CN" w:bidi="zh-CN"/>
              </w:rPr>
              <w:t>达标排放分析</w:t>
            </w:r>
          </w:p>
          <w:p>
            <w:pPr>
              <w:adjustRightInd w:val="0"/>
              <w:snapToGrid w:val="0"/>
              <w:spacing w:line="360" w:lineRule="auto"/>
              <w:ind w:firstLine="420" w:firstLineChars="200"/>
              <w:rPr>
                <w:rFonts w:ascii="宋体" w:hAnsi="Times New Roman" w:eastAsia="宋体" w:cs="宋体"/>
                <w:color w:val="auto"/>
                <w:kern w:val="0"/>
                <w:sz w:val="21"/>
                <w:szCs w:val="21"/>
                <w:lang w:val="zh-CN" w:eastAsia="zh-CN" w:bidi="zh-CN"/>
              </w:rPr>
            </w:pPr>
            <w:r>
              <w:rPr>
                <w:rFonts w:ascii="宋体" w:hAnsi="Times New Roman" w:eastAsia="宋体" w:cs="宋体"/>
                <w:color w:val="auto"/>
                <w:kern w:val="0"/>
                <w:sz w:val="21"/>
                <w:szCs w:val="21"/>
                <w:lang w:val="zh-CN" w:eastAsia="zh-CN" w:bidi="zh-CN"/>
              </w:rPr>
              <w:t>本项目</w:t>
            </w:r>
            <w:r>
              <w:rPr>
                <w:rFonts w:hint="eastAsia" w:ascii="宋体" w:hAnsi="Times New Roman" w:eastAsia="宋体" w:cs="宋体"/>
                <w:color w:val="auto"/>
                <w:kern w:val="0"/>
                <w:sz w:val="21"/>
                <w:szCs w:val="21"/>
                <w:lang w:val="zh-CN" w:eastAsia="zh-CN" w:bidi="zh-CN"/>
              </w:rPr>
              <w:t>生产</w:t>
            </w:r>
            <w:r>
              <w:rPr>
                <w:rFonts w:ascii="宋体" w:hAnsi="Times New Roman" w:eastAsia="宋体" w:cs="宋体"/>
                <w:color w:val="auto"/>
                <w:kern w:val="0"/>
                <w:sz w:val="21"/>
                <w:szCs w:val="21"/>
                <w:lang w:val="zh-CN" w:eastAsia="zh-CN" w:bidi="zh-CN"/>
              </w:rPr>
              <w:t>过程产生的粉尘</w:t>
            </w:r>
            <w:r>
              <w:rPr>
                <w:rFonts w:hint="eastAsia" w:ascii="宋体" w:hAnsi="Times New Roman" w:eastAsia="宋体" w:cs="宋体"/>
                <w:color w:val="auto"/>
                <w:kern w:val="0"/>
                <w:sz w:val="21"/>
                <w:szCs w:val="21"/>
                <w:lang w:val="zh-CN" w:eastAsia="zh-CN" w:bidi="zh-CN"/>
              </w:rPr>
              <w:t>、</w:t>
            </w:r>
            <w:r>
              <w:rPr>
                <w:rFonts w:hint="eastAsia" w:ascii="宋体" w:hAnsi="Times New Roman" w:eastAsia="宋体" w:cs="宋体"/>
                <w:color w:val="auto"/>
                <w:kern w:val="0"/>
                <w:sz w:val="21"/>
                <w:szCs w:val="21"/>
                <w:lang w:val="en-US" w:eastAsia="zh-CN" w:bidi="zh-CN"/>
              </w:rPr>
              <w:t>VOCs</w:t>
            </w:r>
            <w:r>
              <w:rPr>
                <w:rFonts w:ascii="宋体" w:hAnsi="Times New Roman" w:eastAsia="宋体" w:cs="宋体"/>
                <w:color w:val="auto"/>
                <w:kern w:val="0"/>
                <w:sz w:val="21"/>
                <w:szCs w:val="21"/>
                <w:lang w:val="zh-CN" w:eastAsia="zh-CN" w:bidi="zh-CN"/>
              </w:rPr>
              <w:t>以无组织形式排放，为进一步分析其达标排放情况，本环评通过选用附录A推荐的估算模式AERSCREEN对厂内污染源排放的粉尘计算最大地面质量浓度占标率Pi（第i个污染物），及第i个污染物的地面质量浓度达标准限值10%时所对应的最远距离D10%。其中估算模型参数、详见以下表：</w:t>
            </w:r>
          </w:p>
          <w:p>
            <w:pPr>
              <w:pStyle w:val="9"/>
              <w:ind w:firstLine="210"/>
              <w:rPr>
                <w:color w:val="auto"/>
                <w:sz w:val="21"/>
              </w:rPr>
            </w:pPr>
            <w:r>
              <w:rPr>
                <w:color w:val="auto"/>
                <w:sz w:val="21"/>
              </w:rPr>
              <w:t>表</w:t>
            </w:r>
            <w:r>
              <w:rPr>
                <w:color w:val="auto"/>
                <w:sz w:val="21"/>
                <w:lang w:eastAsia="zh-CN"/>
              </w:rPr>
              <w:t>4-</w:t>
            </w:r>
            <w:r>
              <w:rPr>
                <w:rFonts w:hint="eastAsia"/>
                <w:color w:val="auto"/>
                <w:sz w:val="21"/>
                <w:lang w:val="en-US" w:eastAsia="zh-CN"/>
              </w:rPr>
              <w:t>2</w:t>
            </w:r>
            <w:r>
              <w:rPr>
                <w:color w:val="auto"/>
                <w:sz w:val="21"/>
              </w:rPr>
              <w:t xml:space="preserve">  估算模型参数表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2829"/>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1" w:type="dxa"/>
                  <w:gridSpan w:val="2"/>
                  <w:tcBorders>
                    <w:top w:val="single" w:color="auto" w:sz="4" w:space="0"/>
                    <w:left w:val="single" w:color="auto" w:sz="4" w:space="0"/>
                    <w:bottom w:val="single" w:color="auto" w:sz="4" w:space="0"/>
                    <w:right w:val="single" w:color="auto" w:sz="4" w:space="0"/>
                  </w:tcBorders>
                  <w:vAlign w:val="center"/>
                </w:tcPr>
                <w:p>
                  <w:pPr>
                    <w:pStyle w:val="47"/>
                    <w:ind w:firstLine="360"/>
                    <w:rPr>
                      <w:color w:val="auto"/>
                      <w:sz w:val="18"/>
                      <w:szCs w:val="18"/>
                    </w:rPr>
                  </w:pPr>
                  <w:r>
                    <w:rPr>
                      <w:color w:val="auto"/>
                      <w:sz w:val="18"/>
                      <w:szCs w:val="18"/>
                    </w:rPr>
                    <w:t>参数</w:t>
                  </w:r>
                </w:p>
              </w:tc>
              <w:tc>
                <w:tcPr>
                  <w:tcW w:w="2195"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0" w:type="dxa"/>
                  <w:vMerge w:val="restart"/>
                  <w:tcBorders>
                    <w:top w:val="nil"/>
                    <w:left w:val="single" w:color="auto" w:sz="4" w:space="0"/>
                    <w:bottom w:val="single" w:color="auto" w:sz="4" w:space="0"/>
                    <w:right w:val="single" w:color="auto" w:sz="4" w:space="0"/>
                  </w:tcBorders>
                  <w:vAlign w:val="center"/>
                </w:tcPr>
                <w:p>
                  <w:pPr>
                    <w:pStyle w:val="47"/>
                    <w:ind w:firstLine="360"/>
                    <w:rPr>
                      <w:color w:val="auto"/>
                      <w:sz w:val="18"/>
                      <w:szCs w:val="18"/>
                    </w:rPr>
                  </w:pPr>
                  <w:r>
                    <w:rPr>
                      <w:color w:val="auto"/>
                      <w:sz w:val="18"/>
                      <w:szCs w:val="18"/>
                    </w:rPr>
                    <w:t>城市农村/选项</w:t>
                  </w:r>
                </w:p>
              </w:tc>
              <w:tc>
                <w:tcPr>
                  <w:tcW w:w="2831"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rPr>
                    <w:t>城市/农村</w:t>
                  </w:r>
                </w:p>
              </w:tc>
              <w:tc>
                <w:tcPr>
                  <w:tcW w:w="2195"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0" w:type="dxa"/>
                  <w:vMerge w:val="continue"/>
                  <w:tcBorders>
                    <w:top w:val="nil"/>
                    <w:left w:val="single" w:color="auto" w:sz="4" w:space="0"/>
                    <w:bottom w:val="single" w:color="auto" w:sz="4" w:space="0"/>
                    <w:right w:val="single" w:color="auto" w:sz="4" w:space="0"/>
                  </w:tcBorders>
                  <w:vAlign w:val="center"/>
                </w:tcPr>
                <w:p>
                  <w:pPr>
                    <w:pStyle w:val="47"/>
                    <w:ind w:firstLine="360"/>
                    <w:rPr>
                      <w:color w:val="auto"/>
                      <w:sz w:val="18"/>
                      <w:szCs w:val="18"/>
                    </w:rPr>
                  </w:pPr>
                </w:p>
              </w:tc>
              <w:tc>
                <w:tcPr>
                  <w:tcW w:w="2831"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rPr>
                    <w:t>人口数(城市人口数)</w:t>
                  </w:r>
                </w:p>
              </w:tc>
              <w:tc>
                <w:tcPr>
                  <w:tcW w:w="2195"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1" w:type="dxa"/>
                  <w:gridSpan w:val="2"/>
                  <w:tcBorders>
                    <w:top w:val="single" w:color="auto" w:sz="4" w:space="0"/>
                    <w:left w:val="single" w:color="auto" w:sz="4" w:space="0"/>
                    <w:bottom w:val="single" w:color="auto" w:sz="4" w:space="0"/>
                    <w:right w:val="single" w:color="auto" w:sz="4" w:space="0"/>
                  </w:tcBorders>
                  <w:vAlign w:val="center"/>
                </w:tcPr>
                <w:p>
                  <w:pPr>
                    <w:pStyle w:val="47"/>
                    <w:ind w:firstLine="360"/>
                    <w:rPr>
                      <w:color w:val="auto"/>
                      <w:sz w:val="18"/>
                      <w:szCs w:val="18"/>
                    </w:rPr>
                  </w:pPr>
                  <w:r>
                    <w:rPr>
                      <w:color w:val="auto"/>
                      <w:sz w:val="18"/>
                      <w:szCs w:val="18"/>
                    </w:rPr>
                    <w:t>最高环境温度</w:t>
                  </w:r>
                </w:p>
              </w:tc>
              <w:tc>
                <w:tcPr>
                  <w:tcW w:w="2195"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lang w:eastAsia="zh-CN"/>
                    </w:rPr>
                    <w:t>40.8</w:t>
                  </w:r>
                  <w:r>
                    <w:rPr>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1" w:type="dxa"/>
                  <w:gridSpan w:val="2"/>
                  <w:tcBorders>
                    <w:top w:val="single" w:color="auto" w:sz="4" w:space="0"/>
                    <w:left w:val="single" w:color="auto" w:sz="4" w:space="0"/>
                    <w:bottom w:val="single" w:color="auto" w:sz="4" w:space="0"/>
                    <w:right w:val="single" w:color="auto" w:sz="4" w:space="0"/>
                  </w:tcBorders>
                  <w:vAlign w:val="center"/>
                </w:tcPr>
                <w:p>
                  <w:pPr>
                    <w:pStyle w:val="47"/>
                    <w:ind w:firstLine="360"/>
                    <w:rPr>
                      <w:color w:val="auto"/>
                      <w:sz w:val="18"/>
                      <w:szCs w:val="18"/>
                    </w:rPr>
                  </w:pPr>
                  <w:r>
                    <w:rPr>
                      <w:color w:val="auto"/>
                      <w:sz w:val="18"/>
                      <w:szCs w:val="18"/>
                    </w:rPr>
                    <w:t>最低环境温度</w:t>
                  </w:r>
                </w:p>
              </w:tc>
              <w:tc>
                <w:tcPr>
                  <w:tcW w:w="2195"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rPr>
                    <w:t>-</w:t>
                  </w:r>
                  <w:r>
                    <w:rPr>
                      <w:color w:val="auto"/>
                      <w:sz w:val="18"/>
                      <w:szCs w:val="18"/>
                      <w:lang w:eastAsia="zh-CN"/>
                    </w:rPr>
                    <w:t>8.3</w:t>
                  </w:r>
                  <w:r>
                    <w:rPr>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1" w:type="dxa"/>
                  <w:gridSpan w:val="2"/>
                  <w:tcBorders>
                    <w:top w:val="single" w:color="auto" w:sz="4" w:space="0"/>
                    <w:left w:val="single" w:color="auto" w:sz="4" w:space="0"/>
                    <w:bottom w:val="single" w:color="auto" w:sz="4" w:space="0"/>
                    <w:right w:val="single" w:color="auto" w:sz="4" w:space="0"/>
                  </w:tcBorders>
                  <w:vAlign w:val="center"/>
                </w:tcPr>
                <w:p>
                  <w:pPr>
                    <w:pStyle w:val="47"/>
                    <w:ind w:firstLine="360"/>
                    <w:rPr>
                      <w:color w:val="auto"/>
                      <w:sz w:val="18"/>
                      <w:szCs w:val="18"/>
                    </w:rPr>
                  </w:pPr>
                  <w:r>
                    <w:rPr>
                      <w:color w:val="auto"/>
                      <w:sz w:val="18"/>
                      <w:szCs w:val="18"/>
                    </w:rPr>
                    <w:t>土地利用类型</w:t>
                  </w:r>
                </w:p>
              </w:tc>
              <w:tc>
                <w:tcPr>
                  <w:tcW w:w="2195"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lang w:eastAsia="zh-CN"/>
                    </w:rPr>
                  </w:pPr>
                  <w:r>
                    <w:rPr>
                      <w:color w:val="auto"/>
                      <w:sz w:val="18"/>
                      <w:szCs w:val="18"/>
                      <w:lang w:eastAsia="zh-CN"/>
                    </w:rPr>
                    <w:t>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1" w:type="dxa"/>
                  <w:gridSpan w:val="2"/>
                  <w:tcBorders>
                    <w:top w:val="single" w:color="auto" w:sz="4" w:space="0"/>
                    <w:left w:val="single" w:color="auto" w:sz="4" w:space="0"/>
                    <w:bottom w:val="single" w:color="auto" w:sz="4" w:space="0"/>
                    <w:right w:val="single" w:color="auto" w:sz="4" w:space="0"/>
                  </w:tcBorders>
                  <w:vAlign w:val="center"/>
                </w:tcPr>
                <w:p>
                  <w:pPr>
                    <w:pStyle w:val="47"/>
                    <w:ind w:firstLine="360"/>
                    <w:rPr>
                      <w:color w:val="auto"/>
                      <w:sz w:val="18"/>
                      <w:szCs w:val="18"/>
                    </w:rPr>
                  </w:pPr>
                  <w:r>
                    <w:rPr>
                      <w:color w:val="auto"/>
                      <w:sz w:val="18"/>
                      <w:szCs w:val="18"/>
                    </w:rPr>
                    <w:t>区域湿度条件</w:t>
                  </w:r>
                </w:p>
              </w:tc>
              <w:tc>
                <w:tcPr>
                  <w:tcW w:w="2195"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lang w:eastAsia="zh-CN"/>
                    </w:rPr>
                    <w:t>中等湿度</w:t>
                  </w:r>
                  <w:r>
                    <w:rPr>
                      <w:color w:val="auto"/>
                      <w:sz w:val="18"/>
                      <w:szCs w:val="18"/>
                    </w:rPr>
                    <w:t>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910" w:type="dxa"/>
                  <w:vMerge w:val="restart"/>
                  <w:tcBorders>
                    <w:top w:val="nil"/>
                    <w:left w:val="single" w:color="auto" w:sz="4" w:space="0"/>
                    <w:bottom w:val="single" w:color="auto" w:sz="4" w:space="0"/>
                    <w:right w:val="single" w:color="auto" w:sz="4" w:space="0"/>
                  </w:tcBorders>
                  <w:vAlign w:val="center"/>
                </w:tcPr>
                <w:p>
                  <w:pPr>
                    <w:pStyle w:val="47"/>
                    <w:ind w:firstLine="360"/>
                    <w:rPr>
                      <w:color w:val="auto"/>
                      <w:sz w:val="18"/>
                      <w:szCs w:val="18"/>
                    </w:rPr>
                  </w:pPr>
                  <w:r>
                    <w:rPr>
                      <w:color w:val="auto"/>
                      <w:sz w:val="18"/>
                      <w:szCs w:val="18"/>
                    </w:rPr>
                    <w:t>是否考虑地形</w:t>
                  </w:r>
                </w:p>
              </w:tc>
              <w:tc>
                <w:tcPr>
                  <w:tcW w:w="2831"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rPr>
                    <w:t>考虑地形</w:t>
                  </w:r>
                </w:p>
              </w:tc>
              <w:tc>
                <w:tcPr>
                  <w:tcW w:w="2195"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rPr>
                    <w:t xml:space="preserve">□是  </w:t>
                  </w:r>
                  <w:r>
                    <w:rPr>
                      <w:rFonts w:hint="eastAsia" w:ascii="MS Mincho" w:hAnsi="MS Mincho" w:eastAsia="MS Mincho" w:cs="MS Mincho"/>
                      <w:color w:val="auto"/>
                      <w:sz w:val="18"/>
                      <w:szCs w:val="18"/>
                    </w:rPr>
                    <w:t>☑</w:t>
                  </w:r>
                  <w:r>
                    <w:rPr>
                      <w:color w:val="auto"/>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0" w:type="dxa"/>
                  <w:vMerge w:val="continue"/>
                  <w:tcBorders>
                    <w:top w:val="nil"/>
                    <w:left w:val="single" w:color="auto" w:sz="4" w:space="0"/>
                    <w:bottom w:val="single" w:color="auto" w:sz="4" w:space="0"/>
                    <w:right w:val="single" w:color="auto" w:sz="4" w:space="0"/>
                  </w:tcBorders>
                  <w:vAlign w:val="center"/>
                </w:tcPr>
                <w:p>
                  <w:pPr>
                    <w:pStyle w:val="47"/>
                    <w:ind w:firstLine="360"/>
                    <w:rPr>
                      <w:color w:val="auto"/>
                      <w:sz w:val="18"/>
                      <w:szCs w:val="18"/>
                    </w:rPr>
                  </w:pPr>
                </w:p>
              </w:tc>
              <w:tc>
                <w:tcPr>
                  <w:tcW w:w="2831"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rPr>
                    <w:t>地形数据分辨率(m)</w:t>
                  </w:r>
                </w:p>
              </w:tc>
              <w:tc>
                <w:tcPr>
                  <w:tcW w:w="2195"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0" w:type="dxa"/>
                  <w:vMerge w:val="restart"/>
                  <w:tcBorders>
                    <w:top w:val="nil"/>
                    <w:left w:val="single" w:color="auto" w:sz="4" w:space="0"/>
                    <w:bottom w:val="single" w:color="auto" w:sz="4" w:space="0"/>
                    <w:right w:val="single" w:color="auto" w:sz="4" w:space="0"/>
                  </w:tcBorders>
                  <w:vAlign w:val="center"/>
                </w:tcPr>
                <w:p>
                  <w:pPr>
                    <w:pStyle w:val="47"/>
                    <w:ind w:firstLine="360"/>
                    <w:rPr>
                      <w:color w:val="auto"/>
                      <w:sz w:val="18"/>
                      <w:szCs w:val="18"/>
                    </w:rPr>
                  </w:pPr>
                  <w:r>
                    <w:rPr>
                      <w:color w:val="auto"/>
                      <w:sz w:val="18"/>
                      <w:szCs w:val="18"/>
                    </w:rPr>
                    <w:t>是否考虑海岸线熏烟</w:t>
                  </w:r>
                </w:p>
              </w:tc>
              <w:tc>
                <w:tcPr>
                  <w:tcW w:w="2831"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rPr>
                    <w:t>考虑海岸线熏烟</w:t>
                  </w:r>
                </w:p>
              </w:tc>
              <w:tc>
                <w:tcPr>
                  <w:tcW w:w="2195"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rPr>
                    <w:t xml:space="preserve">□是  </w:t>
                  </w:r>
                  <w:r>
                    <w:rPr>
                      <w:rFonts w:hint="eastAsia" w:ascii="MS Mincho" w:hAnsi="MS Mincho" w:eastAsia="MS Mincho" w:cs="MS Mincho"/>
                      <w:color w:val="auto"/>
                      <w:sz w:val="18"/>
                      <w:szCs w:val="18"/>
                    </w:rPr>
                    <w:t>☑</w:t>
                  </w:r>
                  <w:r>
                    <w:rPr>
                      <w:color w:val="auto"/>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0" w:type="dxa"/>
                  <w:vMerge w:val="continue"/>
                  <w:tcBorders>
                    <w:top w:val="nil"/>
                    <w:left w:val="single" w:color="auto" w:sz="4" w:space="0"/>
                    <w:bottom w:val="single" w:color="auto" w:sz="4" w:space="0"/>
                    <w:right w:val="single" w:color="auto" w:sz="4" w:space="0"/>
                  </w:tcBorders>
                  <w:vAlign w:val="center"/>
                </w:tcPr>
                <w:p>
                  <w:pPr>
                    <w:pStyle w:val="47"/>
                    <w:ind w:firstLine="360"/>
                    <w:rPr>
                      <w:color w:val="auto"/>
                      <w:sz w:val="18"/>
                      <w:szCs w:val="18"/>
                    </w:rPr>
                  </w:pPr>
                </w:p>
              </w:tc>
              <w:tc>
                <w:tcPr>
                  <w:tcW w:w="2831"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rPr>
                    <w:t>海岸线距离/m</w:t>
                  </w:r>
                </w:p>
              </w:tc>
              <w:tc>
                <w:tcPr>
                  <w:tcW w:w="2195"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910" w:type="dxa"/>
                  <w:vMerge w:val="continue"/>
                  <w:tcBorders>
                    <w:top w:val="nil"/>
                    <w:left w:val="single" w:color="auto" w:sz="4" w:space="0"/>
                    <w:bottom w:val="single" w:color="auto" w:sz="4" w:space="0"/>
                    <w:right w:val="single" w:color="auto" w:sz="4" w:space="0"/>
                  </w:tcBorders>
                  <w:vAlign w:val="center"/>
                </w:tcPr>
                <w:p>
                  <w:pPr>
                    <w:pStyle w:val="47"/>
                    <w:ind w:firstLine="360"/>
                    <w:rPr>
                      <w:color w:val="auto"/>
                      <w:sz w:val="18"/>
                      <w:szCs w:val="18"/>
                    </w:rPr>
                  </w:pPr>
                </w:p>
              </w:tc>
              <w:tc>
                <w:tcPr>
                  <w:tcW w:w="2831"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rPr>
                    <w:t>海岸线方向/</w:t>
                  </w:r>
                  <w:r>
                    <w:rPr>
                      <w:color w:val="auto"/>
                      <w:sz w:val="18"/>
                      <w:szCs w:val="18"/>
                      <w:vertAlign w:val="superscript"/>
                    </w:rPr>
                    <w:t>o</w:t>
                  </w:r>
                </w:p>
              </w:tc>
              <w:tc>
                <w:tcPr>
                  <w:tcW w:w="2195" w:type="dxa"/>
                  <w:tcBorders>
                    <w:top w:val="single" w:color="auto" w:sz="4" w:space="0"/>
                    <w:left w:val="nil"/>
                    <w:bottom w:val="single" w:color="auto" w:sz="4" w:space="0"/>
                    <w:right w:val="single" w:color="auto" w:sz="4" w:space="0"/>
                  </w:tcBorders>
                  <w:vAlign w:val="center"/>
                </w:tcPr>
                <w:p>
                  <w:pPr>
                    <w:pStyle w:val="47"/>
                    <w:ind w:firstLine="360"/>
                    <w:rPr>
                      <w:color w:val="auto"/>
                      <w:sz w:val="18"/>
                      <w:szCs w:val="18"/>
                    </w:rPr>
                  </w:pPr>
                  <w:r>
                    <w:rPr>
                      <w:color w:val="auto"/>
                      <w:sz w:val="18"/>
                      <w:szCs w:val="18"/>
                    </w:rPr>
                    <w:t>/</w:t>
                  </w:r>
                </w:p>
              </w:tc>
            </w:tr>
          </w:tbl>
          <w:p>
            <w:pPr>
              <w:tabs>
                <w:tab w:val="left" w:pos="1653"/>
              </w:tabs>
              <w:bidi w:val="0"/>
              <w:jc w:val="center"/>
              <w:rPr>
                <w:rFonts w:hint="eastAsia"/>
                <w:b/>
                <w:color w:val="auto"/>
                <w:sz w:val="21"/>
                <w:u w:val="none"/>
                <w:lang w:val="zh-CN" w:eastAsia="zh-CN"/>
              </w:rPr>
            </w:pPr>
          </w:p>
          <w:p>
            <w:pPr>
              <w:pStyle w:val="9"/>
              <w:ind w:firstLine="210"/>
              <w:rPr>
                <w:color w:val="auto"/>
                <w:sz w:val="21"/>
              </w:rPr>
            </w:pPr>
            <w:r>
              <w:rPr>
                <w:color w:val="auto"/>
                <w:sz w:val="21"/>
              </w:rPr>
              <w:t>表</w:t>
            </w:r>
            <w:r>
              <w:rPr>
                <w:color w:val="auto"/>
                <w:sz w:val="21"/>
                <w:lang w:eastAsia="zh-CN"/>
              </w:rPr>
              <w:t>4-</w:t>
            </w:r>
            <w:r>
              <w:rPr>
                <w:rFonts w:hint="eastAsia"/>
                <w:color w:val="auto"/>
                <w:sz w:val="21"/>
                <w:lang w:val="en-US" w:eastAsia="zh-CN"/>
              </w:rPr>
              <w:t>3</w:t>
            </w:r>
            <w:r>
              <w:rPr>
                <w:color w:val="auto"/>
                <w:sz w:val="21"/>
              </w:rPr>
              <w:t xml:space="preserve">  </w:t>
            </w:r>
            <w:r>
              <w:rPr>
                <w:color w:val="auto"/>
                <w:sz w:val="21"/>
                <w:lang w:eastAsia="zh-CN"/>
              </w:rPr>
              <w:t>污染源排放</w:t>
            </w:r>
            <w:r>
              <w:rPr>
                <w:color w:val="auto"/>
                <w:sz w:val="21"/>
              </w:rPr>
              <w:t>参数表</w:t>
            </w:r>
          </w:p>
          <w:tbl>
            <w:tblPr>
              <w:tblStyle w:val="21"/>
              <w:tblW w:w="7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463"/>
              <w:gridCol w:w="1140"/>
              <w:gridCol w:w="1019"/>
              <w:gridCol w:w="496"/>
              <w:gridCol w:w="574"/>
              <w:gridCol w:w="480"/>
              <w:gridCol w:w="465"/>
              <w:gridCol w:w="543"/>
              <w:gridCol w:w="620"/>
              <w:gridCol w:w="465"/>
              <w:gridCol w:w="570"/>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49" w:type="pct"/>
                  <w:vMerge w:val="restart"/>
                  <w:vAlign w:val="center"/>
                </w:tcPr>
                <w:p>
                  <w:pPr>
                    <w:pStyle w:val="47"/>
                    <w:rPr>
                      <w:color w:val="auto"/>
                      <w:sz w:val="18"/>
                      <w:szCs w:val="18"/>
                      <w:lang w:val="zh-CN" w:eastAsia="zh-CN"/>
                    </w:rPr>
                  </w:pPr>
                  <w:r>
                    <w:rPr>
                      <w:color w:val="auto"/>
                      <w:sz w:val="18"/>
                      <w:szCs w:val="18"/>
                      <w:lang w:val="zh-CN" w:eastAsia="zh-CN"/>
                    </w:rPr>
                    <w:t>编号</w:t>
                  </w:r>
                </w:p>
              </w:tc>
              <w:tc>
                <w:tcPr>
                  <w:tcW w:w="292" w:type="pct"/>
                  <w:vMerge w:val="restart"/>
                  <w:vAlign w:val="center"/>
                </w:tcPr>
                <w:p>
                  <w:pPr>
                    <w:pStyle w:val="47"/>
                    <w:rPr>
                      <w:color w:val="auto"/>
                      <w:sz w:val="18"/>
                      <w:szCs w:val="18"/>
                      <w:lang w:val="zh-CN" w:eastAsia="zh-CN"/>
                    </w:rPr>
                  </w:pPr>
                  <w:r>
                    <w:rPr>
                      <w:color w:val="auto"/>
                      <w:sz w:val="18"/>
                      <w:szCs w:val="18"/>
                      <w:lang w:val="zh-CN" w:eastAsia="zh-CN"/>
                    </w:rPr>
                    <w:t>名称</w:t>
                  </w:r>
                </w:p>
              </w:tc>
              <w:tc>
                <w:tcPr>
                  <w:tcW w:w="1365" w:type="pct"/>
                  <w:gridSpan w:val="2"/>
                  <w:vAlign w:val="center"/>
                </w:tcPr>
                <w:p>
                  <w:pPr>
                    <w:pStyle w:val="47"/>
                    <w:rPr>
                      <w:color w:val="auto"/>
                      <w:sz w:val="18"/>
                      <w:szCs w:val="18"/>
                      <w:lang w:val="zh-CN" w:eastAsia="zh-CN"/>
                    </w:rPr>
                  </w:pPr>
                  <w:r>
                    <w:rPr>
                      <w:color w:val="auto"/>
                      <w:sz w:val="18"/>
                      <w:szCs w:val="18"/>
                      <w:lang w:val="zh-CN" w:eastAsia="zh-CN"/>
                    </w:rPr>
                    <w:t>面源起点坐标/m</w:t>
                  </w:r>
                </w:p>
              </w:tc>
              <w:tc>
                <w:tcPr>
                  <w:tcW w:w="313" w:type="pct"/>
                  <w:vMerge w:val="restart"/>
                  <w:vAlign w:val="center"/>
                </w:tcPr>
                <w:p>
                  <w:pPr>
                    <w:pStyle w:val="47"/>
                    <w:ind w:right="-80" w:rightChars="-38"/>
                    <w:rPr>
                      <w:color w:val="auto"/>
                      <w:sz w:val="18"/>
                      <w:szCs w:val="18"/>
                      <w:lang w:val="zh-CN" w:eastAsia="zh-CN"/>
                    </w:rPr>
                  </w:pPr>
                  <w:r>
                    <w:rPr>
                      <w:color w:val="auto"/>
                      <w:sz w:val="18"/>
                      <w:szCs w:val="18"/>
                      <w:lang w:val="zh-CN" w:eastAsia="zh-CN"/>
                    </w:rPr>
                    <w:t>面源海拔高度/m</w:t>
                  </w:r>
                </w:p>
              </w:tc>
              <w:tc>
                <w:tcPr>
                  <w:tcW w:w="363" w:type="pct"/>
                  <w:vMerge w:val="restart"/>
                  <w:vAlign w:val="center"/>
                </w:tcPr>
                <w:p>
                  <w:pPr>
                    <w:pStyle w:val="47"/>
                    <w:rPr>
                      <w:color w:val="auto"/>
                      <w:sz w:val="18"/>
                      <w:szCs w:val="18"/>
                      <w:lang w:val="zh-CN" w:eastAsia="zh-CN"/>
                    </w:rPr>
                  </w:pPr>
                  <w:r>
                    <w:rPr>
                      <w:color w:val="auto"/>
                      <w:sz w:val="18"/>
                      <w:szCs w:val="18"/>
                      <w:lang w:val="zh-CN" w:eastAsia="zh-CN"/>
                    </w:rPr>
                    <w:t>面源长度/m</w:t>
                  </w:r>
                </w:p>
              </w:tc>
              <w:tc>
                <w:tcPr>
                  <w:tcW w:w="303" w:type="pct"/>
                  <w:vMerge w:val="restart"/>
                  <w:vAlign w:val="center"/>
                </w:tcPr>
                <w:p>
                  <w:pPr>
                    <w:pStyle w:val="47"/>
                    <w:rPr>
                      <w:color w:val="auto"/>
                      <w:sz w:val="18"/>
                      <w:szCs w:val="18"/>
                      <w:lang w:val="zh-CN" w:eastAsia="zh-CN"/>
                    </w:rPr>
                  </w:pPr>
                  <w:r>
                    <w:rPr>
                      <w:color w:val="auto"/>
                      <w:sz w:val="18"/>
                      <w:szCs w:val="18"/>
                      <w:lang w:val="zh-CN" w:eastAsia="zh-CN"/>
                    </w:rPr>
                    <w:t>面源宽度/m</w:t>
                  </w:r>
                </w:p>
              </w:tc>
              <w:tc>
                <w:tcPr>
                  <w:tcW w:w="294" w:type="pct"/>
                  <w:vMerge w:val="restart"/>
                  <w:vAlign w:val="center"/>
                </w:tcPr>
                <w:p>
                  <w:pPr>
                    <w:pStyle w:val="47"/>
                    <w:rPr>
                      <w:color w:val="auto"/>
                      <w:sz w:val="18"/>
                      <w:szCs w:val="18"/>
                      <w:lang w:val="zh-CN" w:eastAsia="zh-CN"/>
                    </w:rPr>
                  </w:pPr>
                  <w:r>
                    <w:rPr>
                      <w:color w:val="auto"/>
                      <w:sz w:val="18"/>
                      <w:szCs w:val="18"/>
                      <w:lang w:val="zh-CN" w:eastAsia="zh-CN"/>
                    </w:rPr>
                    <w:t>与正北向夹角/°</w:t>
                  </w:r>
                </w:p>
              </w:tc>
              <w:tc>
                <w:tcPr>
                  <w:tcW w:w="343" w:type="pct"/>
                  <w:vMerge w:val="restart"/>
                  <w:vAlign w:val="center"/>
                </w:tcPr>
                <w:p>
                  <w:pPr>
                    <w:pStyle w:val="47"/>
                    <w:rPr>
                      <w:color w:val="auto"/>
                      <w:sz w:val="18"/>
                      <w:szCs w:val="18"/>
                      <w:lang w:val="zh-CN" w:eastAsia="zh-CN"/>
                    </w:rPr>
                  </w:pPr>
                  <w:r>
                    <w:rPr>
                      <w:color w:val="auto"/>
                      <w:sz w:val="18"/>
                      <w:szCs w:val="18"/>
                      <w:lang w:val="zh-CN" w:eastAsia="zh-CN"/>
                    </w:rPr>
                    <w:t>面源有效排放高度/m</w:t>
                  </w:r>
                </w:p>
              </w:tc>
              <w:tc>
                <w:tcPr>
                  <w:tcW w:w="392" w:type="pct"/>
                  <w:vMerge w:val="restart"/>
                  <w:vAlign w:val="center"/>
                </w:tcPr>
                <w:p>
                  <w:pPr>
                    <w:pStyle w:val="47"/>
                    <w:rPr>
                      <w:color w:val="auto"/>
                      <w:sz w:val="18"/>
                      <w:szCs w:val="18"/>
                      <w:lang w:val="zh-CN" w:eastAsia="zh-CN"/>
                    </w:rPr>
                  </w:pPr>
                  <w:r>
                    <w:rPr>
                      <w:color w:val="auto"/>
                      <w:sz w:val="18"/>
                      <w:szCs w:val="18"/>
                      <w:lang w:val="zh-CN" w:eastAsia="zh-CN"/>
                    </w:rPr>
                    <w:t>年排放小时数/h</w:t>
                  </w:r>
                </w:p>
              </w:tc>
              <w:tc>
                <w:tcPr>
                  <w:tcW w:w="294" w:type="pct"/>
                  <w:vMerge w:val="restart"/>
                  <w:vAlign w:val="center"/>
                </w:tcPr>
                <w:p>
                  <w:pPr>
                    <w:pStyle w:val="47"/>
                    <w:rPr>
                      <w:color w:val="auto"/>
                      <w:sz w:val="18"/>
                      <w:szCs w:val="18"/>
                      <w:lang w:val="zh-CN" w:eastAsia="zh-CN"/>
                    </w:rPr>
                  </w:pPr>
                  <w:r>
                    <w:rPr>
                      <w:color w:val="auto"/>
                      <w:sz w:val="18"/>
                      <w:szCs w:val="18"/>
                      <w:lang w:val="zh-CN" w:eastAsia="zh-CN"/>
                    </w:rPr>
                    <w:t>排放工况</w:t>
                  </w:r>
                </w:p>
              </w:tc>
              <w:tc>
                <w:tcPr>
                  <w:tcW w:w="788" w:type="pct"/>
                  <w:gridSpan w:val="2"/>
                  <w:vAlign w:val="center"/>
                </w:tcPr>
                <w:p>
                  <w:pPr>
                    <w:pStyle w:val="47"/>
                    <w:rPr>
                      <w:color w:val="auto"/>
                      <w:sz w:val="18"/>
                      <w:szCs w:val="18"/>
                      <w:lang w:val="zh-CN" w:eastAsia="zh-CN"/>
                    </w:rPr>
                  </w:pPr>
                  <w:r>
                    <w:rPr>
                      <w:color w:val="auto"/>
                      <w:sz w:val="18"/>
                      <w:szCs w:val="18"/>
                      <w:lang w:val="zh-CN" w:eastAsia="zh-CN"/>
                    </w:rPr>
                    <w:t>排放速率/（t/a）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Merge w:val="continue"/>
                  <w:vAlign w:val="center"/>
                </w:tcPr>
                <w:p>
                  <w:pPr>
                    <w:pStyle w:val="47"/>
                    <w:rPr>
                      <w:color w:val="auto"/>
                      <w:sz w:val="18"/>
                      <w:szCs w:val="18"/>
                      <w:lang w:val="zh-CN" w:eastAsia="zh-CN"/>
                    </w:rPr>
                  </w:pPr>
                </w:p>
              </w:tc>
              <w:tc>
                <w:tcPr>
                  <w:tcW w:w="292" w:type="pct"/>
                  <w:vMerge w:val="continue"/>
                  <w:vAlign w:val="center"/>
                </w:tcPr>
                <w:p>
                  <w:pPr>
                    <w:pStyle w:val="47"/>
                    <w:rPr>
                      <w:color w:val="auto"/>
                      <w:sz w:val="18"/>
                      <w:szCs w:val="18"/>
                      <w:lang w:val="zh-CN" w:eastAsia="zh-CN"/>
                    </w:rPr>
                  </w:pPr>
                </w:p>
              </w:tc>
              <w:tc>
                <w:tcPr>
                  <w:tcW w:w="720" w:type="pct"/>
                  <w:vAlign w:val="center"/>
                </w:tcPr>
                <w:p>
                  <w:pPr>
                    <w:pStyle w:val="47"/>
                    <w:rPr>
                      <w:color w:val="auto"/>
                      <w:sz w:val="18"/>
                      <w:szCs w:val="18"/>
                      <w:lang w:val="zh-CN" w:eastAsia="zh-CN"/>
                    </w:rPr>
                  </w:pPr>
                  <w:r>
                    <w:rPr>
                      <w:color w:val="auto"/>
                      <w:sz w:val="18"/>
                      <w:szCs w:val="18"/>
                      <w:lang w:val="zh-CN" w:eastAsia="zh-CN"/>
                    </w:rPr>
                    <w:t>X</w:t>
                  </w:r>
                </w:p>
                <w:p>
                  <w:pPr>
                    <w:pStyle w:val="47"/>
                    <w:rPr>
                      <w:color w:val="auto"/>
                      <w:sz w:val="18"/>
                      <w:szCs w:val="18"/>
                      <w:lang w:val="zh-CN" w:eastAsia="zh-CN"/>
                    </w:rPr>
                  </w:pPr>
                  <w:r>
                    <w:rPr>
                      <w:color w:val="auto"/>
                      <w:sz w:val="18"/>
                      <w:szCs w:val="18"/>
                      <w:lang w:val="zh-CN" w:eastAsia="zh-CN"/>
                    </w:rPr>
                    <w:t>（E）</w:t>
                  </w:r>
                </w:p>
              </w:tc>
              <w:tc>
                <w:tcPr>
                  <w:tcW w:w="644" w:type="pct"/>
                  <w:vAlign w:val="center"/>
                </w:tcPr>
                <w:p>
                  <w:pPr>
                    <w:pStyle w:val="47"/>
                    <w:rPr>
                      <w:color w:val="auto"/>
                      <w:sz w:val="18"/>
                      <w:szCs w:val="18"/>
                      <w:lang w:val="zh-CN" w:eastAsia="zh-CN"/>
                    </w:rPr>
                  </w:pPr>
                  <w:r>
                    <w:rPr>
                      <w:color w:val="auto"/>
                      <w:sz w:val="18"/>
                      <w:szCs w:val="18"/>
                      <w:lang w:val="zh-CN" w:eastAsia="zh-CN"/>
                    </w:rPr>
                    <w:t>Y</w:t>
                  </w:r>
                </w:p>
                <w:p>
                  <w:pPr>
                    <w:pStyle w:val="47"/>
                    <w:rPr>
                      <w:color w:val="auto"/>
                      <w:sz w:val="18"/>
                      <w:szCs w:val="18"/>
                      <w:lang w:val="zh-CN" w:eastAsia="zh-CN"/>
                    </w:rPr>
                  </w:pPr>
                  <w:r>
                    <w:rPr>
                      <w:color w:val="auto"/>
                      <w:sz w:val="18"/>
                      <w:szCs w:val="18"/>
                      <w:lang w:val="zh-CN" w:eastAsia="zh-CN"/>
                    </w:rPr>
                    <w:t>（N）</w:t>
                  </w:r>
                </w:p>
              </w:tc>
              <w:tc>
                <w:tcPr>
                  <w:tcW w:w="313" w:type="pct"/>
                  <w:vMerge w:val="continue"/>
                  <w:vAlign w:val="center"/>
                </w:tcPr>
                <w:p>
                  <w:pPr>
                    <w:pStyle w:val="47"/>
                    <w:rPr>
                      <w:color w:val="auto"/>
                      <w:sz w:val="18"/>
                      <w:szCs w:val="18"/>
                      <w:lang w:val="zh-CN" w:eastAsia="zh-CN"/>
                    </w:rPr>
                  </w:pPr>
                </w:p>
              </w:tc>
              <w:tc>
                <w:tcPr>
                  <w:tcW w:w="363" w:type="pct"/>
                  <w:vMerge w:val="continue"/>
                  <w:vAlign w:val="center"/>
                </w:tcPr>
                <w:p>
                  <w:pPr>
                    <w:pStyle w:val="47"/>
                    <w:rPr>
                      <w:color w:val="auto"/>
                      <w:sz w:val="18"/>
                      <w:szCs w:val="18"/>
                      <w:lang w:val="zh-CN" w:eastAsia="zh-CN"/>
                    </w:rPr>
                  </w:pPr>
                </w:p>
              </w:tc>
              <w:tc>
                <w:tcPr>
                  <w:tcW w:w="303" w:type="pct"/>
                  <w:vMerge w:val="continue"/>
                  <w:vAlign w:val="center"/>
                </w:tcPr>
                <w:p>
                  <w:pPr>
                    <w:pStyle w:val="47"/>
                    <w:rPr>
                      <w:color w:val="auto"/>
                      <w:sz w:val="18"/>
                      <w:szCs w:val="18"/>
                      <w:lang w:val="zh-CN" w:eastAsia="zh-CN"/>
                    </w:rPr>
                  </w:pPr>
                </w:p>
              </w:tc>
              <w:tc>
                <w:tcPr>
                  <w:tcW w:w="294" w:type="pct"/>
                  <w:vMerge w:val="continue"/>
                  <w:vAlign w:val="center"/>
                </w:tcPr>
                <w:p>
                  <w:pPr>
                    <w:pStyle w:val="47"/>
                    <w:rPr>
                      <w:color w:val="auto"/>
                      <w:sz w:val="18"/>
                      <w:szCs w:val="18"/>
                      <w:lang w:val="zh-CN" w:eastAsia="zh-CN"/>
                    </w:rPr>
                  </w:pPr>
                </w:p>
              </w:tc>
              <w:tc>
                <w:tcPr>
                  <w:tcW w:w="343" w:type="pct"/>
                  <w:vMerge w:val="continue"/>
                  <w:vAlign w:val="center"/>
                </w:tcPr>
                <w:p>
                  <w:pPr>
                    <w:pStyle w:val="47"/>
                    <w:rPr>
                      <w:color w:val="auto"/>
                      <w:sz w:val="18"/>
                      <w:szCs w:val="18"/>
                      <w:lang w:val="zh-CN" w:eastAsia="zh-CN"/>
                    </w:rPr>
                  </w:pPr>
                </w:p>
              </w:tc>
              <w:tc>
                <w:tcPr>
                  <w:tcW w:w="392" w:type="pct"/>
                  <w:vMerge w:val="continue"/>
                  <w:vAlign w:val="center"/>
                </w:tcPr>
                <w:p>
                  <w:pPr>
                    <w:pStyle w:val="47"/>
                    <w:rPr>
                      <w:color w:val="auto"/>
                      <w:sz w:val="18"/>
                      <w:szCs w:val="18"/>
                      <w:lang w:val="zh-CN" w:eastAsia="zh-CN"/>
                    </w:rPr>
                  </w:pPr>
                </w:p>
              </w:tc>
              <w:tc>
                <w:tcPr>
                  <w:tcW w:w="294" w:type="pct"/>
                  <w:vMerge w:val="continue"/>
                  <w:vAlign w:val="center"/>
                </w:tcPr>
                <w:p>
                  <w:pPr>
                    <w:pStyle w:val="47"/>
                    <w:rPr>
                      <w:color w:val="auto"/>
                      <w:sz w:val="18"/>
                      <w:szCs w:val="18"/>
                      <w:lang w:val="zh-CN" w:eastAsia="zh-CN"/>
                    </w:rPr>
                  </w:pPr>
                </w:p>
              </w:tc>
              <w:tc>
                <w:tcPr>
                  <w:tcW w:w="360" w:type="pct"/>
                  <w:vAlign w:val="center"/>
                </w:tcPr>
                <w:p>
                  <w:pPr>
                    <w:pStyle w:val="47"/>
                    <w:rPr>
                      <w:color w:val="auto"/>
                      <w:sz w:val="18"/>
                      <w:szCs w:val="18"/>
                      <w:lang w:val="zh-CN" w:eastAsia="zh-CN"/>
                    </w:rPr>
                  </w:pPr>
                  <w:r>
                    <w:rPr>
                      <w:color w:val="auto"/>
                      <w:sz w:val="18"/>
                      <w:szCs w:val="18"/>
                      <w:lang w:val="zh-CN" w:eastAsia="zh-CN"/>
                    </w:rPr>
                    <w:t>TSP</w:t>
                  </w:r>
                </w:p>
              </w:tc>
              <w:tc>
                <w:tcPr>
                  <w:tcW w:w="427" w:type="pct"/>
                  <w:vAlign w:val="center"/>
                </w:tcPr>
                <w:p>
                  <w:pPr>
                    <w:pStyle w:val="47"/>
                    <w:rPr>
                      <w:color w:val="auto"/>
                      <w:sz w:val="18"/>
                      <w:szCs w:val="18"/>
                      <w:lang w:val="zh-CN" w:eastAsia="zh-CN"/>
                    </w:rPr>
                  </w:pPr>
                  <w:r>
                    <w:rPr>
                      <w:rFonts w:ascii="Times New Roman" w:hAnsi="Times New Roman" w:cs="Times New Roman"/>
                      <w:color w:val="auto"/>
                      <w:kern w:val="2"/>
                      <w:sz w:val="18"/>
                      <w:szCs w:val="18"/>
                      <w:lang w:bidi="ar"/>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Merge w:val="restart"/>
                  <w:vAlign w:val="center"/>
                </w:tcPr>
                <w:p>
                  <w:pPr>
                    <w:pStyle w:val="47"/>
                    <w:rPr>
                      <w:color w:val="auto"/>
                      <w:sz w:val="18"/>
                      <w:szCs w:val="18"/>
                      <w:lang w:val="zh-CN" w:eastAsia="zh-CN"/>
                    </w:rPr>
                  </w:pPr>
                  <w:r>
                    <w:rPr>
                      <w:rFonts w:hint="eastAsia"/>
                      <w:color w:val="auto"/>
                      <w:sz w:val="18"/>
                      <w:szCs w:val="18"/>
                      <w:lang w:val="zh-CN" w:eastAsia="zh-CN"/>
                    </w:rPr>
                    <w:t>无组织排放</w:t>
                  </w:r>
                </w:p>
              </w:tc>
              <w:tc>
                <w:tcPr>
                  <w:tcW w:w="292" w:type="pct"/>
                  <w:vAlign w:val="center"/>
                </w:tcPr>
                <w:p>
                  <w:pPr>
                    <w:pStyle w:val="47"/>
                    <w:rPr>
                      <w:color w:val="auto"/>
                      <w:sz w:val="18"/>
                      <w:szCs w:val="18"/>
                      <w:lang w:val="zh-CN" w:eastAsia="zh-CN"/>
                    </w:rPr>
                  </w:pPr>
                  <w:r>
                    <w:rPr>
                      <w:rFonts w:hint="eastAsia"/>
                      <w:color w:val="auto"/>
                      <w:sz w:val="18"/>
                      <w:szCs w:val="18"/>
                      <w:lang w:val="en-US" w:eastAsia="zh-CN"/>
                    </w:rPr>
                    <w:t>1#</w:t>
                  </w:r>
                  <w:r>
                    <w:rPr>
                      <w:rFonts w:hint="eastAsia"/>
                      <w:color w:val="auto"/>
                      <w:sz w:val="18"/>
                      <w:szCs w:val="18"/>
                      <w:lang w:val="zh-CN" w:eastAsia="zh-CN"/>
                    </w:rPr>
                    <w:t>拆解</w:t>
                  </w:r>
                  <w:r>
                    <w:rPr>
                      <w:color w:val="auto"/>
                      <w:sz w:val="18"/>
                      <w:szCs w:val="18"/>
                      <w:lang w:val="zh-CN" w:eastAsia="zh-CN"/>
                    </w:rPr>
                    <w:t>车间</w:t>
                  </w:r>
                </w:p>
              </w:tc>
              <w:tc>
                <w:tcPr>
                  <w:tcW w:w="720" w:type="pct"/>
                  <w:vAlign w:val="center"/>
                </w:tcPr>
                <w:p>
                  <w:pPr>
                    <w:pStyle w:val="47"/>
                    <w:rPr>
                      <w:rFonts w:hint="default"/>
                      <w:color w:val="auto"/>
                      <w:sz w:val="18"/>
                      <w:szCs w:val="18"/>
                      <w:lang w:val="en-US" w:eastAsia="zh-CN"/>
                    </w:rPr>
                  </w:pPr>
                  <w:r>
                    <w:rPr>
                      <w:rFonts w:hint="eastAsia"/>
                      <w:color w:val="auto"/>
                      <w:sz w:val="18"/>
                      <w:szCs w:val="18"/>
                      <w:lang w:val="zh-CN" w:eastAsia="zh-CN"/>
                    </w:rPr>
                    <w:t>112.</w:t>
                  </w:r>
                  <w:r>
                    <w:rPr>
                      <w:rFonts w:hint="eastAsia"/>
                      <w:color w:val="auto"/>
                      <w:sz w:val="18"/>
                      <w:szCs w:val="18"/>
                      <w:lang w:val="en-US" w:eastAsia="zh-CN"/>
                    </w:rPr>
                    <w:t>201846</w:t>
                  </w:r>
                </w:p>
              </w:tc>
              <w:tc>
                <w:tcPr>
                  <w:tcW w:w="644" w:type="pct"/>
                  <w:vAlign w:val="center"/>
                </w:tcPr>
                <w:p>
                  <w:pPr>
                    <w:pStyle w:val="47"/>
                    <w:rPr>
                      <w:rFonts w:hint="default"/>
                      <w:color w:val="auto"/>
                      <w:sz w:val="18"/>
                      <w:szCs w:val="18"/>
                      <w:lang w:val="en-US" w:eastAsia="zh-CN"/>
                    </w:rPr>
                  </w:pPr>
                  <w:r>
                    <w:rPr>
                      <w:rFonts w:hint="eastAsia"/>
                      <w:color w:val="auto"/>
                      <w:sz w:val="18"/>
                      <w:szCs w:val="18"/>
                      <w:lang w:val="zh-CN" w:eastAsia="zh-CN"/>
                    </w:rPr>
                    <w:t>2</w:t>
                  </w:r>
                  <w:r>
                    <w:rPr>
                      <w:rFonts w:hint="eastAsia"/>
                      <w:color w:val="auto"/>
                      <w:sz w:val="18"/>
                      <w:szCs w:val="18"/>
                      <w:lang w:val="en-US" w:eastAsia="zh-CN"/>
                    </w:rPr>
                    <w:t>6.594111</w:t>
                  </w:r>
                </w:p>
              </w:tc>
              <w:tc>
                <w:tcPr>
                  <w:tcW w:w="313" w:type="pct"/>
                  <w:vAlign w:val="center"/>
                </w:tcPr>
                <w:p>
                  <w:pPr>
                    <w:pStyle w:val="47"/>
                    <w:rPr>
                      <w:color w:val="auto"/>
                      <w:sz w:val="18"/>
                      <w:szCs w:val="18"/>
                      <w:lang w:val="zh-CN" w:eastAsia="zh-CN"/>
                    </w:rPr>
                  </w:pPr>
                  <w:r>
                    <w:rPr>
                      <w:color w:val="auto"/>
                      <w:sz w:val="18"/>
                      <w:szCs w:val="18"/>
                      <w:lang w:val="zh-CN" w:eastAsia="zh-CN"/>
                    </w:rPr>
                    <w:t>—</w:t>
                  </w:r>
                </w:p>
              </w:tc>
              <w:tc>
                <w:tcPr>
                  <w:tcW w:w="363" w:type="pct"/>
                  <w:vAlign w:val="center"/>
                </w:tcPr>
                <w:p>
                  <w:pPr>
                    <w:pStyle w:val="47"/>
                    <w:rPr>
                      <w:rFonts w:hint="default"/>
                      <w:color w:val="auto"/>
                      <w:sz w:val="18"/>
                      <w:szCs w:val="18"/>
                      <w:lang w:val="en-US" w:eastAsia="zh-CN"/>
                    </w:rPr>
                  </w:pPr>
                  <w:r>
                    <w:rPr>
                      <w:rFonts w:hint="eastAsia"/>
                      <w:color w:val="auto"/>
                      <w:sz w:val="18"/>
                      <w:szCs w:val="18"/>
                      <w:lang w:val="en-US" w:eastAsia="zh-CN"/>
                    </w:rPr>
                    <w:t>42</w:t>
                  </w:r>
                </w:p>
              </w:tc>
              <w:tc>
                <w:tcPr>
                  <w:tcW w:w="303" w:type="pct"/>
                  <w:vAlign w:val="center"/>
                </w:tcPr>
                <w:p>
                  <w:pPr>
                    <w:pStyle w:val="47"/>
                    <w:rPr>
                      <w:rFonts w:hint="default"/>
                      <w:color w:val="auto"/>
                      <w:sz w:val="18"/>
                      <w:szCs w:val="18"/>
                      <w:lang w:val="en-US" w:eastAsia="zh-CN"/>
                    </w:rPr>
                  </w:pPr>
                  <w:r>
                    <w:rPr>
                      <w:rFonts w:hint="eastAsia"/>
                      <w:color w:val="auto"/>
                      <w:sz w:val="18"/>
                      <w:szCs w:val="18"/>
                      <w:lang w:val="en-US" w:eastAsia="zh-CN"/>
                    </w:rPr>
                    <w:t>21</w:t>
                  </w:r>
                </w:p>
              </w:tc>
              <w:tc>
                <w:tcPr>
                  <w:tcW w:w="294" w:type="pct"/>
                  <w:vAlign w:val="center"/>
                </w:tcPr>
                <w:p>
                  <w:pPr>
                    <w:pStyle w:val="47"/>
                    <w:rPr>
                      <w:rFonts w:hint="default"/>
                      <w:color w:val="auto"/>
                      <w:sz w:val="18"/>
                      <w:szCs w:val="18"/>
                      <w:lang w:val="en-US" w:eastAsia="zh-CN"/>
                    </w:rPr>
                  </w:pPr>
                  <w:r>
                    <w:rPr>
                      <w:rFonts w:hint="eastAsia"/>
                      <w:color w:val="auto"/>
                      <w:sz w:val="18"/>
                      <w:szCs w:val="18"/>
                      <w:lang w:val="en-US" w:eastAsia="zh-CN"/>
                    </w:rPr>
                    <w:t>140</w:t>
                  </w:r>
                </w:p>
              </w:tc>
              <w:tc>
                <w:tcPr>
                  <w:tcW w:w="343" w:type="pct"/>
                  <w:vAlign w:val="center"/>
                </w:tcPr>
                <w:p>
                  <w:pPr>
                    <w:pStyle w:val="47"/>
                    <w:rPr>
                      <w:color w:val="auto"/>
                      <w:sz w:val="18"/>
                      <w:szCs w:val="18"/>
                      <w:lang w:val="zh-CN" w:eastAsia="zh-CN"/>
                    </w:rPr>
                  </w:pPr>
                  <w:r>
                    <w:rPr>
                      <w:color w:val="auto"/>
                      <w:sz w:val="18"/>
                      <w:szCs w:val="18"/>
                      <w:lang w:val="zh-CN" w:eastAsia="zh-CN"/>
                    </w:rPr>
                    <w:t>10</w:t>
                  </w:r>
                </w:p>
              </w:tc>
              <w:tc>
                <w:tcPr>
                  <w:tcW w:w="392" w:type="pct"/>
                  <w:vAlign w:val="center"/>
                </w:tcPr>
                <w:p>
                  <w:pPr>
                    <w:pStyle w:val="47"/>
                    <w:rPr>
                      <w:rFonts w:hint="default"/>
                      <w:color w:val="auto"/>
                      <w:sz w:val="18"/>
                      <w:szCs w:val="18"/>
                      <w:lang w:val="en-US" w:eastAsia="zh-CN"/>
                    </w:rPr>
                  </w:pPr>
                  <w:r>
                    <w:rPr>
                      <w:rFonts w:hint="eastAsia"/>
                      <w:color w:val="auto"/>
                      <w:sz w:val="18"/>
                      <w:szCs w:val="18"/>
                      <w:lang w:val="en-US" w:eastAsia="zh-CN"/>
                    </w:rPr>
                    <w:t>2400</w:t>
                  </w:r>
                </w:p>
              </w:tc>
              <w:tc>
                <w:tcPr>
                  <w:tcW w:w="294" w:type="pct"/>
                  <w:vAlign w:val="center"/>
                </w:tcPr>
                <w:p>
                  <w:pPr>
                    <w:pStyle w:val="47"/>
                    <w:rPr>
                      <w:color w:val="auto"/>
                      <w:sz w:val="18"/>
                      <w:szCs w:val="18"/>
                      <w:lang w:val="zh-CN" w:eastAsia="zh-CN"/>
                    </w:rPr>
                  </w:pPr>
                  <w:r>
                    <w:rPr>
                      <w:color w:val="auto"/>
                      <w:sz w:val="18"/>
                      <w:szCs w:val="18"/>
                      <w:lang w:val="zh-CN" w:eastAsia="zh-CN"/>
                    </w:rPr>
                    <w:t>正常</w:t>
                  </w:r>
                </w:p>
              </w:tc>
              <w:tc>
                <w:tcPr>
                  <w:tcW w:w="360" w:type="pct"/>
                  <w:vAlign w:val="center"/>
                </w:tcPr>
                <w:p>
                  <w:pPr>
                    <w:pStyle w:val="47"/>
                    <w:rPr>
                      <w:rFonts w:hint="default"/>
                      <w:color w:val="auto"/>
                      <w:sz w:val="18"/>
                      <w:szCs w:val="18"/>
                      <w:lang w:val="en-US" w:eastAsia="zh-CN"/>
                    </w:rPr>
                  </w:pPr>
                  <w:r>
                    <w:rPr>
                      <w:rFonts w:hint="eastAsia"/>
                      <w:color w:val="auto"/>
                      <w:sz w:val="18"/>
                      <w:szCs w:val="18"/>
                      <w:lang w:val="en-US" w:eastAsia="zh-CN"/>
                    </w:rPr>
                    <w:t>0.017</w:t>
                  </w:r>
                </w:p>
              </w:tc>
              <w:tc>
                <w:tcPr>
                  <w:tcW w:w="427" w:type="pct"/>
                  <w:vAlign w:val="center"/>
                </w:tcPr>
                <w:p>
                  <w:pPr>
                    <w:pStyle w:val="47"/>
                    <w:rPr>
                      <w:rFonts w:hint="default"/>
                      <w:color w:val="auto"/>
                      <w:sz w:val="18"/>
                      <w:szCs w:val="18"/>
                      <w:lang w:val="en-US" w:eastAsia="zh-CN"/>
                    </w:rPr>
                  </w:pPr>
                  <w:r>
                    <w:rPr>
                      <w:rFonts w:hint="eastAsia"/>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Merge w:val="continue"/>
                  <w:vAlign w:val="center"/>
                </w:tcPr>
                <w:p>
                  <w:pPr>
                    <w:pStyle w:val="47"/>
                    <w:rPr>
                      <w:rFonts w:hint="eastAsia"/>
                      <w:color w:val="auto"/>
                      <w:sz w:val="18"/>
                      <w:szCs w:val="18"/>
                      <w:lang w:val="zh-CN" w:eastAsia="zh-CN"/>
                    </w:rPr>
                  </w:pPr>
                </w:p>
              </w:tc>
              <w:tc>
                <w:tcPr>
                  <w:tcW w:w="292" w:type="pct"/>
                  <w:vAlign w:val="center"/>
                </w:tcPr>
                <w:p>
                  <w:pPr>
                    <w:pStyle w:val="47"/>
                    <w:rPr>
                      <w:rFonts w:hint="eastAsia"/>
                      <w:color w:val="auto"/>
                      <w:sz w:val="18"/>
                      <w:szCs w:val="18"/>
                      <w:lang w:val="zh-CN" w:eastAsia="zh-CN"/>
                    </w:rPr>
                  </w:pPr>
                  <w:r>
                    <w:rPr>
                      <w:rFonts w:hint="eastAsia"/>
                      <w:color w:val="auto"/>
                      <w:sz w:val="18"/>
                      <w:szCs w:val="18"/>
                      <w:lang w:val="zh-CN" w:eastAsia="zh-CN"/>
                    </w:rPr>
                    <w:t>预处理车间</w:t>
                  </w:r>
                </w:p>
              </w:tc>
              <w:tc>
                <w:tcPr>
                  <w:tcW w:w="720" w:type="pct"/>
                  <w:vAlign w:val="center"/>
                </w:tcPr>
                <w:p>
                  <w:pPr>
                    <w:pStyle w:val="47"/>
                    <w:rPr>
                      <w:rFonts w:hint="default"/>
                      <w:color w:val="auto"/>
                      <w:sz w:val="18"/>
                      <w:szCs w:val="18"/>
                      <w:lang w:val="en-US" w:eastAsia="zh-CN"/>
                    </w:rPr>
                  </w:pPr>
                  <w:r>
                    <w:rPr>
                      <w:rFonts w:hint="eastAsia"/>
                      <w:color w:val="auto"/>
                      <w:sz w:val="18"/>
                      <w:szCs w:val="18"/>
                      <w:lang w:val="en-US" w:eastAsia="zh-CN"/>
                    </w:rPr>
                    <w:t>112.201755</w:t>
                  </w:r>
                </w:p>
              </w:tc>
              <w:tc>
                <w:tcPr>
                  <w:tcW w:w="644" w:type="pct"/>
                  <w:vAlign w:val="center"/>
                </w:tcPr>
                <w:p>
                  <w:pPr>
                    <w:pStyle w:val="47"/>
                    <w:rPr>
                      <w:rFonts w:hint="default"/>
                      <w:color w:val="auto"/>
                      <w:sz w:val="18"/>
                      <w:szCs w:val="18"/>
                      <w:lang w:val="en-US" w:eastAsia="zh-CN"/>
                    </w:rPr>
                  </w:pPr>
                  <w:r>
                    <w:rPr>
                      <w:rFonts w:hint="eastAsia"/>
                      <w:color w:val="auto"/>
                      <w:sz w:val="18"/>
                      <w:szCs w:val="18"/>
                      <w:lang w:val="en-US" w:eastAsia="zh-CN"/>
                    </w:rPr>
                    <w:t>26.59159</w:t>
                  </w:r>
                </w:p>
              </w:tc>
              <w:tc>
                <w:tcPr>
                  <w:tcW w:w="313" w:type="pct"/>
                  <w:vAlign w:val="center"/>
                </w:tcPr>
                <w:p>
                  <w:pPr>
                    <w:pStyle w:val="47"/>
                    <w:rPr>
                      <w:color w:val="auto"/>
                      <w:sz w:val="18"/>
                      <w:szCs w:val="18"/>
                      <w:lang w:val="zh-CN" w:eastAsia="zh-CN"/>
                    </w:rPr>
                  </w:pPr>
                  <w:r>
                    <w:rPr>
                      <w:color w:val="auto"/>
                      <w:sz w:val="18"/>
                      <w:szCs w:val="18"/>
                      <w:lang w:val="zh-CN" w:eastAsia="zh-CN"/>
                    </w:rPr>
                    <w:t>—</w:t>
                  </w:r>
                </w:p>
              </w:tc>
              <w:tc>
                <w:tcPr>
                  <w:tcW w:w="363" w:type="pct"/>
                  <w:vAlign w:val="center"/>
                </w:tcPr>
                <w:p>
                  <w:pPr>
                    <w:pStyle w:val="47"/>
                    <w:rPr>
                      <w:rFonts w:hint="default"/>
                      <w:color w:val="auto"/>
                      <w:sz w:val="18"/>
                      <w:szCs w:val="18"/>
                      <w:lang w:val="en-US" w:eastAsia="zh-CN"/>
                    </w:rPr>
                  </w:pPr>
                  <w:r>
                    <w:rPr>
                      <w:rFonts w:hint="eastAsia"/>
                      <w:color w:val="auto"/>
                      <w:sz w:val="18"/>
                      <w:szCs w:val="18"/>
                      <w:lang w:val="en-US" w:eastAsia="zh-CN"/>
                    </w:rPr>
                    <w:t>42</w:t>
                  </w:r>
                </w:p>
              </w:tc>
              <w:tc>
                <w:tcPr>
                  <w:tcW w:w="303" w:type="pct"/>
                  <w:vAlign w:val="center"/>
                </w:tcPr>
                <w:p>
                  <w:pPr>
                    <w:pStyle w:val="47"/>
                    <w:rPr>
                      <w:rFonts w:hint="default"/>
                      <w:color w:val="auto"/>
                      <w:sz w:val="18"/>
                      <w:szCs w:val="18"/>
                      <w:lang w:val="en-US" w:eastAsia="zh-CN"/>
                    </w:rPr>
                  </w:pPr>
                  <w:r>
                    <w:rPr>
                      <w:rFonts w:hint="eastAsia"/>
                      <w:color w:val="auto"/>
                      <w:sz w:val="18"/>
                      <w:szCs w:val="18"/>
                      <w:lang w:val="en-US" w:eastAsia="zh-CN"/>
                    </w:rPr>
                    <w:t>21</w:t>
                  </w:r>
                </w:p>
              </w:tc>
              <w:tc>
                <w:tcPr>
                  <w:tcW w:w="294" w:type="pct"/>
                  <w:vAlign w:val="center"/>
                </w:tcPr>
                <w:p>
                  <w:pPr>
                    <w:pStyle w:val="47"/>
                    <w:rPr>
                      <w:rFonts w:hint="default"/>
                      <w:color w:val="auto"/>
                      <w:sz w:val="18"/>
                      <w:szCs w:val="18"/>
                      <w:lang w:val="en-US" w:eastAsia="zh-CN"/>
                    </w:rPr>
                  </w:pPr>
                  <w:r>
                    <w:rPr>
                      <w:rFonts w:hint="eastAsia"/>
                      <w:color w:val="auto"/>
                      <w:sz w:val="18"/>
                      <w:szCs w:val="18"/>
                      <w:lang w:val="en-US" w:eastAsia="zh-CN"/>
                    </w:rPr>
                    <w:t>140</w:t>
                  </w:r>
                </w:p>
              </w:tc>
              <w:tc>
                <w:tcPr>
                  <w:tcW w:w="343" w:type="pct"/>
                  <w:vAlign w:val="center"/>
                </w:tcPr>
                <w:p>
                  <w:pPr>
                    <w:pStyle w:val="47"/>
                    <w:rPr>
                      <w:rFonts w:hint="default"/>
                      <w:color w:val="auto"/>
                      <w:sz w:val="18"/>
                      <w:szCs w:val="18"/>
                      <w:lang w:val="en-US" w:eastAsia="zh-CN"/>
                    </w:rPr>
                  </w:pPr>
                  <w:r>
                    <w:rPr>
                      <w:rFonts w:hint="eastAsia"/>
                      <w:color w:val="auto"/>
                      <w:sz w:val="18"/>
                      <w:szCs w:val="18"/>
                      <w:lang w:val="en-US" w:eastAsia="zh-CN"/>
                    </w:rPr>
                    <w:t>10</w:t>
                  </w:r>
                </w:p>
              </w:tc>
              <w:tc>
                <w:tcPr>
                  <w:tcW w:w="392" w:type="pct"/>
                  <w:vAlign w:val="center"/>
                </w:tcPr>
                <w:p>
                  <w:pPr>
                    <w:pStyle w:val="47"/>
                    <w:rPr>
                      <w:rFonts w:hint="default"/>
                      <w:color w:val="auto"/>
                      <w:sz w:val="18"/>
                      <w:szCs w:val="18"/>
                      <w:lang w:val="en-US" w:eastAsia="zh-CN"/>
                    </w:rPr>
                  </w:pPr>
                  <w:r>
                    <w:rPr>
                      <w:rFonts w:hint="eastAsia"/>
                      <w:color w:val="auto"/>
                      <w:sz w:val="18"/>
                      <w:szCs w:val="18"/>
                      <w:lang w:val="en-US" w:eastAsia="zh-CN"/>
                    </w:rPr>
                    <w:t>2400</w:t>
                  </w:r>
                </w:p>
              </w:tc>
              <w:tc>
                <w:tcPr>
                  <w:tcW w:w="294" w:type="pct"/>
                  <w:vAlign w:val="center"/>
                </w:tcPr>
                <w:p>
                  <w:pPr>
                    <w:pStyle w:val="47"/>
                    <w:rPr>
                      <w:color w:val="auto"/>
                      <w:sz w:val="18"/>
                      <w:szCs w:val="18"/>
                      <w:lang w:val="zh-CN" w:eastAsia="zh-CN"/>
                    </w:rPr>
                  </w:pPr>
                  <w:r>
                    <w:rPr>
                      <w:color w:val="auto"/>
                      <w:sz w:val="18"/>
                      <w:szCs w:val="18"/>
                      <w:lang w:val="zh-CN" w:eastAsia="zh-CN"/>
                    </w:rPr>
                    <w:t>正常</w:t>
                  </w:r>
                </w:p>
              </w:tc>
              <w:tc>
                <w:tcPr>
                  <w:tcW w:w="360" w:type="pct"/>
                  <w:vAlign w:val="center"/>
                </w:tcPr>
                <w:p>
                  <w:pPr>
                    <w:pStyle w:val="47"/>
                    <w:rPr>
                      <w:rFonts w:hint="default"/>
                      <w:color w:val="auto"/>
                      <w:sz w:val="18"/>
                      <w:szCs w:val="18"/>
                      <w:lang w:val="en-US" w:eastAsia="zh-CN"/>
                    </w:rPr>
                  </w:pPr>
                  <w:r>
                    <w:rPr>
                      <w:rFonts w:hint="eastAsia"/>
                      <w:color w:val="auto"/>
                      <w:sz w:val="18"/>
                      <w:szCs w:val="18"/>
                      <w:lang w:val="en-US" w:eastAsia="zh-CN"/>
                    </w:rPr>
                    <w:t>-</w:t>
                  </w:r>
                </w:p>
              </w:tc>
              <w:tc>
                <w:tcPr>
                  <w:tcW w:w="427" w:type="pct"/>
                  <w:vAlign w:val="center"/>
                </w:tcPr>
                <w:p>
                  <w:pPr>
                    <w:pStyle w:val="47"/>
                    <w:rPr>
                      <w:rFonts w:hint="eastAsia"/>
                      <w:color w:val="auto"/>
                      <w:sz w:val="18"/>
                      <w:szCs w:val="18"/>
                      <w:lang w:val="en-US" w:eastAsia="zh-CN"/>
                    </w:rPr>
                  </w:pPr>
                  <w:r>
                    <w:rPr>
                      <w:rFonts w:hint="eastAsia"/>
                      <w:color w:val="auto"/>
                      <w:sz w:val="18"/>
                      <w:szCs w:val="18"/>
                      <w:lang w:val="en-US" w:eastAsia="zh-CN"/>
                    </w:rPr>
                    <w:t>0.042</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textAlignment w:val="auto"/>
              <w:rPr>
                <w:bCs/>
                <w:color w:val="auto"/>
                <w:spacing w:val="0"/>
                <w:sz w:val="21"/>
                <w:szCs w:val="21"/>
              </w:rPr>
            </w:pPr>
            <w:r>
              <w:rPr>
                <w:bCs/>
                <w:color w:val="auto"/>
                <w:spacing w:val="0"/>
                <w:sz w:val="21"/>
                <w:szCs w:val="21"/>
              </w:rPr>
              <w:t>估算模型结果见下表：</w:t>
            </w:r>
          </w:p>
          <w:p>
            <w:pPr>
              <w:pStyle w:val="19"/>
              <w:widowControl w:val="0"/>
              <w:spacing w:before="0" w:beforeAutospacing="0" w:after="0" w:afterAutospacing="0" w:line="360" w:lineRule="auto"/>
              <w:jc w:val="center"/>
              <w:rPr>
                <w:rFonts w:hAnsi="Times New Roman"/>
                <w:b/>
                <w:color w:val="auto"/>
                <w:sz w:val="21"/>
              </w:rPr>
            </w:pPr>
            <w:r>
              <w:rPr>
                <w:rFonts w:hint="eastAsia" w:ascii="Times New Roman" w:hAnsi="Times New Roman"/>
                <w:b/>
                <w:color w:val="auto"/>
                <w:sz w:val="21"/>
                <w:lang w:bidi="ar"/>
              </w:rPr>
              <w:t>表</w:t>
            </w:r>
            <w:r>
              <w:rPr>
                <w:rFonts w:hint="eastAsia" w:ascii="Times New Roman" w:hAnsi="Times New Roman" w:cs="Times New Roman"/>
                <w:b/>
                <w:color w:val="auto"/>
                <w:sz w:val="21"/>
                <w:lang w:val="en-US" w:eastAsia="zh-CN" w:bidi="ar"/>
              </w:rPr>
              <w:t>4-4</w:t>
            </w:r>
            <w:r>
              <w:rPr>
                <w:rFonts w:hint="eastAsia" w:ascii="Times New Roman" w:hAnsi="Times New Roman"/>
                <w:b/>
                <w:color w:val="auto"/>
                <w:sz w:val="21"/>
                <w:lang w:bidi="ar"/>
              </w:rPr>
              <w:t>环境空气</w:t>
            </w:r>
            <w:r>
              <w:rPr>
                <w:rFonts w:hint="eastAsia" w:ascii="Times New Roman" w:hAnsi="Times New Roman"/>
                <w:b/>
                <w:color w:val="auto"/>
                <w:sz w:val="21"/>
                <w:lang w:eastAsia="zh-CN" w:bidi="ar"/>
              </w:rPr>
              <w:t>估算模型</w:t>
            </w:r>
            <w:r>
              <w:rPr>
                <w:rFonts w:hint="eastAsia" w:ascii="Times New Roman" w:hAnsi="Times New Roman"/>
                <w:b/>
                <w:color w:val="auto"/>
                <w:sz w:val="21"/>
                <w:lang w:bidi="ar"/>
              </w:rPr>
              <w:t>结果</w:t>
            </w:r>
          </w:p>
          <w:tbl>
            <w:tblPr>
              <w:tblStyle w:val="21"/>
              <w:tblW w:w="8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568"/>
              <w:gridCol w:w="886"/>
              <w:gridCol w:w="1106"/>
              <w:gridCol w:w="1225"/>
              <w:gridCol w:w="1334"/>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ascii="Times New Roman" w:hAnsi="Times New Roman" w:cs="Times New Roman"/>
                      <w:b w:val="0"/>
                      <w:bCs/>
                      <w:color w:val="auto"/>
                      <w:sz w:val="18"/>
                      <w:szCs w:val="18"/>
                    </w:rPr>
                  </w:pPr>
                  <w:r>
                    <w:rPr>
                      <w:rFonts w:ascii="Times New Roman" w:hAnsi="Times New Roman" w:cs="Times New Roman"/>
                      <w:b w:val="0"/>
                      <w:bCs/>
                      <w:color w:val="auto"/>
                      <w:kern w:val="2"/>
                      <w:sz w:val="18"/>
                      <w:szCs w:val="18"/>
                      <w:lang w:bidi="ar"/>
                    </w:rPr>
                    <w:t>序号</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ascii="Times New Roman" w:hAnsi="Times New Roman" w:cs="Times New Roman"/>
                      <w:b w:val="0"/>
                      <w:bCs/>
                      <w:color w:val="auto"/>
                      <w:sz w:val="18"/>
                      <w:szCs w:val="18"/>
                    </w:rPr>
                  </w:pPr>
                  <w:r>
                    <w:rPr>
                      <w:rFonts w:ascii="Times New Roman" w:hAnsi="Times New Roman" w:cs="Times New Roman"/>
                      <w:b w:val="0"/>
                      <w:bCs/>
                      <w:color w:val="auto"/>
                      <w:kern w:val="2"/>
                      <w:sz w:val="18"/>
                      <w:szCs w:val="18"/>
                      <w:lang w:bidi="ar"/>
                    </w:rPr>
                    <w:t>污染源</w:t>
                  </w:r>
                </w:p>
              </w:tc>
              <w:tc>
                <w:tcPr>
                  <w:tcW w:w="8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ascii="Times New Roman" w:hAnsi="Times New Roman" w:cs="Times New Roman"/>
                      <w:b w:val="0"/>
                      <w:bCs/>
                      <w:color w:val="auto"/>
                      <w:sz w:val="18"/>
                      <w:szCs w:val="18"/>
                    </w:rPr>
                  </w:pPr>
                  <w:r>
                    <w:rPr>
                      <w:rFonts w:ascii="Times New Roman" w:hAnsi="Times New Roman" w:cs="Times New Roman"/>
                      <w:b w:val="0"/>
                      <w:bCs/>
                      <w:color w:val="auto"/>
                      <w:kern w:val="2"/>
                      <w:sz w:val="18"/>
                      <w:szCs w:val="18"/>
                      <w:lang w:bidi="ar"/>
                    </w:rPr>
                    <w:t>污染物</w:t>
                  </w:r>
                </w:p>
              </w:tc>
              <w:tc>
                <w:tcPr>
                  <w:tcW w:w="11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ascii="Times New Roman" w:hAnsi="Times New Roman" w:cs="Times New Roman"/>
                      <w:b w:val="0"/>
                      <w:bCs/>
                      <w:color w:val="auto"/>
                      <w:sz w:val="18"/>
                      <w:szCs w:val="18"/>
                    </w:rPr>
                  </w:pPr>
                  <w:r>
                    <w:rPr>
                      <w:rFonts w:ascii="Times New Roman" w:hAnsi="Times New Roman" w:cs="Times New Roman"/>
                      <w:b w:val="0"/>
                      <w:bCs/>
                      <w:color w:val="auto"/>
                      <w:kern w:val="2"/>
                      <w:sz w:val="18"/>
                      <w:szCs w:val="18"/>
                      <w:lang w:bidi="ar"/>
                    </w:rPr>
                    <w:t>最大浓度出现距离</w:t>
                  </w:r>
                </w:p>
                <w:p>
                  <w:pPr>
                    <w:pStyle w:val="19"/>
                    <w:adjustRightInd w:val="0"/>
                    <w:snapToGrid w:val="0"/>
                    <w:spacing w:before="0" w:beforeAutospacing="0" w:after="0" w:afterAutospacing="0"/>
                    <w:jc w:val="center"/>
                    <w:rPr>
                      <w:rFonts w:ascii="Times New Roman" w:hAnsi="Times New Roman" w:cs="Times New Roman"/>
                      <w:b w:val="0"/>
                      <w:bCs/>
                      <w:color w:val="auto"/>
                      <w:sz w:val="18"/>
                      <w:szCs w:val="18"/>
                    </w:rPr>
                  </w:pPr>
                  <w:r>
                    <w:rPr>
                      <w:rFonts w:ascii="Times New Roman" w:hAnsi="Times New Roman" w:cs="Times New Roman"/>
                      <w:b w:val="0"/>
                      <w:bCs/>
                      <w:color w:val="auto"/>
                      <w:kern w:val="2"/>
                      <w:sz w:val="18"/>
                      <w:szCs w:val="18"/>
                      <w:lang w:bidi="ar"/>
                    </w:rPr>
                    <w:t>（m）</w:t>
                  </w: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ascii="Times New Roman" w:hAnsi="Times New Roman" w:cs="Times New Roman"/>
                      <w:b w:val="0"/>
                      <w:bCs/>
                      <w:color w:val="auto"/>
                      <w:sz w:val="18"/>
                      <w:szCs w:val="18"/>
                    </w:rPr>
                  </w:pPr>
                  <w:r>
                    <w:rPr>
                      <w:rFonts w:ascii="Times New Roman" w:hAnsi="Times New Roman" w:cs="Times New Roman"/>
                      <w:b w:val="0"/>
                      <w:bCs/>
                      <w:color w:val="auto"/>
                      <w:kern w:val="2"/>
                      <w:sz w:val="18"/>
                      <w:szCs w:val="18"/>
                      <w:lang w:bidi="ar"/>
                    </w:rPr>
                    <w:t>最大地面浓度（μg/m</w:t>
                  </w:r>
                  <w:r>
                    <w:rPr>
                      <w:rFonts w:ascii="Times New Roman" w:hAnsi="Times New Roman" w:cs="Times New Roman"/>
                      <w:b w:val="0"/>
                      <w:bCs/>
                      <w:color w:val="auto"/>
                      <w:kern w:val="2"/>
                      <w:sz w:val="18"/>
                      <w:szCs w:val="18"/>
                      <w:vertAlign w:val="superscript"/>
                      <w:lang w:bidi="ar"/>
                    </w:rPr>
                    <w:t>3</w:t>
                  </w:r>
                  <w:r>
                    <w:rPr>
                      <w:rFonts w:ascii="Times New Roman" w:hAnsi="Times New Roman" w:cs="Times New Roman"/>
                      <w:b w:val="0"/>
                      <w:bCs/>
                      <w:color w:val="auto"/>
                      <w:kern w:val="2"/>
                      <w:sz w:val="18"/>
                      <w:szCs w:val="18"/>
                      <w:lang w:bidi="ar"/>
                    </w:rPr>
                    <w:t>）</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ascii="Times New Roman" w:hAnsi="Times New Roman" w:cs="Times New Roman"/>
                      <w:b w:val="0"/>
                      <w:bCs/>
                      <w:color w:val="auto"/>
                      <w:sz w:val="18"/>
                      <w:szCs w:val="18"/>
                    </w:rPr>
                  </w:pPr>
                  <w:r>
                    <w:rPr>
                      <w:rFonts w:ascii="Times New Roman" w:hAnsi="Times New Roman" w:cs="Times New Roman"/>
                      <w:b w:val="0"/>
                      <w:bCs/>
                      <w:color w:val="auto"/>
                      <w:kern w:val="2"/>
                      <w:sz w:val="18"/>
                      <w:szCs w:val="18"/>
                      <w:lang w:bidi="ar"/>
                    </w:rPr>
                    <w:t>最大占标率</w:t>
                  </w:r>
                </w:p>
                <w:p>
                  <w:pPr>
                    <w:pStyle w:val="19"/>
                    <w:adjustRightInd w:val="0"/>
                    <w:snapToGrid w:val="0"/>
                    <w:spacing w:before="0" w:beforeAutospacing="0" w:after="0" w:afterAutospacing="0"/>
                    <w:jc w:val="center"/>
                    <w:rPr>
                      <w:rFonts w:ascii="Times New Roman" w:hAnsi="Times New Roman" w:cs="Times New Roman"/>
                      <w:b w:val="0"/>
                      <w:bCs/>
                      <w:color w:val="auto"/>
                      <w:sz w:val="18"/>
                      <w:szCs w:val="18"/>
                    </w:rPr>
                  </w:pPr>
                  <w:r>
                    <w:rPr>
                      <w:rFonts w:ascii="Times New Roman" w:hAnsi="Times New Roman" w:cs="Times New Roman"/>
                      <w:b w:val="0"/>
                      <w:bCs/>
                      <w:color w:val="auto"/>
                      <w:kern w:val="2"/>
                      <w:sz w:val="18"/>
                      <w:szCs w:val="18"/>
                      <w:lang w:bidi="ar"/>
                    </w:rPr>
                    <w:t>Pmax（%）</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ascii="Times New Roman" w:hAnsi="Times New Roman" w:cs="Times New Roman"/>
                      <w:b w:val="0"/>
                      <w:bCs/>
                      <w:color w:val="auto"/>
                      <w:sz w:val="18"/>
                      <w:szCs w:val="18"/>
                    </w:rPr>
                  </w:pPr>
                  <w:r>
                    <w:rPr>
                      <w:rFonts w:ascii="Times New Roman" w:hAnsi="Times New Roman" w:cs="Times New Roman"/>
                      <w:b w:val="0"/>
                      <w:bCs/>
                      <w:color w:val="auto"/>
                      <w:kern w:val="2"/>
                      <w:sz w:val="18"/>
                      <w:szCs w:val="18"/>
                      <w:lang w:bidi="ar"/>
                    </w:rPr>
                    <w:t>占标率10%的最远距离D</w:t>
                  </w:r>
                  <w:r>
                    <w:rPr>
                      <w:rFonts w:ascii="Times New Roman" w:hAnsi="Times New Roman" w:cs="Times New Roman"/>
                      <w:b w:val="0"/>
                      <w:bCs/>
                      <w:color w:val="auto"/>
                      <w:kern w:val="2"/>
                      <w:sz w:val="18"/>
                      <w:szCs w:val="18"/>
                      <w:vertAlign w:val="subscript"/>
                      <w:lang w:bidi="ar"/>
                    </w:rPr>
                    <w:t>10%</w:t>
                  </w:r>
                  <w:r>
                    <w:rPr>
                      <w:rFonts w:ascii="Times New Roman" w:hAnsi="Times New Roman" w:cs="Times New Roman"/>
                      <w:b w:val="0"/>
                      <w:bCs/>
                      <w:color w:val="auto"/>
                      <w:kern w:val="2"/>
                      <w:sz w:val="18"/>
                      <w:szCs w:val="18"/>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ascii="Times New Roman" w:hAnsi="Times New Roman" w:cs="Times New Roman"/>
                      <w:b w:val="0"/>
                      <w:bCs/>
                      <w:color w:val="auto"/>
                      <w:sz w:val="18"/>
                      <w:szCs w:val="18"/>
                    </w:rPr>
                  </w:pPr>
                  <w:r>
                    <w:rPr>
                      <w:rFonts w:ascii="Times New Roman" w:hAnsi="Times New Roman" w:cs="Times New Roman"/>
                      <w:b w:val="0"/>
                      <w:bCs/>
                      <w:color w:val="auto"/>
                      <w:kern w:val="2"/>
                      <w:sz w:val="18"/>
                      <w:szCs w:val="18"/>
                      <w:lang w:bidi="ar"/>
                    </w:rPr>
                    <w:t>1</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ascii="Times New Roman" w:hAnsi="Times New Roman" w:cs="Times New Roman"/>
                      <w:b w:val="0"/>
                      <w:bCs/>
                      <w:color w:val="auto"/>
                      <w:sz w:val="18"/>
                      <w:szCs w:val="18"/>
                    </w:rPr>
                  </w:pPr>
                  <w:r>
                    <w:rPr>
                      <w:rFonts w:ascii="Times New Roman" w:hAnsi="Times New Roman" w:cs="Times New Roman"/>
                      <w:b w:val="0"/>
                      <w:bCs/>
                      <w:color w:val="auto"/>
                      <w:kern w:val="2"/>
                      <w:sz w:val="18"/>
                      <w:szCs w:val="18"/>
                      <w:lang w:bidi="ar"/>
                    </w:rPr>
                    <w:t>废油液挥发</w:t>
                  </w:r>
                  <w:r>
                    <w:rPr>
                      <w:rFonts w:hint="eastAsia" w:ascii="Times New Roman" w:hAnsi="Times New Roman" w:cs="Times New Roman"/>
                      <w:b w:val="0"/>
                      <w:bCs/>
                      <w:color w:val="auto"/>
                      <w:kern w:val="2"/>
                      <w:sz w:val="18"/>
                      <w:szCs w:val="18"/>
                      <w:lang w:eastAsia="zh-CN" w:bidi="ar"/>
                    </w:rPr>
                    <w:t>及</w:t>
                  </w:r>
                  <w:r>
                    <w:rPr>
                      <w:rFonts w:ascii="Times New Roman" w:hAnsi="Times New Roman" w:cs="Times New Roman"/>
                      <w:b w:val="0"/>
                      <w:bCs/>
                      <w:color w:val="auto"/>
                      <w:kern w:val="2"/>
                      <w:sz w:val="18"/>
                      <w:szCs w:val="18"/>
                      <w:lang w:bidi="ar"/>
                    </w:rPr>
                    <w:t>废制冷剂挥发</w:t>
                  </w:r>
                </w:p>
              </w:tc>
              <w:tc>
                <w:tcPr>
                  <w:tcW w:w="8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ascii="Times New Roman" w:hAnsi="Times New Roman" w:cs="Times New Roman"/>
                      <w:b w:val="0"/>
                      <w:bCs/>
                      <w:color w:val="auto"/>
                      <w:sz w:val="18"/>
                      <w:szCs w:val="18"/>
                    </w:rPr>
                  </w:pPr>
                  <w:r>
                    <w:rPr>
                      <w:rFonts w:ascii="Times New Roman" w:hAnsi="Times New Roman" w:cs="Times New Roman"/>
                      <w:b w:val="0"/>
                      <w:bCs/>
                      <w:color w:val="auto"/>
                      <w:kern w:val="2"/>
                      <w:sz w:val="18"/>
                      <w:szCs w:val="18"/>
                      <w:lang w:bidi="ar"/>
                    </w:rPr>
                    <w:t>VOCs</w:t>
                  </w:r>
                </w:p>
              </w:tc>
              <w:tc>
                <w:tcPr>
                  <w:tcW w:w="11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hint="default" w:ascii="Times New Roman" w:hAnsi="Times New Roman" w:eastAsia="宋体" w:cs="Times New Roman"/>
                      <w:b w:val="0"/>
                      <w:bCs/>
                      <w:color w:val="auto"/>
                      <w:sz w:val="18"/>
                      <w:szCs w:val="18"/>
                      <w:lang w:val="en-US" w:eastAsia="zh-CN"/>
                    </w:rPr>
                  </w:pPr>
                  <w:r>
                    <w:rPr>
                      <w:rFonts w:hint="eastAsia" w:ascii="Times New Roman" w:hAnsi="Times New Roman" w:cs="Times New Roman"/>
                      <w:b w:val="0"/>
                      <w:bCs/>
                      <w:color w:val="auto"/>
                      <w:sz w:val="18"/>
                      <w:szCs w:val="18"/>
                      <w:lang w:val="en-US" w:eastAsia="zh-CN"/>
                    </w:rPr>
                    <w:t>87</w:t>
                  </w: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hint="default" w:ascii="Times New Roman" w:hAnsi="Times New Roman" w:eastAsia="宋体" w:cs="Times New Roman"/>
                      <w:b w:val="0"/>
                      <w:bCs/>
                      <w:color w:val="auto"/>
                      <w:sz w:val="18"/>
                      <w:szCs w:val="18"/>
                      <w:lang w:val="en-US" w:eastAsia="zh-CN"/>
                    </w:rPr>
                  </w:pPr>
                  <w:r>
                    <w:rPr>
                      <w:rFonts w:hint="eastAsia" w:ascii="Times New Roman" w:hAnsi="Times New Roman" w:cs="Times New Roman"/>
                      <w:b w:val="0"/>
                      <w:bCs/>
                      <w:color w:val="auto"/>
                      <w:sz w:val="18"/>
                      <w:szCs w:val="18"/>
                      <w:lang w:val="en-US" w:eastAsia="zh-CN"/>
                    </w:rPr>
                    <w:t>2.2104</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hint="default" w:ascii="Times New Roman" w:hAnsi="Times New Roman" w:eastAsia="宋体" w:cs="Times New Roman"/>
                      <w:b w:val="0"/>
                      <w:bCs/>
                      <w:color w:val="auto"/>
                      <w:sz w:val="18"/>
                      <w:szCs w:val="18"/>
                      <w:lang w:val="en-US" w:eastAsia="zh-CN"/>
                    </w:rPr>
                  </w:pPr>
                  <w:r>
                    <w:rPr>
                      <w:rFonts w:hint="eastAsia" w:ascii="Times New Roman" w:hAnsi="Times New Roman" w:cs="Times New Roman"/>
                      <w:b w:val="0"/>
                      <w:bCs/>
                      <w:color w:val="auto"/>
                      <w:sz w:val="18"/>
                      <w:szCs w:val="18"/>
                    </w:rPr>
                    <w:t>0</w:t>
                  </w:r>
                  <w:r>
                    <w:rPr>
                      <w:rFonts w:ascii="Times New Roman" w:hAnsi="Times New Roman" w:cs="Times New Roman"/>
                      <w:b w:val="0"/>
                      <w:bCs/>
                      <w:color w:val="auto"/>
                      <w:sz w:val="18"/>
                      <w:szCs w:val="18"/>
                    </w:rPr>
                    <w:t>.</w:t>
                  </w:r>
                  <w:r>
                    <w:rPr>
                      <w:rFonts w:hint="eastAsia" w:ascii="Times New Roman" w:hAnsi="Times New Roman" w:cs="Times New Roman"/>
                      <w:b w:val="0"/>
                      <w:bCs/>
                      <w:color w:val="auto"/>
                      <w:sz w:val="18"/>
                      <w:szCs w:val="18"/>
                      <w:lang w:val="en-US" w:eastAsia="zh-CN"/>
                    </w:rPr>
                    <w:t>18</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ascii="Times New Roman" w:hAnsi="Times New Roman" w:cs="Times New Roman"/>
                      <w:b w:val="0"/>
                      <w:bCs/>
                      <w:color w:val="auto"/>
                      <w:sz w:val="18"/>
                      <w:szCs w:val="18"/>
                    </w:rPr>
                  </w:pPr>
                  <w:r>
                    <w:rPr>
                      <w:rFonts w:ascii="Times New Roman" w:hAnsi="Times New Roman" w:cs="Times New Roman"/>
                      <w:b w:val="0"/>
                      <w:bCs/>
                      <w:color w:val="auto"/>
                      <w:kern w:val="2"/>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ascii="Times New Roman" w:hAnsi="Times New Roman" w:cs="Times New Roman"/>
                      <w:b w:val="0"/>
                      <w:bCs/>
                      <w:color w:val="auto"/>
                      <w:kern w:val="2"/>
                      <w:sz w:val="18"/>
                      <w:szCs w:val="18"/>
                      <w:lang w:bidi="ar"/>
                    </w:rPr>
                  </w:pPr>
                  <w:r>
                    <w:rPr>
                      <w:rFonts w:ascii="Times New Roman" w:hAnsi="Times New Roman" w:cs="Times New Roman"/>
                      <w:b w:val="0"/>
                      <w:bCs/>
                      <w:color w:val="auto"/>
                      <w:kern w:val="2"/>
                      <w:sz w:val="18"/>
                      <w:szCs w:val="18"/>
                      <w:lang w:bidi="ar"/>
                    </w:rPr>
                    <w:t>2</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ascii="Times New Roman" w:hAnsi="Times New Roman" w:cs="Times New Roman"/>
                      <w:b w:val="0"/>
                      <w:bCs/>
                      <w:color w:val="auto"/>
                      <w:kern w:val="2"/>
                      <w:sz w:val="18"/>
                      <w:szCs w:val="18"/>
                      <w:lang w:bidi="ar"/>
                    </w:rPr>
                  </w:pPr>
                  <w:r>
                    <w:rPr>
                      <w:rFonts w:ascii="Times New Roman" w:hAnsi="Times New Roman" w:cs="Times New Roman"/>
                      <w:b w:val="0"/>
                      <w:bCs/>
                      <w:color w:val="auto"/>
                      <w:kern w:val="2"/>
                      <w:sz w:val="18"/>
                      <w:szCs w:val="18"/>
                      <w:lang w:bidi="ar"/>
                    </w:rPr>
                    <w:t>气体切割</w:t>
                  </w:r>
                </w:p>
              </w:tc>
              <w:tc>
                <w:tcPr>
                  <w:tcW w:w="8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ascii="Times New Roman" w:hAnsi="Times New Roman" w:cs="Times New Roman"/>
                      <w:b w:val="0"/>
                      <w:bCs/>
                      <w:color w:val="auto"/>
                      <w:kern w:val="2"/>
                      <w:sz w:val="18"/>
                      <w:szCs w:val="18"/>
                      <w:lang w:bidi="ar"/>
                    </w:rPr>
                  </w:pPr>
                  <w:r>
                    <w:rPr>
                      <w:b w:val="0"/>
                      <w:bCs/>
                      <w:color w:val="auto"/>
                      <w:sz w:val="18"/>
                      <w:szCs w:val="18"/>
                      <w:lang w:val="zh-CN" w:eastAsia="zh-CN"/>
                    </w:rPr>
                    <w:t>TSP</w:t>
                  </w:r>
                </w:p>
              </w:tc>
              <w:tc>
                <w:tcPr>
                  <w:tcW w:w="11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hint="default" w:ascii="Times New Roman" w:hAnsi="Times New Roman" w:eastAsia="宋体" w:cs="Times New Roman"/>
                      <w:b w:val="0"/>
                      <w:bCs/>
                      <w:color w:val="auto"/>
                      <w:kern w:val="2"/>
                      <w:sz w:val="18"/>
                      <w:szCs w:val="18"/>
                      <w:lang w:val="en-US" w:eastAsia="zh-CN" w:bidi="ar"/>
                    </w:rPr>
                  </w:pPr>
                  <w:r>
                    <w:rPr>
                      <w:rFonts w:hint="eastAsia" w:ascii="Times New Roman" w:hAnsi="Times New Roman" w:cs="Times New Roman"/>
                      <w:b w:val="0"/>
                      <w:bCs/>
                      <w:color w:val="auto"/>
                      <w:kern w:val="2"/>
                      <w:sz w:val="18"/>
                      <w:szCs w:val="18"/>
                      <w:lang w:val="en-US" w:eastAsia="zh-CN" w:bidi="ar"/>
                    </w:rPr>
                    <w:t>87</w:t>
                  </w: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hint="default" w:ascii="Times New Roman" w:hAnsi="Times New Roman" w:eastAsia="宋体" w:cs="Times New Roman"/>
                      <w:b w:val="0"/>
                      <w:bCs/>
                      <w:color w:val="auto"/>
                      <w:kern w:val="2"/>
                      <w:sz w:val="18"/>
                      <w:szCs w:val="18"/>
                      <w:lang w:val="en-US" w:eastAsia="zh-CN" w:bidi="ar"/>
                    </w:rPr>
                  </w:pPr>
                  <w:r>
                    <w:rPr>
                      <w:rFonts w:hint="eastAsia" w:ascii="Times New Roman" w:hAnsi="Times New Roman" w:cs="Times New Roman"/>
                      <w:b w:val="0"/>
                      <w:bCs/>
                      <w:color w:val="auto"/>
                      <w:kern w:val="2"/>
                      <w:sz w:val="18"/>
                      <w:szCs w:val="18"/>
                      <w:lang w:val="en-US" w:eastAsia="zh-CN" w:bidi="ar"/>
                    </w:rPr>
                    <w:t>0.8947</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hint="default" w:ascii="Times New Roman" w:hAnsi="Times New Roman" w:eastAsia="宋体" w:cs="Times New Roman"/>
                      <w:b w:val="0"/>
                      <w:bCs/>
                      <w:color w:val="auto"/>
                      <w:kern w:val="2"/>
                      <w:sz w:val="18"/>
                      <w:szCs w:val="18"/>
                      <w:lang w:val="en-US" w:eastAsia="zh-CN" w:bidi="ar"/>
                    </w:rPr>
                  </w:pPr>
                  <w:r>
                    <w:rPr>
                      <w:rFonts w:hint="eastAsia" w:ascii="Times New Roman" w:hAnsi="Times New Roman" w:cs="Times New Roman"/>
                      <w:b w:val="0"/>
                      <w:bCs/>
                      <w:color w:val="auto"/>
                      <w:kern w:val="2"/>
                      <w:sz w:val="18"/>
                      <w:szCs w:val="18"/>
                      <w:lang w:bidi="ar"/>
                    </w:rPr>
                    <w:t>0</w:t>
                  </w:r>
                  <w:r>
                    <w:rPr>
                      <w:rFonts w:ascii="Times New Roman" w:hAnsi="Times New Roman" w:cs="Times New Roman"/>
                      <w:b w:val="0"/>
                      <w:bCs/>
                      <w:color w:val="auto"/>
                      <w:kern w:val="2"/>
                      <w:sz w:val="18"/>
                      <w:szCs w:val="18"/>
                      <w:lang w:bidi="ar"/>
                    </w:rPr>
                    <w:t>.</w:t>
                  </w:r>
                  <w:r>
                    <w:rPr>
                      <w:rFonts w:hint="eastAsia" w:ascii="Times New Roman" w:hAnsi="Times New Roman" w:cs="Times New Roman"/>
                      <w:b w:val="0"/>
                      <w:bCs/>
                      <w:color w:val="auto"/>
                      <w:kern w:val="2"/>
                      <w:sz w:val="18"/>
                      <w:szCs w:val="18"/>
                      <w:lang w:val="en-US" w:eastAsia="zh-CN" w:bidi="ar"/>
                    </w:rPr>
                    <w:t>10</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adjustRightInd w:val="0"/>
                    <w:snapToGrid w:val="0"/>
                    <w:spacing w:before="0" w:beforeAutospacing="0" w:after="0" w:afterAutospacing="0"/>
                    <w:jc w:val="center"/>
                    <w:rPr>
                      <w:rFonts w:ascii="Times New Roman" w:hAnsi="Times New Roman" w:cs="Times New Roman"/>
                      <w:b w:val="0"/>
                      <w:bCs/>
                      <w:color w:val="auto"/>
                      <w:kern w:val="2"/>
                      <w:sz w:val="18"/>
                      <w:szCs w:val="18"/>
                      <w:lang w:bidi="ar"/>
                    </w:rPr>
                  </w:pPr>
                  <w:r>
                    <w:rPr>
                      <w:rFonts w:ascii="Times New Roman" w:hAnsi="Times New Roman" w:cs="Times New Roman"/>
                      <w:b w:val="0"/>
                      <w:bCs/>
                      <w:color w:val="auto"/>
                      <w:kern w:val="2"/>
                      <w:sz w:val="18"/>
                      <w:szCs w:val="18"/>
                      <w:lang w:bidi="ar"/>
                    </w:rPr>
                    <w:t>≤0</w:t>
                  </w:r>
                </w:p>
              </w:tc>
            </w:tr>
          </w:tbl>
          <w:p>
            <w:pPr>
              <w:pStyle w:val="6"/>
              <w:pageBreakBefore w:val="0"/>
              <w:widowControl w:val="0"/>
              <w:kinsoku/>
              <w:wordWrap/>
              <w:overflowPunct/>
              <w:topLinePunct w:val="0"/>
              <w:autoSpaceDE/>
              <w:autoSpaceDN/>
              <w:bidi w:val="0"/>
              <w:adjustRightInd/>
              <w:snapToGrid/>
              <w:spacing w:after="0" w:line="360" w:lineRule="auto"/>
              <w:ind w:left="3" w:leftChars="0" w:firstLine="422" w:firstLineChars="201"/>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本项目拆解车间产生的无组织粉尘颗粒物、</w:t>
            </w:r>
            <w:r>
              <w:rPr>
                <w:rFonts w:hint="eastAsia" w:ascii="宋体" w:hAnsi="宋体" w:cs="宋体"/>
                <w:color w:val="auto"/>
                <w:kern w:val="2"/>
                <w:sz w:val="21"/>
                <w:szCs w:val="21"/>
                <w:lang w:val="en-US" w:eastAsia="zh-CN" w:bidi="ar-SA"/>
              </w:rPr>
              <w:t>预处理车间产生</w:t>
            </w:r>
            <w:r>
              <w:rPr>
                <w:rFonts w:hint="eastAsia" w:ascii="宋体" w:hAnsi="宋体" w:eastAsia="宋体" w:cs="宋体"/>
                <w:color w:val="auto"/>
                <w:kern w:val="2"/>
                <w:sz w:val="21"/>
                <w:szCs w:val="21"/>
                <w:lang w:val="en-US" w:eastAsia="zh-CN" w:bidi="ar-SA"/>
              </w:rPr>
              <w:t>挥发的非甲烷总烃，在达到 8</w:t>
            </w:r>
            <w:r>
              <w:rPr>
                <w:rFonts w:hint="eastAsia" w:ascii="宋体" w:hAnsi="宋体" w:cs="宋体"/>
                <w:color w:val="auto"/>
                <w:kern w:val="2"/>
                <w:sz w:val="21"/>
                <w:szCs w:val="21"/>
                <w:lang w:val="en-US" w:eastAsia="zh-CN" w:bidi="ar-SA"/>
              </w:rPr>
              <w:t>7</w:t>
            </w:r>
            <w:r>
              <w:rPr>
                <w:rFonts w:hint="eastAsia" w:ascii="宋体" w:hAnsi="宋体" w:eastAsia="宋体" w:cs="宋体"/>
                <w:color w:val="auto"/>
                <w:kern w:val="2"/>
                <w:sz w:val="21"/>
                <w:szCs w:val="21"/>
                <w:lang w:val="en-US" w:eastAsia="zh-CN" w:bidi="ar-SA"/>
              </w:rPr>
              <w:t>m 的最大落地浓度峰值后，贡献浓度逐渐随着距离的增加而降低。最大落地浓度出现在距离拆解车间 8</w:t>
            </w:r>
            <w:r>
              <w:rPr>
                <w:rFonts w:hint="eastAsia" w:ascii="宋体" w:hAnsi="宋体" w:cs="宋体"/>
                <w:color w:val="auto"/>
                <w:kern w:val="2"/>
                <w:sz w:val="21"/>
                <w:szCs w:val="21"/>
                <w:lang w:val="en-US" w:eastAsia="zh-CN" w:bidi="ar-SA"/>
              </w:rPr>
              <w:t>7</w:t>
            </w:r>
            <w:r>
              <w:rPr>
                <w:rFonts w:hint="eastAsia" w:ascii="宋体" w:hAnsi="宋体" w:eastAsia="宋体" w:cs="宋体"/>
                <w:color w:val="auto"/>
                <w:kern w:val="2"/>
                <w:sz w:val="21"/>
                <w:szCs w:val="21"/>
                <w:lang w:val="en-US" w:eastAsia="zh-CN" w:bidi="ar-SA"/>
              </w:rPr>
              <w:t xml:space="preserve">m 的下风向点位处；其中，TSP 的最大落地浓度为 </w:t>
            </w:r>
            <w:r>
              <w:rPr>
                <w:rFonts w:hint="eastAsia" w:ascii="Times New Roman" w:hAnsi="Times New Roman" w:cs="Times New Roman"/>
                <w:b w:val="0"/>
                <w:bCs/>
                <w:color w:val="auto"/>
                <w:kern w:val="2"/>
                <w:sz w:val="18"/>
                <w:szCs w:val="18"/>
                <w:lang w:val="en-US" w:eastAsia="zh-CN" w:bidi="ar"/>
              </w:rPr>
              <w:t>0.8947</w:t>
            </w:r>
            <w:r>
              <w:rPr>
                <w:rFonts w:ascii="Times New Roman" w:hAnsi="Times New Roman" w:cs="Times New Roman"/>
                <w:b w:val="0"/>
                <w:bCs/>
                <w:color w:val="auto"/>
                <w:kern w:val="2"/>
                <w:sz w:val="18"/>
                <w:szCs w:val="18"/>
                <w:lang w:bidi="ar"/>
              </w:rPr>
              <w:t>μg</w:t>
            </w:r>
            <w:r>
              <w:rPr>
                <w:rFonts w:hint="eastAsia" w:ascii="宋体" w:hAnsi="宋体" w:eastAsia="宋体" w:cs="宋体"/>
                <w:color w:val="auto"/>
                <w:kern w:val="2"/>
                <w:sz w:val="21"/>
                <w:szCs w:val="21"/>
                <w:lang w:val="en-US" w:eastAsia="zh-CN" w:bidi="ar-SA"/>
              </w:rPr>
              <w:t>/m</w:t>
            </w:r>
            <w:r>
              <w:rPr>
                <w:rFonts w:hint="eastAsia" w:ascii="宋体" w:hAnsi="宋体" w:eastAsia="宋体" w:cs="宋体"/>
                <w:color w:val="auto"/>
                <w:kern w:val="2"/>
                <w:sz w:val="21"/>
                <w:szCs w:val="21"/>
                <w:vertAlign w:val="superscript"/>
                <w:lang w:val="en-US" w:eastAsia="zh-CN" w:bidi="ar-SA"/>
              </w:rPr>
              <w:t>3</w:t>
            </w:r>
            <w:r>
              <w:rPr>
                <w:rFonts w:hint="eastAsia" w:ascii="宋体" w:hAnsi="宋体" w:eastAsia="宋体" w:cs="宋体"/>
                <w:color w:val="auto"/>
                <w:kern w:val="2"/>
                <w:sz w:val="21"/>
                <w:szCs w:val="21"/>
                <w:lang w:val="en-US" w:eastAsia="zh-CN" w:bidi="ar-SA"/>
              </w:rPr>
              <w:t>、占标率为 0.1</w:t>
            </w:r>
            <w:r>
              <w:rPr>
                <w:rFonts w:hint="eastAsia" w:ascii="宋体" w:hAnsi="宋体" w:cs="宋体"/>
                <w:color w:val="auto"/>
                <w:kern w:val="2"/>
                <w:sz w:val="21"/>
                <w:szCs w:val="21"/>
                <w:lang w:val="en-US" w:eastAsia="zh-CN" w:bidi="ar-SA"/>
              </w:rPr>
              <w:t>0</w:t>
            </w:r>
            <w:r>
              <w:rPr>
                <w:rFonts w:hint="eastAsia" w:ascii="宋体" w:hAnsi="宋体" w:eastAsia="宋体" w:cs="宋体"/>
                <w:color w:val="auto"/>
                <w:kern w:val="2"/>
                <w:sz w:val="21"/>
                <w:szCs w:val="21"/>
                <w:lang w:val="en-US" w:eastAsia="zh-CN" w:bidi="ar-SA"/>
              </w:rPr>
              <w:t xml:space="preserve">%，非甲烷总烃的最大落地浓度为 </w:t>
            </w:r>
            <w:r>
              <w:rPr>
                <w:rFonts w:hint="eastAsia" w:ascii="Times New Roman" w:hAnsi="Times New Roman" w:cs="Times New Roman"/>
                <w:b w:val="0"/>
                <w:bCs/>
                <w:color w:val="auto"/>
                <w:sz w:val="18"/>
                <w:szCs w:val="18"/>
                <w:lang w:val="en-US" w:eastAsia="zh-CN"/>
              </w:rPr>
              <w:t>2.2104</w:t>
            </w:r>
            <w:r>
              <w:rPr>
                <w:rFonts w:ascii="Times New Roman" w:hAnsi="Times New Roman" w:cs="Times New Roman"/>
                <w:b w:val="0"/>
                <w:bCs/>
                <w:color w:val="auto"/>
                <w:kern w:val="2"/>
                <w:sz w:val="18"/>
                <w:szCs w:val="18"/>
                <w:lang w:bidi="ar"/>
              </w:rPr>
              <w:t>μ</w:t>
            </w:r>
            <w:r>
              <w:rPr>
                <w:rFonts w:hint="eastAsia" w:ascii="宋体" w:hAnsi="宋体" w:eastAsia="宋体" w:cs="宋体"/>
                <w:color w:val="auto"/>
                <w:kern w:val="2"/>
                <w:sz w:val="21"/>
                <w:szCs w:val="21"/>
                <w:lang w:val="en-US" w:eastAsia="zh-CN" w:bidi="ar-SA"/>
              </w:rPr>
              <w:t>g/m3，占标率为 0.</w:t>
            </w:r>
            <w:r>
              <w:rPr>
                <w:rFonts w:hint="eastAsia" w:ascii="宋体" w:hAnsi="宋体" w:cs="宋体"/>
                <w:color w:val="auto"/>
                <w:kern w:val="2"/>
                <w:sz w:val="21"/>
                <w:szCs w:val="21"/>
                <w:lang w:val="en-US" w:eastAsia="zh-CN" w:bidi="ar-SA"/>
              </w:rPr>
              <w:t>18</w:t>
            </w:r>
            <w:r>
              <w:rPr>
                <w:rFonts w:hint="eastAsia" w:ascii="宋体" w:hAnsi="宋体" w:eastAsia="宋体" w:cs="宋体"/>
                <w:color w:val="auto"/>
                <w:kern w:val="2"/>
                <w:sz w:val="21"/>
                <w:szCs w:val="21"/>
                <w:lang w:val="en-US" w:eastAsia="zh-CN" w:bidi="ar-SA"/>
              </w:rPr>
              <w:t>%,，两者均满足《大气污染物综合排放标准》（GB16297-1996）中关于颗粒物、非甲烷总烃的无组织排放监控限制要求（即周界外最高浓度点的颗粒物浓度小于 1.0≤mg/m</w:t>
            </w:r>
            <w:r>
              <w:rPr>
                <w:rFonts w:hint="eastAsia" w:ascii="宋体" w:hAnsi="宋体" w:eastAsia="宋体" w:cs="宋体"/>
                <w:color w:val="auto"/>
                <w:kern w:val="2"/>
                <w:sz w:val="21"/>
                <w:szCs w:val="21"/>
                <w:vertAlign w:val="superscript"/>
                <w:lang w:val="en-US" w:eastAsia="zh-CN" w:bidi="ar-SA"/>
              </w:rPr>
              <w:t>3</w:t>
            </w:r>
            <w:r>
              <w:rPr>
                <w:rFonts w:hint="eastAsia" w:ascii="宋体" w:hAnsi="宋体" w:eastAsia="宋体" w:cs="宋体"/>
                <w:color w:val="auto"/>
                <w:kern w:val="2"/>
                <w:sz w:val="21"/>
                <w:szCs w:val="21"/>
                <w:lang w:val="en-US" w:eastAsia="zh-CN" w:bidi="ar-SA"/>
              </w:rPr>
              <w:t>，非甲烷总烃≤4.0 mg/m</w:t>
            </w:r>
            <w:r>
              <w:rPr>
                <w:rFonts w:hint="eastAsia" w:ascii="宋体" w:hAnsi="宋体" w:eastAsia="宋体" w:cs="宋体"/>
                <w:color w:val="auto"/>
                <w:kern w:val="2"/>
                <w:sz w:val="21"/>
                <w:szCs w:val="21"/>
                <w:vertAlign w:val="superscript"/>
                <w:lang w:val="en-US" w:eastAsia="zh-CN" w:bidi="ar-SA"/>
              </w:rPr>
              <w:t>3</w:t>
            </w:r>
            <w:r>
              <w:rPr>
                <w:rFonts w:hint="eastAsia" w:ascii="宋体" w:hAnsi="宋体" w:eastAsia="宋体" w:cs="宋体"/>
                <w:color w:val="auto"/>
                <w:kern w:val="2"/>
                <w:sz w:val="21"/>
                <w:szCs w:val="21"/>
                <w:lang w:val="en-US" w:eastAsia="zh-CN" w:bidi="ar-SA"/>
              </w:rPr>
              <w:t>），两者均可达标排放。</w:t>
            </w:r>
          </w:p>
          <w:p>
            <w:pPr>
              <w:pStyle w:val="62"/>
              <w:numPr>
                <w:ilvl w:val="0"/>
                <w:numId w:val="0"/>
              </w:numPr>
              <w:tabs>
                <w:tab w:val="left" w:pos="1781"/>
              </w:tabs>
              <w:spacing w:before="1" w:after="0" w:line="240" w:lineRule="auto"/>
              <w:ind w:left="420" w:leftChars="0" w:right="0" w:rightChars="0" w:firstLine="0" w:firstLineChars="0"/>
              <w:jc w:val="left"/>
              <w:rPr>
                <w:b/>
                <w:bCs/>
                <w:color w:val="auto"/>
                <w:sz w:val="21"/>
                <w:szCs w:val="21"/>
              </w:rPr>
            </w:pPr>
            <w:r>
              <w:rPr>
                <w:rFonts w:hint="eastAsia"/>
                <w:b/>
                <w:bCs/>
                <w:color w:val="auto"/>
                <w:sz w:val="21"/>
                <w:szCs w:val="21"/>
                <w:lang w:val="en-US" w:eastAsia="zh-CN"/>
              </w:rPr>
              <w:t>3、</w:t>
            </w:r>
            <w:r>
              <w:rPr>
                <w:b/>
                <w:bCs/>
                <w:color w:val="auto"/>
                <w:sz w:val="21"/>
                <w:szCs w:val="21"/>
              </w:rPr>
              <w:t>卫生防护距离</w:t>
            </w:r>
          </w:p>
          <w:p>
            <w:pPr>
              <w:pStyle w:val="7"/>
              <w:spacing w:before="173" w:line="374" w:lineRule="auto"/>
              <w:ind w:right="-41" w:rightChars="0" w:firstLine="198" w:firstLineChars="100"/>
              <w:jc w:val="both"/>
              <w:rPr>
                <w:color w:val="auto"/>
                <w:sz w:val="21"/>
                <w:szCs w:val="21"/>
              </w:rPr>
            </w:pPr>
            <w:r>
              <w:rPr>
                <w:color w:val="auto"/>
                <w:spacing w:val="-6"/>
                <w:sz w:val="21"/>
                <w:szCs w:val="21"/>
              </w:rPr>
              <w:t>本工程无组织排放废气的卫生防护距离按照《制定大气污染物排放标准的技</w:t>
            </w:r>
            <w:r>
              <w:rPr>
                <w:color w:val="auto"/>
                <w:spacing w:val="-11"/>
                <w:sz w:val="21"/>
                <w:szCs w:val="21"/>
              </w:rPr>
              <w:t>术方法</w:t>
            </w:r>
            <w:r>
              <w:rPr>
                <w:color w:val="auto"/>
                <w:spacing w:val="-3"/>
                <w:sz w:val="21"/>
                <w:szCs w:val="21"/>
              </w:rPr>
              <w:t>（GB/T13201-91）</w:t>
            </w:r>
            <w:r>
              <w:rPr>
                <w:color w:val="auto"/>
                <w:spacing w:val="-7"/>
                <w:sz w:val="21"/>
                <w:szCs w:val="21"/>
              </w:rPr>
              <w:t>》中工业企业卫生防护距离的计算公式计算颗粒物需设</w:t>
            </w:r>
            <w:r>
              <w:rPr>
                <w:color w:val="auto"/>
                <w:sz w:val="21"/>
                <w:szCs w:val="21"/>
              </w:rPr>
              <w:t>置的卫生防护距离。</w:t>
            </w:r>
          </w:p>
          <w:p>
            <w:pPr>
              <w:pStyle w:val="7"/>
              <w:spacing w:before="1"/>
              <w:ind w:left="1180"/>
              <w:rPr>
                <w:color w:val="auto"/>
                <w:sz w:val="21"/>
                <w:szCs w:val="21"/>
              </w:rPr>
            </w:pPr>
            <w:r>
              <w:rPr>
                <w:color w:val="auto"/>
                <w:sz w:val="21"/>
                <w:szCs w:val="21"/>
              </w:rPr>
              <w:t>计算公式及所选取的参数如下：</w:t>
            </w:r>
          </w:p>
          <w:p>
            <w:pPr>
              <w:rPr>
                <w:color w:val="auto"/>
                <w:sz w:val="21"/>
                <w:szCs w:val="21"/>
              </w:rPr>
            </w:pPr>
            <w:r>
              <w:rPr>
                <w:color w:val="auto"/>
                <w:szCs w:val="21"/>
              </w:rPr>
              <w:pict>
                <v:shape id="对象 810" o:spid="_x0000_s1028" o:spt="75" type="#_x0000_t75" style="position:absolute;left:0pt;margin-left:83.5pt;margin-top:1.9pt;height:35pt;width:144.15pt;z-index:251664384;mso-width-relative:page;mso-height-relative:page;" o:ole="t" filled="f" o:preferrelative="t" stroked="f" coordsize="21600,21600">
                  <v:path/>
                  <v:fill on="f" focussize="0,0"/>
                  <v:stroke on="f"/>
                  <v:imagedata r:id="rId28" o:title=""/>
                  <o:lock v:ext="edit" aspectratio="t"/>
                </v:shape>
                <o:OLEObject Type="Embed" ProgID="Equations" ShapeID="对象 810" DrawAspect="Content" ObjectID="_1468075725" r:id="rId27">
                  <o:LockedField>false</o:LockedField>
                </o:OLEObject>
              </w:pict>
            </w:r>
          </w:p>
          <w:p>
            <w:pPr>
              <w:pStyle w:val="7"/>
              <w:rPr>
                <w:rFonts w:hint="default" w:eastAsia="宋体"/>
                <w:color w:val="auto"/>
                <w:sz w:val="21"/>
                <w:szCs w:val="21"/>
                <w:lang w:val="en-US" w:eastAsia="zh-CN"/>
              </w:rPr>
            </w:pPr>
            <w:r>
              <w:rPr>
                <w:rFonts w:hint="eastAsia"/>
                <w:color w:val="auto"/>
                <w:sz w:val="21"/>
                <w:szCs w:val="21"/>
                <w:lang w:val="en-US" w:eastAsia="zh-CN"/>
              </w:rPr>
              <w:t xml:space="preserve">  </w:t>
            </w:r>
          </w:p>
          <w:p>
            <w:pPr>
              <w:pStyle w:val="7"/>
              <w:spacing w:before="66"/>
              <w:ind w:left="1180"/>
              <w:rPr>
                <w:color w:val="auto"/>
              </w:rPr>
            </w:pPr>
          </w:p>
          <w:p>
            <w:pPr>
              <w:pStyle w:val="7"/>
              <w:keepNext w:val="0"/>
              <w:keepLines w:val="0"/>
              <w:pageBreakBefore w:val="0"/>
              <w:widowControl/>
              <w:kinsoku/>
              <w:wordWrap/>
              <w:overflowPunct/>
              <w:topLinePunct w:val="0"/>
              <w:autoSpaceDE/>
              <w:autoSpaceDN/>
              <w:bidi w:val="0"/>
              <w:adjustRightInd/>
              <w:snapToGrid w:val="0"/>
              <w:spacing w:before="0" w:after="0" w:line="360" w:lineRule="auto"/>
              <w:ind w:left="1180"/>
              <w:textAlignment w:val="auto"/>
              <w:rPr>
                <w:color w:val="auto"/>
                <w:sz w:val="21"/>
                <w:szCs w:val="21"/>
              </w:rPr>
            </w:pPr>
            <w:r>
              <w:rPr>
                <w:color w:val="auto"/>
              </w:rPr>
              <w:t>C</w:t>
            </w:r>
            <w:r>
              <w:rPr>
                <w:rFonts w:ascii="Times New Roman"/>
                <w:i/>
                <w:color w:val="auto"/>
                <w:position w:val="-5"/>
                <w:sz w:val="14"/>
              </w:rPr>
              <w:t>m</w:t>
            </w:r>
            <w:r>
              <w:rPr>
                <w:color w:val="auto"/>
              </w:rPr>
              <w:t>―</w:t>
            </w:r>
            <w:r>
              <w:rPr>
                <w:color w:val="auto"/>
                <w:sz w:val="21"/>
                <w:szCs w:val="21"/>
              </w:rPr>
              <w:t>标准浓度限值；</w:t>
            </w:r>
          </w:p>
          <w:p>
            <w:pPr>
              <w:pStyle w:val="7"/>
              <w:keepNext w:val="0"/>
              <w:keepLines w:val="0"/>
              <w:pageBreakBefore w:val="0"/>
              <w:widowControl/>
              <w:kinsoku/>
              <w:wordWrap/>
              <w:overflowPunct/>
              <w:topLinePunct w:val="0"/>
              <w:autoSpaceDE/>
              <w:autoSpaceDN/>
              <w:bidi w:val="0"/>
              <w:adjustRightInd/>
              <w:snapToGrid w:val="0"/>
              <w:spacing w:before="0" w:after="0" w:line="360" w:lineRule="auto"/>
              <w:ind w:left="1180"/>
              <w:textAlignment w:val="auto"/>
              <w:rPr>
                <w:color w:val="auto"/>
              </w:rPr>
            </w:pPr>
            <w:r>
              <w:rPr>
                <w:color w:val="auto"/>
              </w:rPr>
              <w:t>L―</w:t>
            </w:r>
            <w:r>
              <w:rPr>
                <w:color w:val="auto"/>
                <w:sz w:val="21"/>
                <w:szCs w:val="21"/>
              </w:rPr>
              <w:t>工业企业所需卫生防护距离</w:t>
            </w:r>
            <w:r>
              <w:rPr>
                <w:color w:val="auto"/>
              </w:rPr>
              <w:t>，m；</w:t>
            </w:r>
          </w:p>
          <w:p>
            <w:pPr>
              <w:pStyle w:val="7"/>
              <w:keepNext w:val="0"/>
              <w:keepLines w:val="0"/>
              <w:pageBreakBefore w:val="0"/>
              <w:widowControl/>
              <w:kinsoku/>
              <w:wordWrap/>
              <w:overflowPunct/>
              <w:topLinePunct w:val="0"/>
              <w:autoSpaceDE/>
              <w:autoSpaceDN/>
              <w:bidi w:val="0"/>
              <w:adjustRightInd/>
              <w:snapToGrid w:val="0"/>
              <w:spacing w:before="0" w:after="0" w:line="360" w:lineRule="auto"/>
              <w:ind w:left="0" w:leftChars="0" w:right="0" w:rightChars="0" w:firstLine="1179" w:firstLineChars="655"/>
              <w:jc w:val="both"/>
              <w:textAlignment w:val="auto"/>
              <w:rPr>
                <w:color w:val="auto"/>
              </w:rPr>
            </w:pPr>
            <w:r>
              <w:rPr>
                <w:color w:val="auto"/>
              </w:rPr>
              <w:t>r―</w:t>
            </w:r>
            <w:r>
              <w:rPr>
                <w:color w:val="auto"/>
                <w:spacing w:val="-2"/>
                <w:sz w:val="21"/>
                <w:szCs w:val="21"/>
              </w:rPr>
              <w:t>有害气体无组织排放源所在生产单元的等效半径，</w:t>
            </w:r>
            <w:r>
              <w:rPr>
                <w:color w:val="auto"/>
                <w:spacing w:val="-32"/>
                <w:sz w:val="21"/>
                <w:szCs w:val="21"/>
              </w:rPr>
              <w:t>m</w:t>
            </w:r>
            <w:r>
              <w:rPr>
                <w:rFonts w:hint="eastAsia"/>
                <w:color w:val="auto"/>
                <w:spacing w:val="-32"/>
                <w:sz w:val="21"/>
                <w:szCs w:val="21"/>
                <w:lang w:val="en-US" w:eastAsia="zh-CN"/>
              </w:rPr>
              <w:t xml:space="preserve"> </w:t>
            </w:r>
            <w:r>
              <w:rPr>
                <w:color w:val="auto"/>
                <w:spacing w:val="-8"/>
                <w:sz w:val="21"/>
                <w:szCs w:val="21"/>
              </w:rPr>
              <w:t>；根据该生产单元占</w:t>
            </w:r>
            <w:r>
              <w:rPr>
                <w:color w:val="auto"/>
                <w:spacing w:val="-15"/>
                <w:sz w:val="21"/>
                <w:szCs w:val="21"/>
              </w:rPr>
              <w:t xml:space="preserve">地面积 </w:t>
            </w:r>
            <w:r>
              <w:rPr>
                <w:color w:val="auto"/>
              </w:rPr>
              <w:t>S（m</w:t>
            </w:r>
            <w:r>
              <w:rPr>
                <w:color w:val="auto"/>
                <w:position w:val="12"/>
                <w:sz w:val="12"/>
              </w:rPr>
              <w:t>2</w:t>
            </w:r>
            <w:r>
              <w:rPr>
                <w:color w:val="auto"/>
              </w:rPr>
              <w:t>）</w:t>
            </w:r>
            <w:r>
              <w:rPr>
                <w:color w:val="auto"/>
                <w:sz w:val="21"/>
                <w:szCs w:val="21"/>
              </w:rPr>
              <w:t>计算</w:t>
            </w:r>
            <w:r>
              <w:rPr>
                <w:color w:val="auto"/>
              </w:rPr>
              <w:t>，r=(S/π)</w:t>
            </w:r>
            <w:r>
              <w:rPr>
                <w:color w:val="auto"/>
                <w:position w:val="12"/>
                <w:sz w:val="12"/>
              </w:rPr>
              <w:t>0.5</w:t>
            </w:r>
            <w:r>
              <w:rPr>
                <w:color w:val="auto"/>
              </w:rPr>
              <w:t>；</w:t>
            </w:r>
          </w:p>
          <w:p>
            <w:pPr>
              <w:pStyle w:val="7"/>
              <w:keepNext w:val="0"/>
              <w:keepLines w:val="0"/>
              <w:pageBreakBefore w:val="0"/>
              <w:widowControl/>
              <w:kinsoku/>
              <w:wordWrap/>
              <w:overflowPunct/>
              <w:topLinePunct w:val="0"/>
              <w:autoSpaceDE/>
              <w:autoSpaceDN/>
              <w:bidi w:val="0"/>
              <w:adjustRightInd/>
              <w:snapToGrid w:val="0"/>
              <w:spacing w:before="0" w:after="0" w:line="360" w:lineRule="auto"/>
              <w:ind w:left="0" w:leftChars="0" w:right="-41" w:rightChars="0" w:firstLine="1260" w:firstLineChars="600"/>
              <w:jc w:val="both"/>
              <w:textAlignment w:val="auto"/>
              <w:rPr>
                <w:color w:val="auto"/>
                <w:sz w:val="21"/>
                <w:szCs w:val="21"/>
              </w:rPr>
            </w:pPr>
            <w:r>
              <w:rPr>
                <w:color w:val="auto"/>
                <w:sz w:val="21"/>
                <w:szCs w:val="21"/>
              </w:rPr>
              <w:t>A</w:t>
            </w:r>
            <w:r>
              <w:rPr>
                <w:color w:val="auto"/>
                <w:spacing w:val="-20"/>
                <w:sz w:val="21"/>
                <w:szCs w:val="21"/>
              </w:rPr>
              <w:t>、</w:t>
            </w:r>
            <w:r>
              <w:rPr>
                <w:color w:val="auto"/>
                <w:sz w:val="21"/>
                <w:szCs w:val="21"/>
              </w:rPr>
              <w:t>B</w:t>
            </w:r>
            <w:r>
              <w:rPr>
                <w:color w:val="auto"/>
                <w:spacing w:val="-20"/>
                <w:sz w:val="21"/>
                <w:szCs w:val="21"/>
              </w:rPr>
              <w:t>、</w:t>
            </w:r>
            <w:r>
              <w:rPr>
                <w:color w:val="auto"/>
                <w:sz w:val="21"/>
                <w:szCs w:val="21"/>
              </w:rPr>
              <w:t>C</w:t>
            </w:r>
            <w:r>
              <w:rPr>
                <w:color w:val="auto"/>
                <w:spacing w:val="-20"/>
                <w:sz w:val="21"/>
                <w:szCs w:val="21"/>
              </w:rPr>
              <w:t>、</w:t>
            </w:r>
            <w:r>
              <w:rPr>
                <w:color w:val="auto"/>
                <w:sz w:val="21"/>
                <w:szCs w:val="21"/>
              </w:rPr>
              <w:t>D――</w:t>
            </w:r>
            <w:r>
              <w:rPr>
                <w:color w:val="auto"/>
                <w:spacing w:val="-5"/>
                <w:sz w:val="21"/>
                <w:szCs w:val="21"/>
              </w:rPr>
              <w:t>卫生防护距离计算系数，无因次，根据工业企业所在地区年</w:t>
            </w:r>
            <w:r>
              <w:rPr>
                <w:color w:val="auto"/>
                <w:sz w:val="21"/>
                <w:szCs w:val="21"/>
              </w:rPr>
              <w:t>平均风速及工业企业大气污染源构成类别从制定大气污染物排放标准的技术方法（GB/T3840-91）</w:t>
            </w:r>
            <w:r>
              <w:rPr>
                <w:color w:val="auto"/>
                <w:spacing w:val="-3"/>
                <w:sz w:val="21"/>
                <w:szCs w:val="21"/>
              </w:rPr>
              <w:t xml:space="preserve">中卫生防护距离计算系数表查取；年平均风速为 </w:t>
            </w:r>
            <w:r>
              <w:rPr>
                <w:color w:val="auto"/>
                <w:sz w:val="21"/>
                <w:szCs w:val="21"/>
              </w:rPr>
              <w:t>2m/s；</w:t>
            </w:r>
          </w:p>
          <w:p>
            <w:pPr>
              <w:pStyle w:val="7"/>
              <w:keepNext w:val="0"/>
              <w:keepLines w:val="0"/>
              <w:pageBreakBefore w:val="0"/>
              <w:widowControl/>
              <w:kinsoku/>
              <w:wordWrap/>
              <w:overflowPunct/>
              <w:topLinePunct w:val="0"/>
              <w:autoSpaceDE/>
              <w:autoSpaceDN/>
              <w:bidi w:val="0"/>
              <w:adjustRightInd/>
              <w:snapToGrid w:val="0"/>
              <w:spacing w:before="0" w:after="0" w:line="360" w:lineRule="auto"/>
              <w:ind w:left="1180" w:right="159" w:rightChars="0"/>
              <w:jc w:val="both"/>
              <w:textAlignment w:val="auto"/>
              <w:rPr>
                <w:color w:val="auto"/>
                <w:sz w:val="21"/>
                <w:szCs w:val="21"/>
              </w:rPr>
            </w:pPr>
            <w:r>
              <w:rPr>
                <w:color w:val="auto"/>
                <w:sz w:val="21"/>
                <w:szCs w:val="21"/>
              </w:rPr>
              <w:t>Q</w:t>
            </w:r>
            <w:r>
              <w:rPr>
                <w:color w:val="auto"/>
                <w:position w:val="-2"/>
                <w:sz w:val="21"/>
                <w:szCs w:val="21"/>
              </w:rPr>
              <w:t>c</w:t>
            </w:r>
            <w:r>
              <w:rPr>
                <w:color w:val="auto"/>
                <w:sz w:val="21"/>
                <w:szCs w:val="21"/>
              </w:rPr>
              <w:t>―工业企业有害气体无组织排放量可以达到的控制水平。</w:t>
            </w:r>
          </w:p>
          <w:p>
            <w:pPr>
              <w:pStyle w:val="7"/>
              <w:pageBreakBefore w:val="0"/>
              <w:kinsoku/>
              <w:wordWrap/>
              <w:overflowPunct/>
              <w:topLinePunct w:val="0"/>
              <w:autoSpaceDE/>
              <w:autoSpaceDN/>
              <w:bidi w:val="0"/>
              <w:adjustRightInd/>
              <w:spacing w:before="0" w:after="0" w:line="360" w:lineRule="auto"/>
              <w:ind w:left="1180" w:right="2845"/>
              <w:jc w:val="both"/>
              <w:textAlignment w:val="auto"/>
              <w:rPr>
                <w:color w:val="auto"/>
              </w:rPr>
            </w:pPr>
            <w:r>
              <w:rPr>
                <w:color w:val="auto"/>
                <w:sz w:val="21"/>
                <w:szCs w:val="21"/>
              </w:rPr>
              <w:t>计算结果见表</w:t>
            </w:r>
            <w:r>
              <w:rPr>
                <w:rFonts w:hint="eastAsia"/>
                <w:color w:val="auto"/>
                <w:sz w:val="21"/>
                <w:szCs w:val="21"/>
                <w:lang w:val="en-US" w:eastAsia="zh-CN"/>
              </w:rPr>
              <w:t>4-5</w:t>
            </w:r>
            <w:r>
              <w:rPr>
                <w:color w:val="auto"/>
                <w:sz w:val="21"/>
                <w:szCs w:val="21"/>
              </w:rPr>
              <w:t>。</w:t>
            </w:r>
          </w:p>
          <w:p>
            <w:pPr>
              <w:pStyle w:val="2"/>
              <w:pageBreakBefore w:val="0"/>
              <w:kinsoku/>
              <w:wordWrap/>
              <w:overflowPunct/>
              <w:topLinePunct w:val="0"/>
              <w:autoSpaceDE/>
              <w:autoSpaceDN/>
              <w:bidi w:val="0"/>
              <w:adjustRightInd/>
              <w:spacing w:before="0" w:after="0" w:line="360" w:lineRule="auto"/>
              <w:ind w:left="2783"/>
              <w:jc w:val="both"/>
              <w:textAlignment w:val="auto"/>
              <w:rPr>
                <w:rFonts w:hint="eastAsia" w:eastAsia="宋体"/>
                <w:color w:val="auto"/>
                <w:sz w:val="21"/>
                <w:szCs w:val="21"/>
                <w:lang w:eastAsia="zh-CN"/>
              </w:rPr>
            </w:pPr>
            <w:r>
              <w:rPr>
                <w:color w:val="auto"/>
                <w:sz w:val="21"/>
                <w:szCs w:val="21"/>
              </w:rPr>
              <w:t xml:space="preserve">表 </w:t>
            </w:r>
            <w:r>
              <w:rPr>
                <w:rFonts w:hint="eastAsia" w:ascii="宋体" w:hAnsi="宋体" w:eastAsia="宋体" w:cs="宋体"/>
                <w:color w:val="auto"/>
                <w:sz w:val="21"/>
                <w:szCs w:val="21"/>
                <w:lang w:val="en-US" w:eastAsia="zh-CN"/>
              </w:rPr>
              <w:t>4-5</w:t>
            </w:r>
            <w:r>
              <w:rPr>
                <w:rFonts w:hint="eastAsia" w:ascii="宋体" w:hAnsi="宋体" w:eastAsia="宋体" w:cs="宋体"/>
                <w:color w:val="auto"/>
                <w:sz w:val="21"/>
                <w:szCs w:val="21"/>
              </w:rPr>
              <w:t xml:space="preserve"> </w:t>
            </w:r>
            <w:r>
              <w:rPr>
                <w:color w:val="auto"/>
                <w:sz w:val="21"/>
                <w:szCs w:val="21"/>
              </w:rPr>
              <w:t>项目卫生防护距离计算</w:t>
            </w:r>
            <w:r>
              <w:rPr>
                <w:rFonts w:hint="eastAsia"/>
                <w:color w:val="auto"/>
                <w:sz w:val="21"/>
                <w:szCs w:val="21"/>
                <w:lang w:eastAsia="zh-CN"/>
              </w:rPr>
              <w:t>结果</w:t>
            </w:r>
          </w:p>
          <w:tbl>
            <w:tblPr>
              <w:tblStyle w:val="21"/>
              <w:tblW w:w="803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4"/>
              <w:gridCol w:w="1132"/>
              <w:gridCol w:w="825"/>
              <w:gridCol w:w="799"/>
              <w:gridCol w:w="891"/>
              <w:gridCol w:w="711"/>
              <w:gridCol w:w="766"/>
              <w:gridCol w:w="678"/>
              <w:gridCol w:w="739"/>
              <w:gridCol w:w="7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2" w:hRule="atLeast"/>
                <w:jc w:val="center"/>
              </w:trPr>
              <w:tc>
                <w:tcPr>
                  <w:tcW w:w="754" w:type="dxa"/>
                  <w:tcBorders>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cs="宋体"/>
                      <w:color w:val="auto"/>
                      <w:sz w:val="18"/>
                      <w:szCs w:val="18"/>
                      <w:lang w:eastAsia="zh-CN"/>
                    </w:rPr>
                    <w:t>污染源</w:t>
                  </w:r>
                </w:p>
              </w:tc>
              <w:tc>
                <w:tcPr>
                  <w:tcW w:w="1132"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污染物</w:t>
                  </w:r>
                </w:p>
              </w:tc>
              <w:tc>
                <w:tcPr>
                  <w:tcW w:w="825"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源强 Qc</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（kg/h）</w:t>
                  </w:r>
                </w:p>
              </w:tc>
              <w:tc>
                <w:tcPr>
                  <w:tcW w:w="799"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snapToGrid w:val="0"/>
                      <w:color w:val="auto"/>
                      <w:kern w:val="0"/>
                      <w:sz w:val="18"/>
                      <w:szCs w:val="18"/>
                    </w:rPr>
                  </w:pPr>
                  <w:r>
                    <w:rPr>
                      <w:rFonts w:hint="eastAsia" w:ascii="宋体" w:hAnsi="宋体" w:eastAsia="宋体" w:cs="宋体"/>
                      <w:snapToGrid w:val="0"/>
                      <w:color w:val="auto"/>
                      <w:kern w:val="0"/>
                      <w:sz w:val="18"/>
                      <w:szCs w:val="18"/>
                    </w:rPr>
                    <w:t>标准 Cm</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snapToGrid w:val="0"/>
                      <w:color w:val="auto"/>
                      <w:kern w:val="0"/>
                      <w:sz w:val="18"/>
                      <w:szCs w:val="18"/>
                    </w:rPr>
                    <w:t>（mg/m</w:t>
                  </w:r>
                  <w:r>
                    <w:rPr>
                      <w:rFonts w:hint="eastAsia" w:ascii="宋体" w:hAnsi="宋体" w:eastAsia="宋体" w:cs="宋体"/>
                      <w:snapToGrid w:val="0"/>
                      <w:color w:val="auto"/>
                      <w:kern w:val="0"/>
                      <w:sz w:val="24"/>
                      <w:szCs w:val="24"/>
                      <w:vertAlign w:val="superscript"/>
                    </w:rPr>
                    <w:t>3</w:t>
                  </w:r>
                  <w:r>
                    <w:rPr>
                      <w:rFonts w:hint="eastAsia" w:ascii="宋体" w:hAnsi="宋体" w:eastAsia="宋体" w:cs="宋体"/>
                      <w:snapToGrid w:val="0"/>
                      <w:color w:val="auto"/>
                      <w:kern w:val="0"/>
                      <w:sz w:val="18"/>
                      <w:szCs w:val="18"/>
                    </w:rPr>
                    <w:t>）</w:t>
                  </w:r>
                </w:p>
              </w:tc>
              <w:tc>
                <w:tcPr>
                  <w:tcW w:w="891"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cs="宋体"/>
                      <w:color w:val="auto"/>
                      <w:sz w:val="18"/>
                      <w:szCs w:val="18"/>
                      <w:lang w:eastAsia="zh-CN"/>
                    </w:rPr>
                    <w:t>参数</w:t>
                  </w:r>
                  <w:r>
                    <w:rPr>
                      <w:rFonts w:hint="eastAsia" w:ascii="宋体" w:hAnsi="宋体" w:eastAsia="宋体" w:cs="宋体"/>
                      <w:color w:val="auto"/>
                      <w:sz w:val="18"/>
                      <w:szCs w:val="18"/>
                    </w:rPr>
                    <w:t>A</w:t>
                  </w:r>
                </w:p>
              </w:tc>
              <w:tc>
                <w:tcPr>
                  <w:tcW w:w="711"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cs="宋体"/>
                      <w:color w:val="auto"/>
                      <w:sz w:val="18"/>
                      <w:szCs w:val="18"/>
                      <w:lang w:eastAsia="zh-CN"/>
                    </w:rPr>
                    <w:t>参数</w:t>
                  </w:r>
                  <w:r>
                    <w:rPr>
                      <w:rFonts w:hint="eastAsia" w:ascii="宋体" w:hAnsi="宋体" w:eastAsia="宋体" w:cs="宋体"/>
                      <w:color w:val="auto"/>
                      <w:sz w:val="18"/>
                      <w:szCs w:val="18"/>
                    </w:rPr>
                    <w:t>B</w:t>
                  </w:r>
                </w:p>
              </w:tc>
              <w:tc>
                <w:tcPr>
                  <w:tcW w:w="766"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cs="宋体"/>
                      <w:color w:val="auto"/>
                      <w:sz w:val="18"/>
                      <w:szCs w:val="18"/>
                      <w:lang w:eastAsia="zh-CN"/>
                    </w:rPr>
                    <w:t>参数</w:t>
                  </w:r>
                  <w:r>
                    <w:rPr>
                      <w:rFonts w:hint="eastAsia" w:ascii="宋体" w:hAnsi="宋体" w:eastAsia="宋体" w:cs="宋体"/>
                      <w:color w:val="auto"/>
                      <w:sz w:val="18"/>
                      <w:szCs w:val="18"/>
                    </w:rPr>
                    <w:t>C</w:t>
                  </w:r>
                </w:p>
              </w:tc>
              <w:tc>
                <w:tcPr>
                  <w:tcW w:w="678"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cs="宋体"/>
                      <w:color w:val="auto"/>
                      <w:sz w:val="18"/>
                      <w:szCs w:val="18"/>
                      <w:lang w:eastAsia="zh-CN"/>
                    </w:rPr>
                    <w:t>参数</w:t>
                  </w:r>
                  <w:r>
                    <w:rPr>
                      <w:rFonts w:hint="eastAsia" w:ascii="宋体" w:hAnsi="宋体" w:eastAsia="宋体" w:cs="宋体"/>
                      <w:color w:val="auto"/>
                      <w:sz w:val="18"/>
                      <w:szCs w:val="18"/>
                    </w:rPr>
                    <w:t>D</w:t>
                  </w:r>
                </w:p>
              </w:tc>
              <w:tc>
                <w:tcPr>
                  <w:tcW w:w="739"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计算值</w:t>
                  </w:r>
                </w:p>
              </w:tc>
              <w:tc>
                <w:tcPr>
                  <w:tcW w:w="739"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cs="宋体"/>
                      <w:color w:val="auto"/>
                      <w:sz w:val="18"/>
                      <w:szCs w:val="18"/>
                      <w:lang w:eastAsia="zh-CN"/>
                    </w:rPr>
                    <w:t>卫生防护距离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4" w:hRule="atLeast"/>
                <w:jc w:val="center"/>
              </w:trPr>
              <w:tc>
                <w:tcPr>
                  <w:tcW w:w="754"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1#拆解车间</w:t>
                  </w:r>
                </w:p>
              </w:tc>
              <w:tc>
                <w:tcPr>
                  <w:tcW w:w="11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颗粒物</w:t>
                  </w:r>
                </w:p>
              </w:tc>
              <w:tc>
                <w:tcPr>
                  <w:tcW w:w="8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0.0071</w:t>
                  </w:r>
                </w:p>
              </w:tc>
              <w:tc>
                <w:tcPr>
                  <w:tcW w:w="7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0.45</w:t>
                  </w:r>
                </w:p>
              </w:tc>
              <w:tc>
                <w:tcPr>
                  <w:tcW w:w="8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ind w:left="0" w:leftChars="0" w:right="0" w:rightChars="0"/>
                    <w:jc w:val="center"/>
                    <w:textAlignment w:val="auto"/>
                    <w:rPr>
                      <w:rFonts w:hint="eastAsia" w:ascii="宋体" w:hAnsi="宋体" w:eastAsia="宋体" w:cs="宋体"/>
                      <w:color w:val="auto"/>
                      <w:sz w:val="18"/>
                      <w:szCs w:val="18"/>
                    </w:rPr>
                  </w:pPr>
                  <w:r>
                    <w:rPr>
                      <w:rFonts w:hint="eastAsia" w:cs="宋体"/>
                      <w:color w:val="auto"/>
                      <w:sz w:val="18"/>
                      <w:szCs w:val="18"/>
                      <w:lang w:val="en-US" w:eastAsia="zh-CN"/>
                    </w:rPr>
                    <w:t>350</w:t>
                  </w:r>
                </w:p>
              </w:tc>
              <w:tc>
                <w:tcPr>
                  <w:tcW w:w="71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ind w:left="0" w:leftChars="0" w:right="0" w:rightChars="0"/>
                    <w:jc w:val="center"/>
                    <w:textAlignment w:val="auto"/>
                    <w:rPr>
                      <w:rFonts w:hint="eastAsia" w:ascii="宋体" w:hAnsi="宋体" w:eastAsia="宋体" w:cs="宋体"/>
                      <w:color w:val="auto"/>
                      <w:sz w:val="18"/>
                      <w:szCs w:val="18"/>
                    </w:rPr>
                  </w:pPr>
                  <w:r>
                    <w:rPr>
                      <w:rFonts w:hint="eastAsia" w:cs="宋体"/>
                      <w:color w:val="auto"/>
                      <w:sz w:val="18"/>
                      <w:szCs w:val="18"/>
                      <w:lang w:val="en-US" w:eastAsia="zh-CN"/>
                    </w:rPr>
                    <w:t>0.021</w:t>
                  </w:r>
                </w:p>
              </w:tc>
              <w:tc>
                <w:tcPr>
                  <w:tcW w:w="76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ind w:left="0" w:leftChars="0" w:right="0" w:rightChars="0"/>
                    <w:jc w:val="center"/>
                    <w:textAlignment w:val="auto"/>
                    <w:rPr>
                      <w:rFonts w:hint="eastAsia" w:ascii="宋体" w:hAnsi="宋体" w:eastAsia="宋体" w:cs="宋体"/>
                      <w:color w:val="auto"/>
                      <w:sz w:val="18"/>
                      <w:szCs w:val="18"/>
                    </w:rPr>
                  </w:pPr>
                  <w:r>
                    <w:rPr>
                      <w:rFonts w:hint="eastAsia" w:cs="宋体"/>
                      <w:color w:val="auto"/>
                      <w:sz w:val="18"/>
                      <w:szCs w:val="18"/>
                      <w:lang w:val="en-US" w:eastAsia="zh-CN"/>
                    </w:rPr>
                    <w:t>1.85</w:t>
                  </w:r>
                </w:p>
              </w:tc>
              <w:tc>
                <w:tcPr>
                  <w:tcW w:w="67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ind w:left="0" w:leftChars="0" w:right="0" w:rightChars="0"/>
                    <w:jc w:val="center"/>
                    <w:textAlignment w:val="auto"/>
                    <w:rPr>
                      <w:rFonts w:hint="eastAsia" w:ascii="宋体" w:hAnsi="宋体" w:eastAsia="宋体" w:cs="宋体"/>
                      <w:color w:val="auto"/>
                      <w:sz w:val="18"/>
                      <w:szCs w:val="18"/>
                    </w:rPr>
                  </w:pPr>
                  <w:r>
                    <w:rPr>
                      <w:rFonts w:hint="eastAsia" w:cs="宋体"/>
                      <w:color w:val="auto"/>
                      <w:sz w:val="18"/>
                      <w:szCs w:val="18"/>
                      <w:lang w:val="en-US" w:eastAsia="zh-CN"/>
                    </w:rPr>
                    <w:t>0.84</w:t>
                  </w:r>
                </w:p>
              </w:tc>
              <w:tc>
                <w:tcPr>
                  <w:tcW w:w="73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0.271m</w:t>
                  </w:r>
                </w:p>
              </w:tc>
              <w:tc>
                <w:tcPr>
                  <w:tcW w:w="73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b/>
                      <w:bCs/>
                      <w:color w:val="auto"/>
                      <w:sz w:val="18"/>
                      <w:szCs w:val="18"/>
                    </w:rPr>
                  </w:pPr>
                  <w:r>
                    <w:rPr>
                      <w:rFonts w:hint="eastAsia" w:cs="宋体"/>
                      <w:b/>
                      <w:bCs/>
                      <w:color w:val="auto"/>
                      <w:sz w:val="18"/>
                      <w:szCs w:val="18"/>
                      <w:lang w:val="en-US" w:eastAsia="zh-CN"/>
                    </w:rPr>
                    <w:t>50m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jc w:val="center"/>
              </w:trPr>
              <w:tc>
                <w:tcPr>
                  <w:tcW w:w="754" w:type="dxa"/>
                  <w:tcBorders>
                    <w:top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cs="宋体"/>
                      <w:color w:val="auto"/>
                      <w:sz w:val="18"/>
                      <w:szCs w:val="18"/>
                      <w:lang w:eastAsia="zh-CN"/>
                    </w:rPr>
                    <w:t>预处理车间</w:t>
                  </w:r>
                </w:p>
              </w:tc>
              <w:tc>
                <w:tcPr>
                  <w:tcW w:w="1132"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cs="宋体"/>
                      <w:color w:val="auto"/>
                      <w:sz w:val="18"/>
                      <w:szCs w:val="18"/>
                      <w:lang w:val="en-US" w:eastAsia="zh-CN"/>
                    </w:rPr>
                  </w:pPr>
                  <w:r>
                    <w:rPr>
                      <w:rFonts w:hint="eastAsia" w:cs="宋体"/>
                      <w:color w:val="auto"/>
                      <w:sz w:val="18"/>
                      <w:szCs w:val="18"/>
                      <w:lang w:val="en-US" w:eastAsia="zh-CN"/>
                    </w:rPr>
                    <w:t>VOCs</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eastAsia="宋体" w:cs="宋体"/>
                      <w:color w:val="auto"/>
                      <w:sz w:val="18"/>
                      <w:szCs w:val="18"/>
                      <w:lang w:val="en-US" w:eastAsia="zh-CN"/>
                    </w:rPr>
                  </w:pPr>
                  <w:r>
                    <w:rPr>
                      <w:rFonts w:hint="eastAsia" w:cs="宋体"/>
                      <w:color w:val="auto"/>
                      <w:sz w:val="18"/>
                      <w:szCs w:val="18"/>
                      <w:lang w:val="en-US" w:eastAsia="zh-CN"/>
                    </w:rPr>
                    <w:t>(非甲烷总烃）</w:t>
                  </w:r>
                </w:p>
              </w:tc>
              <w:tc>
                <w:tcPr>
                  <w:tcW w:w="825"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0.0175</w:t>
                  </w:r>
                </w:p>
              </w:tc>
              <w:tc>
                <w:tcPr>
                  <w:tcW w:w="799"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en-US" w:eastAsia="zh-CN"/>
                    </w:rPr>
                  </w:pPr>
                  <w:r>
                    <w:rPr>
                      <w:rFonts w:hint="eastAsia" w:cs="宋体"/>
                      <w:color w:val="auto"/>
                      <w:sz w:val="18"/>
                      <w:szCs w:val="18"/>
                      <w:lang w:val="en-US" w:eastAsia="zh-CN"/>
                    </w:rPr>
                    <w:t>2</w:t>
                  </w:r>
                </w:p>
              </w:tc>
              <w:tc>
                <w:tcPr>
                  <w:tcW w:w="891"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350</w:t>
                  </w:r>
                </w:p>
              </w:tc>
              <w:tc>
                <w:tcPr>
                  <w:tcW w:w="711"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0.021</w:t>
                  </w:r>
                </w:p>
              </w:tc>
              <w:tc>
                <w:tcPr>
                  <w:tcW w:w="766"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1.85</w:t>
                  </w:r>
                </w:p>
              </w:tc>
              <w:tc>
                <w:tcPr>
                  <w:tcW w:w="678"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0.84</w:t>
                  </w:r>
                </w:p>
              </w:tc>
              <w:tc>
                <w:tcPr>
                  <w:tcW w:w="739"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cs="宋体"/>
                      <w:color w:val="auto"/>
                      <w:sz w:val="18"/>
                      <w:szCs w:val="18"/>
                      <w:lang w:val="en-US" w:eastAsia="zh-CN"/>
                    </w:rPr>
                    <w:t>0.306m</w:t>
                  </w:r>
                </w:p>
              </w:tc>
              <w:tc>
                <w:tcPr>
                  <w:tcW w:w="739"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b/>
                      <w:bCs/>
                      <w:color w:val="auto"/>
                      <w:sz w:val="18"/>
                      <w:szCs w:val="18"/>
                      <w:lang w:val="en-US" w:eastAsia="zh-CN"/>
                    </w:rPr>
                  </w:pPr>
                  <w:r>
                    <w:rPr>
                      <w:rFonts w:hint="eastAsia" w:cs="宋体"/>
                      <w:b/>
                      <w:bCs/>
                      <w:color w:val="auto"/>
                      <w:sz w:val="18"/>
                      <w:szCs w:val="18"/>
                      <w:lang w:val="en-US" w:eastAsia="zh-CN"/>
                    </w:rPr>
                    <w:t>50m</w:t>
                  </w:r>
                </w:p>
              </w:tc>
            </w:tr>
          </w:tbl>
          <w:p>
            <w:pPr>
              <w:keepNext w:val="0"/>
              <w:keepLines w:val="0"/>
              <w:pageBreakBefore w:val="0"/>
              <w:widowControl w:val="0"/>
              <w:kinsoku/>
              <w:wordWrap/>
              <w:overflowPunct/>
              <w:topLinePunct w:val="0"/>
              <w:autoSpaceDE w:val="0"/>
              <w:autoSpaceDN w:val="0"/>
              <w:bidi w:val="0"/>
              <w:adjustRightInd/>
              <w:snapToGrid w:val="0"/>
              <w:spacing w:after="0" w:line="360" w:lineRule="auto"/>
              <w:ind w:right="-40" w:rightChars="-19" w:firstLine="210" w:firstLineChars="100"/>
              <w:jc w:val="both"/>
              <w:textAlignment w:val="auto"/>
              <w:rPr>
                <w:color w:val="auto"/>
                <w:sz w:val="21"/>
                <w:szCs w:val="21"/>
              </w:rPr>
            </w:pPr>
            <w:r>
              <w:rPr>
                <w:rFonts w:hint="eastAsia"/>
                <w:color w:val="auto"/>
                <w:sz w:val="21"/>
                <w:szCs w:val="21"/>
              </w:rPr>
              <w:t>由上表可知，项目</w:t>
            </w:r>
            <w:r>
              <w:rPr>
                <w:rFonts w:hint="eastAsia"/>
                <w:color w:val="auto"/>
                <w:sz w:val="21"/>
                <w:szCs w:val="21"/>
                <w:lang w:val="en-US" w:eastAsia="zh-CN"/>
              </w:rPr>
              <w:t>1#</w:t>
            </w:r>
            <w:r>
              <w:rPr>
                <w:rFonts w:hint="eastAsia"/>
                <w:color w:val="auto"/>
                <w:sz w:val="21"/>
                <w:szCs w:val="21"/>
              </w:rPr>
              <w:t>拆解车间、预处理车间排放的无组织颗粒物、VOCs（非甲烷总烃）的卫生防护距离均为50m。根据总平面布置可知，项目预处理车间、拆解车间</w:t>
            </w:r>
            <w:r>
              <w:rPr>
                <w:rFonts w:hint="eastAsia"/>
                <w:color w:val="auto"/>
                <w:sz w:val="21"/>
                <w:szCs w:val="21"/>
                <w:lang w:eastAsia="zh-CN"/>
              </w:rPr>
              <w:t>并列平行</w:t>
            </w:r>
            <w:r>
              <w:rPr>
                <w:rFonts w:hint="eastAsia"/>
                <w:color w:val="auto"/>
                <w:sz w:val="21"/>
                <w:szCs w:val="21"/>
              </w:rPr>
              <w:t>，因此，本次评价以预处理车间、拆解车间边界分别向外延伸 50m 的距离划为卫生防护距离。经现场勘查并结合外环境关系可知，项目卫生防护距离内无居民、学校、食品及医药企业等敏感目标。环评要求，今后在卫生防护距离内禁止新建住宅、学校、医院等环境敏感目标。</w:t>
            </w:r>
          </w:p>
          <w:p>
            <w:pPr>
              <w:pStyle w:val="19"/>
              <w:widowControl w:val="0"/>
              <w:spacing w:before="0" w:beforeAutospacing="0" w:after="0" w:afterAutospacing="0" w:line="360" w:lineRule="auto"/>
              <w:ind w:firstLine="480"/>
              <w:jc w:val="both"/>
              <w:rPr>
                <w:rFonts w:hint="eastAsia" w:ascii="Times New Roman" w:hAnsi="Times New Roman"/>
                <w:b/>
                <w:snapToGrid w:val="0"/>
                <w:color w:val="auto"/>
                <w:sz w:val="21"/>
                <w:szCs w:val="21"/>
                <w:lang w:val="en-US" w:eastAsia="zh-CN" w:bidi="ar"/>
              </w:rPr>
            </w:pPr>
            <w:r>
              <w:rPr>
                <w:rFonts w:hint="eastAsia" w:ascii="Times New Roman" w:hAnsi="Times New Roman"/>
                <w:b/>
                <w:snapToGrid w:val="0"/>
                <w:color w:val="auto"/>
                <w:sz w:val="21"/>
                <w:szCs w:val="21"/>
                <w:lang w:val="en-US" w:eastAsia="zh-CN" w:bidi="ar"/>
              </w:rPr>
              <w:t xml:space="preserve">4、大气环境影响防治措施 </w:t>
            </w:r>
          </w:p>
          <w:p>
            <w:pPr>
              <w:pStyle w:val="6"/>
              <w:pageBreakBefore w:val="0"/>
              <w:widowControl w:val="0"/>
              <w:kinsoku/>
              <w:wordWrap/>
              <w:overflowPunct/>
              <w:topLinePunct w:val="0"/>
              <w:autoSpaceDE/>
              <w:autoSpaceDN/>
              <w:bidi w:val="0"/>
              <w:adjustRightInd/>
              <w:snapToGrid/>
              <w:spacing w:after="0" w:line="360" w:lineRule="auto"/>
              <w:ind w:left="3" w:leftChars="0" w:firstLine="424" w:firstLineChars="201"/>
              <w:textAlignment w:val="auto"/>
              <w:rPr>
                <w:rFonts w:hint="eastAsia" w:ascii="宋体" w:hAnsi="宋体" w:eastAsia="宋体" w:cs="宋体"/>
                <w:b/>
                <w:bCs/>
                <w:snapToGrid w:val="0"/>
                <w:color w:val="auto"/>
                <w:kern w:val="2"/>
                <w:sz w:val="21"/>
                <w:szCs w:val="21"/>
                <w:lang w:val="en-US" w:eastAsia="zh-CN" w:bidi="ar-SA"/>
              </w:rPr>
            </w:pPr>
            <w:r>
              <w:rPr>
                <w:rFonts w:hint="eastAsia" w:ascii="宋体" w:hAnsi="宋体" w:cs="宋体"/>
                <w:b/>
                <w:bCs/>
                <w:snapToGrid w:val="0"/>
                <w:color w:val="auto"/>
                <w:kern w:val="2"/>
                <w:sz w:val="21"/>
                <w:szCs w:val="21"/>
                <w:lang w:val="en-US" w:eastAsia="zh-CN" w:bidi="ar-SA"/>
              </w:rPr>
              <w:t>（</w:t>
            </w:r>
            <w:r>
              <w:rPr>
                <w:rFonts w:hint="eastAsia" w:ascii="宋体" w:hAnsi="宋体" w:eastAsia="宋体" w:cs="宋体"/>
                <w:b/>
                <w:bCs/>
                <w:snapToGrid w:val="0"/>
                <w:color w:val="auto"/>
                <w:kern w:val="2"/>
                <w:sz w:val="21"/>
                <w:szCs w:val="21"/>
                <w:lang w:val="en-US" w:eastAsia="zh-CN" w:bidi="ar-SA"/>
              </w:rPr>
              <w:t>1）切割打包粉尘治理措施</w:t>
            </w:r>
            <w:r>
              <w:rPr>
                <w:rFonts w:hint="eastAsia" w:ascii="宋体" w:hAnsi="宋体" w:cs="宋体"/>
                <w:b/>
                <w:bCs/>
                <w:snapToGrid w:val="0"/>
                <w:color w:val="auto"/>
                <w:kern w:val="2"/>
                <w:sz w:val="21"/>
                <w:szCs w:val="21"/>
                <w:lang w:val="en-US" w:eastAsia="zh-CN" w:bidi="ar-SA"/>
              </w:rPr>
              <w:t>分析</w:t>
            </w:r>
          </w:p>
          <w:p>
            <w:pPr>
              <w:pStyle w:val="6"/>
              <w:pageBreakBefore w:val="0"/>
              <w:widowControl w:val="0"/>
              <w:kinsoku/>
              <w:wordWrap/>
              <w:overflowPunct/>
              <w:topLinePunct w:val="0"/>
              <w:autoSpaceDE/>
              <w:autoSpaceDN/>
              <w:bidi w:val="0"/>
              <w:adjustRightInd/>
              <w:snapToGrid/>
              <w:spacing w:after="0" w:line="360" w:lineRule="auto"/>
              <w:ind w:left="3" w:leftChars="0" w:firstLine="422" w:firstLineChars="201"/>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根据建设单位提供的生产方案，本项目仅对报废汽车拆解产生的废金属钢材进行简单剪切、人工分选后即进行压块打包，不进行进一步破碎。同时，本项目拟采用等离子切割机，切割打包过程中的粉尘产生量很小，主要通过无组织排放。根据前述预测分析，本项目拆解车间的切割机、金属打包机的剪切、压块打包环节排放的无组织粉尘经区域大气稀释扩散后，在厂界外可达标排放；同时，由于距离较远，粉尘颗粒物在环境敏感点处的贡献值很小，在叠加现状背景值后，敏感点处的浓度值依然可满足响应的环境质量标准要求。总体而言，本项目的建设对区域环境空气的影响小。 </w:t>
            </w:r>
          </w:p>
          <w:p>
            <w:pPr>
              <w:pStyle w:val="6"/>
              <w:pageBreakBefore w:val="0"/>
              <w:widowControl w:val="0"/>
              <w:kinsoku/>
              <w:wordWrap/>
              <w:overflowPunct/>
              <w:topLinePunct w:val="0"/>
              <w:autoSpaceDE/>
              <w:autoSpaceDN/>
              <w:bidi w:val="0"/>
              <w:adjustRightInd/>
              <w:snapToGrid/>
              <w:spacing w:after="0" w:line="360" w:lineRule="auto"/>
              <w:ind w:left="3" w:leftChars="0" w:firstLine="422" w:firstLineChars="201"/>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本项目主体工程无组织粉尘废气收集措施。根据上述分析，在无组织排放情况下，本项目运营期废气可达标排放，现有排放方式可行，本次评价未再补充无组织粉尘的治理削减措施。因此，本项目不涉及无组织废气的环保资金投入。</w:t>
            </w:r>
          </w:p>
          <w:p>
            <w:pPr>
              <w:pStyle w:val="6"/>
              <w:pageBreakBefore w:val="0"/>
              <w:widowControl w:val="0"/>
              <w:kinsoku/>
              <w:wordWrap/>
              <w:overflowPunct/>
              <w:topLinePunct w:val="0"/>
              <w:autoSpaceDE/>
              <w:autoSpaceDN/>
              <w:bidi w:val="0"/>
              <w:adjustRightInd/>
              <w:snapToGrid/>
              <w:spacing w:after="0" w:line="360" w:lineRule="auto"/>
              <w:ind w:left="3" w:leftChars="0" w:firstLine="424" w:firstLineChars="201"/>
              <w:textAlignment w:val="auto"/>
              <w:rPr>
                <w:rFonts w:hint="eastAsia" w:ascii="宋体" w:hAnsi="宋体" w:eastAsia="宋体" w:cs="宋体"/>
                <w:color w:val="auto"/>
                <w:kern w:val="2"/>
                <w:sz w:val="21"/>
                <w:szCs w:val="21"/>
                <w:lang w:val="en-US" w:eastAsia="zh-CN" w:bidi="ar-SA"/>
              </w:rPr>
            </w:pPr>
            <w:r>
              <w:rPr>
                <w:rFonts w:hint="eastAsia" w:ascii="宋体" w:hAnsi="宋体" w:cs="宋体"/>
                <w:b/>
                <w:bCs/>
                <w:color w:val="auto"/>
                <w:kern w:val="2"/>
                <w:sz w:val="21"/>
                <w:szCs w:val="21"/>
                <w:lang w:val="en-US" w:eastAsia="zh-CN" w:bidi="ar-SA"/>
              </w:rPr>
              <w:t xml:space="preserve">（2）废矿物油挥发废气治理措施分析 </w:t>
            </w:r>
            <w:r>
              <w:rPr>
                <w:rFonts w:hint="eastAsia" w:ascii="宋体" w:hAnsi="宋体" w:eastAsia="宋体" w:cs="宋体"/>
                <w:color w:val="auto"/>
                <w:kern w:val="2"/>
                <w:sz w:val="21"/>
                <w:szCs w:val="21"/>
                <w:lang w:val="en-US" w:eastAsia="zh-CN" w:bidi="ar-SA"/>
              </w:rPr>
              <w:t xml:space="preserve"> </w:t>
            </w:r>
          </w:p>
          <w:p>
            <w:pPr>
              <w:pStyle w:val="6"/>
              <w:pageBreakBefore w:val="0"/>
              <w:widowControl w:val="0"/>
              <w:kinsoku/>
              <w:wordWrap/>
              <w:overflowPunct/>
              <w:topLinePunct w:val="0"/>
              <w:autoSpaceDE/>
              <w:autoSpaceDN/>
              <w:bidi w:val="0"/>
              <w:adjustRightInd/>
              <w:snapToGrid/>
              <w:spacing w:after="0" w:line="360" w:lineRule="auto"/>
              <w:ind w:left="3" w:leftChars="0" w:firstLine="422" w:firstLineChars="201"/>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本项目废油液抽取、暂存中挥发的废气主要通无组织排放。本项目主体工程设计采用油气回收装置，同时配套油液储存罐；项目拆解过程中首先对各类废油、液进行封闭抽取，抽取后采用封闭罐体进行储存，以减少项目非甲烷总烃的排放。根据前述预测结果，在采取上述工艺措施后，本项目两个拆解车间油液回收、暂存过程中的无组织非甲烷总烃排放量很小， 经大气稀释扩散后，厂界无组织非甲烷总烃达标排放，对周围环境空气影响不大，对评价区域的敏感点影响很小。 </w:t>
            </w:r>
          </w:p>
          <w:p>
            <w:pPr>
              <w:pStyle w:val="6"/>
              <w:pageBreakBefore w:val="0"/>
              <w:widowControl w:val="0"/>
              <w:kinsoku/>
              <w:wordWrap/>
              <w:overflowPunct/>
              <w:topLinePunct w:val="0"/>
              <w:autoSpaceDE/>
              <w:autoSpaceDN/>
              <w:bidi w:val="0"/>
              <w:adjustRightInd/>
              <w:snapToGrid/>
              <w:spacing w:after="0" w:line="360" w:lineRule="auto"/>
              <w:ind w:left="3" w:leftChars="0" w:firstLine="422" w:firstLineChars="201"/>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本项目生产设备中拟配套的油气回收装置、油液储存罐等设施均是国家相关报废机动车拆解技术规范、条例中要求必须配置的生产设备，属主体工程的一部分，在此不再将其作为环保设施进行经济及技术可行性分析。 </w:t>
            </w:r>
          </w:p>
          <w:p>
            <w:pPr>
              <w:pStyle w:val="6"/>
              <w:pageBreakBefore w:val="0"/>
              <w:widowControl w:val="0"/>
              <w:kinsoku/>
              <w:wordWrap/>
              <w:overflowPunct/>
              <w:topLinePunct w:val="0"/>
              <w:autoSpaceDE/>
              <w:autoSpaceDN/>
              <w:bidi w:val="0"/>
              <w:adjustRightInd/>
              <w:snapToGrid/>
              <w:spacing w:after="0" w:line="360" w:lineRule="auto"/>
              <w:ind w:left="3" w:leftChars="0" w:firstLine="424" w:firstLineChars="201"/>
              <w:textAlignment w:val="auto"/>
              <w:rPr>
                <w:rFonts w:hint="eastAsia" w:ascii="宋体" w:hAnsi="宋体" w:cs="宋体"/>
                <w:b/>
                <w:bCs/>
                <w:color w:val="auto"/>
                <w:kern w:val="2"/>
                <w:sz w:val="21"/>
                <w:szCs w:val="21"/>
                <w:lang w:val="en-US" w:eastAsia="zh-CN" w:bidi="ar-SA"/>
              </w:rPr>
            </w:pPr>
            <w:r>
              <w:rPr>
                <w:rFonts w:hint="eastAsia" w:ascii="宋体" w:hAnsi="宋体" w:cs="宋体"/>
                <w:b/>
                <w:bCs/>
                <w:color w:val="auto"/>
                <w:kern w:val="2"/>
                <w:sz w:val="21"/>
                <w:szCs w:val="21"/>
                <w:lang w:val="en-US" w:eastAsia="zh-CN" w:bidi="ar-SA"/>
              </w:rPr>
              <w:t>5、废气监测要求</w:t>
            </w:r>
          </w:p>
          <w:p>
            <w:pPr>
              <w:pStyle w:val="6"/>
              <w:pageBreakBefore w:val="0"/>
              <w:widowControl w:val="0"/>
              <w:kinsoku/>
              <w:wordWrap/>
              <w:overflowPunct/>
              <w:topLinePunct w:val="0"/>
              <w:autoSpaceDE/>
              <w:autoSpaceDN/>
              <w:bidi w:val="0"/>
              <w:adjustRightInd/>
              <w:snapToGrid/>
              <w:spacing w:after="0" w:line="360" w:lineRule="auto"/>
              <w:ind w:left="3" w:leftChars="0" w:firstLine="214" w:firstLineChars="102"/>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建设单位应委托有相应监检测资质的第三方检测机构定期对项目的污染源进行采样检测，并形成管理台账。为加强环境管理，较为准确客观地掌握其污染物的排放情况，根据《排污单位自行监测技术指南 总则》（HJ819-2017），项目运营期废气开展的监测计划详见下表。</w:t>
            </w:r>
          </w:p>
          <w:p>
            <w:pPr>
              <w:pStyle w:val="6"/>
              <w:pageBreakBefore w:val="0"/>
              <w:widowControl w:val="0"/>
              <w:kinsoku/>
              <w:wordWrap/>
              <w:overflowPunct/>
              <w:topLinePunct w:val="0"/>
              <w:autoSpaceDE/>
              <w:autoSpaceDN/>
              <w:bidi w:val="0"/>
              <w:adjustRightInd/>
              <w:snapToGrid/>
              <w:spacing w:after="0" w:line="360" w:lineRule="auto"/>
              <w:ind w:firstLine="480"/>
              <w:jc w:val="center"/>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表 4-</w:t>
            </w:r>
            <w:r>
              <w:rPr>
                <w:rFonts w:hint="eastAsia" w:ascii="宋体" w:hAnsi="宋体" w:cs="宋体"/>
                <w:b/>
                <w:bCs/>
                <w:color w:val="auto"/>
                <w:sz w:val="21"/>
                <w:szCs w:val="21"/>
                <w:lang w:val="en-US" w:eastAsia="zh-CN"/>
              </w:rPr>
              <w:t>6</w:t>
            </w:r>
            <w:r>
              <w:rPr>
                <w:rFonts w:hint="eastAsia" w:ascii="宋体" w:hAnsi="宋体" w:eastAsia="宋体" w:cs="宋体"/>
                <w:b/>
                <w:bCs/>
                <w:color w:val="auto"/>
                <w:sz w:val="21"/>
                <w:szCs w:val="21"/>
              </w:rPr>
              <w:tab/>
            </w:r>
            <w:r>
              <w:rPr>
                <w:rFonts w:hint="eastAsia" w:ascii="宋体" w:hAnsi="宋体" w:eastAsia="宋体" w:cs="宋体"/>
                <w:b/>
                <w:bCs/>
                <w:color w:val="auto"/>
                <w:sz w:val="21"/>
                <w:szCs w:val="21"/>
              </w:rPr>
              <w:t>运营期环境监测计划</w:t>
            </w:r>
          </w:p>
          <w:tbl>
            <w:tblPr>
              <w:tblStyle w:val="21"/>
              <w:tblW w:w="78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9"/>
              <w:gridCol w:w="2582"/>
              <w:gridCol w:w="1230"/>
              <w:gridCol w:w="1042"/>
              <w:gridCol w:w="21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9"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184"/>
                    <w:jc w:val="center"/>
                    <w:textAlignment w:val="auto"/>
                    <w:rPr>
                      <w:rFonts w:hint="eastAsia" w:ascii="宋体" w:hAnsi="宋体" w:eastAsia="宋体" w:cs="宋体"/>
                      <w:color w:val="auto"/>
                      <w:spacing w:val="0"/>
                      <w:w w:val="100"/>
                      <w:sz w:val="18"/>
                      <w:szCs w:val="18"/>
                      <w:u w:val="none"/>
                    </w:rPr>
                  </w:pPr>
                  <w:r>
                    <w:rPr>
                      <w:rFonts w:hint="eastAsia" w:ascii="宋体" w:hAnsi="宋体" w:eastAsia="宋体" w:cs="宋体"/>
                      <w:color w:val="auto"/>
                      <w:spacing w:val="0"/>
                      <w:w w:val="100"/>
                      <w:sz w:val="18"/>
                      <w:szCs w:val="18"/>
                      <w:u w:val="none"/>
                    </w:rPr>
                    <w:t>类别</w:t>
                  </w:r>
                </w:p>
              </w:tc>
              <w:tc>
                <w:tcPr>
                  <w:tcW w:w="2582"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58" w:right="32"/>
                    <w:jc w:val="center"/>
                    <w:textAlignment w:val="auto"/>
                    <w:rPr>
                      <w:rFonts w:hint="eastAsia" w:ascii="宋体" w:hAnsi="宋体" w:eastAsia="宋体" w:cs="宋体"/>
                      <w:color w:val="auto"/>
                      <w:spacing w:val="0"/>
                      <w:w w:val="100"/>
                      <w:sz w:val="18"/>
                      <w:szCs w:val="18"/>
                      <w:u w:val="none"/>
                    </w:rPr>
                  </w:pPr>
                  <w:r>
                    <w:rPr>
                      <w:rFonts w:hint="eastAsia" w:ascii="宋体" w:hAnsi="宋体" w:eastAsia="宋体" w:cs="宋体"/>
                      <w:color w:val="auto"/>
                      <w:spacing w:val="0"/>
                      <w:w w:val="100"/>
                      <w:sz w:val="18"/>
                      <w:szCs w:val="18"/>
                      <w:u w:val="none"/>
                    </w:rPr>
                    <w:t>监测点位</w:t>
                  </w:r>
                </w:p>
              </w:tc>
              <w:tc>
                <w:tcPr>
                  <w:tcW w:w="1230"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116" w:right="93"/>
                    <w:jc w:val="center"/>
                    <w:textAlignment w:val="auto"/>
                    <w:rPr>
                      <w:rFonts w:hint="eastAsia" w:ascii="宋体" w:hAnsi="宋体" w:eastAsia="宋体" w:cs="宋体"/>
                      <w:color w:val="auto"/>
                      <w:spacing w:val="0"/>
                      <w:w w:val="100"/>
                      <w:sz w:val="18"/>
                      <w:szCs w:val="18"/>
                      <w:u w:val="none"/>
                    </w:rPr>
                  </w:pPr>
                  <w:r>
                    <w:rPr>
                      <w:rFonts w:hint="eastAsia" w:ascii="宋体" w:hAnsi="宋体" w:eastAsia="宋体" w:cs="宋体"/>
                      <w:color w:val="auto"/>
                      <w:spacing w:val="0"/>
                      <w:w w:val="100"/>
                      <w:sz w:val="18"/>
                      <w:szCs w:val="18"/>
                      <w:u w:val="none"/>
                    </w:rPr>
                    <w:t>监测因子</w:t>
                  </w:r>
                </w:p>
              </w:tc>
              <w:tc>
                <w:tcPr>
                  <w:tcW w:w="1042"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130" w:right="105"/>
                    <w:jc w:val="center"/>
                    <w:textAlignment w:val="auto"/>
                    <w:rPr>
                      <w:rFonts w:hint="eastAsia" w:ascii="宋体" w:hAnsi="宋体" w:eastAsia="宋体" w:cs="宋体"/>
                      <w:color w:val="auto"/>
                      <w:spacing w:val="0"/>
                      <w:w w:val="100"/>
                      <w:sz w:val="18"/>
                      <w:szCs w:val="18"/>
                      <w:u w:val="none"/>
                    </w:rPr>
                  </w:pPr>
                  <w:r>
                    <w:rPr>
                      <w:rFonts w:hint="eastAsia" w:ascii="宋体" w:hAnsi="宋体" w:eastAsia="宋体" w:cs="宋体"/>
                      <w:color w:val="auto"/>
                      <w:spacing w:val="0"/>
                      <w:w w:val="100"/>
                      <w:sz w:val="18"/>
                      <w:szCs w:val="18"/>
                      <w:u w:val="none"/>
                    </w:rPr>
                    <w:t>监测频次</w:t>
                  </w:r>
                </w:p>
              </w:tc>
              <w:tc>
                <w:tcPr>
                  <w:tcW w:w="2193"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10" w:leftChars="0" w:right="737" w:hanging="10" w:hangingChars="6"/>
                    <w:jc w:val="center"/>
                    <w:textAlignment w:val="auto"/>
                    <w:rPr>
                      <w:rFonts w:hint="eastAsia" w:ascii="宋体" w:hAnsi="宋体" w:eastAsia="宋体" w:cs="宋体"/>
                      <w:color w:val="auto"/>
                      <w:spacing w:val="0"/>
                      <w:w w:val="100"/>
                      <w:sz w:val="18"/>
                      <w:szCs w:val="18"/>
                      <w:u w:val="none"/>
                    </w:rPr>
                  </w:pPr>
                  <w:r>
                    <w:rPr>
                      <w:rFonts w:hint="eastAsia" w:cs="宋体"/>
                      <w:color w:val="auto"/>
                      <w:spacing w:val="0"/>
                      <w:w w:val="100"/>
                      <w:sz w:val="18"/>
                      <w:szCs w:val="18"/>
                      <w:u w:val="none"/>
                      <w:lang w:val="en-US" w:eastAsia="zh-CN"/>
                    </w:rPr>
                    <w:t xml:space="preserve">       </w:t>
                  </w:r>
                  <w:r>
                    <w:rPr>
                      <w:rFonts w:hint="eastAsia" w:ascii="宋体" w:hAnsi="宋体" w:eastAsia="宋体" w:cs="宋体"/>
                      <w:color w:val="auto"/>
                      <w:spacing w:val="0"/>
                      <w:w w:val="100"/>
                      <w:sz w:val="18"/>
                      <w:szCs w:val="18"/>
                      <w:u w:val="none"/>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789" w:type="dxa"/>
                  <w:vMerge w:val="restart"/>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b/>
                      <w:color w:val="auto"/>
                      <w:spacing w:val="0"/>
                      <w:w w:val="100"/>
                      <w:sz w:val="18"/>
                      <w:szCs w:val="18"/>
                      <w:u w:val="none"/>
                    </w:rPr>
                  </w:pPr>
                </w:p>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184" w:right="165"/>
                    <w:jc w:val="center"/>
                    <w:textAlignment w:val="auto"/>
                    <w:rPr>
                      <w:rFonts w:hint="eastAsia" w:ascii="宋体" w:hAnsi="宋体" w:eastAsia="宋体" w:cs="宋体"/>
                      <w:color w:val="auto"/>
                      <w:spacing w:val="0"/>
                      <w:w w:val="100"/>
                      <w:sz w:val="18"/>
                      <w:szCs w:val="18"/>
                      <w:u w:val="none"/>
                    </w:rPr>
                  </w:pPr>
                  <w:r>
                    <w:rPr>
                      <w:rFonts w:hint="eastAsia" w:ascii="宋体" w:hAnsi="宋体" w:eastAsia="宋体" w:cs="宋体"/>
                      <w:color w:val="auto"/>
                      <w:spacing w:val="0"/>
                      <w:w w:val="100"/>
                      <w:sz w:val="18"/>
                      <w:szCs w:val="18"/>
                      <w:u w:val="none"/>
                    </w:rPr>
                    <w:t>无组织废气</w:t>
                  </w:r>
                </w:p>
              </w:tc>
              <w:tc>
                <w:tcPr>
                  <w:tcW w:w="2582"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58" w:right="32"/>
                    <w:jc w:val="both"/>
                    <w:textAlignment w:val="auto"/>
                    <w:rPr>
                      <w:rFonts w:hint="eastAsia" w:ascii="宋体" w:hAnsi="宋体" w:eastAsia="宋体" w:cs="宋体"/>
                      <w:color w:val="auto"/>
                      <w:spacing w:val="0"/>
                      <w:w w:val="100"/>
                      <w:sz w:val="18"/>
                      <w:szCs w:val="18"/>
                      <w:u w:val="none"/>
                    </w:rPr>
                  </w:pPr>
                  <w:r>
                    <w:rPr>
                      <w:rFonts w:hint="eastAsia" w:ascii="宋体" w:hAnsi="宋体" w:eastAsia="宋体" w:cs="宋体"/>
                      <w:color w:val="auto"/>
                      <w:spacing w:val="0"/>
                      <w:w w:val="100"/>
                      <w:sz w:val="18"/>
                      <w:szCs w:val="18"/>
                      <w:u w:val="none"/>
                    </w:rPr>
                    <w:t>A1：无组织废气上风向参照点</w:t>
                  </w:r>
                </w:p>
              </w:tc>
              <w:tc>
                <w:tcPr>
                  <w:tcW w:w="1230" w:type="dxa"/>
                  <w:vMerge w:val="restart"/>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141" w:right="111" w:firstLine="103"/>
                    <w:jc w:val="center"/>
                    <w:textAlignment w:val="auto"/>
                    <w:rPr>
                      <w:rFonts w:hint="eastAsia" w:ascii="宋体" w:hAnsi="宋体" w:eastAsia="宋体" w:cs="宋体"/>
                      <w:color w:val="auto"/>
                      <w:spacing w:val="0"/>
                      <w:w w:val="100"/>
                      <w:sz w:val="18"/>
                      <w:szCs w:val="18"/>
                      <w:u w:val="none"/>
                    </w:rPr>
                  </w:pPr>
                  <w:r>
                    <w:rPr>
                      <w:rFonts w:hint="eastAsia" w:ascii="宋体" w:hAnsi="宋体" w:eastAsia="宋体" w:cs="宋体"/>
                      <w:color w:val="auto"/>
                      <w:spacing w:val="0"/>
                      <w:w w:val="100"/>
                      <w:sz w:val="18"/>
                      <w:szCs w:val="18"/>
                      <w:u w:val="none"/>
                    </w:rPr>
                    <w:t>非甲烷总烃、颗粒物</w:t>
                  </w:r>
                </w:p>
              </w:tc>
              <w:tc>
                <w:tcPr>
                  <w:tcW w:w="1042" w:type="dxa"/>
                  <w:vMerge w:val="restart"/>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179"/>
                    <w:jc w:val="center"/>
                    <w:textAlignment w:val="auto"/>
                    <w:rPr>
                      <w:rFonts w:hint="eastAsia" w:ascii="宋体" w:hAnsi="宋体" w:eastAsia="宋体" w:cs="宋体"/>
                      <w:color w:val="auto"/>
                      <w:spacing w:val="0"/>
                      <w:w w:val="100"/>
                      <w:sz w:val="18"/>
                      <w:szCs w:val="18"/>
                      <w:u w:val="none"/>
                    </w:rPr>
                  </w:pPr>
                  <w:r>
                    <w:rPr>
                      <w:rFonts w:hint="eastAsia" w:ascii="宋体" w:hAnsi="宋体" w:eastAsia="宋体" w:cs="宋体"/>
                      <w:color w:val="auto"/>
                      <w:spacing w:val="0"/>
                      <w:w w:val="100"/>
                      <w:sz w:val="18"/>
                      <w:szCs w:val="18"/>
                      <w:u w:val="none"/>
                    </w:rPr>
                    <w:t>1 年 1 次</w:t>
                  </w:r>
                </w:p>
              </w:tc>
              <w:tc>
                <w:tcPr>
                  <w:tcW w:w="2193" w:type="dxa"/>
                  <w:vMerge w:val="restart"/>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169" w:right="126" w:hanging="4"/>
                    <w:jc w:val="left"/>
                    <w:textAlignment w:val="auto"/>
                    <w:rPr>
                      <w:rFonts w:hint="eastAsia" w:ascii="宋体" w:hAnsi="宋体" w:eastAsia="宋体" w:cs="宋体"/>
                      <w:color w:val="auto"/>
                      <w:spacing w:val="0"/>
                      <w:w w:val="100"/>
                      <w:sz w:val="18"/>
                      <w:szCs w:val="18"/>
                      <w:u w:val="none"/>
                    </w:rPr>
                  </w:pPr>
                  <w:r>
                    <w:rPr>
                      <w:rFonts w:hint="eastAsia" w:ascii="宋体" w:hAnsi="宋体" w:eastAsia="宋体" w:cs="宋体"/>
                      <w:color w:val="auto"/>
                      <w:spacing w:val="0"/>
                      <w:w w:val="100"/>
                      <w:sz w:val="18"/>
                      <w:szCs w:val="18"/>
                      <w:u w:val="none"/>
                    </w:rPr>
                    <w:t>《大气污染物综合排放标准》（GB16297-1996）表2无组织标准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78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pacing w:val="0"/>
                      <w:w w:val="100"/>
                      <w:sz w:val="18"/>
                      <w:szCs w:val="18"/>
                      <w:u w:val="none"/>
                    </w:rPr>
                  </w:pPr>
                </w:p>
              </w:tc>
              <w:tc>
                <w:tcPr>
                  <w:tcW w:w="2582"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58" w:right="31"/>
                    <w:jc w:val="center"/>
                    <w:textAlignment w:val="auto"/>
                    <w:rPr>
                      <w:rFonts w:hint="eastAsia" w:ascii="宋体" w:hAnsi="宋体" w:eastAsia="宋体" w:cs="宋体"/>
                      <w:color w:val="auto"/>
                      <w:spacing w:val="0"/>
                      <w:w w:val="100"/>
                      <w:sz w:val="18"/>
                      <w:szCs w:val="18"/>
                      <w:u w:val="none"/>
                    </w:rPr>
                  </w:pPr>
                  <w:r>
                    <w:rPr>
                      <w:rFonts w:hint="eastAsia" w:ascii="宋体" w:hAnsi="宋体" w:eastAsia="宋体" w:cs="宋体"/>
                      <w:color w:val="auto"/>
                      <w:spacing w:val="0"/>
                      <w:w w:val="100"/>
                      <w:sz w:val="18"/>
                      <w:szCs w:val="18"/>
                      <w:u w:val="none"/>
                    </w:rPr>
                    <w:t>A2：无组织废气监控点 1</w:t>
                  </w:r>
                </w:p>
              </w:tc>
              <w:tc>
                <w:tcPr>
                  <w:tcW w:w="123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pacing w:val="0"/>
                      <w:w w:val="100"/>
                      <w:sz w:val="18"/>
                      <w:szCs w:val="18"/>
                      <w:u w:val="none"/>
                    </w:rPr>
                  </w:pPr>
                </w:p>
              </w:tc>
              <w:tc>
                <w:tcPr>
                  <w:tcW w:w="104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pacing w:val="0"/>
                      <w:w w:val="100"/>
                      <w:sz w:val="18"/>
                      <w:szCs w:val="18"/>
                      <w:u w:val="none"/>
                    </w:rPr>
                  </w:pPr>
                </w:p>
              </w:tc>
              <w:tc>
                <w:tcPr>
                  <w:tcW w:w="219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pacing w:val="0"/>
                      <w:w w:val="100"/>
                      <w:sz w:val="18"/>
                      <w:szCs w:val="18"/>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78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pacing w:val="0"/>
                      <w:w w:val="100"/>
                      <w:sz w:val="18"/>
                      <w:szCs w:val="18"/>
                      <w:u w:val="none"/>
                    </w:rPr>
                  </w:pPr>
                </w:p>
              </w:tc>
              <w:tc>
                <w:tcPr>
                  <w:tcW w:w="2582" w:type="dxa"/>
                  <w:tcBorders>
                    <w:tl2br w:val="nil"/>
                    <w:tr2bl w:val="nil"/>
                  </w:tcBorders>
                  <w:vAlign w:val="center"/>
                </w:tcPr>
                <w:p>
                  <w:pPr>
                    <w:pStyle w:val="59"/>
                    <w:keepNext w:val="0"/>
                    <w:keepLines w:val="0"/>
                    <w:pageBreakBefore w:val="0"/>
                    <w:widowControl w:val="0"/>
                    <w:kinsoku/>
                    <w:wordWrap/>
                    <w:overflowPunct/>
                    <w:topLinePunct w:val="0"/>
                    <w:autoSpaceDE w:val="0"/>
                    <w:autoSpaceDN w:val="0"/>
                    <w:bidi w:val="0"/>
                    <w:adjustRightInd/>
                    <w:snapToGrid w:val="0"/>
                    <w:spacing w:before="0" w:line="240" w:lineRule="auto"/>
                    <w:ind w:left="58" w:right="31"/>
                    <w:jc w:val="center"/>
                    <w:textAlignment w:val="auto"/>
                    <w:rPr>
                      <w:rFonts w:hint="eastAsia" w:ascii="宋体" w:hAnsi="宋体" w:eastAsia="宋体" w:cs="宋体"/>
                      <w:color w:val="auto"/>
                      <w:spacing w:val="0"/>
                      <w:w w:val="100"/>
                      <w:sz w:val="18"/>
                      <w:szCs w:val="18"/>
                      <w:u w:val="none"/>
                    </w:rPr>
                  </w:pPr>
                  <w:r>
                    <w:rPr>
                      <w:rFonts w:hint="eastAsia" w:ascii="宋体" w:hAnsi="宋体" w:eastAsia="宋体" w:cs="宋体"/>
                      <w:color w:val="auto"/>
                      <w:spacing w:val="0"/>
                      <w:w w:val="100"/>
                      <w:sz w:val="18"/>
                      <w:szCs w:val="18"/>
                      <w:u w:val="none"/>
                    </w:rPr>
                    <w:t>A3：无组织废气监控点 2</w:t>
                  </w:r>
                </w:p>
              </w:tc>
              <w:tc>
                <w:tcPr>
                  <w:tcW w:w="123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pacing w:val="0"/>
                      <w:w w:val="100"/>
                      <w:sz w:val="18"/>
                      <w:szCs w:val="18"/>
                      <w:u w:val="none"/>
                    </w:rPr>
                  </w:pPr>
                </w:p>
              </w:tc>
              <w:tc>
                <w:tcPr>
                  <w:tcW w:w="104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pacing w:val="0"/>
                      <w:w w:val="100"/>
                      <w:sz w:val="18"/>
                      <w:szCs w:val="18"/>
                      <w:u w:val="none"/>
                    </w:rPr>
                  </w:pPr>
                </w:p>
              </w:tc>
              <w:tc>
                <w:tcPr>
                  <w:tcW w:w="219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jc w:val="center"/>
                    <w:textAlignment w:val="auto"/>
                    <w:rPr>
                      <w:rFonts w:hint="eastAsia" w:ascii="宋体" w:hAnsi="宋体" w:eastAsia="宋体" w:cs="宋体"/>
                      <w:color w:val="auto"/>
                      <w:spacing w:val="0"/>
                      <w:w w:val="100"/>
                      <w:sz w:val="18"/>
                      <w:szCs w:val="18"/>
                      <w:u w:val="none"/>
                    </w:rPr>
                  </w:pPr>
                </w:p>
              </w:tc>
            </w:tr>
          </w:tbl>
          <w:p>
            <w:pPr>
              <w:pStyle w:val="6"/>
              <w:keepNext w:val="0"/>
              <w:keepLines w:val="0"/>
              <w:pageBreakBefore w:val="0"/>
              <w:widowControl w:val="0"/>
              <w:kinsoku/>
              <w:wordWrap/>
              <w:overflowPunct/>
              <w:topLinePunct w:val="0"/>
              <w:autoSpaceDE/>
              <w:autoSpaceDN/>
              <w:bidi w:val="0"/>
              <w:adjustRightInd/>
              <w:snapToGrid w:val="0"/>
              <w:spacing w:before="157" w:beforeLines="50" w:after="0" w:line="360" w:lineRule="auto"/>
              <w:ind w:firstLine="48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二、废水</w:t>
            </w:r>
          </w:p>
          <w:p>
            <w:pPr>
              <w:pStyle w:val="6"/>
              <w:keepNext w:val="0"/>
              <w:keepLines w:val="0"/>
              <w:pageBreakBefore w:val="0"/>
              <w:widowControl w:val="0"/>
              <w:kinsoku/>
              <w:wordWrap/>
              <w:overflowPunct/>
              <w:topLinePunct w:val="0"/>
              <w:autoSpaceDE/>
              <w:autoSpaceDN/>
              <w:bidi w:val="0"/>
              <w:adjustRightInd/>
              <w:snapToGrid w:val="0"/>
              <w:spacing w:before="0" w:after="0" w:line="360" w:lineRule="auto"/>
              <w:ind w:firstLine="48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1、废水主要污染工序</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所拆解的报废汽车均无需冲洗。在报废汽车拆解中各类废油及废液抽取过程，采用较为先进的气动抽接油机设备，可有效防止废油、废液落地，本项目在拆解过程中油箱下部设置可移动式接液容器，以防止泄漏油液直接落于地上，容器内油液泵至储罐内暂存，粘在移动式接液容器上的废油液每天采用抹布收集处理，本项目预处理车间地面用拖把清洁，不采用地面冲洗方式，会产生少量的洗拖把废水。厂区建设</w:t>
            </w:r>
            <w:r>
              <w:rPr>
                <w:rFonts w:hint="eastAsia" w:ascii="宋体" w:hAnsi="宋体" w:cs="宋体"/>
                <w:color w:val="auto"/>
                <w:sz w:val="21"/>
                <w:szCs w:val="21"/>
                <w:lang w:eastAsia="zh-CN"/>
              </w:rPr>
              <w:t>为四</w:t>
            </w:r>
            <w:r>
              <w:rPr>
                <w:rFonts w:hint="eastAsia" w:ascii="宋体" w:hAnsi="宋体" w:eastAsia="宋体" w:cs="宋体"/>
                <w:color w:val="auto"/>
                <w:sz w:val="21"/>
                <w:szCs w:val="21"/>
              </w:rPr>
              <w:t>栋钢结构厂房，雨污分流，雨水不进入厂区内。</w:t>
            </w:r>
          </w:p>
          <w:p>
            <w:pPr>
              <w:pStyle w:val="6"/>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本项目运营期废水主要为生活污水、清洁废水</w:t>
            </w:r>
            <w:r>
              <w:rPr>
                <w:rFonts w:hint="eastAsia" w:ascii="宋体" w:hAnsi="宋体" w:cs="宋体"/>
                <w:color w:val="auto"/>
                <w:sz w:val="21"/>
                <w:szCs w:val="21"/>
                <w:lang w:eastAsia="zh-CN"/>
              </w:rPr>
              <w:t>、初期雨水</w:t>
            </w:r>
            <w:r>
              <w:rPr>
                <w:rFonts w:hint="eastAsia" w:ascii="宋体" w:hAnsi="宋体" w:eastAsia="宋体" w:cs="宋体"/>
                <w:color w:val="auto"/>
                <w:sz w:val="21"/>
                <w:szCs w:val="21"/>
              </w:rPr>
              <w:t>。</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（1）生活污水</w:t>
            </w:r>
          </w:p>
          <w:p>
            <w:pPr>
              <w:pStyle w:val="6"/>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营运期总劳动定员 20 人，年工作天数 300 天，均不在厂区</w:t>
            </w:r>
            <w:r>
              <w:rPr>
                <w:rFonts w:hint="eastAsia" w:ascii="宋体" w:hAnsi="宋体" w:cs="宋体"/>
                <w:color w:val="auto"/>
                <w:sz w:val="21"/>
                <w:szCs w:val="21"/>
                <w:lang w:eastAsia="zh-CN"/>
              </w:rPr>
              <w:t>住宿</w:t>
            </w:r>
            <w:r>
              <w:rPr>
                <w:rFonts w:hint="eastAsia" w:ascii="宋体" w:hAnsi="宋体" w:eastAsia="宋体" w:cs="宋体"/>
                <w:color w:val="auto"/>
                <w:sz w:val="21"/>
                <w:szCs w:val="21"/>
              </w:rPr>
              <w:t>，根据《湖南省地方标准-用水定额》（DB43/T388-2020），参照表30农村居民生活用水定额指标，员工生活用水量按 90L/人•d，则本项目生活用水量为 540t/a、1.8t/d，产污系数以 0.8计，则生活污水的产生量为 432t/a、1.44t/d。生活污水经化粪池处理后，用于周边农田施肥，不外排。</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生活污水主要污染物因子为 COD、BOD5、SS、氨氮等，各污染因子的产生浓度分别为：COD：350mg/L、BOD5：200 mg/L、SS：150mg/L，NH3-N：40mg/L。</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（2）生产废水</w:t>
            </w:r>
          </w:p>
          <w:p>
            <w:pPr>
              <w:pStyle w:val="6"/>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建设方定期对预处理车间地面进行清洁（拖把清洁），每两天清洁一次，预计年清洁150天，清洁用水量约为1m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/次，则年用水量为150m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/a，0.5m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/d，排放量为135m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/a，</w:t>
            </w:r>
          </w:p>
          <w:p>
            <w:pPr>
              <w:pStyle w:val="61"/>
              <w:widowControl/>
              <w:adjustRightInd/>
              <w:spacing w:line="360" w:lineRule="auto"/>
              <w:ind w:left="0" w:leftChars="0" w:firstLine="0" w:firstLineChars="0"/>
              <w:textAlignment w:val="auto"/>
              <w:rPr>
                <w:color w:val="auto"/>
                <w:szCs w:val="21"/>
              </w:rPr>
            </w:pPr>
            <w:r>
              <w:rPr>
                <w:rFonts w:hint="eastAsia" w:ascii="宋体" w:hAnsi="宋体" w:eastAsia="宋体" w:cs="宋体"/>
                <w:color w:val="auto"/>
                <w:sz w:val="21"/>
                <w:szCs w:val="21"/>
              </w:rPr>
              <w:t>0.4m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/d。</w:t>
            </w:r>
            <w:r>
              <w:rPr>
                <w:rFonts w:hint="eastAsia"/>
                <w:color w:val="auto"/>
                <w:szCs w:val="21"/>
              </w:rPr>
              <w:t>拖把</w:t>
            </w:r>
            <w:r>
              <w:rPr>
                <w:color w:val="auto"/>
                <w:szCs w:val="21"/>
              </w:rPr>
              <w:t>废水中的污染物主要是 COD、BOD</w:t>
            </w:r>
            <w:r>
              <w:rPr>
                <w:color w:val="auto"/>
                <w:szCs w:val="21"/>
                <w:vertAlign w:val="subscript"/>
              </w:rPr>
              <w:t>5</w:t>
            </w:r>
            <w:r>
              <w:rPr>
                <w:color w:val="auto"/>
                <w:szCs w:val="21"/>
              </w:rPr>
              <w:t>、SS、石油类，类比同类拆解企业生产数据，</w:t>
            </w:r>
            <w:r>
              <w:rPr>
                <w:rFonts w:hint="eastAsia"/>
                <w:color w:val="auto"/>
                <w:szCs w:val="21"/>
              </w:rPr>
              <w:t>拖把清洗</w:t>
            </w:r>
            <w:r>
              <w:rPr>
                <w:color w:val="auto"/>
                <w:szCs w:val="21"/>
              </w:rPr>
              <w:t>废水的水质情况见表4-</w:t>
            </w:r>
            <w:r>
              <w:rPr>
                <w:rFonts w:hint="eastAsia"/>
                <w:color w:val="auto"/>
                <w:szCs w:val="21"/>
                <w:lang w:val="en-US" w:eastAsia="zh-CN"/>
              </w:rPr>
              <w:t>7</w:t>
            </w:r>
            <w:r>
              <w:rPr>
                <w:color w:val="auto"/>
                <w:szCs w:val="21"/>
              </w:rPr>
              <w:t>。</w:t>
            </w:r>
          </w:p>
          <w:p>
            <w:pPr>
              <w:spacing w:line="360" w:lineRule="auto"/>
              <w:ind w:firstLine="422" w:firstLineChars="200"/>
              <w:jc w:val="center"/>
              <w:rPr>
                <w:b/>
                <w:bCs/>
                <w:color w:val="auto"/>
                <w:szCs w:val="21"/>
              </w:rPr>
            </w:pPr>
            <w:r>
              <w:rPr>
                <w:b/>
                <w:bCs/>
                <w:color w:val="auto"/>
                <w:szCs w:val="21"/>
              </w:rPr>
              <w:t>表4-</w:t>
            </w:r>
            <w:r>
              <w:rPr>
                <w:rFonts w:hint="eastAsia"/>
                <w:b/>
                <w:bCs/>
                <w:color w:val="auto"/>
                <w:szCs w:val="21"/>
                <w:lang w:val="en-US" w:eastAsia="zh-CN"/>
              </w:rPr>
              <w:t>7</w:t>
            </w:r>
            <w:r>
              <w:rPr>
                <w:b/>
                <w:bCs/>
                <w:color w:val="auto"/>
                <w:szCs w:val="21"/>
              </w:rPr>
              <w:t xml:space="preserve">  </w:t>
            </w:r>
            <w:r>
              <w:rPr>
                <w:rFonts w:hint="eastAsia"/>
                <w:b/>
                <w:bCs/>
                <w:color w:val="auto"/>
                <w:szCs w:val="21"/>
              </w:rPr>
              <w:t>拖把清洗</w:t>
            </w:r>
            <w:r>
              <w:rPr>
                <w:b/>
                <w:bCs/>
                <w:color w:val="auto"/>
                <w:szCs w:val="21"/>
              </w:rPr>
              <w:t>废水水质表  单位：mg/L（pH除外）</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320"/>
              <w:gridCol w:w="1321"/>
              <w:gridCol w:w="1322"/>
              <w:gridCol w:w="1322"/>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dxa"/>
                  <w:noWrap w:val="0"/>
                  <w:vAlign w:val="center"/>
                </w:tcPr>
                <w:p>
                  <w:pPr>
                    <w:jc w:val="center"/>
                    <w:rPr>
                      <w:color w:val="auto"/>
                      <w:sz w:val="18"/>
                      <w:szCs w:val="18"/>
                    </w:rPr>
                  </w:pPr>
                  <w:r>
                    <w:rPr>
                      <w:color w:val="auto"/>
                      <w:sz w:val="18"/>
                      <w:szCs w:val="18"/>
                    </w:rPr>
                    <w:t>项目</w:t>
                  </w:r>
                </w:p>
              </w:tc>
              <w:tc>
                <w:tcPr>
                  <w:tcW w:w="1320" w:type="dxa"/>
                  <w:noWrap w:val="0"/>
                  <w:vAlign w:val="center"/>
                </w:tcPr>
                <w:p>
                  <w:pPr>
                    <w:jc w:val="center"/>
                    <w:rPr>
                      <w:color w:val="auto"/>
                      <w:sz w:val="18"/>
                      <w:szCs w:val="18"/>
                    </w:rPr>
                  </w:pPr>
                  <w:r>
                    <w:rPr>
                      <w:color w:val="auto"/>
                      <w:sz w:val="18"/>
                      <w:szCs w:val="18"/>
                    </w:rPr>
                    <w:t>pH</w:t>
                  </w:r>
                </w:p>
              </w:tc>
              <w:tc>
                <w:tcPr>
                  <w:tcW w:w="1320" w:type="dxa"/>
                  <w:noWrap w:val="0"/>
                  <w:vAlign w:val="center"/>
                </w:tcPr>
                <w:p>
                  <w:pPr>
                    <w:jc w:val="center"/>
                    <w:rPr>
                      <w:color w:val="auto"/>
                      <w:sz w:val="18"/>
                      <w:szCs w:val="18"/>
                    </w:rPr>
                  </w:pPr>
                  <w:r>
                    <w:rPr>
                      <w:color w:val="auto"/>
                      <w:sz w:val="18"/>
                      <w:szCs w:val="18"/>
                    </w:rPr>
                    <w:t>COD</w:t>
                  </w:r>
                </w:p>
              </w:tc>
              <w:tc>
                <w:tcPr>
                  <w:tcW w:w="1321" w:type="dxa"/>
                  <w:noWrap w:val="0"/>
                  <w:vAlign w:val="center"/>
                </w:tcPr>
                <w:p>
                  <w:pPr>
                    <w:jc w:val="center"/>
                    <w:rPr>
                      <w:color w:val="auto"/>
                      <w:sz w:val="18"/>
                      <w:szCs w:val="18"/>
                    </w:rPr>
                  </w:pPr>
                  <w:r>
                    <w:rPr>
                      <w:color w:val="auto"/>
                      <w:sz w:val="18"/>
                      <w:szCs w:val="18"/>
                    </w:rPr>
                    <w:t>BOD</w:t>
                  </w:r>
                  <w:r>
                    <w:rPr>
                      <w:color w:val="auto"/>
                      <w:sz w:val="18"/>
                      <w:szCs w:val="18"/>
                      <w:vertAlign w:val="subscript"/>
                    </w:rPr>
                    <w:t>5</w:t>
                  </w:r>
                </w:p>
              </w:tc>
              <w:tc>
                <w:tcPr>
                  <w:tcW w:w="1321" w:type="dxa"/>
                  <w:noWrap w:val="0"/>
                  <w:vAlign w:val="center"/>
                </w:tcPr>
                <w:p>
                  <w:pPr>
                    <w:jc w:val="center"/>
                    <w:rPr>
                      <w:color w:val="auto"/>
                      <w:sz w:val="18"/>
                      <w:szCs w:val="18"/>
                    </w:rPr>
                  </w:pPr>
                  <w:r>
                    <w:rPr>
                      <w:color w:val="auto"/>
                      <w:sz w:val="18"/>
                      <w:szCs w:val="18"/>
                    </w:rPr>
                    <w:t>SS</w:t>
                  </w:r>
                </w:p>
              </w:tc>
              <w:tc>
                <w:tcPr>
                  <w:tcW w:w="1321" w:type="dxa"/>
                  <w:noWrap w:val="0"/>
                  <w:vAlign w:val="center"/>
                </w:tcPr>
                <w:p>
                  <w:pPr>
                    <w:jc w:val="center"/>
                    <w:rPr>
                      <w:color w:val="auto"/>
                      <w:sz w:val="18"/>
                      <w:szCs w:val="18"/>
                    </w:rPr>
                  </w:pPr>
                  <w:r>
                    <w:rPr>
                      <w:color w:val="auto"/>
                      <w:sz w:val="18"/>
                      <w:szCs w:val="18"/>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dxa"/>
                  <w:noWrap w:val="0"/>
                  <w:vAlign w:val="center"/>
                </w:tcPr>
                <w:p>
                  <w:pPr>
                    <w:jc w:val="center"/>
                    <w:rPr>
                      <w:color w:val="auto"/>
                      <w:sz w:val="18"/>
                      <w:szCs w:val="18"/>
                    </w:rPr>
                  </w:pPr>
                  <w:r>
                    <w:rPr>
                      <w:color w:val="auto"/>
                      <w:sz w:val="18"/>
                      <w:szCs w:val="18"/>
                    </w:rPr>
                    <w:t>浓度</w:t>
                  </w:r>
                </w:p>
              </w:tc>
              <w:tc>
                <w:tcPr>
                  <w:tcW w:w="1320" w:type="dxa"/>
                  <w:noWrap w:val="0"/>
                  <w:vAlign w:val="center"/>
                </w:tcPr>
                <w:p>
                  <w:pPr>
                    <w:jc w:val="center"/>
                    <w:rPr>
                      <w:color w:val="auto"/>
                      <w:sz w:val="18"/>
                      <w:szCs w:val="18"/>
                    </w:rPr>
                  </w:pPr>
                  <w:r>
                    <w:rPr>
                      <w:color w:val="auto"/>
                      <w:sz w:val="18"/>
                      <w:szCs w:val="18"/>
                    </w:rPr>
                    <w:t>6~8</w:t>
                  </w:r>
                </w:p>
              </w:tc>
              <w:tc>
                <w:tcPr>
                  <w:tcW w:w="1320" w:type="dxa"/>
                  <w:noWrap w:val="0"/>
                  <w:vAlign w:val="center"/>
                </w:tcPr>
                <w:p>
                  <w:pPr>
                    <w:jc w:val="center"/>
                    <w:rPr>
                      <w:color w:val="auto"/>
                      <w:sz w:val="18"/>
                      <w:szCs w:val="18"/>
                    </w:rPr>
                  </w:pPr>
                  <w:r>
                    <w:rPr>
                      <w:color w:val="auto"/>
                      <w:sz w:val="18"/>
                      <w:szCs w:val="18"/>
                    </w:rPr>
                    <w:t>250</w:t>
                  </w:r>
                </w:p>
              </w:tc>
              <w:tc>
                <w:tcPr>
                  <w:tcW w:w="1321" w:type="dxa"/>
                  <w:noWrap w:val="0"/>
                  <w:vAlign w:val="center"/>
                </w:tcPr>
                <w:p>
                  <w:pPr>
                    <w:jc w:val="center"/>
                    <w:rPr>
                      <w:color w:val="auto"/>
                      <w:sz w:val="18"/>
                      <w:szCs w:val="18"/>
                    </w:rPr>
                  </w:pPr>
                  <w:r>
                    <w:rPr>
                      <w:color w:val="auto"/>
                      <w:sz w:val="18"/>
                      <w:szCs w:val="18"/>
                    </w:rPr>
                    <w:t>100</w:t>
                  </w:r>
                </w:p>
              </w:tc>
              <w:tc>
                <w:tcPr>
                  <w:tcW w:w="1321" w:type="dxa"/>
                  <w:noWrap w:val="0"/>
                  <w:vAlign w:val="center"/>
                </w:tcPr>
                <w:p>
                  <w:pPr>
                    <w:jc w:val="center"/>
                    <w:rPr>
                      <w:color w:val="auto"/>
                      <w:sz w:val="18"/>
                      <w:szCs w:val="18"/>
                    </w:rPr>
                  </w:pPr>
                  <w:r>
                    <w:rPr>
                      <w:color w:val="auto"/>
                      <w:sz w:val="18"/>
                      <w:szCs w:val="18"/>
                    </w:rPr>
                    <w:t>500</w:t>
                  </w:r>
                </w:p>
              </w:tc>
              <w:tc>
                <w:tcPr>
                  <w:tcW w:w="1321" w:type="dxa"/>
                  <w:noWrap w:val="0"/>
                  <w:vAlign w:val="center"/>
                </w:tcPr>
                <w:p>
                  <w:pPr>
                    <w:jc w:val="center"/>
                    <w:rPr>
                      <w:color w:val="auto"/>
                      <w:sz w:val="18"/>
                      <w:szCs w:val="18"/>
                    </w:rPr>
                  </w:pPr>
                  <w:r>
                    <w:rPr>
                      <w:color w:val="auto"/>
                      <w:sz w:val="18"/>
                      <w:szCs w:val="18"/>
                    </w:rPr>
                    <w:t>110</w:t>
                  </w:r>
                </w:p>
              </w:tc>
            </w:tr>
          </w:tbl>
          <w:p>
            <w:pPr>
              <w:pStyle w:val="6"/>
              <w:pageBreakBefore w:val="0"/>
              <w:widowControl w:val="0"/>
              <w:numPr>
                <w:ilvl w:val="0"/>
                <w:numId w:val="0"/>
              </w:numPr>
              <w:kinsoku/>
              <w:wordWrap/>
              <w:overflowPunct/>
              <w:topLinePunct w:val="0"/>
              <w:autoSpaceDE/>
              <w:autoSpaceDN/>
              <w:bidi w:val="0"/>
              <w:adjustRightInd/>
              <w:snapToGrid/>
              <w:spacing w:after="0" w:line="360" w:lineRule="auto"/>
              <w:ind w:left="420" w:leftChars="0" w:right="0" w:rightChars="0" w:firstLine="0" w:firstLineChars="0"/>
              <w:jc w:val="left"/>
              <w:textAlignment w:val="auto"/>
              <w:rPr>
                <w:rFonts w:hint="eastAsia" w:ascii="宋体" w:hAnsi="宋体" w:cs="宋体"/>
                <w:color w:val="auto"/>
                <w:sz w:val="21"/>
                <w:szCs w:val="21"/>
                <w:lang w:eastAsia="zh-CN"/>
              </w:rPr>
            </w:pPr>
            <w:r>
              <w:rPr>
                <w:rFonts w:hint="eastAsia" w:ascii="宋体" w:hAnsi="宋体" w:eastAsia="宋体" w:cs="宋体"/>
                <w:color w:val="auto"/>
                <w:sz w:val="21"/>
                <w:szCs w:val="21"/>
              </w:rPr>
              <w:t>（</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w:t>
            </w:r>
            <w:r>
              <w:rPr>
                <w:rFonts w:hint="eastAsia" w:ascii="宋体" w:hAnsi="宋体" w:cs="宋体"/>
                <w:color w:val="auto"/>
                <w:sz w:val="21"/>
                <w:szCs w:val="21"/>
                <w:lang w:eastAsia="zh-CN"/>
              </w:rPr>
              <w:t>初期雨水</w:t>
            </w:r>
          </w:p>
          <w:p>
            <w:pPr>
              <w:pStyle w:val="6"/>
              <w:spacing w:beforeLines="0" w:after="0" w:afterLines="0" w:line="360" w:lineRule="auto"/>
              <w:ind w:firstLine="480"/>
              <w:rPr>
                <w:rFonts w:hint="eastAsia"/>
                <w:color w:val="auto"/>
                <w:sz w:val="21"/>
                <w:szCs w:val="21"/>
              </w:rPr>
            </w:pPr>
            <w:r>
              <w:rPr>
                <w:rFonts w:hint="eastAsia" w:eastAsia="宋体"/>
                <w:color w:val="auto"/>
                <w:sz w:val="21"/>
                <w:szCs w:val="21"/>
              </w:rPr>
              <w:t>厂区初期雨水考虑降雨形成地面径流后15min内，收集的厂区</w:t>
            </w:r>
            <w:r>
              <w:rPr>
                <w:rFonts w:hint="eastAsia"/>
                <w:color w:val="auto"/>
                <w:sz w:val="21"/>
                <w:szCs w:val="21"/>
                <w:lang w:eastAsia="zh-CN"/>
              </w:rPr>
              <w:t>报废车辆堆放区可能</w:t>
            </w:r>
            <w:r>
              <w:rPr>
                <w:rFonts w:hint="eastAsia" w:eastAsia="宋体"/>
                <w:color w:val="auto"/>
                <w:sz w:val="21"/>
                <w:szCs w:val="21"/>
              </w:rPr>
              <w:t>受污染区域的地面雨水。初期雨水经沟渠汇入沉淀池回用于生产。降雨初期地面水与气象条件密切相关，具有间歇性、时间间隔的变化大等特点。本环评根据衡阳市地区暴雨强度公式计算初期雨水量。</w:t>
            </w:r>
          </w:p>
          <w:p>
            <w:pPr>
              <w:pStyle w:val="6"/>
              <w:spacing w:beforeLines="0" w:after="0" w:afterLines="0" w:line="360" w:lineRule="auto"/>
              <w:ind w:firstLine="480"/>
              <w:jc w:val="center"/>
              <w:rPr>
                <w:rFonts w:hint="eastAsia"/>
                <w:color w:val="auto"/>
                <w:sz w:val="21"/>
                <w:szCs w:val="21"/>
                <w:vertAlign w:val="superscript"/>
              </w:rPr>
            </w:pPr>
            <w:r>
              <w:rPr>
                <w:rFonts w:hint="eastAsia"/>
                <w:color w:val="auto"/>
                <w:sz w:val="21"/>
                <w:szCs w:val="21"/>
              </w:rPr>
              <w:t>q=892</w:t>
            </w:r>
            <w:r>
              <w:rPr>
                <w:rFonts w:hint="eastAsia" w:eastAsia="宋体"/>
                <w:color w:val="auto"/>
                <w:sz w:val="21"/>
                <w:szCs w:val="21"/>
              </w:rPr>
              <w:t>（1+0.67lgP）/t</w:t>
            </w:r>
            <w:r>
              <w:rPr>
                <w:rFonts w:hint="eastAsia"/>
                <w:color w:val="auto"/>
                <w:sz w:val="21"/>
                <w:szCs w:val="21"/>
                <w:vertAlign w:val="superscript"/>
              </w:rPr>
              <w:t>0.57</w:t>
            </w:r>
          </w:p>
          <w:p>
            <w:pPr>
              <w:pStyle w:val="6"/>
              <w:spacing w:beforeLines="0" w:after="0" w:afterLines="0" w:line="360" w:lineRule="auto"/>
              <w:ind w:firstLine="480"/>
              <w:rPr>
                <w:rFonts w:hint="eastAsia"/>
                <w:color w:val="auto"/>
                <w:sz w:val="21"/>
                <w:szCs w:val="21"/>
              </w:rPr>
            </w:pPr>
            <w:r>
              <w:rPr>
                <w:rFonts w:hint="eastAsia" w:eastAsia="宋体"/>
                <w:color w:val="auto"/>
                <w:sz w:val="21"/>
                <w:szCs w:val="21"/>
              </w:rPr>
              <w:t>其中：q：暴雨强度（L/s·万m</w:t>
            </w:r>
            <w:r>
              <w:rPr>
                <w:rFonts w:hint="eastAsia"/>
                <w:color w:val="auto"/>
                <w:sz w:val="21"/>
                <w:szCs w:val="21"/>
                <w:vertAlign w:val="superscript"/>
              </w:rPr>
              <w:t>2</w:t>
            </w:r>
            <w:r>
              <w:rPr>
                <w:rFonts w:hint="eastAsia" w:eastAsia="宋体"/>
                <w:color w:val="auto"/>
                <w:sz w:val="21"/>
                <w:szCs w:val="21"/>
              </w:rPr>
              <w:t>）</w:t>
            </w:r>
          </w:p>
          <w:p>
            <w:pPr>
              <w:pStyle w:val="6"/>
              <w:spacing w:beforeLines="0" w:after="0" w:afterLines="0" w:line="360" w:lineRule="auto"/>
              <w:ind w:firstLine="480"/>
              <w:rPr>
                <w:rFonts w:hint="eastAsia"/>
                <w:color w:val="auto"/>
                <w:sz w:val="21"/>
                <w:szCs w:val="21"/>
              </w:rPr>
            </w:pPr>
            <w:r>
              <w:rPr>
                <w:rFonts w:hint="eastAsia"/>
                <w:color w:val="auto"/>
                <w:sz w:val="21"/>
                <w:szCs w:val="21"/>
              </w:rPr>
              <w:t xml:space="preserve">      P</w:t>
            </w:r>
            <w:r>
              <w:rPr>
                <w:rFonts w:hint="eastAsia" w:eastAsia="宋体"/>
                <w:color w:val="auto"/>
                <w:sz w:val="21"/>
                <w:szCs w:val="21"/>
              </w:rPr>
              <w:t>：重现期，本项目取3年</w:t>
            </w:r>
          </w:p>
          <w:p>
            <w:pPr>
              <w:pStyle w:val="6"/>
              <w:spacing w:beforeLines="0" w:after="0" w:afterLines="0" w:line="360" w:lineRule="auto"/>
              <w:ind w:firstLine="480"/>
              <w:rPr>
                <w:rFonts w:hint="eastAsia"/>
                <w:color w:val="auto"/>
                <w:sz w:val="21"/>
                <w:szCs w:val="21"/>
              </w:rPr>
            </w:pPr>
            <w:r>
              <w:rPr>
                <w:rFonts w:hint="eastAsia"/>
                <w:color w:val="auto"/>
                <w:sz w:val="21"/>
                <w:szCs w:val="21"/>
              </w:rPr>
              <w:t xml:space="preserve">      T</w:t>
            </w:r>
            <w:r>
              <w:rPr>
                <w:rFonts w:hint="eastAsia" w:eastAsia="宋体"/>
                <w:color w:val="auto"/>
                <w:sz w:val="21"/>
                <w:szCs w:val="21"/>
              </w:rPr>
              <w:t>：降雨历时（min），本项目按15min计算。</w:t>
            </w:r>
          </w:p>
          <w:p>
            <w:pPr>
              <w:pStyle w:val="6"/>
              <w:spacing w:beforeLines="0" w:after="0" w:afterLines="0" w:line="360" w:lineRule="auto"/>
              <w:ind w:firstLine="480"/>
              <w:rPr>
                <w:rFonts w:hint="eastAsia"/>
                <w:color w:val="auto"/>
                <w:sz w:val="21"/>
                <w:szCs w:val="21"/>
              </w:rPr>
            </w:pPr>
            <w:r>
              <w:rPr>
                <w:rFonts w:hint="eastAsia" w:eastAsia="宋体"/>
                <w:color w:val="auto"/>
                <w:sz w:val="21"/>
                <w:szCs w:val="21"/>
              </w:rPr>
              <w:t>根据计算，本项目的暴雨强度为251.454L/s·万m</w:t>
            </w:r>
            <w:r>
              <w:rPr>
                <w:rFonts w:hint="eastAsia"/>
                <w:color w:val="auto"/>
                <w:sz w:val="21"/>
                <w:szCs w:val="21"/>
                <w:vertAlign w:val="superscript"/>
              </w:rPr>
              <w:t>2</w:t>
            </w:r>
            <w:r>
              <w:rPr>
                <w:rFonts w:hint="eastAsia" w:eastAsia="宋体"/>
                <w:color w:val="auto"/>
                <w:sz w:val="21"/>
                <w:szCs w:val="21"/>
              </w:rPr>
              <w:t>。</w:t>
            </w:r>
          </w:p>
          <w:p>
            <w:pPr>
              <w:pStyle w:val="6"/>
              <w:spacing w:beforeLines="0" w:after="0" w:afterLines="0" w:line="360" w:lineRule="auto"/>
              <w:ind w:firstLine="480"/>
              <w:rPr>
                <w:rFonts w:hint="eastAsia"/>
                <w:color w:val="auto"/>
                <w:sz w:val="21"/>
                <w:szCs w:val="21"/>
              </w:rPr>
            </w:pPr>
            <w:r>
              <w:rPr>
                <w:rFonts w:hint="eastAsia"/>
                <w:color w:val="auto"/>
                <w:sz w:val="21"/>
                <w:szCs w:val="21"/>
              </w:rPr>
              <w:t xml:space="preserve">       Q=q×ψ×F</w:t>
            </w:r>
          </w:p>
          <w:p>
            <w:pPr>
              <w:pStyle w:val="6"/>
              <w:spacing w:beforeLines="0" w:after="0" w:afterLines="0" w:line="360" w:lineRule="auto"/>
              <w:ind w:firstLine="480"/>
              <w:rPr>
                <w:rFonts w:hint="eastAsia"/>
                <w:color w:val="auto"/>
                <w:sz w:val="21"/>
                <w:szCs w:val="21"/>
              </w:rPr>
            </w:pPr>
            <w:r>
              <w:rPr>
                <w:rFonts w:hint="eastAsia" w:eastAsia="宋体"/>
                <w:color w:val="auto"/>
                <w:sz w:val="21"/>
                <w:szCs w:val="21"/>
              </w:rPr>
              <w:t>其中： Q：雨量（L/s）；</w:t>
            </w:r>
          </w:p>
          <w:p>
            <w:pPr>
              <w:pStyle w:val="6"/>
              <w:spacing w:beforeLines="0" w:after="0" w:afterLines="0" w:line="360" w:lineRule="auto"/>
              <w:ind w:firstLine="480"/>
              <w:rPr>
                <w:rFonts w:hint="eastAsia"/>
                <w:color w:val="auto"/>
                <w:sz w:val="21"/>
                <w:szCs w:val="21"/>
              </w:rPr>
            </w:pPr>
            <w:r>
              <w:rPr>
                <w:rFonts w:hint="eastAsia"/>
                <w:color w:val="auto"/>
                <w:sz w:val="21"/>
                <w:szCs w:val="21"/>
              </w:rPr>
              <w:t xml:space="preserve">       ψ</w:t>
            </w:r>
            <w:r>
              <w:rPr>
                <w:rFonts w:hint="eastAsia" w:eastAsia="宋体"/>
                <w:color w:val="auto"/>
                <w:sz w:val="21"/>
                <w:szCs w:val="21"/>
              </w:rPr>
              <w:t>：综合径流系数，本环评取0.6；</w:t>
            </w:r>
          </w:p>
          <w:p>
            <w:pPr>
              <w:pStyle w:val="6"/>
              <w:spacing w:beforeLines="0" w:after="0" w:afterLines="0" w:line="360" w:lineRule="auto"/>
              <w:ind w:firstLine="480"/>
              <w:rPr>
                <w:rFonts w:hint="eastAsia"/>
                <w:color w:val="auto"/>
                <w:sz w:val="21"/>
                <w:szCs w:val="21"/>
              </w:rPr>
            </w:pPr>
            <w:r>
              <w:rPr>
                <w:rFonts w:hint="eastAsia"/>
                <w:color w:val="auto"/>
                <w:sz w:val="21"/>
                <w:szCs w:val="21"/>
              </w:rPr>
              <w:t xml:space="preserve">       F</w:t>
            </w:r>
            <w:r>
              <w:rPr>
                <w:rFonts w:hint="eastAsia" w:eastAsia="宋体"/>
                <w:color w:val="auto"/>
                <w:sz w:val="21"/>
                <w:szCs w:val="21"/>
              </w:rPr>
              <w:t>：汇水面积，项目总面积约</w:t>
            </w:r>
            <w:r>
              <w:rPr>
                <w:rFonts w:hint="eastAsia"/>
                <w:color w:val="auto"/>
                <w:sz w:val="21"/>
                <w:szCs w:val="21"/>
                <w:lang w:val="en-US" w:eastAsia="zh-CN"/>
              </w:rPr>
              <w:t>3000</w:t>
            </w:r>
            <w:r>
              <w:rPr>
                <w:rFonts w:hint="eastAsia"/>
                <w:color w:val="auto"/>
                <w:sz w:val="21"/>
                <w:szCs w:val="21"/>
              </w:rPr>
              <w:t>m</w:t>
            </w:r>
            <w:r>
              <w:rPr>
                <w:rFonts w:hint="eastAsia"/>
                <w:color w:val="auto"/>
                <w:sz w:val="21"/>
                <w:szCs w:val="21"/>
                <w:vertAlign w:val="superscript"/>
              </w:rPr>
              <w:t>2</w:t>
            </w:r>
            <w:r>
              <w:rPr>
                <w:rFonts w:hint="eastAsia" w:eastAsia="宋体"/>
                <w:color w:val="auto"/>
                <w:sz w:val="21"/>
                <w:szCs w:val="21"/>
              </w:rPr>
              <w:t>。</w:t>
            </w:r>
          </w:p>
          <w:p>
            <w:pPr>
              <w:pStyle w:val="6"/>
              <w:spacing w:beforeLines="0" w:after="0" w:afterLines="0" w:line="360" w:lineRule="auto"/>
              <w:ind w:firstLine="480"/>
              <w:rPr>
                <w:rFonts w:hint="eastAsia"/>
                <w:color w:val="auto"/>
                <w:sz w:val="21"/>
                <w:szCs w:val="21"/>
                <w:u w:val="single"/>
              </w:rPr>
            </w:pPr>
            <w:r>
              <w:rPr>
                <w:rFonts w:hint="eastAsia" w:eastAsia="宋体"/>
                <w:color w:val="auto"/>
                <w:sz w:val="21"/>
                <w:szCs w:val="21"/>
              </w:rPr>
              <w:t>根据计算，厂区的初期雨水量约为</w:t>
            </w:r>
            <w:r>
              <w:rPr>
                <w:rFonts w:hint="eastAsia"/>
                <w:color w:val="auto"/>
                <w:sz w:val="21"/>
                <w:szCs w:val="21"/>
                <w:lang w:val="en-US" w:eastAsia="zh-CN"/>
              </w:rPr>
              <w:t>40.7</w:t>
            </w:r>
            <w:r>
              <w:rPr>
                <w:rFonts w:hint="eastAsia"/>
                <w:color w:val="auto"/>
                <w:sz w:val="21"/>
                <w:szCs w:val="21"/>
              </w:rPr>
              <w:t>m</w:t>
            </w:r>
            <w:r>
              <w:rPr>
                <w:rFonts w:hint="eastAsia"/>
                <w:color w:val="auto"/>
                <w:sz w:val="21"/>
                <w:szCs w:val="21"/>
                <w:vertAlign w:val="superscript"/>
              </w:rPr>
              <w:t>3</w:t>
            </w:r>
            <w:r>
              <w:rPr>
                <w:rFonts w:hint="eastAsia"/>
                <w:color w:val="auto"/>
                <w:sz w:val="21"/>
                <w:szCs w:val="21"/>
              </w:rPr>
              <w:t>/</w:t>
            </w:r>
            <w:r>
              <w:rPr>
                <w:rFonts w:hint="eastAsia" w:eastAsia="宋体"/>
                <w:color w:val="auto"/>
                <w:sz w:val="21"/>
                <w:szCs w:val="21"/>
              </w:rPr>
              <w:t>次。</w:t>
            </w:r>
          </w:p>
          <w:p>
            <w:pPr>
              <w:pStyle w:val="6"/>
              <w:spacing w:beforeLines="0" w:after="0" w:afterLines="0" w:line="360" w:lineRule="auto"/>
              <w:ind w:firstLine="480"/>
              <w:rPr>
                <w:rFonts w:hint="eastAsia" w:eastAsia="宋体"/>
                <w:color w:val="auto"/>
                <w:sz w:val="21"/>
                <w:szCs w:val="21"/>
              </w:rPr>
            </w:pPr>
            <w:r>
              <w:rPr>
                <w:rFonts w:hint="eastAsia" w:eastAsia="宋体"/>
                <w:color w:val="auto"/>
                <w:sz w:val="21"/>
                <w:szCs w:val="21"/>
              </w:rPr>
              <w:t>本项目需在厂区内设置截排水沟，根据厂区15min初期雨水汇集量需1个</w:t>
            </w:r>
            <w:r>
              <w:rPr>
                <w:rFonts w:hint="eastAsia"/>
                <w:color w:val="auto"/>
                <w:sz w:val="21"/>
                <w:szCs w:val="21"/>
                <w:lang w:val="en-US" w:eastAsia="zh-CN"/>
              </w:rPr>
              <w:t>40.7</w:t>
            </w:r>
            <w:r>
              <w:rPr>
                <w:rFonts w:hint="eastAsia"/>
                <w:color w:val="auto"/>
                <w:sz w:val="21"/>
                <w:szCs w:val="21"/>
              </w:rPr>
              <w:t>m</w:t>
            </w:r>
            <w:r>
              <w:rPr>
                <w:rFonts w:hint="eastAsia"/>
                <w:color w:val="auto"/>
                <w:sz w:val="21"/>
                <w:szCs w:val="21"/>
                <w:vertAlign w:val="superscript"/>
              </w:rPr>
              <w:t>3</w:t>
            </w:r>
            <w:r>
              <w:rPr>
                <w:rFonts w:hint="eastAsia" w:eastAsia="宋体"/>
                <w:color w:val="auto"/>
                <w:sz w:val="21"/>
                <w:szCs w:val="21"/>
              </w:rPr>
              <w:t>的初期雨水收集池。其中主要污染物为 SS、石油类</w:t>
            </w:r>
            <w:r>
              <w:rPr>
                <w:rFonts w:hint="eastAsia" w:eastAsia="宋体"/>
                <w:color w:val="auto"/>
                <w:sz w:val="21"/>
                <w:szCs w:val="21"/>
                <w:lang w:eastAsia="zh-CN"/>
              </w:rPr>
              <w:t>，</w:t>
            </w:r>
            <w:r>
              <w:rPr>
                <w:rFonts w:hint="eastAsia" w:eastAsia="宋体"/>
                <w:color w:val="auto"/>
                <w:sz w:val="21"/>
                <w:szCs w:val="21"/>
              </w:rPr>
              <w:t>SS 300mg/L、石油类 20mg/L，暴雨天数以</w:t>
            </w:r>
            <w:r>
              <w:rPr>
                <w:rFonts w:hint="eastAsia"/>
                <w:color w:val="auto"/>
                <w:sz w:val="21"/>
                <w:szCs w:val="21"/>
                <w:lang w:val="en-US" w:eastAsia="zh-CN"/>
              </w:rPr>
              <w:t>1</w:t>
            </w:r>
            <w:r>
              <w:rPr>
                <w:rFonts w:hint="eastAsia" w:eastAsia="宋体"/>
                <w:color w:val="auto"/>
                <w:sz w:val="21"/>
                <w:szCs w:val="21"/>
              </w:rPr>
              <w:t>0天计，则全年初期雨水收集量为</w:t>
            </w:r>
            <w:r>
              <w:rPr>
                <w:rFonts w:hint="eastAsia"/>
                <w:color w:val="auto"/>
                <w:sz w:val="21"/>
                <w:szCs w:val="21"/>
                <w:lang w:val="en-US" w:eastAsia="zh-CN"/>
              </w:rPr>
              <w:t>407</w:t>
            </w:r>
            <w:r>
              <w:rPr>
                <w:rFonts w:hint="eastAsia" w:eastAsia="宋体"/>
                <w:color w:val="auto"/>
                <w:sz w:val="21"/>
                <w:szCs w:val="21"/>
              </w:rPr>
              <w:t>m</w:t>
            </w:r>
            <w:r>
              <w:rPr>
                <w:rFonts w:hint="eastAsia" w:eastAsia="宋体"/>
                <w:color w:val="auto"/>
                <w:sz w:val="21"/>
                <w:szCs w:val="21"/>
                <w:vertAlign w:val="superscript"/>
              </w:rPr>
              <w:t>3</w:t>
            </w:r>
            <w:r>
              <w:rPr>
                <w:rFonts w:hint="eastAsia" w:eastAsia="宋体"/>
                <w:color w:val="auto"/>
                <w:sz w:val="21"/>
                <w:szCs w:val="21"/>
              </w:rPr>
              <w:t>/年，收集的初期雨水经隔油沉淀</w:t>
            </w:r>
            <w:r>
              <w:rPr>
                <w:rFonts w:hint="eastAsia" w:eastAsia="宋体"/>
                <w:color w:val="auto"/>
                <w:sz w:val="21"/>
                <w:szCs w:val="21"/>
                <w:lang w:eastAsia="zh-CN"/>
              </w:rPr>
              <w:t>后再经一体化水处理设备</w:t>
            </w:r>
            <w:r>
              <w:rPr>
                <w:rFonts w:hint="eastAsia" w:eastAsia="宋体"/>
                <w:color w:val="auto"/>
                <w:sz w:val="21"/>
                <w:szCs w:val="21"/>
              </w:rPr>
              <w:t>处理达到《污水综合排放标准》（GB/T 8978-1996）表 4 中一级标准后排入</w:t>
            </w:r>
            <w:r>
              <w:rPr>
                <w:rFonts w:hint="eastAsia" w:eastAsia="宋体"/>
                <w:color w:val="auto"/>
                <w:sz w:val="21"/>
                <w:szCs w:val="21"/>
                <w:lang w:eastAsia="zh-CN"/>
              </w:rPr>
              <w:t>清水池，回用于生产清洁用水、绿化用水及厂区场地浇洒降尘等。</w:t>
            </w:r>
            <w:r>
              <w:rPr>
                <w:rFonts w:hint="eastAsia" w:eastAsia="宋体"/>
                <w:color w:val="auto"/>
                <w:sz w:val="21"/>
                <w:szCs w:val="21"/>
              </w:rPr>
              <w:t>自然沟渠，通常露天场地的雨水中的污染物主要集中在降雨的前</w:t>
            </w:r>
            <w:r>
              <w:rPr>
                <w:rFonts w:hint="eastAsia" w:eastAsia="宋体"/>
                <w:color w:val="auto"/>
                <w:sz w:val="21"/>
                <w:szCs w:val="21"/>
                <w:lang w:val="en-US" w:eastAsia="zh-CN"/>
              </w:rPr>
              <w:t>15</w:t>
            </w:r>
            <w:r>
              <w:rPr>
                <w:rFonts w:hint="eastAsia" w:eastAsia="宋体"/>
                <w:color w:val="auto"/>
                <w:sz w:val="21"/>
                <w:szCs w:val="21"/>
              </w:rPr>
              <w:t>min，</w:t>
            </w:r>
            <w:r>
              <w:rPr>
                <w:rFonts w:hint="eastAsia" w:eastAsia="宋体"/>
                <w:color w:val="auto"/>
                <w:sz w:val="21"/>
                <w:szCs w:val="21"/>
                <w:lang w:val="en-US" w:eastAsia="zh-CN"/>
              </w:rPr>
              <w:t>15</w:t>
            </w:r>
            <w:r>
              <w:rPr>
                <w:rFonts w:hint="eastAsia" w:eastAsia="宋体"/>
                <w:color w:val="auto"/>
                <w:sz w:val="21"/>
                <w:szCs w:val="21"/>
              </w:rPr>
              <w:t xml:space="preserve">min 后，地面基本被冲洗干净，其中污染物浓度维持在较低水平。项目拟建初期雨水沉淀池容积为 </w:t>
            </w:r>
            <w:r>
              <w:rPr>
                <w:rFonts w:hint="eastAsia" w:eastAsia="宋体"/>
                <w:color w:val="auto"/>
                <w:sz w:val="21"/>
                <w:szCs w:val="21"/>
                <w:lang w:val="en-US" w:eastAsia="zh-CN"/>
              </w:rPr>
              <w:t>50</w:t>
            </w:r>
            <w:r>
              <w:rPr>
                <w:rFonts w:hint="eastAsia" w:eastAsia="宋体"/>
                <w:color w:val="auto"/>
                <w:sz w:val="21"/>
                <w:szCs w:val="21"/>
              </w:rPr>
              <w:t>m3，拟布置于项目占地区</w:t>
            </w:r>
            <w:r>
              <w:rPr>
                <w:rFonts w:hint="eastAsia" w:eastAsia="宋体"/>
                <w:color w:val="auto"/>
                <w:sz w:val="21"/>
                <w:szCs w:val="21"/>
                <w:lang w:eastAsia="zh-CN"/>
              </w:rPr>
              <w:t>南</w:t>
            </w:r>
            <w:r>
              <w:rPr>
                <w:rFonts w:hint="eastAsia" w:eastAsia="宋体"/>
                <w:color w:val="auto"/>
                <w:sz w:val="21"/>
                <w:szCs w:val="21"/>
              </w:rPr>
              <w:t>部靠边界处，与露天报废汽车堆放区场地雨水沟相连。</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本项目废水产排情况详见下表。</w:t>
            </w:r>
          </w:p>
          <w:p>
            <w:pPr>
              <w:pStyle w:val="6"/>
              <w:pageBreakBefore w:val="0"/>
              <w:widowControl w:val="0"/>
              <w:kinsoku/>
              <w:wordWrap/>
              <w:overflowPunct/>
              <w:topLinePunct w:val="0"/>
              <w:autoSpaceDE/>
              <w:autoSpaceDN/>
              <w:bidi w:val="0"/>
              <w:adjustRightInd/>
              <w:snapToGrid/>
              <w:spacing w:after="0" w:line="360" w:lineRule="auto"/>
              <w:ind w:firstLine="48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表4-</w:t>
            </w:r>
            <w:r>
              <w:rPr>
                <w:rFonts w:hint="eastAsia" w:ascii="宋体" w:hAnsi="宋体" w:cs="宋体"/>
                <w:b/>
                <w:bCs/>
                <w:color w:val="auto"/>
                <w:sz w:val="21"/>
                <w:szCs w:val="21"/>
                <w:lang w:val="en-US" w:eastAsia="zh-CN"/>
              </w:rPr>
              <w:t>8</w:t>
            </w:r>
            <w:r>
              <w:rPr>
                <w:rFonts w:hint="eastAsia" w:ascii="宋体" w:hAnsi="宋体" w:eastAsia="宋体" w:cs="宋体"/>
                <w:b/>
                <w:bCs/>
                <w:color w:val="auto"/>
                <w:sz w:val="21"/>
                <w:szCs w:val="21"/>
              </w:rPr>
              <w:tab/>
            </w:r>
            <w:r>
              <w:rPr>
                <w:rFonts w:hint="eastAsia" w:ascii="宋体" w:hAnsi="宋体" w:eastAsia="宋体" w:cs="宋体"/>
                <w:b/>
                <w:bCs/>
                <w:color w:val="auto"/>
                <w:sz w:val="21"/>
                <w:szCs w:val="21"/>
              </w:rPr>
              <w:t>废水污染物信息表</w:t>
            </w:r>
          </w:p>
          <w:tbl>
            <w:tblPr>
              <w:tblStyle w:val="21"/>
              <w:tblW w:w="78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712"/>
              <w:gridCol w:w="698"/>
              <w:gridCol w:w="801"/>
              <w:gridCol w:w="461"/>
              <w:gridCol w:w="675"/>
              <w:gridCol w:w="919"/>
              <w:gridCol w:w="681"/>
              <w:gridCol w:w="918"/>
              <w:gridCol w:w="675"/>
              <w:gridCol w:w="8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51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序号</w:t>
                  </w:r>
                </w:p>
              </w:tc>
              <w:tc>
                <w:tcPr>
                  <w:tcW w:w="712"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产污环节名称</w:t>
                  </w:r>
                </w:p>
              </w:tc>
              <w:tc>
                <w:tcPr>
                  <w:tcW w:w="69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类别</w:t>
                  </w:r>
                </w:p>
              </w:tc>
              <w:tc>
                <w:tcPr>
                  <w:tcW w:w="80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污染物种类</w:t>
                  </w:r>
                </w:p>
              </w:tc>
              <w:tc>
                <w:tcPr>
                  <w:tcW w:w="2055"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污染物</w:t>
                  </w:r>
                </w:p>
              </w:tc>
              <w:tc>
                <w:tcPr>
                  <w:tcW w:w="68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污染治理设施</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名称</w:t>
                  </w:r>
                </w:p>
              </w:tc>
              <w:tc>
                <w:tcPr>
                  <w:tcW w:w="91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污染物排放浓度</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（mg/L）</w:t>
                  </w:r>
                </w:p>
              </w:tc>
              <w:tc>
                <w:tcPr>
                  <w:tcW w:w="67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污染物排放量</w:t>
                  </w:r>
                </w:p>
              </w:tc>
              <w:tc>
                <w:tcPr>
                  <w:tcW w:w="81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51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71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69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80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136"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产生量（t/a）</w:t>
                  </w:r>
                </w:p>
              </w:tc>
              <w:tc>
                <w:tcPr>
                  <w:tcW w:w="91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浓度</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（mg/L）</w:t>
                  </w:r>
                </w:p>
              </w:tc>
              <w:tc>
                <w:tcPr>
                  <w:tcW w:w="6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91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8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jc w:val="center"/>
              </w:trPr>
              <w:tc>
                <w:tcPr>
                  <w:tcW w:w="51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712"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员工生活</w:t>
                  </w:r>
                </w:p>
              </w:tc>
              <w:tc>
                <w:tcPr>
                  <w:tcW w:w="69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生活污水</w:t>
                  </w:r>
                </w:p>
              </w:tc>
              <w:tc>
                <w:tcPr>
                  <w:tcW w:w="80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COD</w:t>
                  </w:r>
                </w:p>
              </w:tc>
              <w:tc>
                <w:tcPr>
                  <w:tcW w:w="46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432</w:t>
                  </w:r>
                </w:p>
              </w:tc>
              <w:tc>
                <w:tcPr>
                  <w:tcW w:w="67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0.1512</w:t>
                  </w:r>
                </w:p>
              </w:tc>
              <w:tc>
                <w:tcPr>
                  <w:tcW w:w="91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350</w:t>
                  </w:r>
                </w:p>
              </w:tc>
              <w:tc>
                <w:tcPr>
                  <w:tcW w:w="68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隔油</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池</w:t>
                  </w:r>
                  <w:r>
                    <w:rPr>
                      <w:rFonts w:hint="eastAsia" w:ascii="宋体" w:hAnsi="宋体" w:cs="宋体"/>
                      <w:color w:val="auto"/>
                      <w:sz w:val="18"/>
                      <w:szCs w:val="18"/>
                      <w:lang w:eastAsia="zh-CN"/>
                    </w:rPr>
                    <w:t>、</w:t>
                  </w:r>
                  <w:r>
                    <w:rPr>
                      <w:rFonts w:hint="eastAsia" w:ascii="宋体" w:hAnsi="宋体" w:eastAsia="宋体" w:cs="宋体"/>
                      <w:color w:val="auto"/>
                      <w:sz w:val="18"/>
                      <w:szCs w:val="18"/>
                    </w:rPr>
                    <w:t>化粪池</w:t>
                  </w:r>
                </w:p>
              </w:tc>
              <w:tc>
                <w:tcPr>
                  <w:tcW w:w="2407" w:type="dxa"/>
                  <w:gridSpan w:val="3"/>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化粪池处理后用作农肥，不外排</w:t>
                  </w:r>
                  <w:r>
                    <w:rPr>
                      <w:rFonts w:hint="eastAsia" w:ascii="宋体" w:hAnsi="宋体" w:cs="宋体"/>
                      <w:color w:val="auto"/>
                      <w:sz w:val="18"/>
                      <w:szCs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51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71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69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80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BOD5</w:t>
                  </w:r>
                </w:p>
              </w:tc>
              <w:tc>
                <w:tcPr>
                  <w:tcW w:w="46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67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0.0864</w:t>
                  </w:r>
                </w:p>
              </w:tc>
              <w:tc>
                <w:tcPr>
                  <w:tcW w:w="91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200</w:t>
                  </w:r>
                </w:p>
              </w:tc>
              <w:tc>
                <w:tcPr>
                  <w:tcW w:w="6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2407" w:type="dxa"/>
                  <w:gridSpan w:val="3"/>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51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71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69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80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SS</w:t>
                  </w:r>
                </w:p>
              </w:tc>
              <w:tc>
                <w:tcPr>
                  <w:tcW w:w="46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67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0.0648</w:t>
                  </w:r>
                </w:p>
              </w:tc>
              <w:tc>
                <w:tcPr>
                  <w:tcW w:w="91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150</w:t>
                  </w:r>
                </w:p>
              </w:tc>
              <w:tc>
                <w:tcPr>
                  <w:tcW w:w="6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2407" w:type="dxa"/>
                  <w:gridSpan w:val="3"/>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51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71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69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80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NH3-N</w:t>
                  </w:r>
                </w:p>
              </w:tc>
              <w:tc>
                <w:tcPr>
                  <w:tcW w:w="46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67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0.0173</w:t>
                  </w:r>
                </w:p>
              </w:tc>
              <w:tc>
                <w:tcPr>
                  <w:tcW w:w="91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40</w:t>
                  </w:r>
                </w:p>
              </w:tc>
              <w:tc>
                <w:tcPr>
                  <w:tcW w:w="6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2407" w:type="dxa"/>
                  <w:gridSpan w:val="3"/>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51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712"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清洁</w:t>
                  </w:r>
                  <w:r>
                    <w:rPr>
                      <w:rFonts w:hint="eastAsia" w:ascii="宋体" w:hAnsi="宋体" w:eastAsia="宋体" w:cs="宋体"/>
                      <w:color w:val="auto"/>
                      <w:sz w:val="18"/>
                      <w:szCs w:val="18"/>
                      <w:lang w:eastAsia="zh-CN"/>
                    </w:rPr>
                    <w:t>废水</w:t>
                  </w:r>
                </w:p>
              </w:tc>
              <w:tc>
                <w:tcPr>
                  <w:tcW w:w="69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生产</w:t>
                  </w:r>
                  <w:r>
                    <w:rPr>
                      <w:rFonts w:hint="eastAsia" w:ascii="宋体" w:hAnsi="宋体" w:eastAsia="宋体" w:cs="宋体"/>
                      <w:color w:val="auto"/>
                      <w:sz w:val="18"/>
                      <w:szCs w:val="18"/>
                      <w:lang w:eastAsia="zh-CN"/>
                    </w:rPr>
                    <w:t>废水</w:t>
                  </w:r>
                </w:p>
              </w:tc>
              <w:tc>
                <w:tcPr>
                  <w:tcW w:w="80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COD</w:t>
                  </w:r>
                </w:p>
              </w:tc>
              <w:tc>
                <w:tcPr>
                  <w:tcW w:w="46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13</w:t>
                  </w:r>
                  <w:r>
                    <w:rPr>
                      <w:rFonts w:hint="eastAsia" w:ascii="宋体" w:hAnsi="宋体" w:eastAsia="宋体" w:cs="宋体"/>
                      <w:color w:val="auto"/>
                      <w:sz w:val="18"/>
                      <w:szCs w:val="18"/>
                    </w:rPr>
                    <w:t>5</w:t>
                  </w:r>
                </w:p>
              </w:tc>
              <w:tc>
                <w:tcPr>
                  <w:tcW w:w="67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sz w:val="18"/>
                      <w:szCs w:val="18"/>
                    </w:rPr>
                    <w:t>0.</w:t>
                  </w:r>
                  <w:r>
                    <w:rPr>
                      <w:rFonts w:hint="eastAsia" w:ascii="宋体" w:hAnsi="宋体" w:eastAsia="宋体" w:cs="宋体"/>
                      <w:color w:val="auto"/>
                      <w:sz w:val="18"/>
                      <w:szCs w:val="18"/>
                      <w:lang w:val="en-US" w:eastAsia="zh-CN"/>
                    </w:rPr>
                    <w:t>0338</w:t>
                  </w:r>
                </w:p>
              </w:tc>
              <w:tc>
                <w:tcPr>
                  <w:tcW w:w="91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250</w:t>
                  </w:r>
                </w:p>
              </w:tc>
              <w:tc>
                <w:tcPr>
                  <w:tcW w:w="68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隔油</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池</w:t>
                  </w:r>
                  <w:r>
                    <w:rPr>
                      <w:rFonts w:hint="eastAsia" w:ascii="宋体" w:hAnsi="宋体" w:cs="宋体"/>
                      <w:color w:val="auto"/>
                      <w:sz w:val="18"/>
                      <w:szCs w:val="18"/>
                      <w:lang w:eastAsia="zh-CN"/>
                    </w:rPr>
                    <w:t>、一体化水处理设备</w:t>
                  </w:r>
                </w:p>
              </w:tc>
              <w:tc>
                <w:tcPr>
                  <w:tcW w:w="2407" w:type="dxa"/>
                  <w:gridSpan w:val="3"/>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cs="宋体"/>
                      <w:color w:val="auto"/>
                      <w:sz w:val="18"/>
                      <w:szCs w:val="18"/>
                      <w:lang w:eastAsia="zh-CN"/>
                    </w:rPr>
                    <w:t>经隔油池及一体化设备处理，达到《污水综合排放标准》（GB/T 8978-1996）表 4 中一级标准后排入清水池，回用于生产清洁用水、绿化用水及厂区场地浇洒降尘等。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51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71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69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80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BOD5</w:t>
                  </w:r>
                </w:p>
              </w:tc>
              <w:tc>
                <w:tcPr>
                  <w:tcW w:w="46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67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0.0</w:t>
                  </w:r>
                  <w:r>
                    <w:rPr>
                      <w:rFonts w:hint="eastAsia" w:ascii="宋体" w:hAnsi="宋体" w:eastAsia="宋体" w:cs="宋体"/>
                      <w:color w:val="auto"/>
                      <w:sz w:val="18"/>
                      <w:szCs w:val="18"/>
                      <w:lang w:val="en-US" w:eastAsia="zh-CN"/>
                    </w:rPr>
                    <w:t>135</w:t>
                  </w:r>
                </w:p>
              </w:tc>
              <w:tc>
                <w:tcPr>
                  <w:tcW w:w="91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c>
                <w:tcPr>
                  <w:tcW w:w="6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2407" w:type="dxa"/>
                  <w:gridSpan w:val="3"/>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51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71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69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80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SS</w:t>
                  </w:r>
                </w:p>
              </w:tc>
              <w:tc>
                <w:tcPr>
                  <w:tcW w:w="46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67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0.0675</w:t>
                  </w:r>
                </w:p>
              </w:tc>
              <w:tc>
                <w:tcPr>
                  <w:tcW w:w="91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500</w:t>
                  </w:r>
                </w:p>
              </w:tc>
              <w:tc>
                <w:tcPr>
                  <w:tcW w:w="6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2407" w:type="dxa"/>
                  <w:gridSpan w:val="3"/>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51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71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69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80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石油类</w:t>
                  </w:r>
                </w:p>
              </w:tc>
              <w:tc>
                <w:tcPr>
                  <w:tcW w:w="46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67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w:t>
                  </w:r>
                  <w:r>
                    <w:rPr>
                      <w:rFonts w:hint="eastAsia" w:ascii="宋体" w:hAnsi="宋体" w:eastAsia="宋体" w:cs="宋体"/>
                      <w:color w:val="auto"/>
                      <w:sz w:val="18"/>
                      <w:szCs w:val="18"/>
                      <w:lang w:val="en-US" w:eastAsia="zh-CN"/>
                    </w:rPr>
                    <w:t>0149</w:t>
                  </w:r>
                </w:p>
              </w:tc>
              <w:tc>
                <w:tcPr>
                  <w:tcW w:w="91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110</w:t>
                  </w:r>
                </w:p>
              </w:tc>
              <w:tc>
                <w:tcPr>
                  <w:tcW w:w="6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2407" w:type="dxa"/>
                  <w:gridSpan w:val="3"/>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51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3</w:t>
                  </w:r>
                </w:p>
              </w:tc>
              <w:tc>
                <w:tcPr>
                  <w:tcW w:w="712"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cs="宋体"/>
                      <w:color w:val="auto"/>
                      <w:sz w:val="18"/>
                      <w:szCs w:val="18"/>
                      <w:lang w:eastAsia="zh-CN"/>
                    </w:rPr>
                    <w:t>初期雨水</w:t>
                  </w:r>
                </w:p>
              </w:tc>
              <w:tc>
                <w:tcPr>
                  <w:tcW w:w="69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cs="宋体"/>
                      <w:color w:val="auto"/>
                      <w:sz w:val="18"/>
                      <w:szCs w:val="18"/>
                      <w:lang w:eastAsia="zh-CN"/>
                    </w:rPr>
                    <w:t>初期雨水</w:t>
                  </w:r>
                </w:p>
              </w:tc>
              <w:tc>
                <w:tcPr>
                  <w:tcW w:w="80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SS</w:t>
                  </w:r>
                </w:p>
              </w:tc>
              <w:tc>
                <w:tcPr>
                  <w:tcW w:w="46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407</w:t>
                  </w:r>
                </w:p>
              </w:tc>
              <w:tc>
                <w:tcPr>
                  <w:tcW w:w="67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0.1221</w:t>
                  </w:r>
                </w:p>
              </w:tc>
              <w:tc>
                <w:tcPr>
                  <w:tcW w:w="91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300</w:t>
                  </w:r>
                </w:p>
              </w:tc>
              <w:tc>
                <w:tcPr>
                  <w:tcW w:w="6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2407" w:type="dxa"/>
                  <w:gridSpan w:val="3"/>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51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71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69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80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石油类</w:t>
                  </w:r>
                </w:p>
              </w:tc>
              <w:tc>
                <w:tcPr>
                  <w:tcW w:w="46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67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0.0081</w:t>
                  </w:r>
                </w:p>
              </w:tc>
              <w:tc>
                <w:tcPr>
                  <w:tcW w:w="91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20</w:t>
                  </w:r>
                </w:p>
              </w:tc>
              <w:tc>
                <w:tcPr>
                  <w:tcW w:w="6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2407" w:type="dxa"/>
                  <w:gridSpan w:val="3"/>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bl>
          <w:p>
            <w:pPr>
              <w:pStyle w:val="6"/>
              <w:keepNext w:val="0"/>
              <w:keepLines w:val="0"/>
              <w:pageBreakBefore w:val="0"/>
              <w:widowControl w:val="0"/>
              <w:kinsoku/>
              <w:wordWrap/>
              <w:overflowPunct/>
              <w:topLinePunct w:val="0"/>
              <w:autoSpaceDE/>
              <w:autoSpaceDN/>
              <w:bidi w:val="0"/>
              <w:adjustRightInd/>
              <w:snapToGrid/>
              <w:spacing w:before="157" w:beforeLines="50" w:after="0" w:line="360" w:lineRule="auto"/>
              <w:ind w:firstLine="48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表4-</w:t>
            </w:r>
            <w:r>
              <w:rPr>
                <w:rFonts w:hint="eastAsia" w:ascii="宋体" w:hAnsi="宋体" w:cs="宋体"/>
                <w:b/>
                <w:bCs/>
                <w:color w:val="auto"/>
                <w:sz w:val="21"/>
                <w:szCs w:val="21"/>
                <w:lang w:val="en-US" w:eastAsia="zh-CN"/>
              </w:rPr>
              <w:t>9</w:t>
            </w:r>
            <w:r>
              <w:rPr>
                <w:rFonts w:hint="eastAsia" w:ascii="宋体" w:hAnsi="宋体" w:eastAsia="宋体" w:cs="宋体"/>
                <w:b/>
                <w:bCs/>
                <w:color w:val="auto"/>
                <w:sz w:val="21"/>
                <w:szCs w:val="21"/>
              </w:rPr>
              <w:t>水污染治理设施信息表</w:t>
            </w:r>
          </w:p>
          <w:tbl>
            <w:tblPr>
              <w:tblStyle w:val="21"/>
              <w:tblW w:w="66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9"/>
              <w:gridCol w:w="2071"/>
              <w:gridCol w:w="1643"/>
              <w:gridCol w:w="1087"/>
              <w:gridCol w:w="1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4" w:hRule="atLeast"/>
                <w:jc w:val="center"/>
              </w:trPr>
              <w:tc>
                <w:tcPr>
                  <w:tcW w:w="68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color w:val="auto"/>
                      <w:sz w:val="18"/>
                      <w:szCs w:val="18"/>
                    </w:rPr>
                  </w:pPr>
                  <w:r>
                    <w:rPr>
                      <w:color w:val="auto"/>
                      <w:sz w:val="18"/>
                      <w:szCs w:val="18"/>
                    </w:rPr>
                    <w:t>序号</w:t>
                  </w:r>
                </w:p>
              </w:tc>
              <w:tc>
                <w:tcPr>
                  <w:tcW w:w="207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color w:val="auto"/>
                      <w:sz w:val="18"/>
                      <w:szCs w:val="18"/>
                    </w:rPr>
                  </w:pPr>
                  <w:r>
                    <w:rPr>
                      <w:color w:val="auto"/>
                      <w:sz w:val="18"/>
                      <w:szCs w:val="18"/>
                    </w:rPr>
                    <w:t>污染物治理设施名称</w:t>
                  </w:r>
                </w:p>
              </w:tc>
              <w:tc>
                <w:tcPr>
                  <w:tcW w:w="164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color w:val="auto"/>
                      <w:sz w:val="18"/>
                      <w:szCs w:val="18"/>
                    </w:rPr>
                  </w:pPr>
                  <w:r>
                    <w:rPr>
                      <w:color w:val="auto"/>
                      <w:sz w:val="18"/>
                      <w:szCs w:val="18"/>
                    </w:rPr>
                    <w:t>治理工艺</w:t>
                  </w:r>
                </w:p>
              </w:tc>
              <w:tc>
                <w:tcPr>
                  <w:tcW w:w="10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color w:val="auto"/>
                      <w:sz w:val="18"/>
                      <w:szCs w:val="18"/>
                    </w:rPr>
                  </w:pPr>
                  <w:r>
                    <w:rPr>
                      <w:color w:val="auto"/>
                      <w:sz w:val="18"/>
                      <w:szCs w:val="18"/>
                    </w:rPr>
                    <w:t>处理能力</w:t>
                  </w:r>
                </w:p>
              </w:tc>
              <w:tc>
                <w:tcPr>
                  <w:tcW w:w="11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color w:val="auto"/>
                      <w:sz w:val="18"/>
                      <w:szCs w:val="18"/>
                    </w:rPr>
                  </w:pPr>
                  <w:r>
                    <w:rPr>
                      <w:color w:val="auto"/>
                      <w:sz w:val="18"/>
                      <w:szCs w:val="18"/>
                    </w:rPr>
                    <w:t>是否可行技术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8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color w:val="auto"/>
                      <w:sz w:val="18"/>
                      <w:szCs w:val="18"/>
                    </w:rPr>
                  </w:pPr>
                  <w:r>
                    <w:rPr>
                      <w:color w:val="auto"/>
                      <w:sz w:val="18"/>
                      <w:szCs w:val="18"/>
                    </w:rPr>
                    <w:t>1</w:t>
                  </w:r>
                </w:p>
              </w:tc>
              <w:tc>
                <w:tcPr>
                  <w:tcW w:w="207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color w:val="auto"/>
                      <w:sz w:val="18"/>
                      <w:szCs w:val="18"/>
                    </w:rPr>
                  </w:pPr>
                  <w:r>
                    <w:rPr>
                      <w:color w:val="auto"/>
                      <w:sz w:val="18"/>
                      <w:szCs w:val="18"/>
                    </w:rPr>
                    <w:t>化粪池</w:t>
                  </w:r>
                </w:p>
              </w:tc>
              <w:tc>
                <w:tcPr>
                  <w:tcW w:w="164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color w:val="auto"/>
                      <w:sz w:val="18"/>
                      <w:szCs w:val="18"/>
                    </w:rPr>
                  </w:pPr>
                  <w:r>
                    <w:rPr>
                      <w:color w:val="auto"/>
                      <w:sz w:val="18"/>
                      <w:szCs w:val="18"/>
                    </w:rPr>
                    <w:t>沉淀、厌氧消化</w:t>
                  </w:r>
                </w:p>
              </w:tc>
              <w:tc>
                <w:tcPr>
                  <w:tcW w:w="10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color w:val="auto"/>
                      <w:sz w:val="18"/>
                      <w:szCs w:val="18"/>
                    </w:rPr>
                  </w:pPr>
                  <w:r>
                    <w:rPr>
                      <w:color w:val="auto"/>
                      <w:sz w:val="18"/>
                      <w:szCs w:val="18"/>
                    </w:rPr>
                    <w:t>20m</w:t>
                  </w:r>
                  <w:r>
                    <w:rPr>
                      <w:color w:val="auto"/>
                      <w:sz w:val="18"/>
                      <w:szCs w:val="18"/>
                      <w:vertAlign w:val="superscript"/>
                    </w:rPr>
                    <w:t>3</w:t>
                  </w:r>
                  <w:r>
                    <w:rPr>
                      <w:color w:val="auto"/>
                      <w:sz w:val="18"/>
                      <w:szCs w:val="18"/>
                    </w:rPr>
                    <w:t>/d</w:t>
                  </w:r>
                </w:p>
              </w:tc>
              <w:tc>
                <w:tcPr>
                  <w:tcW w:w="11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color w:val="auto"/>
                      <w:sz w:val="18"/>
                      <w:szCs w:val="18"/>
                    </w:rPr>
                  </w:pPr>
                  <w:r>
                    <w:rPr>
                      <w:color w:val="auto"/>
                      <w:sz w:val="18"/>
                      <w:szCs w:val="18"/>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68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color w:val="auto"/>
                      <w:sz w:val="18"/>
                      <w:szCs w:val="18"/>
                    </w:rPr>
                  </w:pPr>
                  <w:r>
                    <w:rPr>
                      <w:color w:val="auto"/>
                      <w:sz w:val="18"/>
                      <w:szCs w:val="18"/>
                    </w:rPr>
                    <w:t>2</w:t>
                  </w:r>
                </w:p>
              </w:tc>
              <w:tc>
                <w:tcPr>
                  <w:tcW w:w="207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color w:val="auto"/>
                      <w:sz w:val="18"/>
                      <w:szCs w:val="18"/>
                    </w:rPr>
                  </w:pPr>
                  <w:r>
                    <w:rPr>
                      <w:color w:val="auto"/>
                      <w:sz w:val="18"/>
                      <w:szCs w:val="18"/>
                    </w:rPr>
                    <w:t>隔油池</w:t>
                  </w:r>
                </w:p>
              </w:tc>
              <w:tc>
                <w:tcPr>
                  <w:tcW w:w="164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color w:val="auto"/>
                      <w:sz w:val="18"/>
                      <w:szCs w:val="18"/>
                    </w:rPr>
                  </w:pPr>
                  <w:r>
                    <w:rPr>
                      <w:color w:val="auto"/>
                      <w:sz w:val="18"/>
                      <w:szCs w:val="18"/>
                    </w:rPr>
                    <w:t>沉淀</w:t>
                  </w:r>
                  <w:r>
                    <w:rPr>
                      <w:rFonts w:hint="eastAsia"/>
                      <w:color w:val="auto"/>
                      <w:sz w:val="18"/>
                      <w:szCs w:val="18"/>
                      <w:lang w:eastAsia="zh-CN"/>
                    </w:rPr>
                    <w:t>、油水分离、</w:t>
                  </w:r>
                </w:p>
              </w:tc>
              <w:tc>
                <w:tcPr>
                  <w:tcW w:w="10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color w:val="auto"/>
                      <w:sz w:val="18"/>
                      <w:szCs w:val="18"/>
                    </w:rPr>
                  </w:pPr>
                  <w:r>
                    <w:rPr>
                      <w:color w:val="auto"/>
                      <w:sz w:val="18"/>
                      <w:szCs w:val="18"/>
                    </w:rPr>
                    <w:t>180m</w:t>
                  </w:r>
                  <w:r>
                    <w:rPr>
                      <w:color w:val="auto"/>
                      <w:sz w:val="18"/>
                      <w:szCs w:val="18"/>
                      <w:vertAlign w:val="superscript"/>
                    </w:rPr>
                    <w:t>3</w:t>
                  </w:r>
                  <w:r>
                    <w:rPr>
                      <w:color w:val="auto"/>
                      <w:sz w:val="18"/>
                      <w:szCs w:val="18"/>
                    </w:rPr>
                    <w:t>/d</w:t>
                  </w:r>
                </w:p>
              </w:tc>
              <w:tc>
                <w:tcPr>
                  <w:tcW w:w="11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color w:val="auto"/>
                      <w:sz w:val="18"/>
                      <w:szCs w:val="18"/>
                    </w:rPr>
                  </w:pPr>
                  <w:r>
                    <w:rPr>
                      <w:color w:val="auto"/>
                      <w:sz w:val="18"/>
                      <w:szCs w:val="18"/>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1" w:hRule="atLeast"/>
                <w:jc w:val="center"/>
              </w:trPr>
              <w:tc>
                <w:tcPr>
                  <w:tcW w:w="68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olor w:val="auto"/>
                      <w:sz w:val="18"/>
                      <w:szCs w:val="18"/>
                      <w:lang w:val="en-US" w:eastAsia="zh-CN"/>
                    </w:rPr>
                  </w:pPr>
                  <w:r>
                    <w:rPr>
                      <w:rFonts w:hint="eastAsia"/>
                      <w:color w:val="auto"/>
                      <w:sz w:val="18"/>
                      <w:szCs w:val="18"/>
                      <w:lang w:val="en-US" w:eastAsia="zh-CN"/>
                    </w:rPr>
                    <w:t>3</w:t>
                  </w:r>
                </w:p>
              </w:tc>
              <w:tc>
                <w:tcPr>
                  <w:tcW w:w="207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olor w:val="auto"/>
                      <w:sz w:val="18"/>
                      <w:szCs w:val="18"/>
                      <w:lang w:eastAsia="zh-CN"/>
                    </w:rPr>
                  </w:pPr>
                  <w:r>
                    <w:rPr>
                      <w:rFonts w:hint="eastAsia"/>
                      <w:color w:val="auto"/>
                      <w:sz w:val="18"/>
                      <w:szCs w:val="18"/>
                      <w:lang w:eastAsia="zh-CN"/>
                    </w:rPr>
                    <w:t>一体化水处理设备</w:t>
                  </w:r>
                </w:p>
              </w:tc>
              <w:tc>
                <w:tcPr>
                  <w:tcW w:w="164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olor w:val="auto"/>
                      <w:sz w:val="18"/>
                      <w:szCs w:val="18"/>
                      <w:lang w:eastAsia="zh-CN"/>
                    </w:rPr>
                  </w:pPr>
                  <w:r>
                    <w:rPr>
                      <w:color w:val="auto"/>
                      <w:sz w:val="18"/>
                      <w:szCs w:val="18"/>
                    </w:rPr>
                    <w:t>沉淀</w:t>
                  </w:r>
                  <w:r>
                    <w:rPr>
                      <w:rFonts w:hint="eastAsia"/>
                      <w:color w:val="auto"/>
                      <w:sz w:val="18"/>
                      <w:szCs w:val="18"/>
                      <w:lang w:eastAsia="zh-CN"/>
                    </w:rPr>
                    <w:t>、A/O 生物处理</w:t>
                  </w:r>
                </w:p>
              </w:tc>
              <w:tc>
                <w:tcPr>
                  <w:tcW w:w="10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eastAsia="宋体"/>
                      <w:color w:val="auto"/>
                      <w:sz w:val="18"/>
                      <w:szCs w:val="18"/>
                      <w:lang w:val="en-US" w:eastAsia="zh-CN"/>
                    </w:rPr>
                  </w:pPr>
                  <w:r>
                    <w:rPr>
                      <w:rFonts w:hint="eastAsia"/>
                      <w:color w:val="auto"/>
                      <w:sz w:val="18"/>
                      <w:szCs w:val="18"/>
                      <w:lang w:val="en-US" w:eastAsia="zh-CN"/>
                    </w:rPr>
                    <w:t>2</w:t>
                  </w:r>
                  <w:r>
                    <w:rPr>
                      <w:color w:val="auto"/>
                      <w:sz w:val="18"/>
                      <w:szCs w:val="18"/>
                    </w:rPr>
                    <w:t>m</w:t>
                  </w:r>
                  <w:r>
                    <w:rPr>
                      <w:color w:val="auto"/>
                      <w:sz w:val="18"/>
                      <w:szCs w:val="18"/>
                      <w:vertAlign w:val="superscript"/>
                    </w:rPr>
                    <w:t>3</w:t>
                  </w:r>
                  <w:r>
                    <w:rPr>
                      <w:color w:val="auto"/>
                      <w:sz w:val="18"/>
                      <w:szCs w:val="18"/>
                    </w:rPr>
                    <w:t>/d</w:t>
                  </w:r>
                </w:p>
              </w:tc>
              <w:tc>
                <w:tcPr>
                  <w:tcW w:w="11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olor w:val="auto"/>
                      <w:sz w:val="18"/>
                      <w:szCs w:val="18"/>
                      <w:lang w:eastAsia="zh-CN"/>
                    </w:rPr>
                  </w:pPr>
                  <w:r>
                    <w:rPr>
                      <w:rFonts w:hint="eastAsia"/>
                      <w:color w:val="auto"/>
                      <w:sz w:val="18"/>
                      <w:szCs w:val="18"/>
                      <w:lang w:eastAsia="zh-CN"/>
                    </w:rPr>
                    <w:t>是</w:t>
                  </w:r>
                </w:p>
              </w:tc>
            </w:tr>
          </w:tbl>
          <w:p>
            <w:pPr>
              <w:pStyle w:val="6"/>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2、地表水水环境影响分析</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本项目生活污水经隔油池处理后进入化粪池</w:t>
            </w:r>
            <w:r>
              <w:rPr>
                <w:rFonts w:hint="eastAsia" w:ascii="宋体" w:hAnsi="宋体" w:cs="宋体"/>
                <w:color w:val="auto"/>
                <w:sz w:val="21"/>
                <w:szCs w:val="21"/>
                <w:lang w:eastAsia="zh-CN"/>
              </w:rPr>
              <w:t>，经</w:t>
            </w:r>
            <w:r>
              <w:rPr>
                <w:rFonts w:hint="eastAsia" w:ascii="宋体" w:hAnsi="宋体" w:eastAsia="宋体" w:cs="宋体"/>
                <w:color w:val="auto"/>
                <w:sz w:val="21"/>
                <w:szCs w:val="21"/>
              </w:rPr>
              <w:t>处理后用于周边农田施肥，不外排，对地表水环境影响较小。</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cs="宋体"/>
                <w:color w:val="auto"/>
                <w:sz w:val="21"/>
                <w:szCs w:val="21"/>
                <w:lang w:eastAsia="zh-CN"/>
              </w:rPr>
              <w:t>本项目</w:t>
            </w:r>
            <w:r>
              <w:rPr>
                <w:rFonts w:hint="eastAsia" w:ascii="宋体" w:hAnsi="宋体" w:eastAsia="宋体" w:cs="宋体"/>
                <w:color w:val="auto"/>
                <w:sz w:val="21"/>
                <w:szCs w:val="21"/>
              </w:rPr>
              <w:t>生产废水</w:t>
            </w:r>
            <w:r>
              <w:rPr>
                <w:rFonts w:hint="eastAsia" w:ascii="宋体" w:hAnsi="宋体" w:cs="宋体"/>
                <w:color w:val="auto"/>
                <w:sz w:val="21"/>
                <w:szCs w:val="21"/>
                <w:lang w:eastAsia="zh-CN"/>
              </w:rPr>
              <w:t>（清洁废水）及初期雨水，</w:t>
            </w:r>
            <w:r>
              <w:rPr>
                <w:rFonts w:hint="eastAsia" w:ascii="宋体" w:hAnsi="宋体" w:eastAsia="宋体" w:cs="宋体"/>
                <w:color w:val="auto"/>
                <w:sz w:val="21"/>
                <w:szCs w:val="21"/>
              </w:rPr>
              <w:t>经三级</w:t>
            </w:r>
            <w:r>
              <w:rPr>
                <w:rFonts w:hint="eastAsia" w:ascii="宋体" w:hAnsi="宋体" w:cs="宋体"/>
                <w:color w:val="auto"/>
                <w:sz w:val="21"/>
                <w:szCs w:val="21"/>
                <w:lang w:eastAsia="zh-CN"/>
              </w:rPr>
              <w:t>隔油池后进入一体化处理设备处理，达到《污水综合排放标准》（GB/T 8978-1996）表 4 中一级标准后排入清水池，回用于生产清洁用水、绿化用水及厂区场地浇洒降尘等，</w:t>
            </w:r>
            <w:r>
              <w:rPr>
                <w:rFonts w:hint="eastAsia" w:ascii="宋体" w:hAnsi="宋体" w:eastAsia="宋体" w:cs="宋体"/>
                <w:color w:val="auto"/>
                <w:sz w:val="21"/>
                <w:szCs w:val="21"/>
              </w:rPr>
              <w:t>不外排，对地表水环境影响较小。</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3、废水处理方式的可行性分析</w:t>
            </w:r>
          </w:p>
          <w:p>
            <w:pPr>
              <w:pStyle w:val="6"/>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项目建设完成后，本项目生活污水产生量为</w:t>
            </w:r>
            <w:r>
              <w:rPr>
                <w:rFonts w:hint="eastAsia" w:ascii="宋体" w:hAnsi="宋体" w:cs="宋体"/>
                <w:color w:val="auto"/>
                <w:sz w:val="21"/>
                <w:szCs w:val="21"/>
                <w:lang w:val="en-US" w:eastAsia="zh-CN"/>
              </w:rPr>
              <w:t>1.41</w:t>
            </w:r>
            <w:r>
              <w:rPr>
                <w:rFonts w:hint="eastAsia" w:ascii="宋体" w:hAnsi="宋体" w:eastAsia="宋体" w:cs="宋体"/>
                <w:color w:val="auto"/>
                <w:sz w:val="21"/>
                <w:szCs w:val="21"/>
              </w:rPr>
              <w:t>t/d，经化粪池处理后用于周边农田施肥，不外排。根据现场调查和建设单位提供资料，本项目周边约有农田</w:t>
            </w:r>
            <w:r>
              <w:rPr>
                <w:rFonts w:hint="eastAsia" w:ascii="宋体" w:hAnsi="宋体" w:cs="宋体"/>
                <w:color w:val="auto"/>
                <w:sz w:val="21"/>
                <w:szCs w:val="21"/>
                <w:lang w:val="en-US" w:eastAsia="zh-CN"/>
              </w:rPr>
              <w:t>500</w:t>
            </w:r>
            <w:r>
              <w:rPr>
                <w:rFonts w:hint="eastAsia" w:ascii="宋体" w:hAnsi="宋体" w:eastAsia="宋体" w:cs="宋体"/>
                <w:color w:val="auto"/>
                <w:sz w:val="21"/>
                <w:szCs w:val="21"/>
              </w:rPr>
              <w:t>亩，农田消纳生活污水的能力按 0.1 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/亩·d，则纳污能力约为</w:t>
            </w:r>
            <w:r>
              <w:rPr>
                <w:rFonts w:hint="eastAsia" w:ascii="宋体" w:hAnsi="宋体" w:cs="宋体"/>
                <w:color w:val="auto"/>
                <w:sz w:val="21"/>
                <w:szCs w:val="21"/>
                <w:lang w:val="en-US" w:eastAsia="zh-CN"/>
              </w:rPr>
              <w:t>50</w:t>
            </w:r>
            <w:r>
              <w:rPr>
                <w:rFonts w:hint="eastAsia" w:ascii="宋体" w:hAnsi="宋体" w:eastAsia="宋体" w:cs="宋体"/>
                <w:color w:val="auto"/>
                <w:sz w:val="21"/>
                <w:szCs w:val="21"/>
              </w:rPr>
              <w:t>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 xml:space="preserve">/d。本项目生活污水量约占项目周边农田消纳量的 </w:t>
            </w:r>
            <w:r>
              <w:rPr>
                <w:rFonts w:hint="eastAsia" w:ascii="宋体" w:hAnsi="宋体" w:cs="宋体"/>
                <w:color w:val="auto"/>
                <w:sz w:val="21"/>
                <w:szCs w:val="21"/>
                <w:lang w:val="en-US" w:eastAsia="zh-CN"/>
              </w:rPr>
              <w:t>2.82</w:t>
            </w:r>
            <w:r>
              <w:rPr>
                <w:rFonts w:hint="eastAsia" w:ascii="宋体" w:hAnsi="宋体" w:eastAsia="宋体" w:cs="宋体"/>
                <w:color w:val="auto"/>
                <w:sz w:val="21"/>
                <w:szCs w:val="21"/>
              </w:rPr>
              <w:t>%，因此，本项目生活</w:t>
            </w:r>
            <w:r>
              <w:rPr>
                <w:rFonts w:hint="eastAsia" w:ascii="宋体" w:hAnsi="宋体" w:cs="宋体"/>
                <w:color w:val="auto"/>
                <w:sz w:val="21"/>
                <w:szCs w:val="21"/>
                <w:lang w:eastAsia="zh-CN"/>
              </w:rPr>
              <w:t>及生产</w:t>
            </w:r>
            <w:r>
              <w:rPr>
                <w:rFonts w:hint="eastAsia" w:ascii="宋体" w:hAnsi="宋体" w:eastAsia="宋体" w:cs="宋体"/>
                <w:color w:val="auto"/>
                <w:sz w:val="21"/>
                <w:szCs w:val="21"/>
              </w:rPr>
              <w:t>污水经化粪池处理后用作农肥可行。</w:t>
            </w:r>
          </w:p>
          <w:p>
            <w:pPr>
              <w:pStyle w:val="6"/>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eastAsia="zh-CN"/>
              </w:rPr>
              <w:t>生产废水及初期雨水年产生量为</w:t>
            </w:r>
            <w:r>
              <w:rPr>
                <w:rFonts w:hint="eastAsia" w:ascii="宋体" w:hAnsi="宋体" w:cs="宋体"/>
                <w:color w:val="auto"/>
                <w:sz w:val="21"/>
                <w:szCs w:val="21"/>
                <w:lang w:val="en-US" w:eastAsia="zh-CN"/>
              </w:rPr>
              <w:t>442</w:t>
            </w:r>
            <w:r>
              <w:rPr>
                <w:rFonts w:hint="eastAsia" w:ascii="宋体" w:hAnsi="宋体" w:eastAsia="宋体" w:cs="宋体"/>
                <w:color w:val="auto"/>
                <w:sz w:val="21"/>
                <w:szCs w:val="21"/>
              </w:rPr>
              <w:t>t/d</w:t>
            </w:r>
            <w:r>
              <w:rPr>
                <w:rFonts w:hint="eastAsia" w:ascii="宋体" w:hAnsi="宋体" w:cs="宋体"/>
                <w:color w:val="auto"/>
                <w:sz w:val="21"/>
                <w:szCs w:val="21"/>
                <w:lang w:eastAsia="zh-CN"/>
              </w:rPr>
              <w:t>，经三级隔油池后进入一体化处理设备处理，一体化设备预计处理能力</w:t>
            </w:r>
            <w:r>
              <w:rPr>
                <w:rFonts w:hint="eastAsia"/>
                <w:color w:val="auto"/>
                <w:sz w:val="21"/>
                <w:szCs w:val="21"/>
                <w:lang w:val="en-US" w:eastAsia="zh-CN"/>
              </w:rPr>
              <w:t>2</w:t>
            </w:r>
            <w:r>
              <w:rPr>
                <w:color w:val="auto"/>
                <w:sz w:val="21"/>
                <w:szCs w:val="21"/>
              </w:rPr>
              <w:t>m</w:t>
            </w:r>
            <w:r>
              <w:rPr>
                <w:color w:val="auto"/>
                <w:sz w:val="21"/>
                <w:szCs w:val="21"/>
                <w:vertAlign w:val="superscript"/>
              </w:rPr>
              <w:t>3</w:t>
            </w:r>
            <w:r>
              <w:rPr>
                <w:color w:val="auto"/>
                <w:sz w:val="21"/>
                <w:szCs w:val="21"/>
              </w:rPr>
              <w:t>/d</w:t>
            </w:r>
            <w:r>
              <w:rPr>
                <w:rFonts w:hint="eastAsia"/>
                <w:color w:val="auto"/>
                <w:sz w:val="21"/>
                <w:szCs w:val="21"/>
                <w:lang w:eastAsia="zh-CN"/>
              </w:rPr>
              <w:t>，年处理能力为</w:t>
            </w:r>
            <w:r>
              <w:rPr>
                <w:rFonts w:hint="eastAsia"/>
                <w:color w:val="auto"/>
                <w:sz w:val="21"/>
                <w:szCs w:val="21"/>
                <w:lang w:val="en-US" w:eastAsia="zh-CN"/>
              </w:rPr>
              <w:t>730</w:t>
            </w:r>
            <w:r>
              <w:rPr>
                <w:rFonts w:hint="eastAsia" w:ascii="宋体" w:hAnsi="宋体" w:eastAsia="宋体" w:cs="宋体"/>
                <w:color w:val="auto"/>
                <w:sz w:val="21"/>
                <w:szCs w:val="21"/>
              </w:rPr>
              <w:t>t/d</w:t>
            </w:r>
            <w:r>
              <w:rPr>
                <w:rFonts w:hint="eastAsia" w:ascii="宋体" w:hAnsi="宋体" w:cs="宋体"/>
                <w:color w:val="auto"/>
                <w:sz w:val="21"/>
                <w:szCs w:val="21"/>
                <w:lang w:eastAsia="zh-CN"/>
              </w:rPr>
              <w:t>，设备处理能力可行。</w:t>
            </w:r>
          </w:p>
          <w:p>
            <w:pPr>
              <w:pStyle w:val="6"/>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三、噪声</w:t>
            </w:r>
          </w:p>
          <w:p>
            <w:pPr>
              <w:pStyle w:val="6"/>
              <w:keepNext w:val="0"/>
              <w:keepLines w:val="0"/>
              <w:pageBreakBefore w:val="0"/>
              <w:widowControl w:val="0"/>
              <w:kinsoku/>
              <w:wordWrap/>
              <w:overflowPunct/>
              <w:topLinePunct w:val="0"/>
              <w:autoSpaceDE/>
              <w:autoSpaceDN/>
              <w:bidi w:val="0"/>
              <w:adjustRightInd/>
              <w:snapToGrid/>
              <w:spacing w:before="157" w:beforeLines="50"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1、噪声源强</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营运期项目噪声源主要集中在拆解车间，主要噪声源、采取的治理措施以及噪声性质详见下表。</w:t>
            </w:r>
          </w:p>
          <w:p>
            <w:pPr>
              <w:tabs>
                <w:tab w:val="left" w:pos="4631"/>
              </w:tabs>
              <w:spacing w:before="0" w:line="267" w:lineRule="exact"/>
              <w:ind w:left="17" w:leftChars="0" w:right="0" w:hanging="17" w:hangingChars="8"/>
              <w:jc w:val="center"/>
              <w:rPr>
                <w:b/>
                <w:color w:val="auto"/>
                <w:sz w:val="21"/>
              </w:rPr>
            </w:pPr>
            <w:r>
              <w:rPr>
                <w:b/>
                <w:color w:val="auto"/>
                <w:sz w:val="21"/>
              </w:rPr>
              <w:t>表</w:t>
            </w:r>
            <w:r>
              <w:rPr>
                <w:b/>
                <w:color w:val="auto"/>
                <w:spacing w:val="-52"/>
                <w:sz w:val="21"/>
              </w:rPr>
              <w:t xml:space="preserve"> </w:t>
            </w:r>
            <w:r>
              <w:rPr>
                <w:rFonts w:ascii="Times New Roman" w:eastAsia="Times New Roman"/>
                <w:b/>
                <w:color w:val="auto"/>
                <w:sz w:val="21"/>
              </w:rPr>
              <w:t>4-</w:t>
            </w:r>
            <w:r>
              <w:rPr>
                <w:rFonts w:hint="eastAsia"/>
                <w:b/>
                <w:color w:val="auto"/>
                <w:sz w:val="21"/>
                <w:lang w:val="en-US" w:eastAsia="zh-CN"/>
              </w:rPr>
              <w:t>10</w:t>
            </w:r>
            <w:r>
              <w:rPr>
                <w:b/>
                <w:color w:val="auto"/>
                <w:sz w:val="21"/>
              </w:rPr>
              <w:t>项目噪声排放情况一览表</w:t>
            </w:r>
          </w:p>
          <w:tbl>
            <w:tblPr>
              <w:tblStyle w:val="21"/>
              <w:tblW w:w="79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1267"/>
              <w:gridCol w:w="665"/>
              <w:gridCol w:w="615"/>
              <w:gridCol w:w="732"/>
              <w:gridCol w:w="1594"/>
              <w:gridCol w:w="807"/>
              <w:gridCol w:w="700"/>
              <w:gridCol w:w="1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3" w:hRule="atLeast"/>
                <w:jc w:val="center"/>
              </w:trPr>
              <w:tc>
                <w:tcPr>
                  <w:tcW w:w="4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序号</w:t>
                  </w:r>
                </w:p>
              </w:tc>
              <w:tc>
                <w:tcPr>
                  <w:tcW w:w="126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设备名称</w:t>
                  </w:r>
                </w:p>
              </w:tc>
              <w:tc>
                <w:tcPr>
                  <w:tcW w:w="66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单位</w:t>
                  </w:r>
                </w:p>
              </w:tc>
              <w:tc>
                <w:tcPr>
                  <w:tcW w:w="61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数量</w:t>
                  </w:r>
                </w:p>
              </w:tc>
              <w:tc>
                <w:tcPr>
                  <w:tcW w:w="732" w:type="dxa"/>
                  <w:tcBorders>
                    <w:tl2br w:val="nil"/>
                    <w:tr2bl w:val="nil"/>
                  </w:tcBorders>
                  <w:vAlign w:val="center"/>
                </w:tcPr>
                <w:p>
                  <w:pPr>
                    <w:jc w:val="center"/>
                    <w:rPr>
                      <w:rFonts w:hint="eastAsia"/>
                      <w:color w:val="auto"/>
                      <w:sz w:val="18"/>
                      <w:szCs w:val="18"/>
                    </w:rPr>
                  </w:pPr>
                  <w:r>
                    <w:rPr>
                      <w:rFonts w:hint="eastAsia"/>
                      <w:color w:val="auto"/>
                      <w:sz w:val="18"/>
                      <w:szCs w:val="18"/>
                    </w:rPr>
                    <w:t>噪声源强</w:t>
                  </w:r>
                </w:p>
                <w:p>
                  <w:pPr>
                    <w:pStyle w:val="7"/>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eastAsia="宋体"/>
                      <w:color w:val="auto"/>
                      <w:lang w:val="en-US" w:eastAsia="zh-CN"/>
                    </w:rPr>
                  </w:pPr>
                  <w:r>
                    <w:rPr>
                      <w:rFonts w:hint="eastAsia"/>
                      <w:color w:val="auto"/>
                      <w:sz w:val="18"/>
                      <w:szCs w:val="18"/>
                      <w:lang w:val="en-US" w:eastAsia="zh-CN"/>
                    </w:rPr>
                    <w:t>dB(A)</w:t>
                  </w:r>
                </w:p>
              </w:tc>
              <w:tc>
                <w:tcPr>
                  <w:tcW w:w="1594"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降噪措施</w:t>
                  </w:r>
                </w:p>
              </w:tc>
              <w:tc>
                <w:tcPr>
                  <w:tcW w:w="80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降噪后</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源强</w:t>
                  </w:r>
                  <w:r>
                    <w:rPr>
                      <w:rFonts w:hint="eastAsia"/>
                      <w:color w:val="auto"/>
                      <w:sz w:val="18"/>
                      <w:szCs w:val="18"/>
                      <w:lang w:val="en-US" w:eastAsia="zh-CN"/>
                    </w:rPr>
                    <w:t>dB(A)</w:t>
                  </w:r>
                </w:p>
              </w:tc>
              <w:tc>
                <w:tcPr>
                  <w:tcW w:w="700"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排放方式</w:t>
                  </w:r>
                </w:p>
              </w:tc>
              <w:tc>
                <w:tcPr>
                  <w:tcW w:w="108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对应位置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4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267" w:type="dxa"/>
                  <w:tcBorders>
                    <w:tl2br w:val="nil"/>
                    <w:tr2bl w:val="nil"/>
                  </w:tcBorders>
                  <w:vAlign w:val="center"/>
                </w:tcPr>
                <w:p>
                  <w:pPr>
                    <w:jc w:val="center"/>
                    <w:rPr>
                      <w:rFonts w:hint="eastAsia" w:ascii="宋体" w:hAnsi="宋体" w:eastAsia="宋体" w:cs="宋体"/>
                      <w:color w:val="auto"/>
                      <w:sz w:val="18"/>
                      <w:szCs w:val="18"/>
                    </w:rPr>
                  </w:pPr>
                  <w:r>
                    <w:rPr>
                      <w:rFonts w:hint="eastAsia" w:cs="宋体"/>
                      <w:color w:val="auto"/>
                      <w:sz w:val="18"/>
                      <w:szCs w:val="18"/>
                      <w:lang w:eastAsia="zh-CN"/>
                    </w:rPr>
                    <w:t>预处理平台</w:t>
                  </w:r>
                </w:p>
              </w:tc>
              <w:tc>
                <w:tcPr>
                  <w:tcW w:w="66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台</w:t>
                  </w:r>
                </w:p>
              </w:tc>
              <w:tc>
                <w:tcPr>
                  <w:tcW w:w="61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73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80</w:t>
                  </w:r>
                </w:p>
              </w:tc>
              <w:tc>
                <w:tcPr>
                  <w:tcW w:w="1594"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室内布置+基础</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减振</w:t>
                  </w:r>
                </w:p>
              </w:tc>
              <w:tc>
                <w:tcPr>
                  <w:tcW w:w="80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700"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间断</w:t>
                  </w:r>
                </w:p>
              </w:tc>
              <w:tc>
                <w:tcPr>
                  <w:tcW w:w="108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预处理区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jc w:val="center"/>
              </w:trPr>
              <w:tc>
                <w:tcPr>
                  <w:tcW w:w="4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126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举升机</w:t>
                  </w:r>
                </w:p>
              </w:tc>
              <w:tc>
                <w:tcPr>
                  <w:tcW w:w="66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台</w:t>
                  </w:r>
                </w:p>
              </w:tc>
              <w:tc>
                <w:tcPr>
                  <w:tcW w:w="61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73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80</w:t>
                  </w:r>
                </w:p>
              </w:tc>
              <w:tc>
                <w:tcPr>
                  <w:tcW w:w="1594"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室内布置+基础</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减振</w:t>
                  </w:r>
                </w:p>
              </w:tc>
              <w:tc>
                <w:tcPr>
                  <w:tcW w:w="80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700"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间断</w:t>
                  </w:r>
                </w:p>
              </w:tc>
              <w:tc>
                <w:tcPr>
                  <w:tcW w:w="108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预处理区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8" w:hRule="atLeast"/>
                <w:jc w:val="center"/>
              </w:trPr>
              <w:tc>
                <w:tcPr>
                  <w:tcW w:w="4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126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安全气囊引</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爆器</w:t>
                  </w:r>
                </w:p>
              </w:tc>
              <w:tc>
                <w:tcPr>
                  <w:tcW w:w="66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台</w:t>
                  </w:r>
                </w:p>
              </w:tc>
              <w:tc>
                <w:tcPr>
                  <w:tcW w:w="61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73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80</w:t>
                  </w:r>
                </w:p>
              </w:tc>
              <w:tc>
                <w:tcPr>
                  <w:tcW w:w="1594"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室内布置+隔声</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罩</w:t>
                  </w:r>
                </w:p>
              </w:tc>
              <w:tc>
                <w:tcPr>
                  <w:tcW w:w="80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60</w:t>
                  </w:r>
                </w:p>
              </w:tc>
              <w:tc>
                <w:tcPr>
                  <w:tcW w:w="700"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间断</w:t>
                  </w:r>
                </w:p>
              </w:tc>
              <w:tc>
                <w:tcPr>
                  <w:tcW w:w="108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安全气囊</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引爆间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jc w:val="center"/>
              </w:trPr>
              <w:tc>
                <w:tcPr>
                  <w:tcW w:w="4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26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液压剪</w:t>
                  </w:r>
                </w:p>
              </w:tc>
              <w:tc>
                <w:tcPr>
                  <w:tcW w:w="66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台</w:t>
                  </w:r>
                </w:p>
              </w:tc>
              <w:tc>
                <w:tcPr>
                  <w:tcW w:w="61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73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85</w:t>
                  </w:r>
                </w:p>
              </w:tc>
              <w:tc>
                <w:tcPr>
                  <w:tcW w:w="1594"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室内布置+基础</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减振</w:t>
                  </w:r>
                </w:p>
              </w:tc>
              <w:tc>
                <w:tcPr>
                  <w:tcW w:w="80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70</w:t>
                  </w:r>
                </w:p>
              </w:tc>
              <w:tc>
                <w:tcPr>
                  <w:tcW w:w="700"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间断</w:t>
                  </w:r>
                </w:p>
              </w:tc>
              <w:tc>
                <w:tcPr>
                  <w:tcW w:w="108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拆解区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jc w:val="center"/>
              </w:trPr>
              <w:tc>
                <w:tcPr>
                  <w:tcW w:w="4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1267" w:type="dxa"/>
                  <w:tcBorders>
                    <w:tl2br w:val="nil"/>
                    <w:tr2bl w:val="nil"/>
                  </w:tcBorders>
                  <w:vAlign w:val="center"/>
                </w:tcPr>
                <w:p>
                  <w:pPr>
                    <w:jc w:val="center"/>
                    <w:rPr>
                      <w:rFonts w:hint="eastAsia" w:ascii="宋体" w:hAnsi="宋体" w:eastAsia="宋体" w:cs="宋体"/>
                      <w:color w:val="auto"/>
                      <w:sz w:val="18"/>
                      <w:szCs w:val="18"/>
                    </w:rPr>
                  </w:pPr>
                  <w:r>
                    <w:rPr>
                      <w:rFonts w:hint="eastAsia" w:cs="宋体"/>
                      <w:color w:val="auto"/>
                      <w:sz w:val="18"/>
                      <w:szCs w:val="18"/>
                      <w:lang w:eastAsia="zh-CN"/>
                    </w:rPr>
                    <w:t>扒胎机</w:t>
                  </w:r>
                </w:p>
              </w:tc>
              <w:tc>
                <w:tcPr>
                  <w:tcW w:w="66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台</w:t>
                  </w:r>
                </w:p>
              </w:tc>
              <w:tc>
                <w:tcPr>
                  <w:tcW w:w="61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73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80</w:t>
                  </w:r>
                </w:p>
              </w:tc>
              <w:tc>
                <w:tcPr>
                  <w:tcW w:w="1594"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室内布置+基础</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减振</w:t>
                  </w:r>
                </w:p>
              </w:tc>
              <w:tc>
                <w:tcPr>
                  <w:tcW w:w="80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700"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间断</w:t>
                  </w:r>
                </w:p>
              </w:tc>
              <w:tc>
                <w:tcPr>
                  <w:tcW w:w="108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拆解区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4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126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拆解机</w:t>
                  </w:r>
                </w:p>
              </w:tc>
              <w:tc>
                <w:tcPr>
                  <w:tcW w:w="66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台</w:t>
                  </w:r>
                </w:p>
              </w:tc>
              <w:tc>
                <w:tcPr>
                  <w:tcW w:w="61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73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80</w:t>
                  </w:r>
                </w:p>
              </w:tc>
              <w:tc>
                <w:tcPr>
                  <w:tcW w:w="1594"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室内布置+基础</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减振</w:t>
                  </w:r>
                </w:p>
              </w:tc>
              <w:tc>
                <w:tcPr>
                  <w:tcW w:w="80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700"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间断</w:t>
                  </w:r>
                </w:p>
              </w:tc>
              <w:tc>
                <w:tcPr>
                  <w:tcW w:w="108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拆解区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jc w:val="center"/>
              </w:trPr>
              <w:tc>
                <w:tcPr>
                  <w:tcW w:w="4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126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打包机</w:t>
                  </w:r>
                </w:p>
              </w:tc>
              <w:tc>
                <w:tcPr>
                  <w:tcW w:w="66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台</w:t>
                  </w:r>
                </w:p>
              </w:tc>
              <w:tc>
                <w:tcPr>
                  <w:tcW w:w="61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73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85</w:t>
                  </w:r>
                </w:p>
              </w:tc>
              <w:tc>
                <w:tcPr>
                  <w:tcW w:w="1594"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室内布置+基础减振</w:t>
                  </w:r>
                </w:p>
              </w:tc>
              <w:tc>
                <w:tcPr>
                  <w:tcW w:w="80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70</w:t>
                  </w:r>
                </w:p>
              </w:tc>
              <w:tc>
                <w:tcPr>
                  <w:tcW w:w="700"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间断</w:t>
                  </w:r>
                </w:p>
              </w:tc>
              <w:tc>
                <w:tcPr>
                  <w:tcW w:w="108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拆解区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jc w:val="center"/>
              </w:trPr>
              <w:tc>
                <w:tcPr>
                  <w:tcW w:w="4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8</w:t>
                  </w:r>
                </w:p>
              </w:tc>
              <w:tc>
                <w:tcPr>
                  <w:tcW w:w="1267" w:type="dxa"/>
                  <w:tcBorders>
                    <w:tl2br w:val="nil"/>
                    <w:tr2bl w:val="nil"/>
                  </w:tcBorders>
                  <w:vAlign w:val="center"/>
                </w:tcPr>
                <w:p>
                  <w:pPr>
                    <w:jc w:val="center"/>
                    <w:rPr>
                      <w:rFonts w:hint="eastAsia" w:ascii="宋体" w:hAnsi="宋体" w:eastAsia="宋体" w:cs="宋体"/>
                      <w:color w:val="auto"/>
                      <w:sz w:val="18"/>
                      <w:szCs w:val="18"/>
                    </w:rPr>
                  </w:pPr>
                  <w:r>
                    <w:rPr>
                      <w:color w:val="auto"/>
                      <w:sz w:val="21"/>
                    </w:rPr>
                    <w:t>桁车</w:t>
                  </w:r>
                </w:p>
              </w:tc>
              <w:tc>
                <w:tcPr>
                  <w:tcW w:w="66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台</w:t>
                  </w:r>
                </w:p>
              </w:tc>
              <w:tc>
                <w:tcPr>
                  <w:tcW w:w="61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73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85</w:t>
                  </w:r>
                </w:p>
              </w:tc>
              <w:tc>
                <w:tcPr>
                  <w:tcW w:w="1594"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室内布置+基础</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减振</w:t>
                  </w:r>
                </w:p>
              </w:tc>
              <w:tc>
                <w:tcPr>
                  <w:tcW w:w="80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70</w:t>
                  </w:r>
                </w:p>
              </w:tc>
              <w:tc>
                <w:tcPr>
                  <w:tcW w:w="700"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间断</w:t>
                  </w:r>
                </w:p>
              </w:tc>
              <w:tc>
                <w:tcPr>
                  <w:tcW w:w="108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拆解区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7" w:hRule="atLeast"/>
                <w:jc w:val="center"/>
              </w:trPr>
              <w:tc>
                <w:tcPr>
                  <w:tcW w:w="4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9</w:t>
                  </w:r>
                </w:p>
              </w:tc>
              <w:tc>
                <w:tcPr>
                  <w:tcW w:w="126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厂区内工作</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车辆</w:t>
                  </w:r>
                </w:p>
              </w:tc>
              <w:tc>
                <w:tcPr>
                  <w:tcW w:w="66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61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73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80</w:t>
                  </w:r>
                </w:p>
              </w:tc>
              <w:tc>
                <w:tcPr>
                  <w:tcW w:w="1594"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80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700"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间断</w:t>
                  </w:r>
                </w:p>
              </w:tc>
              <w:tc>
                <w:tcPr>
                  <w:tcW w:w="108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r>
          </w:tbl>
          <w:p>
            <w:pPr>
              <w:pStyle w:val="6"/>
              <w:keepNext w:val="0"/>
              <w:keepLines w:val="0"/>
              <w:pageBreakBefore w:val="0"/>
              <w:widowControl w:val="0"/>
              <w:kinsoku/>
              <w:wordWrap/>
              <w:overflowPunct/>
              <w:topLinePunct w:val="0"/>
              <w:autoSpaceDE/>
              <w:autoSpaceDN/>
              <w:bidi w:val="0"/>
              <w:adjustRightInd/>
              <w:snapToGrid/>
              <w:spacing w:before="157" w:beforeLines="50"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2、预测模式</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根据《环境影响评价技术导则 声环境》（HJ2.4-2009）的技术要求，本次评价采取导则上推荐的模式。</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建设项目声源在预测点产生的等效声级贡献值（Leqg）计算公式：</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drawing>
                <wp:anchor distT="0" distB="0" distL="114300" distR="114300" simplePos="0" relativeHeight="251660288" behindDoc="0" locked="0" layoutInCell="1" allowOverlap="1">
                  <wp:simplePos x="0" y="0"/>
                  <wp:positionH relativeFrom="column">
                    <wp:posOffset>1438275</wp:posOffset>
                  </wp:positionH>
                  <wp:positionV relativeFrom="paragraph">
                    <wp:posOffset>79375</wp:posOffset>
                  </wp:positionV>
                  <wp:extent cx="2068830" cy="648970"/>
                  <wp:effectExtent l="0" t="0" r="7620" b="17780"/>
                  <wp:wrapNone/>
                  <wp:docPr id="11" name="图片 11" descr="1632402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32402446(1)"/>
                          <pic:cNvPicPr>
                            <a:picLocks noChangeAspect="1"/>
                          </pic:cNvPicPr>
                        </pic:nvPicPr>
                        <pic:blipFill>
                          <a:blip r:embed="rId29"/>
                          <a:stretch>
                            <a:fillRect/>
                          </a:stretch>
                        </pic:blipFill>
                        <pic:spPr>
                          <a:xfrm>
                            <a:off x="0" y="0"/>
                            <a:ext cx="2068830" cy="648970"/>
                          </a:xfrm>
                          <a:prstGeom prst="rect">
                            <a:avLst/>
                          </a:prstGeom>
                        </pic:spPr>
                      </pic:pic>
                    </a:graphicData>
                  </a:graphic>
                </wp:anchor>
              </w:drawing>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式中：Leqg —建设项目声源在预测点的等效声级贡献值，dB(A)； </w:t>
            </w:r>
          </w:p>
          <w:p>
            <w:pPr>
              <w:pStyle w:val="6"/>
              <w:pageBreakBefore w:val="0"/>
              <w:widowControl w:val="0"/>
              <w:kinsoku/>
              <w:wordWrap/>
              <w:overflowPunct/>
              <w:topLinePunct w:val="0"/>
              <w:autoSpaceDE/>
              <w:autoSpaceDN/>
              <w:bidi w:val="0"/>
              <w:adjustRightInd/>
              <w:snapToGrid/>
              <w:spacing w:after="0" w:line="360" w:lineRule="auto"/>
              <w:ind w:firstLine="840" w:firstLineChars="4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LAi — i 声源在预测点产生的 A 声级，dB(A)；</w:t>
            </w:r>
          </w:p>
          <w:p>
            <w:pPr>
              <w:pStyle w:val="6"/>
              <w:pageBreakBefore w:val="0"/>
              <w:widowControl w:val="0"/>
              <w:kinsoku/>
              <w:wordWrap/>
              <w:overflowPunct/>
              <w:topLinePunct w:val="0"/>
              <w:autoSpaceDE/>
              <w:autoSpaceDN/>
              <w:bidi w:val="0"/>
              <w:adjustRightInd/>
              <w:snapToGrid/>
              <w:spacing w:after="0" w:line="360" w:lineRule="auto"/>
              <w:ind w:firstLine="840" w:firstLineChars="4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T</w:t>
            </w:r>
            <w:r>
              <w:rPr>
                <w:rFonts w:hint="eastAsia" w:ascii="宋体" w:hAnsi="宋体" w:eastAsia="宋体" w:cs="宋体"/>
                <w:color w:val="auto"/>
                <w:sz w:val="21"/>
                <w:szCs w:val="21"/>
                <w:lang w:eastAsia="zh-CN"/>
              </w:rPr>
              <w:tab/>
            </w:r>
            <w:r>
              <w:rPr>
                <w:rFonts w:hint="eastAsia" w:ascii="宋体" w:hAnsi="宋体" w:eastAsia="宋体" w:cs="宋体"/>
                <w:color w:val="auto"/>
                <w:sz w:val="21"/>
                <w:szCs w:val="21"/>
                <w:lang w:eastAsia="zh-CN"/>
              </w:rPr>
              <w:t>— 预测计算的时间段，s；</w:t>
            </w:r>
          </w:p>
          <w:p>
            <w:pPr>
              <w:pStyle w:val="6"/>
              <w:pageBreakBefore w:val="0"/>
              <w:widowControl w:val="0"/>
              <w:kinsoku/>
              <w:wordWrap/>
              <w:overflowPunct/>
              <w:topLinePunct w:val="0"/>
              <w:autoSpaceDE/>
              <w:autoSpaceDN/>
              <w:bidi w:val="0"/>
              <w:adjustRightInd/>
              <w:snapToGrid/>
              <w:spacing w:after="0" w:line="360" w:lineRule="auto"/>
              <w:ind w:firstLine="840" w:firstLineChars="4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t</w:t>
            </w:r>
            <w:r>
              <w:rPr>
                <w:rFonts w:hint="eastAsia" w:ascii="宋体" w:hAnsi="宋体" w:eastAsia="宋体" w:cs="宋体"/>
                <w:color w:val="auto"/>
                <w:sz w:val="21"/>
                <w:szCs w:val="21"/>
                <w:lang w:eastAsia="zh-CN"/>
              </w:rPr>
              <w:t>i</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 i 声源在 T 时段内的运行时间，s。</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3、预测结果分析</w:t>
            </w:r>
          </w:p>
          <w:p>
            <w:pPr>
              <w:pStyle w:val="6"/>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项目厂界噪声预测结果见下表。</w:t>
            </w:r>
          </w:p>
          <w:p>
            <w:pPr>
              <w:pStyle w:val="6"/>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eastAsia" w:ascii="宋体" w:hAnsi="宋体" w:eastAsia="宋体" w:cs="宋体"/>
                <w:color w:val="auto"/>
                <w:sz w:val="21"/>
                <w:szCs w:val="21"/>
              </w:rPr>
            </w:pPr>
            <w:r>
              <w:rPr>
                <w:b/>
                <w:color w:val="auto"/>
                <w:sz w:val="21"/>
              </w:rPr>
              <w:t>表</w:t>
            </w:r>
            <w:r>
              <w:rPr>
                <w:b/>
                <w:color w:val="auto"/>
                <w:spacing w:val="-52"/>
                <w:sz w:val="21"/>
              </w:rPr>
              <w:t xml:space="preserve"> </w:t>
            </w:r>
            <w:r>
              <w:rPr>
                <w:rFonts w:ascii="Times New Roman" w:eastAsia="Times New Roman"/>
                <w:b/>
                <w:color w:val="auto"/>
                <w:sz w:val="21"/>
              </w:rPr>
              <w:t>4-</w:t>
            </w:r>
            <w:r>
              <w:rPr>
                <w:rFonts w:hint="eastAsia"/>
                <w:b/>
                <w:color w:val="auto"/>
                <w:sz w:val="21"/>
                <w:lang w:val="en-US" w:eastAsia="zh-CN"/>
              </w:rPr>
              <w:t>11</w:t>
            </w:r>
            <w:r>
              <w:rPr>
                <w:b/>
                <w:color w:val="auto"/>
                <w:sz w:val="21"/>
              </w:rPr>
              <w:t>项目噪声排放</w:t>
            </w:r>
            <w:r>
              <w:rPr>
                <w:rFonts w:hint="eastAsia"/>
                <w:b/>
                <w:color w:val="auto"/>
                <w:sz w:val="21"/>
                <w:lang w:eastAsia="zh-CN"/>
              </w:rPr>
              <w:t>预测</w:t>
            </w:r>
            <w:r>
              <w:rPr>
                <w:b/>
                <w:color w:val="auto"/>
                <w:sz w:val="21"/>
              </w:rPr>
              <w:t>一览表</w:t>
            </w:r>
          </w:p>
          <w:tbl>
            <w:tblPr>
              <w:tblStyle w:val="21"/>
              <w:tblW w:w="79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8"/>
              <w:gridCol w:w="685"/>
              <w:gridCol w:w="1022"/>
              <w:gridCol w:w="829"/>
              <w:gridCol w:w="747"/>
              <w:gridCol w:w="747"/>
              <w:gridCol w:w="747"/>
              <w:gridCol w:w="765"/>
              <w:gridCol w:w="12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jc w:val="center"/>
              </w:trPr>
              <w:tc>
                <w:tcPr>
                  <w:tcW w:w="3704" w:type="dxa"/>
                  <w:gridSpan w:val="4"/>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采取降噪措施后源强（dB（A））</w:t>
                  </w:r>
                </w:p>
              </w:tc>
              <w:tc>
                <w:tcPr>
                  <w:tcW w:w="3006" w:type="dxa"/>
                  <w:gridSpan w:val="4"/>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厂界贡献值（dB（A））</w:t>
                  </w:r>
                </w:p>
              </w:tc>
              <w:tc>
                <w:tcPr>
                  <w:tcW w:w="1249" w:type="dxa"/>
                  <w:vMerge w:val="restart"/>
                  <w:tcBorders>
                    <w:tl2br w:val="nil"/>
                    <w:tr2bl w:val="nil"/>
                  </w:tcBorders>
                  <w:vAlign w:val="center"/>
                </w:tcPr>
                <w:p>
                  <w:pPr>
                    <w:jc w:val="center"/>
                    <w:rPr>
                      <w:rFonts w:hint="eastAsia" w:ascii="宋体" w:hAnsi="宋体" w:eastAsia="宋体" w:cs="宋体"/>
                      <w:color w:val="auto"/>
                      <w:sz w:val="18"/>
                      <w:szCs w:val="18"/>
                    </w:rPr>
                  </w:pP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噪声源距厂界距离（m）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11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设备</w:t>
                  </w:r>
                </w:p>
              </w:tc>
              <w:tc>
                <w:tcPr>
                  <w:tcW w:w="68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数量</w:t>
                  </w:r>
                </w:p>
              </w:tc>
              <w:tc>
                <w:tcPr>
                  <w:tcW w:w="102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降噪后声</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压级</w:t>
                  </w:r>
                </w:p>
              </w:tc>
              <w:tc>
                <w:tcPr>
                  <w:tcW w:w="829"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叠加源</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强</w:t>
                  </w:r>
                </w:p>
              </w:tc>
              <w:tc>
                <w:tcPr>
                  <w:tcW w:w="74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东</w:t>
                  </w:r>
                </w:p>
              </w:tc>
              <w:tc>
                <w:tcPr>
                  <w:tcW w:w="74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南</w:t>
                  </w:r>
                </w:p>
              </w:tc>
              <w:tc>
                <w:tcPr>
                  <w:tcW w:w="747"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西</w:t>
                  </w:r>
                </w:p>
              </w:tc>
              <w:tc>
                <w:tcPr>
                  <w:tcW w:w="76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北</w:t>
                  </w:r>
                </w:p>
              </w:tc>
              <w:tc>
                <w:tcPr>
                  <w:tcW w:w="1249" w:type="dxa"/>
                  <w:vMerge w:val="continue"/>
                  <w:tcBorders>
                    <w:tl2br w:val="nil"/>
                    <w:tr2bl w:val="nil"/>
                  </w:tcBorders>
                  <w:vAlign w:val="center"/>
                </w:tcPr>
                <w:p>
                  <w:pPr>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6" w:hRule="atLeast"/>
                <w:jc w:val="center"/>
              </w:trPr>
              <w:tc>
                <w:tcPr>
                  <w:tcW w:w="11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eastAsia="zh-CN"/>
                    </w:rPr>
                    <w:t>预处理平台</w:t>
                  </w:r>
                </w:p>
              </w:tc>
              <w:tc>
                <w:tcPr>
                  <w:tcW w:w="68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02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829" w:type="dxa"/>
                  <w:vMerge w:val="restart"/>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77.25</w:t>
                  </w:r>
                </w:p>
              </w:tc>
              <w:tc>
                <w:tcPr>
                  <w:tcW w:w="747" w:type="dxa"/>
                  <w:vMerge w:val="restart"/>
                  <w:tcBorders>
                    <w:tl2br w:val="nil"/>
                    <w:tr2bl w:val="nil"/>
                  </w:tcBorders>
                  <w:vAlign w:val="center"/>
                </w:tcPr>
                <w:p>
                  <w:pPr>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51.23</w:t>
                  </w:r>
                </w:p>
              </w:tc>
              <w:tc>
                <w:tcPr>
                  <w:tcW w:w="747" w:type="dxa"/>
                  <w:vMerge w:val="restart"/>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4</w:t>
                  </w:r>
                  <w:r>
                    <w:rPr>
                      <w:rFonts w:hint="eastAsia" w:ascii="宋体" w:hAnsi="宋体" w:cs="宋体"/>
                      <w:color w:val="auto"/>
                      <w:sz w:val="18"/>
                      <w:szCs w:val="18"/>
                      <w:lang w:val="en-US" w:eastAsia="zh-CN"/>
                    </w:rPr>
                    <w:t>7.71</w:t>
                  </w:r>
                </w:p>
              </w:tc>
              <w:tc>
                <w:tcPr>
                  <w:tcW w:w="747" w:type="dxa"/>
                  <w:vMerge w:val="restart"/>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cs="宋体"/>
                      <w:color w:val="auto"/>
                      <w:sz w:val="18"/>
                      <w:szCs w:val="18"/>
                      <w:lang w:val="en-US" w:eastAsia="zh-CN"/>
                    </w:rPr>
                    <w:t>51.23</w:t>
                  </w:r>
                </w:p>
              </w:tc>
              <w:tc>
                <w:tcPr>
                  <w:tcW w:w="765" w:type="dxa"/>
                  <w:vMerge w:val="restart"/>
                  <w:tcBorders>
                    <w:tl2br w:val="nil"/>
                    <w:tr2bl w:val="nil"/>
                  </w:tcBorders>
                  <w:vAlign w:val="center"/>
                </w:tcPr>
                <w:p>
                  <w:pPr>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51.23</w:t>
                  </w:r>
                </w:p>
              </w:tc>
              <w:tc>
                <w:tcPr>
                  <w:tcW w:w="1249" w:type="dxa"/>
                  <w:vMerge w:val="restart"/>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东厂界：</w:t>
                  </w:r>
                  <w:r>
                    <w:rPr>
                      <w:rFonts w:hint="eastAsia" w:ascii="宋体" w:hAnsi="宋体" w:cs="宋体"/>
                      <w:color w:val="auto"/>
                      <w:sz w:val="18"/>
                      <w:szCs w:val="18"/>
                      <w:lang w:val="en-US" w:eastAsia="zh-CN"/>
                    </w:rPr>
                    <w:t>2</w:t>
                  </w:r>
                  <w:r>
                    <w:rPr>
                      <w:rFonts w:hint="eastAsia" w:ascii="宋体" w:hAnsi="宋体" w:eastAsia="宋体" w:cs="宋体"/>
                      <w:color w:val="auto"/>
                      <w:sz w:val="18"/>
                      <w:szCs w:val="18"/>
                    </w:rPr>
                    <w:t xml:space="preserve">0m </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南厂界：</w:t>
                  </w:r>
                  <w:r>
                    <w:rPr>
                      <w:rFonts w:hint="eastAsia" w:ascii="宋体" w:hAnsi="宋体" w:cs="宋体"/>
                      <w:color w:val="auto"/>
                      <w:sz w:val="18"/>
                      <w:szCs w:val="18"/>
                      <w:lang w:val="en-US" w:eastAsia="zh-CN"/>
                    </w:rPr>
                    <w:t>30</w:t>
                  </w:r>
                  <w:r>
                    <w:rPr>
                      <w:rFonts w:hint="eastAsia" w:ascii="宋体" w:hAnsi="宋体" w:eastAsia="宋体" w:cs="宋体"/>
                      <w:color w:val="auto"/>
                      <w:sz w:val="18"/>
                      <w:szCs w:val="18"/>
                    </w:rPr>
                    <w:t>m</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西厂界：</w:t>
                  </w:r>
                  <w:r>
                    <w:rPr>
                      <w:rFonts w:hint="eastAsia" w:ascii="宋体" w:hAnsi="宋体" w:cs="宋体"/>
                      <w:color w:val="auto"/>
                      <w:sz w:val="18"/>
                      <w:szCs w:val="18"/>
                      <w:lang w:val="en-US" w:eastAsia="zh-CN"/>
                    </w:rPr>
                    <w:t>20</w:t>
                  </w:r>
                  <w:r>
                    <w:rPr>
                      <w:rFonts w:hint="eastAsia" w:ascii="宋体" w:hAnsi="宋体" w:eastAsia="宋体" w:cs="宋体"/>
                      <w:color w:val="auto"/>
                      <w:sz w:val="18"/>
                      <w:szCs w:val="18"/>
                    </w:rPr>
                    <w:t xml:space="preserve">m </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北厂界：</w:t>
                  </w:r>
                  <w:r>
                    <w:rPr>
                      <w:rFonts w:hint="eastAsia" w:ascii="宋体" w:hAnsi="宋体" w:cs="宋体"/>
                      <w:color w:val="auto"/>
                      <w:sz w:val="18"/>
                      <w:szCs w:val="18"/>
                      <w:lang w:val="en-US" w:eastAsia="zh-CN"/>
                    </w:rPr>
                    <w:t>20</w:t>
                  </w:r>
                  <w:r>
                    <w:rPr>
                      <w:rFonts w:hint="eastAsia" w:ascii="宋体" w:hAnsi="宋体" w:eastAsia="宋体" w:cs="宋体"/>
                      <w:color w:val="auto"/>
                      <w:sz w:val="18"/>
                      <w:szCs w:val="18"/>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1" w:hRule="atLeast"/>
                <w:jc w:val="center"/>
              </w:trPr>
              <w:tc>
                <w:tcPr>
                  <w:tcW w:w="11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举升机</w:t>
                  </w:r>
                </w:p>
              </w:tc>
              <w:tc>
                <w:tcPr>
                  <w:tcW w:w="68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02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829"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65"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1249" w:type="dxa"/>
                  <w:vMerge w:val="continue"/>
                  <w:tcBorders>
                    <w:tl2br w:val="nil"/>
                    <w:tr2bl w:val="nil"/>
                  </w:tcBorders>
                  <w:vAlign w:val="center"/>
                </w:tcPr>
                <w:p>
                  <w:pPr>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jc w:val="center"/>
              </w:trPr>
              <w:tc>
                <w:tcPr>
                  <w:tcW w:w="11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安全气囊引</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爆器</w:t>
                  </w:r>
                </w:p>
              </w:tc>
              <w:tc>
                <w:tcPr>
                  <w:tcW w:w="68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02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60</w:t>
                  </w:r>
                </w:p>
              </w:tc>
              <w:tc>
                <w:tcPr>
                  <w:tcW w:w="829"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65"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1249" w:type="dxa"/>
                  <w:vMerge w:val="continue"/>
                  <w:tcBorders>
                    <w:tl2br w:val="nil"/>
                    <w:tr2bl w:val="nil"/>
                  </w:tcBorders>
                  <w:vAlign w:val="center"/>
                </w:tcPr>
                <w:p>
                  <w:pPr>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jc w:val="center"/>
              </w:trPr>
              <w:tc>
                <w:tcPr>
                  <w:tcW w:w="11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液压剪</w:t>
                  </w:r>
                </w:p>
              </w:tc>
              <w:tc>
                <w:tcPr>
                  <w:tcW w:w="68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02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70</w:t>
                  </w:r>
                </w:p>
              </w:tc>
              <w:tc>
                <w:tcPr>
                  <w:tcW w:w="829"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65"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1249" w:type="dxa"/>
                  <w:vMerge w:val="continue"/>
                  <w:tcBorders>
                    <w:tl2br w:val="nil"/>
                    <w:tr2bl w:val="nil"/>
                  </w:tcBorders>
                  <w:vAlign w:val="center"/>
                </w:tcPr>
                <w:p>
                  <w:pPr>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7" w:hRule="atLeast"/>
                <w:jc w:val="center"/>
              </w:trPr>
              <w:tc>
                <w:tcPr>
                  <w:tcW w:w="11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eastAsia="zh-CN"/>
                    </w:rPr>
                    <w:t>扒胎机</w:t>
                  </w:r>
                </w:p>
              </w:tc>
              <w:tc>
                <w:tcPr>
                  <w:tcW w:w="68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02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829"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65"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1249" w:type="dxa"/>
                  <w:vMerge w:val="continue"/>
                  <w:tcBorders>
                    <w:tl2br w:val="nil"/>
                    <w:tr2bl w:val="nil"/>
                  </w:tcBorders>
                  <w:vAlign w:val="center"/>
                </w:tcPr>
                <w:p>
                  <w:pPr>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jc w:val="center"/>
              </w:trPr>
              <w:tc>
                <w:tcPr>
                  <w:tcW w:w="11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拆解机</w:t>
                  </w:r>
                </w:p>
              </w:tc>
              <w:tc>
                <w:tcPr>
                  <w:tcW w:w="68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102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829"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65"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1249" w:type="dxa"/>
                  <w:vMerge w:val="continue"/>
                  <w:tcBorders>
                    <w:tl2br w:val="nil"/>
                    <w:tr2bl w:val="nil"/>
                  </w:tcBorders>
                  <w:vAlign w:val="center"/>
                </w:tcPr>
                <w:p>
                  <w:pPr>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6" w:hRule="atLeast"/>
                <w:jc w:val="center"/>
              </w:trPr>
              <w:tc>
                <w:tcPr>
                  <w:tcW w:w="11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打包机</w:t>
                  </w:r>
                </w:p>
              </w:tc>
              <w:tc>
                <w:tcPr>
                  <w:tcW w:w="68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02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70</w:t>
                  </w:r>
                </w:p>
              </w:tc>
              <w:tc>
                <w:tcPr>
                  <w:tcW w:w="829"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65"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1249" w:type="dxa"/>
                  <w:vMerge w:val="continue"/>
                  <w:tcBorders>
                    <w:tl2br w:val="nil"/>
                    <w:tr2bl w:val="nil"/>
                  </w:tcBorders>
                  <w:vAlign w:val="center"/>
                </w:tcPr>
                <w:p>
                  <w:pPr>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7" w:hRule="atLeast"/>
                <w:jc w:val="center"/>
              </w:trPr>
              <w:tc>
                <w:tcPr>
                  <w:tcW w:w="11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桁车</w:t>
                  </w:r>
                </w:p>
              </w:tc>
              <w:tc>
                <w:tcPr>
                  <w:tcW w:w="68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02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70</w:t>
                  </w:r>
                </w:p>
              </w:tc>
              <w:tc>
                <w:tcPr>
                  <w:tcW w:w="829"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65"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1249" w:type="dxa"/>
                  <w:vMerge w:val="continue"/>
                  <w:tcBorders>
                    <w:tl2br w:val="nil"/>
                    <w:tr2bl w:val="nil"/>
                  </w:tcBorders>
                  <w:vAlign w:val="center"/>
                </w:tcPr>
                <w:p>
                  <w:pPr>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jc w:val="center"/>
              </w:trPr>
              <w:tc>
                <w:tcPr>
                  <w:tcW w:w="11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厂区内工作</w:t>
                  </w:r>
                </w:p>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车辆</w:t>
                  </w:r>
                </w:p>
              </w:tc>
              <w:tc>
                <w:tcPr>
                  <w:tcW w:w="685"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022"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829"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47"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765" w:type="dxa"/>
                  <w:vMerge w:val="continue"/>
                  <w:tcBorders>
                    <w:tl2br w:val="nil"/>
                    <w:tr2bl w:val="nil"/>
                  </w:tcBorders>
                  <w:vAlign w:val="center"/>
                </w:tcPr>
                <w:p>
                  <w:pPr>
                    <w:jc w:val="center"/>
                    <w:rPr>
                      <w:rFonts w:hint="eastAsia" w:ascii="宋体" w:hAnsi="宋体" w:eastAsia="宋体" w:cs="宋体"/>
                      <w:color w:val="auto"/>
                      <w:sz w:val="18"/>
                      <w:szCs w:val="18"/>
                    </w:rPr>
                  </w:pPr>
                </w:p>
              </w:tc>
              <w:tc>
                <w:tcPr>
                  <w:tcW w:w="1249" w:type="dxa"/>
                  <w:vMerge w:val="continue"/>
                  <w:tcBorders>
                    <w:tl2br w:val="nil"/>
                    <w:tr2bl w:val="nil"/>
                  </w:tcBorders>
                  <w:vAlign w:val="center"/>
                </w:tcPr>
                <w:p>
                  <w:pPr>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0" w:hRule="atLeast"/>
                <w:jc w:val="center"/>
              </w:trPr>
              <w:tc>
                <w:tcPr>
                  <w:tcW w:w="1168" w:type="dxa"/>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备注</w:t>
                  </w:r>
                </w:p>
              </w:tc>
              <w:tc>
                <w:tcPr>
                  <w:tcW w:w="6791" w:type="dxa"/>
                  <w:gridSpan w:val="8"/>
                  <w:tcBorders>
                    <w:tl2br w:val="nil"/>
                    <w:tr2bl w:val="nil"/>
                  </w:tcBorders>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以项目拆解车间作为点源预测</w:t>
                  </w:r>
                </w:p>
              </w:tc>
            </w:tr>
          </w:tbl>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预测结果可知，项目建设完成后，经采取基座减振、隔声、合理布局等措施后，项目东、南、西、北厂界昼间噪声值均满足《工业企业厂界环境噪声排放标准》（GB12348-2008）2类标准要求（昼间≤60dB(A)），本项目对该区域声环境质量的影响较小。</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4、噪声监测要求</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建设单位应委托有相应监检测资质的第三方检测机构定期对项目的污染源进行采样检测，并形成管理台账。为加强环境管理，较为准确客观地掌握其污染物的排放情况，结合《排污单位自行监测技术指南 总则》（HJ819-2017），对噪声提出以下监测计划：</w:t>
            </w:r>
          </w:p>
          <w:p>
            <w:pPr>
              <w:pStyle w:val="6"/>
              <w:keepNext w:val="0"/>
              <w:keepLines w:val="0"/>
              <w:pageBreakBefore w:val="0"/>
              <w:widowControl w:val="0"/>
              <w:kinsoku/>
              <w:wordWrap/>
              <w:overflowPunct/>
              <w:topLinePunct w:val="0"/>
              <w:autoSpaceDE/>
              <w:autoSpaceDN/>
              <w:bidi w:val="0"/>
              <w:adjustRightInd/>
              <w:snapToGrid w:val="0"/>
              <w:spacing w:after="0" w:line="240" w:lineRule="auto"/>
              <w:ind w:firstLine="422" w:firstLineChars="200"/>
              <w:jc w:val="center"/>
              <w:textAlignment w:val="auto"/>
              <w:rPr>
                <w:rFonts w:hint="eastAsia" w:ascii="宋体" w:hAnsi="宋体" w:eastAsia="宋体" w:cs="宋体"/>
                <w:color w:val="auto"/>
                <w:sz w:val="21"/>
                <w:szCs w:val="21"/>
                <w:lang w:eastAsia="zh-CN"/>
              </w:rPr>
            </w:pPr>
            <w:r>
              <w:rPr>
                <w:b/>
                <w:color w:val="auto"/>
                <w:sz w:val="21"/>
              </w:rPr>
              <w:t>表</w:t>
            </w:r>
            <w:r>
              <w:rPr>
                <w:b/>
                <w:color w:val="auto"/>
                <w:spacing w:val="-52"/>
                <w:sz w:val="21"/>
              </w:rPr>
              <w:t xml:space="preserve"> </w:t>
            </w:r>
            <w:r>
              <w:rPr>
                <w:rFonts w:ascii="Times New Roman" w:eastAsia="Times New Roman"/>
                <w:b/>
                <w:color w:val="auto"/>
                <w:sz w:val="21"/>
              </w:rPr>
              <w:t>4-</w:t>
            </w:r>
            <w:r>
              <w:rPr>
                <w:rFonts w:hint="eastAsia"/>
                <w:b/>
                <w:color w:val="auto"/>
                <w:sz w:val="21"/>
                <w:lang w:val="en-US" w:eastAsia="zh-CN"/>
              </w:rPr>
              <w:t>12运营期</w:t>
            </w:r>
            <w:r>
              <w:rPr>
                <w:b/>
                <w:color w:val="auto"/>
                <w:sz w:val="21"/>
              </w:rPr>
              <w:t>噪声</w:t>
            </w:r>
            <w:r>
              <w:rPr>
                <w:rFonts w:hint="eastAsia"/>
                <w:b/>
                <w:color w:val="auto"/>
                <w:sz w:val="21"/>
                <w:lang w:eastAsia="zh-CN"/>
              </w:rPr>
              <w:t>监测计划</w:t>
            </w:r>
          </w:p>
          <w:tbl>
            <w:tblPr>
              <w:tblStyle w:val="21"/>
              <w:tblpPr w:leftFromText="180" w:rightFromText="180" w:vertAnchor="text" w:horzAnchor="page" w:tblpXSpec="center" w:tblpY="184"/>
              <w:tblOverlap w:val="never"/>
              <w:tblW w:w="77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2618"/>
              <w:gridCol w:w="1135"/>
              <w:gridCol w:w="1155"/>
              <w:gridCol w:w="20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79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类别</w:t>
                  </w:r>
                </w:p>
              </w:tc>
              <w:tc>
                <w:tcPr>
                  <w:tcW w:w="261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监测点位</w:t>
                  </w:r>
                </w:p>
              </w:tc>
              <w:tc>
                <w:tcPr>
                  <w:tcW w:w="11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监测因子</w:t>
                  </w:r>
                </w:p>
              </w:tc>
              <w:tc>
                <w:tcPr>
                  <w:tcW w:w="11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监测频次</w:t>
                  </w:r>
                </w:p>
              </w:tc>
              <w:tc>
                <w:tcPr>
                  <w:tcW w:w="20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792"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噪声</w:t>
                  </w:r>
                </w:p>
              </w:tc>
              <w:tc>
                <w:tcPr>
                  <w:tcW w:w="261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N1：东厂界外侧 1m 处</w:t>
                  </w:r>
                </w:p>
              </w:tc>
              <w:tc>
                <w:tcPr>
                  <w:tcW w:w="113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Leq(A)</w:t>
                  </w:r>
                </w:p>
              </w:tc>
              <w:tc>
                <w:tcPr>
                  <w:tcW w:w="115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 季度 1</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次，昼间</w:t>
                  </w:r>
                </w:p>
              </w:tc>
              <w:tc>
                <w:tcPr>
                  <w:tcW w:w="208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val="0"/>
                    <w:snapToGrid w:val="0"/>
                    <w:ind w:left="105" w:leftChars="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执行《工业企业厂界环境噪声排放标准》（GB12348-2008）中的 2</w:t>
                  </w:r>
                </w:p>
                <w:p>
                  <w:pPr>
                    <w:keepNext w:val="0"/>
                    <w:keepLines w:val="0"/>
                    <w:pageBreakBefore w:val="0"/>
                    <w:widowControl w:val="0"/>
                    <w:kinsoku/>
                    <w:wordWrap/>
                    <w:overflowPunct/>
                    <w:topLinePunct w:val="0"/>
                    <w:autoSpaceDE w:val="0"/>
                    <w:autoSpaceDN w:val="0"/>
                    <w:bidi w:val="0"/>
                    <w:adjustRightInd w:val="0"/>
                    <w:snapToGrid w:val="0"/>
                    <w:ind w:left="105" w:leftChars="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类排放限值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7" w:hRule="atLeast"/>
                <w:jc w:val="center"/>
              </w:trPr>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261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N2：南厂界外侧 1m 处</w:t>
                  </w:r>
                </w:p>
              </w:tc>
              <w:tc>
                <w:tcPr>
                  <w:tcW w:w="113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15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208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261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N3：西厂界外侧 1m 处</w:t>
                  </w:r>
                </w:p>
              </w:tc>
              <w:tc>
                <w:tcPr>
                  <w:tcW w:w="113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15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208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261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N4：北厂界外侧 1m 处</w:t>
                  </w:r>
                </w:p>
              </w:tc>
              <w:tc>
                <w:tcPr>
                  <w:tcW w:w="113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15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208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bl>
          <w:p>
            <w:pPr>
              <w:pStyle w:val="6"/>
              <w:keepNext w:val="0"/>
              <w:keepLines w:val="0"/>
              <w:pageBreakBefore w:val="0"/>
              <w:widowControl w:val="0"/>
              <w:kinsoku/>
              <w:wordWrap/>
              <w:overflowPunct/>
              <w:topLinePunct w:val="0"/>
              <w:autoSpaceDE/>
              <w:autoSpaceDN/>
              <w:bidi w:val="0"/>
              <w:adjustRightInd/>
              <w:snapToGrid w:val="0"/>
              <w:spacing w:before="157" w:beforeLines="50"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四、固体废物</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1、固体废物产生源强</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项目固体废弃物主要分三类：一般工业固体废弃物、危险废物和生活垃圾，其中， 一般工业固体废弃物分为可回收固体废物和不可利用固体废物，可回收固体废物包括钢材等有色金属和塑料、橡胶、玻璃、等非金属，以及可利用零部件。危险废物包括非燃油类废油液、废制冷剂、废蓄电池、废电容电路板、废尾气净化装置、废液化气罐等。项目定员人数为 20 人，生活垃圾产生量按每人每天 0.5kg 计，则生活垃圾产生总量为 10kg/d，3t/a，由环卫部门统一处理。项目建成后固废汇总详见表 4-1</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w:t>
            </w:r>
          </w:p>
          <w:p>
            <w:pPr>
              <w:pStyle w:val="6"/>
              <w:keepNext w:val="0"/>
              <w:keepLines w:val="0"/>
              <w:pageBreakBefore w:val="0"/>
              <w:widowControl w:val="0"/>
              <w:kinsoku/>
              <w:wordWrap/>
              <w:overflowPunct/>
              <w:topLinePunct w:val="0"/>
              <w:autoSpaceDE/>
              <w:autoSpaceDN/>
              <w:bidi w:val="0"/>
              <w:adjustRightInd/>
              <w:snapToGrid w:val="0"/>
              <w:spacing w:after="0" w:line="240" w:lineRule="auto"/>
              <w:ind w:firstLine="48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表 4-1</w:t>
            </w:r>
            <w:r>
              <w:rPr>
                <w:rFonts w:hint="eastAsia" w:ascii="宋体" w:hAnsi="宋体" w:cs="宋体"/>
                <w:b/>
                <w:bCs/>
                <w:color w:val="auto"/>
                <w:sz w:val="21"/>
                <w:szCs w:val="21"/>
                <w:lang w:val="en-US" w:eastAsia="zh-CN"/>
              </w:rPr>
              <w:t>3</w:t>
            </w:r>
            <w:r>
              <w:rPr>
                <w:rFonts w:hint="eastAsia" w:ascii="宋体" w:hAnsi="宋体" w:eastAsia="宋体" w:cs="宋体"/>
                <w:b/>
                <w:bCs/>
                <w:color w:val="auto"/>
                <w:sz w:val="21"/>
                <w:szCs w:val="21"/>
              </w:rPr>
              <w:tab/>
            </w:r>
            <w:r>
              <w:rPr>
                <w:rFonts w:hint="eastAsia" w:ascii="宋体" w:hAnsi="宋体" w:eastAsia="宋体" w:cs="宋体"/>
                <w:b/>
                <w:bCs/>
                <w:color w:val="auto"/>
                <w:sz w:val="21"/>
                <w:szCs w:val="21"/>
              </w:rPr>
              <w:t>固体废物汇总一览表</w:t>
            </w:r>
            <w:r>
              <w:rPr>
                <w:rFonts w:hint="eastAsia" w:ascii="宋体" w:hAnsi="宋体" w:eastAsia="宋体" w:cs="宋体"/>
                <w:b/>
                <w:bCs/>
                <w:color w:val="auto"/>
                <w:sz w:val="21"/>
                <w:szCs w:val="21"/>
              </w:rPr>
              <w:tab/>
            </w:r>
            <w:r>
              <w:rPr>
                <w:rFonts w:hint="eastAsia" w:ascii="宋体" w:hAnsi="宋体" w:eastAsia="宋体" w:cs="宋体"/>
                <w:b/>
                <w:bCs/>
                <w:color w:val="auto"/>
                <w:sz w:val="21"/>
                <w:szCs w:val="21"/>
              </w:rPr>
              <w:t>单位：t/a</w:t>
            </w:r>
          </w:p>
          <w:tbl>
            <w:tblPr>
              <w:tblStyle w:val="21"/>
              <w:tblW w:w="79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555"/>
              <w:gridCol w:w="1509"/>
              <w:gridCol w:w="753"/>
              <w:gridCol w:w="990"/>
              <w:gridCol w:w="1302"/>
              <w:gridCol w:w="1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61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分类</w:t>
                  </w: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固体名称</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产生工序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物理</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形态</w:t>
                  </w:r>
                </w:p>
              </w:tc>
              <w:tc>
                <w:tcPr>
                  <w:tcW w:w="9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产生量</w:t>
                  </w:r>
                </w:p>
              </w:tc>
              <w:tc>
                <w:tcPr>
                  <w:tcW w:w="13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暂存方式</w:t>
                  </w:r>
                </w:p>
              </w:tc>
              <w:tc>
                <w:tcPr>
                  <w:tcW w:w="126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处置方式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61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一般固废</w:t>
                  </w: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钢铁</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拆解工序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固态</w:t>
                  </w:r>
                </w:p>
              </w:tc>
              <w:tc>
                <w:tcPr>
                  <w:tcW w:w="99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17201</w:t>
                  </w:r>
                </w:p>
              </w:tc>
              <w:tc>
                <w:tcPr>
                  <w:tcW w:w="1302"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分别贮存在成品堆放区</w:t>
                  </w:r>
                </w:p>
              </w:tc>
              <w:tc>
                <w:tcPr>
                  <w:tcW w:w="126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有色金属</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拆解工序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固态</w:t>
                  </w:r>
                </w:p>
              </w:tc>
              <w:tc>
                <w:tcPr>
                  <w:tcW w:w="99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533.5</w:t>
                  </w:r>
                </w:p>
              </w:tc>
              <w:tc>
                <w:tcPr>
                  <w:tcW w:w="130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废橡胶</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拆解工序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固态</w:t>
                  </w:r>
                </w:p>
              </w:tc>
              <w:tc>
                <w:tcPr>
                  <w:tcW w:w="99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886</w:t>
                  </w:r>
                </w:p>
              </w:tc>
              <w:tc>
                <w:tcPr>
                  <w:tcW w:w="130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废电线电缆</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预处理工序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固态</w:t>
                  </w:r>
                </w:p>
              </w:tc>
              <w:tc>
                <w:tcPr>
                  <w:tcW w:w="99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154.5</w:t>
                  </w:r>
                </w:p>
              </w:tc>
              <w:tc>
                <w:tcPr>
                  <w:tcW w:w="130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废塑料</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预处理工序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固态</w:t>
                  </w:r>
                </w:p>
              </w:tc>
              <w:tc>
                <w:tcPr>
                  <w:tcW w:w="99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668.5</w:t>
                  </w:r>
                </w:p>
              </w:tc>
              <w:tc>
                <w:tcPr>
                  <w:tcW w:w="130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废玻璃</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预处理工序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固态</w:t>
                  </w:r>
                </w:p>
              </w:tc>
              <w:tc>
                <w:tcPr>
                  <w:tcW w:w="99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352</w:t>
                  </w:r>
                </w:p>
              </w:tc>
              <w:tc>
                <w:tcPr>
                  <w:tcW w:w="130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废安全气囊</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预处理、拆解工序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固态</w:t>
                  </w:r>
                </w:p>
              </w:tc>
              <w:tc>
                <w:tcPr>
                  <w:tcW w:w="9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rPr>
                    <w:t>1</w:t>
                  </w:r>
                  <w:r>
                    <w:rPr>
                      <w:rFonts w:hint="eastAsia" w:ascii="宋体" w:hAnsi="宋体" w:cs="宋体"/>
                      <w:color w:val="auto"/>
                      <w:sz w:val="18"/>
                      <w:szCs w:val="18"/>
                      <w:lang w:val="en-US" w:eastAsia="zh-CN"/>
                    </w:rPr>
                    <w:t>4.4</w:t>
                  </w:r>
                </w:p>
              </w:tc>
              <w:tc>
                <w:tcPr>
                  <w:tcW w:w="1302"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一般固废间</w:t>
                  </w:r>
                </w:p>
              </w:tc>
              <w:tc>
                <w:tcPr>
                  <w:tcW w:w="126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有资质单位回收处理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废动力电池组</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预处理工序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固态</w:t>
                  </w:r>
                </w:p>
              </w:tc>
              <w:tc>
                <w:tcPr>
                  <w:tcW w:w="9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154.7</w:t>
                  </w:r>
                </w:p>
              </w:tc>
              <w:tc>
                <w:tcPr>
                  <w:tcW w:w="130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不可利用材料</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预处理工序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固态</w:t>
                  </w:r>
                </w:p>
              </w:tc>
              <w:tc>
                <w:tcPr>
                  <w:tcW w:w="9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820</w:t>
                  </w:r>
                </w:p>
              </w:tc>
              <w:tc>
                <w:tcPr>
                  <w:tcW w:w="130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26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环卫部门统一</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1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危险废物</w:t>
                  </w: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废蓄电池</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预处理工序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固态</w:t>
                  </w:r>
                </w:p>
              </w:tc>
              <w:tc>
                <w:tcPr>
                  <w:tcW w:w="9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rPr>
                    <w:t>1</w:t>
                  </w:r>
                  <w:r>
                    <w:rPr>
                      <w:rFonts w:hint="eastAsia" w:ascii="宋体" w:hAnsi="宋体" w:cs="宋体"/>
                      <w:color w:val="auto"/>
                      <w:sz w:val="18"/>
                      <w:szCs w:val="18"/>
                      <w:lang w:val="en-US" w:eastAsia="zh-CN"/>
                    </w:rPr>
                    <w:t>84.5</w:t>
                  </w:r>
                </w:p>
              </w:tc>
              <w:tc>
                <w:tcPr>
                  <w:tcW w:w="13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耐酸性专用容器</w:t>
                  </w:r>
                </w:p>
              </w:tc>
              <w:tc>
                <w:tcPr>
                  <w:tcW w:w="126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危废暂存间暂存，委托有资质单位处理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废尾气净化装</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置（含催化剂）</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预处理工序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固态</w:t>
                  </w:r>
                </w:p>
              </w:tc>
              <w:tc>
                <w:tcPr>
                  <w:tcW w:w="9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17.1</w:t>
                  </w:r>
                </w:p>
              </w:tc>
              <w:tc>
                <w:tcPr>
                  <w:tcW w:w="13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密闭容器</w:t>
                  </w: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废线路板</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预处理工序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固态</w:t>
                  </w:r>
                </w:p>
              </w:tc>
              <w:tc>
                <w:tcPr>
                  <w:tcW w:w="9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2.</w:t>
                  </w:r>
                  <w:r>
                    <w:rPr>
                      <w:rFonts w:hint="eastAsia" w:ascii="宋体" w:hAnsi="宋体" w:cs="宋体"/>
                      <w:color w:val="auto"/>
                      <w:sz w:val="18"/>
                      <w:szCs w:val="18"/>
                      <w:lang w:val="en-US" w:eastAsia="zh-CN"/>
                    </w:rPr>
                    <w:t>7</w:t>
                  </w:r>
                </w:p>
              </w:tc>
              <w:tc>
                <w:tcPr>
                  <w:tcW w:w="13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密闭容器</w:t>
                  </w: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燃料油废油液</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预处理工序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液态</w:t>
                  </w:r>
                </w:p>
              </w:tc>
              <w:tc>
                <w:tcPr>
                  <w:tcW w:w="9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1</w:t>
                  </w:r>
                  <w:r>
                    <w:rPr>
                      <w:rFonts w:hint="eastAsia" w:ascii="宋体" w:hAnsi="宋体" w:cs="宋体"/>
                      <w:color w:val="auto"/>
                      <w:sz w:val="18"/>
                      <w:szCs w:val="18"/>
                      <w:lang w:val="en-US" w:eastAsia="zh-CN"/>
                    </w:rPr>
                    <w:t>1</w:t>
                  </w:r>
                  <w:r>
                    <w:rPr>
                      <w:rFonts w:hint="eastAsia" w:ascii="宋体" w:hAnsi="宋体" w:eastAsia="宋体" w:cs="宋体"/>
                      <w:color w:val="auto"/>
                      <w:sz w:val="18"/>
                      <w:szCs w:val="18"/>
                    </w:rPr>
                    <w:t>.1</w:t>
                  </w:r>
                </w:p>
              </w:tc>
              <w:tc>
                <w:tcPr>
                  <w:tcW w:w="13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密闭储油罐</w:t>
                  </w: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非燃油类废油</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液</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预处理工序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液态</w:t>
                  </w:r>
                </w:p>
              </w:tc>
              <w:tc>
                <w:tcPr>
                  <w:tcW w:w="9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61.1</w:t>
                  </w:r>
                </w:p>
              </w:tc>
              <w:tc>
                <w:tcPr>
                  <w:tcW w:w="13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密闭容器</w:t>
                  </w: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废冷却液</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预处理工序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液态</w:t>
                  </w:r>
                </w:p>
              </w:tc>
              <w:tc>
                <w:tcPr>
                  <w:tcW w:w="9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13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密闭容器</w:t>
                  </w: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废空调制冷剂</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预处理工序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液态</w:t>
                  </w:r>
                </w:p>
              </w:tc>
              <w:tc>
                <w:tcPr>
                  <w:tcW w:w="9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4.</w:t>
                  </w:r>
                  <w:r>
                    <w:rPr>
                      <w:rFonts w:hint="eastAsia" w:ascii="宋体" w:hAnsi="宋体" w:cs="宋体"/>
                      <w:color w:val="auto"/>
                      <w:sz w:val="18"/>
                      <w:szCs w:val="18"/>
                      <w:lang w:val="en-US" w:eastAsia="zh-CN"/>
                    </w:rPr>
                    <w:t>4</w:t>
                  </w:r>
                </w:p>
              </w:tc>
              <w:tc>
                <w:tcPr>
                  <w:tcW w:w="13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密闭容器</w:t>
                  </w: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含铅部件</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预处理工序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固态</w:t>
                  </w:r>
                </w:p>
              </w:tc>
              <w:tc>
                <w:tcPr>
                  <w:tcW w:w="9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w:t>
                  </w:r>
                  <w:r>
                    <w:rPr>
                      <w:rFonts w:hint="eastAsia" w:ascii="宋体" w:hAnsi="宋体" w:cs="宋体"/>
                      <w:color w:val="auto"/>
                      <w:sz w:val="18"/>
                      <w:szCs w:val="18"/>
                      <w:lang w:val="en-US" w:eastAsia="zh-CN"/>
                    </w:rPr>
                    <w:t>5</w:t>
                  </w:r>
                  <w:r>
                    <w:rPr>
                      <w:rFonts w:hint="eastAsia" w:ascii="宋体" w:hAnsi="宋体" w:eastAsia="宋体" w:cs="宋体"/>
                      <w:color w:val="auto"/>
                      <w:sz w:val="18"/>
                      <w:szCs w:val="18"/>
                    </w:rPr>
                    <w:t>5</w:t>
                  </w:r>
                </w:p>
              </w:tc>
              <w:tc>
                <w:tcPr>
                  <w:tcW w:w="13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耐酸性专用容器</w:t>
                  </w: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含汞开关</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预处理工序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固态</w:t>
                  </w:r>
                </w:p>
              </w:tc>
              <w:tc>
                <w:tcPr>
                  <w:tcW w:w="9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w:t>
                  </w:r>
                  <w:r>
                    <w:rPr>
                      <w:rFonts w:hint="eastAsia" w:ascii="宋体" w:hAnsi="宋体" w:cs="宋体"/>
                      <w:color w:val="auto"/>
                      <w:sz w:val="18"/>
                      <w:szCs w:val="18"/>
                      <w:lang w:val="en-US" w:eastAsia="zh-CN"/>
                    </w:rPr>
                    <w:t>5</w:t>
                  </w:r>
                  <w:r>
                    <w:rPr>
                      <w:rFonts w:hint="eastAsia" w:ascii="宋体" w:hAnsi="宋体" w:eastAsia="宋体" w:cs="宋体"/>
                      <w:color w:val="auto"/>
                      <w:sz w:val="18"/>
                      <w:szCs w:val="18"/>
                    </w:rPr>
                    <w:t>5</w:t>
                  </w:r>
                </w:p>
              </w:tc>
              <w:tc>
                <w:tcPr>
                  <w:tcW w:w="13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耐酸性专用容器</w:t>
                  </w: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废液化气罐</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预处理工序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固态</w:t>
                  </w:r>
                </w:p>
              </w:tc>
              <w:tc>
                <w:tcPr>
                  <w:tcW w:w="9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31.5</w:t>
                  </w:r>
                </w:p>
              </w:tc>
              <w:tc>
                <w:tcPr>
                  <w:tcW w:w="13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专用容器</w:t>
                  </w: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隔油池废油</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废水处理</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液体</w:t>
                  </w:r>
                </w:p>
              </w:tc>
              <w:tc>
                <w:tcPr>
                  <w:tcW w:w="9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0.2</w:t>
                  </w:r>
                </w:p>
              </w:tc>
              <w:tc>
                <w:tcPr>
                  <w:tcW w:w="13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密闭容器</w:t>
                  </w: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1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废含油手套抹布</w:t>
                  </w:r>
                </w:p>
              </w:tc>
              <w:tc>
                <w:tcPr>
                  <w:tcW w:w="15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预处理工序</w:t>
                  </w:r>
                </w:p>
              </w:tc>
              <w:tc>
                <w:tcPr>
                  <w:tcW w:w="7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固态</w:t>
                  </w:r>
                </w:p>
              </w:tc>
              <w:tc>
                <w:tcPr>
                  <w:tcW w:w="9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rPr>
                    <w:t>0.</w:t>
                  </w:r>
                  <w:r>
                    <w:rPr>
                      <w:rFonts w:hint="eastAsia" w:ascii="宋体" w:hAnsi="宋体" w:cs="宋体"/>
                      <w:color w:val="auto"/>
                      <w:sz w:val="18"/>
                      <w:szCs w:val="18"/>
                      <w:lang w:val="en-US" w:eastAsia="zh-CN"/>
                    </w:rPr>
                    <w:t>1</w:t>
                  </w:r>
                </w:p>
              </w:tc>
              <w:tc>
                <w:tcPr>
                  <w:tcW w:w="13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专用容器</w:t>
                  </w:r>
                </w:p>
              </w:tc>
              <w:tc>
                <w:tcPr>
                  <w:tcW w:w="126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bl>
          <w:p>
            <w:pPr>
              <w:pStyle w:val="6"/>
              <w:keepNext w:val="0"/>
              <w:keepLines w:val="0"/>
              <w:pageBreakBefore w:val="0"/>
              <w:widowControl w:val="0"/>
              <w:kinsoku/>
              <w:wordWrap/>
              <w:overflowPunct/>
              <w:topLinePunct w:val="0"/>
              <w:autoSpaceDE/>
              <w:autoSpaceDN/>
              <w:bidi w:val="0"/>
              <w:adjustRightInd/>
              <w:snapToGrid/>
              <w:spacing w:before="157" w:beforeLines="50"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根据《建设项目危险废物环境影响评价指南》本项目危险废物指南详见下表。</w:t>
            </w:r>
          </w:p>
          <w:p>
            <w:pPr>
              <w:pStyle w:val="6"/>
              <w:keepNext w:val="0"/>
              <w:keepLines w:val="0"/>
              <w:pageBreakBefore w:val="0"/>
              <w:widowControl w:val="0"/>
              <w:kinsoku/>
              <w:wordWrap/>
              <w:overflowPunct/>
              <w:topLinePunct w:val="0"/>
              <w:autoSpaceDE/>
              <w:autoSpaceDN/>
              <w:bidi w:val="0"/>
              <w:adjustRightInd/>
              <w:snapToGrid/>
              <w:spacing w:before="157" w:beforeLines="50" w:after="0" w:line="360" w:lineRule="auto"/>
              <w:ind w:firstLine="480"/>
              <w:jc w:val="center"/>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rPr>
              <w:t>表 4-1</w:t>
            </w:r>
            <w:r>
              <w:rPr>
                <w:rFonts w:hint="eastAsia" w:ascii="宋体" w:hAnsi="宋体" w:cs="宋体"/>
                <w:b/>
                <w:bCs/>
                <w:color w:val="auto"/>
                <w:sz w:val="21"/>
                <w:szCs w:val="21"/>
                <w:lang w:val="en-US" w:eastAsia="zh-CN"/>
              </w:rPr>
              <w:t>4</w:t>
            </w:r>
            <w:r>
              <w:rPr>
                <w:rFonts w:hint="eastAsia" w:ascii="宋体" w:hAnsi="宋体" w:eastAsia="宋体" w:cs="宋体"/>
                <w:b/>
                <w:bCs/>
                <w:color w:val="auto"/>
                <w:sz w:val="21"/>
                <w:szCs w:val="21"/>
              </w:rPr>
              <w:tab/>
            </w:r>
            <w:r>
              <w:rPr>
                <w:rFonts w:hint="eastAsia" w:ascii="宋体" w:hAnsi="宋体" w:cs="宋体"/>
                <w:b/>
                <w:bCs/>
                <w:color w:val="auto"/>
                <w:sz w:val="21"/>
                <w:szCs w:val="21"/>
                <w:lang w:eastAsia="zh-CN"/>
              </w:rPr>
              <w:t>危险</w:t>
            </w:r>
            <w:r>
              <w:rPr>
                <w:rFonts w:hint="eastAsia" w:ascii="宋体" w:hAnsi="宋体" w:eastAsia="宋体" w:cs="宋体"/>
                <w:b/>
                <w:bCs/>
                <w:color w:val="auto"/>
                <w:sz w:val="21"/>
                <w:szCs w:val="21"/>
              </w:rPr>
              <w:t>废物汇总</w:t>
            </w:r>
            <w:r>
              <w:rPr>
                <w:rFonts w:hint="eastAsia" w:ascii="宋体" w:hAnsi="宋体" w:cs="宋体"/>
                <w:b/>
                <w:bCs/>
                <w:color w:val="auto"/>
                <w:sz w:val="21"/>
                <w:szCs w:val="21"/>
                <w:lang w:eastAsia="zh-CN"/>
              </w:rPr>
              <w:t>指南</w:t>
            </w:r>
          </w:p>
          <w:tbl>
            <w:tblPr>
              <w:tblStyle w:val="21"/>
              <w:tblW w:w="792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2"/>
              <w:gridCol w:w="1254"/>
              <w:gridCol w:w="1272"/>
              <w:gridCol w:w="1511"/>
              <w:gridCol w:w="765"/>
              <w:gridCol w:w="930"/>
              <w:gridCol w:w="930"/>
              <w:gridCol w:w="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5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序</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号</w:t>
                  </w:r>
                </w:p>
              </w:tc>
              <w:tc>
                <w:tcPr>
                  <w:tcW w:w="125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危险废物</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名称</w:t>
                  </w:r>
                </w:p>
              </w:tc>
              <w:tc>
                <w:tcPr>
                  <w:tcW w:w="12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危险废物类别</w:t>
                  </w:r>
                </w:p>
              </w:tc>
              <w:tc>
                <w:tcPr>
                  <w:tcW w:w="15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危险废物代码</w:t>
                  </w:r>
                </w:p>
              </w:tc>
              <w:tc>
                <w:tcPr>
                  <w:tcW w:w="76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产生量</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主要</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成分</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危险特</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性</w:t>
                  </w:r>
                </w:p>
              </w:tc>
              <w:tc>
                <w:tcPr>
                  <w:tcW w:w="76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污染防治措施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5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25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废蓄电池</w:t>
                  </w:r>
                </w:p>
              </w:tc>
              <w:tc>
                <w:tcPr>
                  <w:tcW w:w="12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HW49</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其他废物</w:t>
                  </w:r>
                </w:p>
              </w:tc>
              <w:tc>
                <w:tcPr>
                  <w:tcW w:w="15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900-044-49</w:t>
                  </w:r>
                </w:p>
              </w:tc>
              <w:tc>
                <w:tcPr>
                  <w:tcW w:w="76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w:t>
                  </w:r>
                  <w:r>
                    <w:rPr>
                      <w:rFonts w:hint="eastAsia" w:ascii="宋体" w:hAnsi="宋体" w:cs="宋体"/>
                      <w:color w:val="auto"/>
                      <w:sz w:val="18"/>
                      <w:szCs w:val="18"/>
                      <w:lang w:val="en-US" w:eastAsia="zh-CN"/>
                    </w:rPr>
                    <w:t>84.5</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铅酸蓄</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电池</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w:t>
                  </w:r>
                </w:p>
              </w:tc>
              <w:tc>
                <w:tcPr>
                  <w:tcW w:w="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jc w:val="center"/>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rPr>
                    <w:t>用专用容器收集后暂存于危废暂存间，定期交由有资质单位处理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5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125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废尾气净化装</w:t>
                  </w:r>
                  <w:r>
                    <w:rPr>
                      <w:rFonts w:hint="eastAsia" w:cs="宋体"/>
                      <w:color w:val="auto"/>
                      <w:sz w:val="18"/>
                      <w:szCs w:val="18"/>
                      <w:lang w:val="en-US" w:eastAsia="zh-CN"/>
                    </w:rPr>
                    <w:t xml:space="preserve">   </w:t>
                  </w:r>
                  <w:r>
                    <w:rPr>
                      <w:rFonts w:hint="eastAsia" w:ascii="宋体" w:hAnsi="宋体" w:eastAsia="宋体" w:cs="宋体"/>
                      <w:color w:val="auto"/>
                      <w:sz w:val="18"/>
                      <w:szCs w:val="18"/>
                    </w:rPr>
                    <w:t>置（含催化剂）</w:t>
                  </w:r>
                </w:p>
              </w:tc>
              <w:tc>
                <w:tcPr>
                  <w:tcW w:w="12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HW50</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废催化剂</w:t>
                  </w:r>
                </w:p>
              </w:tc>
              <w:tc>
                <w:tcPr>
                  <w:tcW w:w="15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900-049-50</w:t>
                  </w:r>
                </w:p>
              </w:tc>
              <w:tc>
                <w:tcPr>
                  <w:tcW w:w="76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cs="宋体"/>
                      <w:color w:val="auto"/>
                      <w:sz w:val="18"/>
                      <w:szCs w:val="18"/>
                      <w:lang w:val="en-US" w:eastAsia="zh-CN"/>
                    </w:rPr>
                    <w:t>17.1</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催化剂</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w:t>
                  </w:r>
                </w:p>
              </w:tc>
              <w:tc>
                <w:tcPr>
                  <w:tcW w:w="76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1" w:hRule="atLeast"/>
              </w:trPr>
              <w:tc>
                <w:tcPr>
                  <w:tcW w:w="5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125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废线路板</w:t>
                  </w:r>
                </w:p>
              </w:tc>
              <w:tc>
                <w:tcPr>
                  <w:tcW w:w="12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HW49</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其他废物</w:t>
                  </w:r>
                </w:p>
              </w:tc>
              <w:tc>
                <w:tcPr>
                  <w:tcW w:w="15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900-045-49</w:t>
                  </w:r>
                </w:p>
              </w:tc>
              <w:tc>
                <w:tcPr>
                  <w:tcW w:w="76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w:t>
                  </w:r>
                  <w:r>
                    <w:rPr>
                      <w:rFonts w:hint="eastAsia" w:ascii="宋体" w:hAnsi="宋体" w:cs="宋体"/>
                      <w:color w:val="auto"/>
                      <w:sz w:val="18"/>
                      <w:szCs w:val="18"/>
                      <w:lang w:val="en-US" w:eastAsia="zh-CN"/>
                    </w:rPr>
                    <w:t>7</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cs="宋体"/>
                      <w:color w:val="auto"/>
                      <w:sz w:val="18"/>
                      <w:szCs w:val="18"/>
                      <w:lang w:val="en-US" w:eastAsia="zh-CN"/>
                    </w:rPr>
                    <w:t xml:space="preserve"> </w:t>
                  </w:r>
                  <w:r>
                    <w:rPr>
                      <w:rFonts w:hint="eastAsia" w:ascii="宋体" w:hAnsi="宋体" w:eastAsia="宋体" w:cs="宋体"/>
                      <w:color w:val="auto"/>
                      <w:sz w:val="18"/>
                      <w:szCs w:val="18"/>
                    </w:rPr>
                    <w:t>废电容器、线路板等</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w:t>
                  </w:r>
                </w:p>
              </w:tc>
              <w:tc>
                <w:tcPr>
                  <w:tcW w:w="76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0" w:hRule="atLeast"/>
              </w:trPr>
              <w:tc>
                <w:tcPr>
                  <w:tcW w:w="5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25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燃料油废</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油液</w:t>
                  </w:r>
                </w:p>
              </w:tc>
              <w:tc>
                <w:tcPr>
                  <w:tcW w:w="1272"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HW08</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废矿物油与含矿物油废物</w:t>
                  </w:r>
                </w:p>
              </w:tc>
              <w:tc>
                <w:tcPr>
                  <w:tcW w:w="151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900-199-08</w:t>
                  </w:r>
                </w:p>
              </w:tc>
              <w:tc>
                <w:tcPr>
                  <w:tcW w:w="76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w:t>
                  </w:r>
                  <w:r>
                    <w:rPr>
                      <w:rFonts w:hint="eastAsia" w:ascii="宋体" w:hAnsi="宋体" w:cs="宋体"/>
                      <w:color w:val="auto"/>
                      <w:sz w:val="18"/>
                      <w:szCs w:val="18"/>
                      <w:lang w:val="en-US" w:eastAsia="zh-CN"/>
                    </w:rPr>
                    <w:t>1</w:t>
                  </w:r>
                  <w:r>
                    <w:rPr>
                      <w:rFonts w:hint="eastAsia" w:ascii="宋体" w:hAnsi="宋体" w:eastAsia="宋体" w:cs="宋体"/>
                      <w:color w:val="auto"/>
                      <w:sz w:val="18"/>
                      <w:szCs w:val="18"/>
                    </w:rPr>
                    <w:t>.1</w:t>
                  </w:r>
                </w:p>
              </w:tc>
              <w:tc>
                <w:tcPr>
                  <w:tcW w:w="93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矿物油</w:t>
                  </w:r>
                </w:p>
              </w:tc>
              <w:tc>
                <w:tcPr>
                  <w:tcW w:w="93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T、I</w:t>
                  </w:r>
                </w:p>
              </w:tc>
              <w:tc>
                <w:tcPr>
                  <w:tcW w:w="76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7" w:hRule="atLeast"/>
              </w:trPr>
              <w:tc>
                <w:tcPr>
                  <w:tcW w:w="5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125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非燃油类废油液</w:t>
                  </w:r>
                </w:p>
              </w:tc>
              <w:tc>
                <w:tcPr>
                  <w:tcW w:w="127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151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76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cs="宋体"/>
                      <w:color w:val="auto"/>
                      <w:sz w:val="18"/>
                      <w:szCs w:val="18"/>
                      <w:lang w:val="en-US" w:eastAsia="zh-CN"/>
                    </w:rPr>
                    <w:t>61.1</w:t>
                  </w:r>
                </w:p>
              </w:tc>
              <w:tc>
                <w:tcPr>
                  <w:tcW w:w="93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93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76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3" w:hRule="atLeast"/>
              </w:trPr>
              <w:tc>
                <w:tcPr>
                  <w:tcW w:w="5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125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废冷却液</w:t>
                  </w:r>
                </w:p>
              </w:tc>
              <w:tc>
                <w:tcPr>
                  <w:tcW w:w="12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HW49</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其他废物</w:t>
                  </w:r>
                </w:p>
              </w:tc>
              <w:tc>
                <w:tcPr>
                  <w:tcW w:w="151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《报废机动车拆解环境保护技术规范》中制定的危险废物</w:t>
                  </w:r>
                </w:p>
              </w:tc>
              <w:tc>
                <w:tcPr>
                  <w:tcW w:w="76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乙二醇</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w:t>
                  </w:r>
                </w:p>
              </w:tc>
              <w:tc>
                <w:tcPr>
                  <w:tcW w:w="76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5" w:hRule="atLeast"/>
              </w:trPr>
              <w:tc>
                <w:tcPr>
                  <w:tcW w:w="5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125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废空调制</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冷剂</w:t>
                  </w:r>
                </w:p>
              </w:tc>
              <w:tc>
                <w:tcPr>
                  <w:tcW w:w="12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HW49</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其他废物</w:t>
                  </w:r>
                </w:p>
              </w:tc>
              <w:tc>
                <w:tcPr>
                  <w:tcW w:w="151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76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4.</w:t>
                  </w:r>
                  <w:r>
                    <w:rPr>
                      <w:rFonts w:hint="eastAsia" w:ascii="宋体" w:hAnsi="宋体" w:cs="宋体"/>
                      <w:color w:val="auto"/>
                      <w:sz w:val="18"/>
                      <w:szCs w:val="18"/>
                      <w:lang w:val="en-US" w:eastAsia="zh-CN"/>
                    </w:rPr>
                    <w:t>4</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制冷剂</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w:t>
                  </w:r>
                </w:p>
              </w:tc>
              <w:tc>
                <w:tcPr>
                  <w:tcW w:w="76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4" w:hRule="atLeast"/>
              </w:trPr>
              <w:tc>
                <w:tcPr>
                  <w:tcW w:w="5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w:t>
                  </w:r>
                </w:p>
              </w:tc>
              <w:tc>
                <w:tcPr>
                  <w:tcW w:w="125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废液化气</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罐</w:t>
                  </w:r>
                </w:p>
              </w:tc>
              <w:tc>
                <w:tcPr>
                  <w:tcW w:w="12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HW49</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其他废物</w:t>
                  </w:r>
                </w:p>
              </w:tc>
              <w:tc>
                <w:tcPr>
                  <w:tcW w:w="151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c>
                <w:tcPr>
                  <w:tcW w:w="76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31.5</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液化气</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I</w:t>
                  </w:r>
                </w:p>
              </w:tc>
              <w:tc>
                <w:tcPr>
                  <w:tcW w:w="76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3" w:hRule="atLeast"/>
              </w:trPr>
              <w:tc>
                <w:tcPr>
                  <w:tcW w:w="5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w:t>
                  </w:r>
                </w:p>
              </w:tc>
              <w:tc>
                <w:tcPr>
                  <w:tcW w:w="125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含铅部件</w:t>
                  </w:r>
                </w:p>
              </w:tc>
              <w:tc>
                <w:tcPr>
                  <w:tcW w:w="12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HW31</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含铅废物</w:t>
                  </w:r>
                </w:p>
              </w:tc>
              <w:tc>
                <w:tcPr>
                  <w:tcW w:w="15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900-052-31</w:t>
                  </w:r>
                </w:p>
              </w:tc>
              <w:tc>
                <w:tcPr>
                  <w:tcW w:w="76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w:t>
                  </w:r>
                  <w:r>
                    <w:rPr>
                      <w:rFonts w:hint="eastAsia" w:ascii="宋体" w:hAnsi="宋体" w:cs="宋体"/>
                      <w:color w:val="auto"/>
                      <w:sz w:val="18"/>
                      <w:szCs w:val="18"/>
                      <w:lang w:val="en-US" w:eastAsia="zh-CN"/>
                    </w:rPr>
                    <w:t>5</w:t>
                  </w:r>
                  <w:r>
                    <w:rPr>
                      <w:rFonts w:hint="eastAsia" w:ascii="宋体" w:hAnsi="宋体" w:eastAsia="宋体" w:cs="宋体"/>
                      <w:color w:val="auto"/>
                      <w:sz w:val="18"/>
                      <w:szCs w:val="18"/>
                    </w:rPr>
                    <w:t>5</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铅</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T、C</w:t>
                  </w:r>
                </w:p>
              </w:tc>
              <w:tc>
                <w:tcPr>
                  <w:tcW w:w="76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4" w:hRule="atLeast"/>
              </w:trPr>
              <w:tc>
                <w:tcPr>
                  <w:tcW w:w="5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10</w:t>
                  </w:r>
                </w:p>
              </w:tc>
              <w:tc>
                <w:tcPr>
                  <w:tcW w:w="125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含汞开关</w:t>
                  </w:r>
                </w:p>
              </w:tc>
              <w:tc>
                <w:tcPr>
                  <w:tcW w:w="12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HW29</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含汞废物</w:t>
                  </w:r>
                </w:p>
              </w:tc>
              <w:tc>
                <w:tcPr>
                  <w:tcW w:w="15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900-023-29</w:t>
                  </w:r>
                </w:p>
              </w:tc>
              <w:tc>
                <w:tcPr>
                  <w:tcW w:w="76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w:t>
                  </w:r>
                  <w:r>
                    <w:rPr>
                      <w:rFonts w:hint="eastAsia" w:ascii="宋体" w:hAnsi="宋体" w:cs="宋体"/>
                      <w:color w:val="auto"/>
                      <w:sz w:val="18"/>
                      <w:szCs w:val="18"/>
                      <w:lang w:val="en-US" w:eastAsia="zh-CN"/>
                    </w:rPr>
                    <w:t>5</w:t>
                  </w:r>
                  <w:r>
                    <w:rPr>
                      <w:rFonts w:hint="eastAsia" w:ascii="宋体" w:hAnsi="宋体" w:eastAsia="宋体" w:cs="宋体"/>
                      <w:color w:val="auto"/>
                      <w:sz w:val="18"/>
                      <w:szCs w:val="18"/>
                    </w:rPr>
                    <w:t>5</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汞</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w:t>
                  </w:r>
                </w:p>
              </w:tc>
              <w:tc>
                <w:tcPr>
                  <w:tcW w:w="76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2" w:hRule="atLeast"/>
              </w:trPr>
              <w:tc>
                <w:tcPr>
                  <w:tcW w:w="5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w:t>
                  </w:r>
                </w:p>
              </w:tc>
              <w:tc>
                <w:tcPr>
                  <w:tcW w:w="125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隔油池废油</w:t>
                  </w:r>
                </w:p>
              </w:tc>
              <w:tc>
                <w:tcPr>
                  <w:tcW w:w="12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HW08</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废矿物油与含矿物油废物</w:t>
                  </w:r>
                </w:p>
              </w:tc>
              <w:tc>
                <w:tcPr>
                  <w:tcW w:w="15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900-210-08</w:t>
                  </w:r>
                </w:p>
              </w:tc>
              <w:tc>
                <w:tcPr>
                  <w:tcW w:w="76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0.2</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油</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T、I</w:t>
                  </w:r>
                </w:p>
              </w:tc>
              <w:tc>
                <w:tcPr>
                  <w:tcW w:w="76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5" w:hRule="atLeast"/>
              </w:trPr>
              <w:tc>
                <w:tcPr>
                  <w:tcW w:w="50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w:t>
                  </w:r>
                </w:p>
              </w:tc>
              <w:tc>
                <w:tcPr>
                  <w:tcW w:w="125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废含油手</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套、抹布</w:t>
                  </w:r>
                </w:p>
              </w:tc>
              <w:tc>
                <w:tcPr>
                  <w:tcW w:w="12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HW49</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其他废物</w:t>
                  </w:r>
                </w:p>
              </w:tc>
              <w:tc>
                <w:tcPr>
                  <w:tcW w:w="15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900-041-49</w:t>
                  </w:r>
                </w:p>
              </w:tc>
              <w:tc>
                <w:tcPr>
                  <w:tcW w:w="76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0.</w:t>
                  </w:r>
                  <w:r>
                    <w:rPr>
                      <w:rFonts w:hint="eastAsia" w:ascii="宋体" w:hAnsi="宋体" w:cs="宋体"/>
                      <w:color w:val="auto"/>
                      <w:sz w:val="18"/>
                      <w:szCs w:val="18"/>
                      <w:lang w:val="en-US" w:eastAsia="zh-CN"/>
                    </w:rPr>
                    <w:t>1</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矿物油</w:t>
                  </w:r>
                </w:p>
              </w:tc>
              <w:tc>
                <w:tcPr>
                  <w:tcW w:w="9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T/In</w:t>
                  </w:r>
                </w:p>
              </w:tc>
              <w:tc>
                <w:tcPr>
                  <w:tcW w:w="76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p>
              </w:tc>
            </w:tr>
          </w:tbl>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对于汽车拆解下来的固废，项目利用危废暂存间贮存危险废物，固废暂存间贮存可回收利用的一般固体废弃物。其中，危废贮存场所必须严格按照《报废机动车拆解环境保护技术规范》(HJ348-2007）及《危险废物贮存污染控制标准》(GB18597-2001)及其修改单的要求设置危废暂存间和管理危险废物，严格按照《报废机动车回收拆解企业技术规范》（GB22128-2019）贮存， 项目产生的危险废物应分类收集和存放，暂存于专用的危险废物暂存间内，委托有资质单位安全处置，具体要求如下：</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①固体废物的贮存设施建设应符合 GB18599、GB18597、H2025 的要求。</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②一般工业固体废物贮存设施及包装物应按 GB15562.2 进行标识，危险废物贮存设施及包装物的标志应符合 GB18597 的要求。所有固体废物应避免混合、混放。</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③对拆解后的所有固体废物分类贮存和标识，妥善处置固体废物，不应非法转移、倾倒、利用和处置。</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④不同类型的制冷剂应分别回收，使用专门容器单独存放。</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⑤废弃电器、铅酸蓄电池贮存场地不得有明火。</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⑥容器和装置要防漏和防止洒溅，未引爆安全气囊的贮存装置应防爆，并对其进行日常性检查。</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⑦危险废物暂存间做好防风、防雨、防晒和防渗漏措施，防渗层建议采用2mm厚</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HDPE防渗膜或其他人工材料，以达到地表防渗目的。</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⑧危废暂存间内部设置分区，确保危险废物分类收集和装入对应的贮存容器单独贮存，禁止混装。</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⑨废蓄电池、废尾气净化装置（含催化剂）、废油液、废空调制冷剂采用专门的收集容器分类收集，容器外必须贴上相应的危险废物标识标牌。</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⑩设置截流事故池（容积应不小于2m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）、张贴危险废物标识标牌，建立危险废物管理台账；及时联系有资质单位转移和处置危险废物，并严格执行《危险废物转移联单制度》。</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（1）危险废物贮存及运行管理要求</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①应对每一次回收的废油液进行记录，记录内容包括：废油液及制冷剂的名称、来源、数量、特性和收集容器的类别、入室日期、存放地点、机油出室时间及回收单位名称。</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②定期检查各收集桶有无破漏、渗漏和污染，发现破损，应及时采取措施清理更换。</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③各废油液及制冷剂收集桶之间必须留有搬运通道，不能混合装在同一个收集桶内。</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④各废油液及制冷剂桶必须检验，确保收集桶外标签与储存危废一致。</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⑤进入各废油液及制冷剂储存间的人员、机动车辆和作业车辆，必须采取防火措施。</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（2）危险废物转运要求</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运输过程中使用符合标准的容器盛装危险废物：容器完好无损、材质满足相应的强度要求、衬里要与危险废物相容、容器上必须粘贴符合相应标准的标签，避免撒落。</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危废废物转运应综合考虑确认转运路线，尽量避开车辆较多的路段，在转运的过程中应对转运路线进行检查，确保无危险废物撒落在转运路线上，在落实本环评提出的措施后，风险较小，不会给外环境造成二次污染。</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对于委托处理的危险废物，运输中应做到以下几点：</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①该运输车辆须经主管单位检查，并持有有关单位签发的许可证。负责运输的司机应通过培训，持有有效证件。</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②承载危险废物的车辆须有明显的标志或适当的危险符号，以引起注意。</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③载有危险废物的车辆在公路上行驶时，需持有运输许可证，其上应注明废物来源、性质和运往地点。</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④组装危险废物的运输单位，在事先需作出周密的运输计划和行驶路线，其中包括有效的废物泄漏情况下的应急措施。</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综上，营运期固废均能够得到有效处置，对环境的影响较小。</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3、危废废物暂存间环境影响分析</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（1）危险废物暂存间建设情况</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本项目危废暂存间贮存危险废物，所在区域地质结构稳定，危废暂存间底部高于地下水最高水位，所在区域不处于易受自然灾害影响地区，危废暂存间平面布局图详见附图 3。</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（2）危废废物贮存能力可行性分析</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根据工程分析可知，项目新建后产生的危废废物</w:t>
            </w:r>
            <w:r>
              <w:rPr>
                <w:rFonts w:hint="eastAsia" w:ascii="宋体" w:hAnsi="宋体" w:cs="宋体"/>
                <w:color w:val="auto"/>
                <w:sz w:val="21"/>
                <w:szCs w:val="21"/>
                <w:lang w:val="en-US" w:eastAsia="zh-CN"/>
              </w:rPr>
              <w:t>306.9</w:t>
            </w:r>
            <w:r>
              <w:rPr>
                <w:rFonts w:hint="eastAsia" w:ascii="宋体" w:hAnsi="宋体" w:eastAsia="宋体" w:cs="宋体"/>
                <w:color w:val="auto"/>
                <w:sz w:val="21"/>
                <w:szCs w:val="21"/>
              </w:rPr>
              <w:t>t/a，按照《报废机动车拆解环境保护技术规范》（HJ348-2007）要求，项目危废物（除废蓄电池）存储期不得超过一年；按照《废铅酸蓄电池处理污染控制技术规范》（HJ519-2009）要求，本项目产生的废蓄电池贮存期最大不超过 30d。项目危废最大储存量应严格落实本次评价提出的要求，详见表 4-1</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表 4-1</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 xml:space="preserve"> 危险废物最大储存量一览表</w:t>
            </w:r>
          </w:p>
          <w:tbl>
            <w:tblPr>
              <w:tblStyle w:val="21"/>
              <w:tblW w:w="71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8"/>
              <w:gridCol w:w="1044"/>
              <w:gridCol w:w="1387"/>
              <w:gridCol w:w="1469"/>
              <w:gridCol w:w="14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jc w:val="center"/>
              </w:trPr>
              <w:tc>
                <w:tcPr>
                  <w:tcW w:w="18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危险废物名称</w:t>
                  </w:r>
                </w:p>
              </w:tc>
              <w:tc>
                <w:tcPr>
                  <w:tcW w:w="10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年产生量</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（t/a)</w:t>
                  </w:r>
                </w:p>
              </w:tc>
              <w:tc>
                <w:tcPr>
                  <w:tcW w:w="13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最大储存量</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（t/a)</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贮存区域面</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积(m2)</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储存时间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18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废蓄电池</w:t>
                  </w:r>
                </w:p>
              </w:tc>
              <w:tc>
                <w:tcPr>
                  <w:tcW w:w="10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171.5</w:t>
                  </w:r>
                </w:p>
              </w:tc>
              <w:tc>
                <w:tcPr>
                  <w:tcW w:w="13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15</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20</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不超过一个月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jc w:val="center"/>
              </w:trPr>
              <w:tc>
                <w:tcPr>
                  <w:tcW w:w="18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废尾气净化装</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置（含催化剂）</w:t>
                  </w:r>
                </w:p>
              </w:tc>
              <w:tc>
                <w:tcPr>
                  <w:tcW w:w="10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15.4</w:t>
                  </w:r>
                </w:p>
              </w:tc>
              <w:tc>
                <w:tcPr>
                  <w:tcW w:w="13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1.5</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5</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不超过一个月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18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废线路板</w:t>
                  </w:r>
                </w:p>
              </w:tc>
              <w:tc>
                <w:tcPr>
                  <w:tcW w:w="10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2.5</w:t>
                  </w:r>
                </w:p>
              </w:tc>
              <w:tc>
                <w:tcPr>
                  <w:tcW w:w="13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0.3</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5</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不超过一个月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18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燃料油废</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油液</w:t>
                  </w:r>
                </w:p>
              </w:tc>
              <w:tc>
                <w:tcPr>
                  <w:tcW w:w="10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w:t>
                  </w:r>
                  <w:r>
                    <w:rPr>
                      <w:rFonts w:hint="eastAsia" w:ascii="宋体" w:hAnsi="宋体" w:cs="宋体"/>
                      <w:color w:val="auto"/>
                      <w:sz w:val="18"/>
                      <w:szCs w:val="18"/>
                      <w:lang w:val="en-US" w:eastAsia="zh-CN"/>
                    </w:rPr>
                    <w:t>1</w:t>
                  </w:r>
                  <w:r>
                    <w:rPr>
                      <w:rFonts w:hint="eastAsia" w:ascii="宋体" w:hAnsi="宋体" w:eastAsia="宋体" w:cs="宋体"/>
                      <w:color w:val="auto"/>
                      <w:sz w:val="18"/>
                      <w:szCs w:val="18"/>
                    </w:rPr>
                    <w:t>.1</w:t>
                  </w:r>
                </w:p>
              </w:tc>
              <w:tc>
                <w:tcPr>
                  <w:tcW w:w="13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1</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5</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不超过一个月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8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非燃油类废油液</w:t>
                  </w:r>
                </w:p>
              </w:tc>
              <w:tc>
                <w:tcPr>
                  <w:tcW w:w="10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cs="宋体"/>
                      <w:color w:val="auto"/>
                      <w:sz w:val="18"/>
                      <w:szCs w:val="18"/>
                      <w:lang w:val="en-US" w:eastAsia="zh-CN"/>
                    </w:rPr>
                    <w:t>61.1</w:t>
                  </w:r>
                </w:p>
              </w:tc>
              <w:tc>
                <w:tcPr>
                  <w:tcW w:w="13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5</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10</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不超过一个月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8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废冷却液</w:t>
                  </w:r>
                </w:p>
              </w:tc>
              <w:tc>
                <w:tcPr>
                  <w:tcW w:w="10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2</w:t>
                  </w:r>
                </w:p>
              </w:tc>
              <w:tc>
                <w:tcPr>
                  <w:tcW w:w="13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0.2</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5</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不超过一个月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18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废空调制冷剂</w:t>
                  </w:r>
                </w:p>
              </w:tc>
              <w:tc>
                <w:tcPr>
                  <w:tcW w:w="10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4.</w:t>
                  </w:r>
                  <w:r>
                    <w:rPr>
                      <w:rFonts w:hint="eastAsia" w:ascii="宋体" w:hAnsi="宋体" w:cs="宋体"/>
                      <w:color w:val="auto"/>
                      <w:sz w:val="18"/>
                      <w:szCs w:val="18"/>
                      <w:lang w:val="en-US" w:eastAsia="zh-CN"/>
                    </w:rPr>
                    <w:t>4</w:t>
                  </w:r>
                </w:p>
              </w:tc>
              <w:tc>
                <w:tcPr>
                  <w:tcW w:w="13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0.4</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5</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不超过一个月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8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废液化气罐</w:t>
                  </w:r>
                </w:p>
              </w:tc>
              <w:tc>
                <w:tcPr>
                  <w:tcW w:w="10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31.5</w:t>
                  </w:r>
                </w:p>
              </w:tc>
              <w:tc>
                <w:tcPr>
                  <w:tcW w:w="13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30</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不超过一个月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18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含铅部件</w:t>
                  </w:r>
                </w:p>
              </w:tc>
              <w:tc>
                <w:tcPr>
                  <w:tcW w:w="10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w:t>
                  </w:r>
                  <w:r>
                    <w:rPr>
                      <w:rFonts w:hint="eastAsia" w:ascii="宋体" w:hAnsi="宋体" w:cs="宋体"/>
                      <w:color w:val="auto"/>
                      <w:sz w:val="18"/>
                      <w:szCs w:val="18"/>
                      <w:lang w:val="en-US" w:eastAsia="zh-CN"/>
                    </w:rPr>
                    <w:t>5</w:t>
                  </w:r>
                  <w:r>
                    <w:rPr>
                      <w:rFonts w:hint="eastAsia" w:ascii="宋体" w:hAnsi="宋体" w:eastAsia="宋体" w:cs="宋体"/>
                      <w:color w:val="auto"/>
                      <w:sz w:val="18"/>
                      <w:szCs w:val="18"/>
                    </w:rPr>
                    <w:t>5</w:t>
                  </w:r>
                </w:p>
              </w:tc>
              <w:tc>
                <w:tcPr>
                  <w:tcW w:w="13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0.</w:t>
                  </w:r>
                  <w:r>
                    <w:rPr>
                      <w:rFonts w:hint="eastAsia" w:ascii="宋体" w:hAnsi="宋体" w:cs="宋体"/>
                      <w:color w:val="auto"/>
                      <w:sz w:val="18"/>
                      <w:szCs w:val="18"/>
                      <w:lang w:val="en-US" w:eastAsia="zh-CN"/>
                    </w:rPr>
                    <w:t>4</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5</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不超过一个月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18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含汞开关</w:t>
                  </w:r>
                </w:p>
              </w:tc>
              <w:tc>
                <w:tcPr>
                  <w:tcW w:w="10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w:t>
                  </w:r>
                  <w:r>
                    <w:rPr>
                      <w:rFonts w:hint="eastAsia" w:ascii="宋体" w:hAnsi="宋体" w:cs="宋体"/>
                      <w:color w:val="auto"/>
                      <w:sz w:val="18"/>
                      <w:szCs w:val="18"/>
                      <w:lang w:val="en-US" w:eastAsia="zh-CN"/>
                    </w:rPr>
                    <w:t>5</w:t>
                  </w:r>
                  <w:r>
                    <w:rPr>
                      <w:rFonts w:hint="eastAsia" w:ascii="宋体" w:hAnsi="宋体" w:eastAsia="宋体" w:cs="宋体"/>
                      <w:color w:val="auto"/>
                      <w:sz w:val="18"/>
                      <w:szCs w:val="18"/>
                    </w:rPr>
                    <w:t>5</w:t>
                  </w:r>
                </w:p>
              </w:tc>
              <w:tc>
                <w:tcPr>
                  <w:tcW w:w="13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0.</w:t>
                  </w:r>
                  <w:r>
                    <w:rPr>
                      <w:rFonts w:hint="eastAsia" w:ascii="宋体" w:hAnsi="宋体" w:cs="宋体"/>
                      <w:color w:val="auto"/>
                      <w:sz w:val="18"/>
                      <w:szCs w:val="18"/>
                      <w:lang w:val="en-US" w:eastAsia="zh-CN"/>
                    </w:rPr>
                    <w:t>4</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5</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不超过一个月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18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隔油池废油</w:t>
                  </w:r>
                </w:p>
              </w:tc>
              <w:tc>
                <w:tcPr>
                  <w:tcW w:w="10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0.2</w:t>
                  </w:r>
                </w:p>
              </w:tc>
              <w:tc>
                <w:tcPr>
                  <w:tcW w:w="13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0.</w:t>
                  </w:r>
                  <w:r>
                    <w:rPr>
                      <w:rFonts w:hint="eastAsia" w:ascii="宋体" w:hAnsi="宋体" w:cs="宋体"/>
                      <w:color w:val="auto"/>
                      <w:sz w:val="18"/>
                      <w:szCs w:val="18"/>
                      <w:lang w:val="en-US" w:eastAsia="zh-CN"/>
                    </w:rPr>
                    <w:t>2</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不超过一个月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18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废含油手套、抹布</w:t>
                  </w:r>
                </w:p>
              </w:tc>
              <w:tc>
                <w:tcPr>
                  <w:tcW w:w="10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0.</w:t>
                  </w:r>
                  <w:r>
                    <w:rPr>
                      <w:rFonts w:hint="eastAsia" w:ascii="宋体" w:hAnsi="宋体" w:cs="宋体"/>
                      <w:color w:val="auto"/>
                      <w:sz w:val="18"/>
                      <w:szCs w:val="18"/>
                      <w:lang w:val="en-US" w:eastAsia="zh-CN"/>
                    </w:rPr>
                    <w:t>1</w:t>
                  </w:r>
                </w:p>
              </w:tc>
              <w:tc>
                <w:tcPr>
                  <w:tcW w:w="13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0.</w:t>
                  </w:r>
                  <w:r>
                    <w:rPr>
                      <w:rFonts w:hint="eastAsia" w:ascii="宋体" w:hAnsi="宋体" w:cs="宋体"/>
                      <w:color w:val="auto"/>
                      <w:sz w:val="18"/>
                      <w:szCs w:val="18"/>
                      <w:lang w:val="en-US" w:eastAsia="zh-CN"/>
                    </w:rPr>
                    <w:t>1</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14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不超过一个月</w:t>
                  </w:r>
                </w:p>
              </w:tc>
            </w:tr>
          </w:tbl>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五、地下水环境影响分析</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据调查，项目区域附近无地下水保护目标，不会对附近居民饮用水水源造成污染。</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1、地下水污染途径分析</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本项目用水来自厂区内深水井，结合地下水污染途径及本项目特点，项目可能污染地下水的途径主要是：</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①污水收集管道、污水处理设施构筑物渗漏，可能对区域地下水水质造成影响；</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②固体废物处置不当或随意堆放，液体通过地表下渗对地下水造成间接影响。</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2、地下水环境影响分析</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①污水渗漏对地下水的影响</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生产废水通过排水管道收集至隔油池、</w:t>
            </w:r>
            <w:r>
              <w:rPr>
                <w:rFonts w:hint="eastAsia" w:ascii="宋体" w:hAnsi="宋体" w:cs="宋体"/>
                <w:color w:val="auto"/>
                <w:sz w:val="21"/>
                <w:szCs w:val="21"/>
                <w:lang w:eastAsia="zh-CN"/>
              </w:rPr>
              <w:t>化粪池</w:t>
            </w:r>
            <w:r>
              <w:rPr>
                <w:rFonts w:hint="eastAsia" w:ascii="宋体" w:hAnsi="宋体" w:eastAsia="宋体" w:cs="宋体"/>
                <w:color w:val="auto"/>
                <w:sz w:val="21"/>
                <w:szCs w:val="21"/>
              </w:rPr>
              <w:t>，经处理后用</w:t>
            </w:r>
            <w:r>
              <w:rPr>
                <w:rFonts w:hint="eastAsia" w:ascii="宋体" w:hAnsi="宋体" w:cs="宋体"/>
                <w:color w:val="auto"/>
                <w:sz w:val="21"/>
                <w:szCs w:val="21"/>
                <w:lang w:eastAsia="zh-CN"/>
              </w:rPr>
              <w:t>于周边农田</w:t>
            </w:r>
            <w:r>
              <w:rPr>
                <w:rFonts w:hint="eastAsia" w:ascii="宋体" w:hAnsi="宋体" w:eastAsia="宋体" w:cs="宋体"/>
                <w:color w:val="auto"/>
                <w:sz w:val="21"/>
                <w:szCs w:val="21"/>
              </w:rPr>
              <w:t>。生产废水中含有 COD、SS、石油类等多种污染因子，如果收集排水沟、排水管道及隔油池构筑物发生渗漏，除少量经过土壤过滤、吸附、离子交换、沉淀、水解及生物积累等过程使污水中一些物质得到去除外，将可能导致废水下渗污染地下水。因此，项目建设过程中必须考虑地下水的保护问题，场区需采取防渗措施。</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②固废渗滤液对地下水的影响 </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项目产生的危废废物较多，若处置、管理不当，泄漏等随雨水的淋溶作用深入地下水，污染地下水。因此，厂区地面应采取得当的防渗措施。</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3、地下水污染防治措施</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根据本项目所处环境及排污特点，将场地划分为重点防渗区、一般防渗区和非污染防治区。</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①重点防渗区</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1）一般固废暂存场所、废物暂存间</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防渗技术要求参照《一般工业固体废物贮存和填埋污染控制标准》(GB18599-2020)Ⅱ类场地：防渗层的厚度相当于渗透系数 1.0×10</w:t>
            </w:r>
            <w:r>
              <w:rPr>
                <w:rFonts w:hint="eastAsia" w:ascii="宋体" w:hAnsi="宋体" w:eastAsia="宋体" w:cs="宋体"/>
                <w:color w:val="auto"/>
                <w:sz w:val="21"/>
                <w:szCs w:val="21"/>
                <w:vertAlign w:val="superscript"/>
              </w:rPr>
              <w:t>-7</w:t>
            </w:r>
            <w:r>
              <w:rPr>
                <w:rFonts w:hint="eastAsia" w:ascii="宋体" w:hAnsi="宋体" w:eastAsia="宋体" w:cs="宋体"/>
                <w:color w:val="auto"/>
                <w:sz w:val="21"/>
                <w:szCs w:val="21"/>
              </w:rPr>
              <w:t>cm/s 和厚度 1.5m 的黏土防渗层的防渗性能。《危险废物贮存控制标准》（GB18597-2001）：防渗层至少为 1cm 厚粘土层（防渗系数≤10</w:t>
            </w:r>
            <w:r>
              <w:rPr>
                <w:rFonts w:hint="eastAsia" w:ascii="宋体" w:hAnsi="宋体" w:eastAsia="宋体" w:cs="宋体"/>
                <w:color w:val="auto"/>
                <w:sz w:val="21"/>
                <w:szCs w:val="21"/>
                <w:vertAlign w:val="superscript"/>
              </w:rPr>
              <w:t>-7</w:t>
            </w:r>
            <w:r>
              <w:rPr>
                <w:rFonts w:hint="eastAsia" w:ascii="宋体" w:hAnsi="宋体" w:eastAsia="宋体" w:cs="宋体"/>
                <w:color w:val="auto"/>
                <w:sz w:val="21"/>
                <w:szCs w:val="21"/>
              </w:rPr>
              <w:t>cm/s），或 2mm 厚高度聚乙烯，或至少2mm厚的其它人工材料，渗透系数≤10</w:t>
            </w:r>
            <w:r>
              <w:rPr>
                <w:rFonts w:hint="eastAsia" w:ascii="宋体" w:hAnsi="宋体" w:eastAsia="宋体" w:cs="宋体"/>
                <w:color w:val="auto"/>
                <w:sz w:val="21"/>
                <w:szCs w:val="21"/>
                <w:vertAlign w:val="superscript"/>
              </w:rPr>
              <w:t>-10</w:t>
            </w:r>
            <w:r>
              <w:rPr>
                <w:rFonts w:hint="eastAsia" w:ascii="宋体" w:hAnsi="宋体" w:eastAsia="宋体" w:cs="宋体"/>
                <w:color w:val="auto"/>
                <w:sz w:val="21"/>
                <w:szCs w:val="21"/>
              </w:rPr>
              <w:t>cm/s</w:t>
            </w:r>
            <w:r>
              <w:rPr>
                <w:rFonts w:hint="eastAsia" w:ascii="宋体" w:hAnsi="宋体" w:cs="宋体"/>
                <w:color w:val="auto"/>
                <w:sz w:val="21"/>
                <w:szCs w:val="21"/>
                <w:lang w:eastAsia="zh-CN"/>
              </w:rPr>
              <w:t>。</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2）废水收集沟、管道</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污水管道应选用优质管材，并尽可能减少埋地管道，设置地下的管道必须采用防渗管沟；管道施工严格执行规范要求，接口严密、平顺，填料密实，使管道与基础具备高强度与稳定性。</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构筑物基础防渗层厚度应相当于1.0×10</w:t>
            </w:r>
            <w:r>
              <w:rPr>
                <w:rFonts w:hint="eastAsia" w:ascii="宋体" w:hAnsi="宋体" w:eastAsia="宋体" w:cs="宋体"/>
                <w:color w:val="auto"/>
                <w:sz w:val="21"/>
                <w:szCs w:val="21"/>
                <w:vertAlign w:val="superscript"/>
              </w:rPr>
              <w:t>-7</w:t>
            </w:r>
            <w:r>
              <w:rPr>
                <w:rFonts w:hint="eastAsia" w:ascii="宋体" w:hAnsi="宋体" w:eastAsia="宋体" w:cs="宋体"/>
                <w:color w:val="auto"/>
                <w:sz w:val="21"/>
                <w:szCs w:val="21"/>
              </w:rPr>
              <w:t>cm/s 和厚度1.5m的黏土防渗层的防渗性能；池体采用高标号的防水混凝土，混凝土浇筑后应做好养护工作，避免出现裂缝。</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3）生产车间</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对预处理区、污染防控区场地地面采取防渗设计，防渗层至少为 1cm厚粘土层（防渗系数≤10</w:t>
            </w:r>
            <w:r>
              <w:rPr>
                <w:rFonts w:hint="eastAsia" w:ascii="宋体" w:hAnsi="宋体" w:eastAsia="宋体" w:cs="宋体"/>
                <w:color w:val="auto"/>
                <w:sz w:val="21"/>
                <w:szCs w:val="21"/>
                <w:vertAlign w:val="superscript"/>
              </w:rPr>
              <w:t>-7</w:t>
            </w:r>
            <w:r>
              <w:rPr>
                <w:rFonts w:hint="eastAsia" w:ascii="宋体" w:hAnsi="宋体" w:eastAsia="宋体" w:cs="宋体"/>
                <w:color w:val="auto"/>
                <w:sz w:val="21"/>
                <w:szCs w:val="21"/>
              </w:rPr>
              <w:t>cm/s），或2mm厚高度聚乙烯，或至少2mm厚的其它人工材料渗透系数≤10</w:t>
            </w:r>
            <w:r>
              <w:rPr>
                <w:rFonts w:hint="eastAsia" w:ascii="宋体" w:hAnsi="宋体" w:eastAsia="宋体" w:cs="宋体"/>
                <w:color w:val="auto"/>
                <w:sz w:val="21"/>
                <w:szCs w:val="21"/>
                <w:vertAlign w:val="superscript"/>
              </w:rPr>
              <w:t>-10</w:t>
            </w:r>
            <w:r>
              <w:rPr>
                <w:rFonts w:hint="eastAsia" w:ascii="宋体" w:hAnsi="宋体" w:eastAsia="宋体" w:cs="宋体"/>
                <w:color w:val="auto"/>
                <w:sz w:val="21"/>
                <w:szCs w:val="21"/>
              </w:rPr>
              <w:t>cm/s。</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②一般防渗区</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厂区道路采取一般地面硬化措施。</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③非污染防治区</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对于基本上不产生污染物的非污染防治区，如绿化区、办公房等，不采取专门针对地下水污染的防治措施。</w:t>
            </w:r>
          </w:p>
          <w:p>
            <w:pPr>
              <w:spacing w:line="360" w:lineRule="auto"/>
              <w:ind w:firstLine="420" w:firstLineChars="200"/>
              <w:rPr>
                <w:color w:val="auto"/>
                <w:szCs w:val="21"/>
              </w:rPr>
            </w:pPr>
            <w:r>
              <w:rPr>
                <w:color w:val="auto"/>
                <w:szCs w:val="21"/>
              </w:rPr>
              <w:t>项目厂区拟实行雨污分流制，布置了污水收集系统；拆解车间全部进行硬化防渗，隔油池、污水管沟、化粪池、初期雨水池等均采用混凝土防渗。项目生产废水、初期雨水和生活污水水质均较简单，经污水处理站处理后回用；项目产生的废水均得到妥善处理，正常情况下不会渗入地下污染地下水。</w:t>
            </w:r>
          </w:p>
          <w:p>
            <w:pPr>
              <w:pStyle w:val="6"/>
              <w:keepNext w:val="0"/>
              <w:keepLines w:val="0"/>
              <w:pageBreakBefore w:val="0"/>
              <w:widowControl w:val="0"/>
              <w:kinsoku/>
              <w:wordWrap/>
              <w:overflowPunct/>
              <w:topLinePunct w:val="0"/>
              <w:autoSpaceDE/>
              <w:autoSpaceDN/>
              <w:bidi w:val="0"/>
              <w:adjustRightInd/>
              <w:snapToGrid w:val="0"/>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本次环评要求建设单位严格落实本次环评提出的防渗、防漏措施，确保将项目对地下水的污染程度降至最低。综上所述，在采取上述措施后，项目运营对地下水环境无明显影响。</w:t>
            </w:r>
          </w:p>
          <w:p>
            <w:pPr>
              <w:pStyle w:val="6"/>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六、土壤环境影响分析</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根据项目生产工艺，项目可能对土壤环境质量造成的影响为生产废水、危废暂存间等的地面漫流或垂直入渗污染土壤。本次环评要求，项目生产废水经专用管道收集至隔油池、</w:t>
            </w:r>
            <w:r>
              <w:rPr>
                <w:rFonts w:hint="eastAsia" w:ascii="宋体" w:hAnsi="宋体" w:cs="宋体"/>
                <w:color w:val="auto"/>
                <w:sz w:val="21"/>
                <w:szCs w:val="21"/>
                <w:lang w:eastAsia="zh-CN"/>
              </w:rPr>
              <w:t>化粪池处理后用于周边农田</w:t>
            </w:r>
            <w:r>
              <w:rPr>
                <w:rFonts w:hint="eastAsia" w:ascii="宋体" w:hAnsi="宋体" w:eastAsia="宋体" w:cs="宋体"/>
                <w:color w:val="auto"/>
                <w:sz w:val="21"/>
                <w:szCs w:val="21"/>
              </w:rPr>
              <w:t>，收集管道和污水处理池均要求进行防渗和防溢流措施；生产车间、危废暂存间采取防渗处理，防渗层至少为 1cm 厚粘土层（防渗系数≤10 -7cm/s），或 2mm 厚高度聚乙烯，或至少 2mm厚的其它人工材料，渗透系数≤10-10cm/s；其他区域均进行水泥地面硬底化并采取防溢散措施，因此不会造成污染物地面漫流或垂直入渗造成土壤污染。</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综上所述，在采取上述措施后，项目运营对土壤环境无明显影响。</w:t>
            </w:r>
          </w:p>
          <w:p>
            <w:pPr>
              <w:pStyle w:val="6"/>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七、环境风险分析</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1、风险识别</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按照《建设项目环境风险评价技术导则》(HJ169-2018)的指引，参照《危险化学品重大危险源辨识》(GB18218-2009)和《职业性接触毒物危害程度分级》(GB50844-85) 对建设项目所涉及的有毒有害、易燃易爆物质进行危险性识别和综合评价，筛选风险评价因子。本项目机动车回收拆解过程只涉及到机动车零部件拆除，不会对零部件进行进一步深入的拆分和处置。主要风险物质有废油液(包括汽油、柴油、矿物油等)和硫酸。</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2、风险分析</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（1）汽油、柴油、废油液泄漏、油箱拆解遇明火造成火灾爆炸风险事故影响分析</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汽油、柴油、废油液等危险物质发生泄漏，若遇到火源很容易就会被点燃而引发火灾，火灾燃烧产生的废气次生污染以及消防过程产生的消防废水也可能对区域空气、地表水、土壤、地下水等环境因素造成污染。</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（2）铅酸电池电解液泄漏风险事故影响分析</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铅酸蓄电池采用专用的存放箱存放，若在搬运过程中箱子跌落，电池破损，泄漏的电解液直接泄漏在储存箱内。开启储存箱进行清理时，电解液中的硫酸少量挥发，对事故处理的工作人员和场区内环境空气造成影响，电解液泄漏至环境中可能对环境空气、地下水产生影响。</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3、风险防范措施</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（1）危险废物储存运输过程中风险防范措施</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贮存要求：①危险废物暂存间门口需张贴标注规范的危险废物标识和信息板，屋内张贴《危险废物管理制度》；</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②不同的危险废物应有明显的区域划分，液态危险废物需盛装在完好的容器内，并将容器防治在防泄漏托盘内，并在容器粘贴危险废物信息标签；固态危险废物需包装完好无破损，并系挂危险废物信息标签。</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需按危险废物转移三联单的要求做好危险废物台账，危险废物暂存间内禁止存放陈危险废物及应急工具以外的其他物品。产生的危险废物应每个月都进行转移处理。危险废物的储存、处置过程中必须严格执行国家《危险废物贮存污染控制标准》(GB18597-2001)及《危险化学品安全管理条例》的有关规定。</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泄漏措施：①一旦发生泄漏，首先要疏散无关人员，隔离泄漏污染区，如果是小量的泄漏，且物料不具有危险性，同时能为该工作区的人员所控制时，则由该工作区  的人员佩戴使用相应的个人防护用品,参照危险化学品安全技术说明书及标签上的安全信息采取控制措施;如果泄漏易燃品，则必须立即消除泄漏污染区域内的各种火源。</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②容器发生泄漏，应根据实际情况，采取措施堵塞和修补裂口，制止进一步泄漏，或转换容器（利用包装空桶闲置储缸）。</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③拆解区以及危险品仓库四周均设置导流槽，将泄漏物质导流入应急池，得以有效的处理，避免危险有毒物质流入外界造成环境污染。</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④对于发生泄漏引起火灾等事故应把消防产生的废水收集在应急池中，灭火处理完毕后将该废水送至有资质的公司处理，严禁泄漏到环境中去，造成环境风险事故</w:t>
            </w:r>
            <w:r>
              <w:rPr>
                <w:rFonts w:hint="eastAsia" w:ascii="宋体" w:hAnsi="宋体" w:cs="宋体"/>
                <w:color w:val="auto"/>
                <w:sz w:val="21"/>
                <w:szCs w:val="21"/>
                <w:lang w:eastAsia="zh-CN"/>
              </w:rPr>
              <w:t>。</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⑤当拆解过程中发生单个蓄电池破损、电解液泄漏，及时用收集容器对泄漏液体进行收集、密封保存，少量滴落的电解液采用石灰、活性炭等吸附材料覆盖，吸附材料收集后作为危废交由有资质的单位处置。当处理储存箱内泄漏电解液，需将破损的和完好的电池取出、分开隔离贮存，箱内电解液采用专用收集容器收集、密封保存。处理事故的工作人员在进行清理工作时须穿戴防护服、防腐蚀手套、口罩等防护用品，避免在操作中受到伤害。</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（2）消防及火灾报警系统</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①拆解车间内严禁明火，严禁在未排空废油液的情况下进行油箱拆解。</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②厂内配备满足GB 50016规定的消防设施设备（灭火器、消火栓、消防沙等），设置消防池（100m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每年对灭火器材、设施进行检查，如有损坏或压力不足应及时维修更新。检测内容、时间、人员应有记录保存。安全检测应根据设备的安全性、危险性设定检测频次。在消防器材、设施放置处，安排相应的管理者负责。</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③保持消防器材的完整齐备，严禁将消防器材挪做它用，特殊情况必须经相关管理部门的同意。</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（3）风险防范综合措施</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①强化安全生产管理，必须制订岗位责任制，将责任落实到部门和个人严格遵守操作规程，严格遵守《化学危险品管理条例》及国家、地方关于易燃、易爆、有毒有害物料的储运使用安全规定。</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②建立健全环保及安全管理部门，该部门应加强监督检查，按规定监测厂内外空气及水体中的有毒有害物质，及时发现，立即处理，避免污染。</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③建设单位应编制建设项目环境风险应急预案，报环保部门批准后生产中实施，并安排环境风险应急预案及风险污染处置演练，进行应急处置宣传、教育。</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④成立事故应急处理小组，由车间安全负责人担任事故应急小组组长，一旦发火灾等事故，应立即启动事故应急预案，并向有关环境管理部门汇报情况，协助环境管理部门进行应急监测等工作。</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综上所述，</w:t>
            </w:r>
            <w:r>
              <w:rPr>
                <w:color w:val="auto"/>
                <w:sz w:val="21"/>
                <w:szCs w:val="21"/>
                <w:lang w:val="en-US" w:eastAsia="zh-CN"/>
              </w:rPr>
              <w:t>根据项目环境风险评价分析，</w:t>
            </w:r>
            <w:r>
              <w:rPr>
                <w:rFonts w:hint="eastAsia" w:ascii="宋体" w:hAnsi="宋体" w:eastAsia="宋体" w:cs="宋体"/>
                <w:color w:val="auto"/>
                <w:sz w:val="21"/>
                <w:szCs w:val="21"/>
              </w:rPr>
              <w:t>主要的风险来自泄露和火灾爆炸事故。本环评要求企业必须加强安全管理，严格落实环评报告提出的风险防范措施和应急措施。经采取环评报告提出的风险防范措施和应急预案后，项目建成后全厂的环境风险在可控制和承受的范围之内。</w:t>
            </w:r>
          </w:p>
          <w:p>
            <w:pPr>
              <w:pStyle w:val="6"/>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rPr>
                <w:rFonts w:hint="eastAsia" w:ascii="宋体" w:hAnsi="宋体" w:eastAsia="宋体" w:cs="宋体"/>
                <w:b/>
                <w:bCs/>
                <w:color w:val="auto"/>
                <w:sz w:val="21"/>
                <w:szCs w:val="21"/>
              </w:rPr>
            </w:pPr>
            <w:r>
              <w:rPr>
                <w:rFonts w:hint="eastAsia" w:ascii="宋体" w:hAnsi="宋体" w:cs="宋体"/>
                <w:b/>
                <w:bCs/>
                <w:color w:val="auto"/>
                <w:sz w:val="21"/>
                <w:szCs w:val="21"/>
                <w:lang w:eastAsia="zh-CN"/>
              </w:rPr>
              <w:t>八</w:t>
            </w:r>
            <w:r>
              <w:rPr>
                <w:rFonts w:hint="eastAsia" w:ascii="宋体" w:hAnsi="宋体" w:eastAsia="宋体" w:cs="宋体"/>
                <w:b/>
                <w:bCs/>
                <w:color w:val="auto"/>
                <w:sz w:val="21"/>
                <w:szCs w:val="21"/>
              </w:rPr>
              <w:t>、管理要求</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1、信息管理要求</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应建立电子信息档案，按以下方式记录报废机动车回收登记、固体废物信息；</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对回收的报废机动车进行逐车登记，并按要求将报废机动车所有人（单位）名称、有效证件号码，牌照号码、车型品牌型号、车身颜色、重量、发动机号和/或动力蓄电池编码、车辆识别代号、出厂年份、接收或收购日期等相关信息录人“全国汽车流通信息管理应用服务”系统，信息保存期限不应低于3年。</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b）将固体废物的来源种类、产生量、产生时间及处理（流向）等数据，录人到“全国固体废物管理信息系统"或省级生态环境主管部门自建与其联网的相关系统,其中危险废物处理（流向）信息保存期限为 3 年。</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具有电动汽车拆解业务的企业.应按照国家有关规定要求.将报废电动汽车的车辆识别代码、动力蓄电池编码、流向等信息录入“新能源汽车国家检测与动力蓄电池回收利用溯源综合管理平台”。对于因租赁等原因导致动力蓄电池被提前从电动汽车上拆卸回收的情况，应检查保存机动车所有人提供的租赁运营等机构出具的回收证明材料，保存期限不应低于 3 年。</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（2）生产经营场所应设置全覆盖的电子监控系统.实时记录报废机动车回收和拆解过程。相关信息保存期限不应低于 1 年。</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2、安全要求</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（1）应实施满足 GB/T 33000要求的安全管理制度，具有水、电、气等安全使用说明，安全生产规程，防火、防汛、应急预案等。拆除的安全气囊组件应在易燃、易爆等危险品仓库及高压输电线路防护区域以外引爆，并在引爆区域设有爆炸物安全警示标志和隔离栏。</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（2）电动汽车拆解作业人员在带电作业过程中应进行安全防护，穿戴好绝缘工作服等必要的安全防护装备。使用的作业工具应是绝缘的或经绝缘处理的。作业时， 应有专职监督人员实时监护。</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（3）厂内转移报废电动汽车和动力蓄电池应进行固定，防止碰撞、跌落。</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（4）场地内应设置相应的安全标志，安全标志的使用应满足 GB2894 中关于禁止、警告、指令、提示标志的要求。</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（5）应按照 GBZ 188 的规定对接触汽油等有害化学因素，噪声、手传振动等有害物理因素的作业人员及粉尘、电工、压力容器等作业人员进行监护。</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（6）厂内实施封闭式管理</w:t>
            </w:r>
            <w:r>
              <w:rPr>
                <w:rFonts w:hint="eastAsia" w:ascii="宋体" w:hAnsi="宋体" w:cs="宋体"/>
                <w:color w:val="auto"/>
                <w:sz w:val="21"/>
                <w:szCs w:val="21"/>
                <w:lang w:eastAsia="zh-CN"/>
              </w:rPr>
              <w:t>，设置全厂视频监控系统，重点区域为：危废暂存区、报废处理暂存区、预处理区、拆解区等。</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3、人员管理要求</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（1）技术人员应经过岗前培训，其专业技能应能满足规范拆解、环保作业、安全操作等相应要求，并配备专业安全生产管理人员和环保管理人员，国家有持证上岗规定的，应持证上岗。</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应配有动力蓄电池贮存管理人员及 2 人以上持电工特种作业操作证人员。动力蓄电池贮存管理人员应具有动力蓄电池防火、防泄漏、防短路等相关专业知识。拆解人员应在汽车生产企业提供的拆解信息或手册的指导下进行拆解。</w:t>
            </w: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p>
            <w:pPr>
              <w:pStyle w:val="6"/>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宋体"/>
                <w:color w:val="auto"/>
                <w:sz w:val="21"/>
                <w:szCs w:val="21"/>
              </w:rPr>
            </w:pPr>
          </w:p>
        </w:tc>
      </w:tr>
    </w:tbl>
    <w:p>
      <w:pPr>
        <w:pStyle w:val="19"/>
        <w:jc w:val="center"/>
        <w:outlineLvl w:val="0"/>
        <w:rPr>
          <w:rFonts w:ascii="Times New Roman" w:hAnsi="Times New Roman" w:eastAsia="黑体"/>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bookmarkStart w:id="10" w:name="_Hlk54167917"/>
      <w:bookmarkStart w:id="11" w:name="_Toc71360647"/>
    </w:p>
    <w:p>
      <w:pPr>
        <w:pStyle w:val="19"/>
        <w:jc w:val="center"/>
        <w:outlineLvl w:val="0"/>
        <w:rPr>
          <w:rFonts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五、环境保护措施监督检查清单</w:t>
      </w:r>
      <w:bookmarkEnd w:id="10"/>
      <w:bookmarkEnd w:id="11"/>
    </w:p>
    <w:tbl>
      <w:tblPr>
        <w:tblStyle w:val="21"/>
        <w:tblW w:w="94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5"/>
        <w:gridCol w:w="1591"/>
        <w:gridCol w:w="1755"/>
        <w:gridCol w:w="1805"/>
        <w:gridCol w:w="27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9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内容</w:t>
            </w: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要素</w:t>
            </w:r>
          </w:p>
        </w:tc>
        <w:tc>
          <w:tcPr>
            <w:tcW w:w="1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排放口(编号、名称)/污染源</w:t>
            </w: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污染物项目</w:t>
            </w:r>
          </w:p>
        </w:tc>
        <w:tc>
          <w:tcPr>
            <w:tcW w:w="180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环境保护措施</w:t>
            </w:r>
          </w:p>
        </w:tc>
        <w:tc>
          <w:tcPr>
            <w:tcW w:w="279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9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大气环境</w:t>
            </w:r>
          </w:p>
        </w:tc>
        <w:tc>
          <w:tcPr>
            <w:tcW w:w="1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废油液挥发</w:t>
            </w: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VOCs</w:t>
            </w:r>
          </w:p>
        </w:tc>
        <w:tc>
          <w:tcPr>
            <w:tcW w:w="180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少量，无组织排放</w:t>
            </w:r>
          </w:p>
        </w:tc>
        <w:tc>
          <w:tcPr>
            <w:tcW w:w="279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《大气污染物综合排放标准》</w:t>
            </w: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（GB16297-1996）表 2 标准中无组织排放厂界浓度限值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149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拆解粉尘</w:t>
            </w: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颗粒物</w:t>
            </w:r>
          </w:p>
        </w:tc>
        <w:tc>
          <w:tcPr>
            <w:tcW w:w="180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车间通风，少量， 无组织排放</w:t>
            </w:r>
          </w:p>
        </w:tc>
        <w:tc>
          <w:tcPr>
            <w:tcW w:w="279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9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地表水环境</w:t>
            </w:r>
          </w:p>
        </w:tc>
        <w:tc>
          <w:tcPr>
            <w:tcW w:w="1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生活污水</w:t>
            </w: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COD、BOD5、SS、</w:t>
            </w: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氨氮</w:t>
            </w:r>
          </w:p>
        </w:tc>
        <w:tc>
          <w:tcPr>
            <w:tcW w:w="180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隔油池</w:t>
            </w:r>
            <w:r>
              <w:rPr>
                <w:rFonts w:hint="eastAsia" w:cs="宋体"/>
                <w:color w:val="auto"/>
                <w:sz w:val="21"/>
                <w:szCs w:val="21"/>
                <w:lang w:eastAsia="zh-CN"/>
              </w:rPr>
              <w:t>、</w:t>
            </w:r>
            <w:r>
              <w:rPr>
                <w:rFonts w:hint="eastAsia" w:ascii="宋体" w:hAnsi="宋体" w:eastAsia="宋体" w:cs="宋体"/>
                <w:color w:val="auto"/>
                <w:sz w:val="21"/>
                <w:szCs w:val="21"/>
              </w:rPr>
              <w:t>化粪池</w:t>
            </w:r>
          </w:p>
        </w:tc>
        <w:tc>
          <w:tcPr>
            <w:tcW w:w="279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周边农田施肥，不外排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49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生产废水</w:t>
            </w: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COD、SS、石油类</w:t>
            </w:r>
          </w:p>
        </w:tc>
        <w:tc>
          <w:tcPr>
            <w:tcW w:w="180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隔油池</w:t>
            </w:r>
            <w:r>
              <w:rPr>
                <w:rFonts w:hint="eastAsia" w:ascii="宋体" w:hAnsi="宋体" w:cs="宋体"/>
                <w:color w:val="auto"/>
                <w:sz w:val="21"/>
                <w:szCs w:val="21"/>
                <w:lang w:eastAsia="zh-CN"/>
              </w:rPr>
              <w:t>、一体化污水处理后</w:t>
            </w:r>
            <w:r>
              <w:rPr>
                <w:rFonts w:hint="eastAsia" w:ascii="宋体" w:hAnsi="宋体" w:eastAsia="宋体" w:cs="宋体"/>
                <w:color w:val="auto"/>
                <w:sz w:val="21"/>
                <w:szCs w:val="21"/>
                <w:lang w:eastAsia="zh-CN"/>
              </w:rPr>
              <w:t>回用于生产清洁用水、绿化用水及厂区场地浇洒降尘等</w:t>
            </w:r>
          </w:p>
        </w:tc>
        <w:tc>
          <w:tcPr>
            <w:tcW w:w="279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回用不外排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49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初期雨水</w:t>
            </w: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SS、石油类</w:t>
            </w:r>
          </w:p>
        </w:tc>
        <w:tc>
          <w:tcPr>
            <w:tcW w:w="18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279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jc w:val="center"/>
        </w:trPr>
        <w:tc>
          <w:tcPr>
            <w:tcW w:w="149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声环境</w:t>
            </w:r>
          </w:p>
        </w:tc>
        <w:tc>
          <w:tcPr>
            <w:tcW w:w="1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生产设备等</w:t>
            </w: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机械噪声</w:t>
            </w:r>
          </w:p>
        </w:tc>
        <w:tc>
          <w:tcPr>
            <w:tcW w:w="180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基座减振、隔声、定期维护保养</w:t>
            </w:r>
          </w:p>
        </w:tc>
        <w:tc>
          <w:tcPr>
            <w:tcW w:w="279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《工业企业厂界环境噪声排放标准》（GB12348-2008）中 2</w:t>
            </w: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149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电磁辐射</w:t>
            </w:r>
          </w:p>
        </w:tc>
        <w:tc>
          <w:tcPr>
            <w:tcW w:w="1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80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79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149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固体废物</w:t>
            </w:r>
          </w:p>
        </w:tc>
        <w:tc>
          <w:tcPr>
            <w:tcW w:w="159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预处理、拆解工序</w:t>
            </w: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废安全气囊</w:t>
            </w:r>
          </w:p>
        </w:tc>
        <w:tc>
          <w:tcPr>
            <w:tcW w:w="180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一般工业固废暂存间， 做好防风、防雨、防晒措施，分类收集存放</w:t>
            </w:r>
          </w:p>
        </w:tc>
        <w:tc>
          <w:tcPr>
            <w:tcW w:w="279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《一般工业固体废物贮存和填埋污染控制标准》(GB18599-2020)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49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59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废动力电池组</w:t>
            </w:r>
          </w:p>
        </w:tc>
        <w:tc>
          <w:tcPr>
            <w:tcW w:w="18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279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49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59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不可利用材料</w:t>
            </w:r>
          </w:p>
        </w:tc>
        <w:tc>
          <w:tcPr>
            <w:tcW w:w="18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279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149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59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废蓄电池</w:t>
            </w:r>
          </w:p>
        </w:tc>
        <w:tc>
          <w:tcPr>
            <w:tcW w:w="180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危废暂存间暂存</w:t>
            </w: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cs="宋体"/>
                <w:color w:val="auto"/>
                <w:sz w:val="21"/>
                <w:szCs w:val="21"/>
                <w:lang w:val="en-US" w:eastAsia="zh-CN"/>
              </w:rPr>
              <w:t>8</w:t>
            </w:r>
            <w:r>
              <w:rPr>
                <w:rFonts w:hint="default" w:ascii="宋体" w:hAnsi="宋体" w:cs="宋体"/>
                <w:color w:val="auto"/>
                <w:sz w:val="21"/>
                <w:szCs w:val="21"/>
                <w:lang w:val="en-US" w:eastAsia="zh-CN"/>
              </w:rPr>
              <w:t>0</w:t>
            </w:r>
            <w:r>
              <w:rPr>
                <w:rFonts w:hint="eastAsia" w:ascii="宋体" w:hAnsi="宋体" w:eastAsia="宋体" w:cs="宋体"/>
                <w:color w:val="auto"/>
                <w:sz w:val="21"/>
                <w:szCs w:val="21"/>
              </w:rPr>
              <w:t>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），做好防风、防雨、防晒和防渗漏措施，分类暂存，采用专用的密闭容器进行存放，张贴危险废物标识标牌，建立危险废物管理台账交由有资质的单位处理</w:t>
            </w:r>
          </w:p>
        </w:tc>
        <w:tc>
          <w:tcPr>
            <w:tcW w:w="279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危险废物执行《危险废物贮存污染控制标准（GB18597-2001） 及 2013 年修改单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149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59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废尾气净化装置</w:t>
            </w: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（含催化剂）</w:t>
            </w:r>
          </w:p>
        </w:tc>
        <w:tc>
          <w:tcPr>
            <w:tcW w:w="18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279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49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59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废线路板</w:t>
            </w:r>
          </w:p>
        </w:tc>
        <w:tc>
          <w:tcPr>
            <w:tcW w:w="18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279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149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59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废油液、废冷却</w:t>
            </w:r>
          </w:p>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液</w:t>
            </w:r>
          </w:p>
        </w:tc>
        <w:tc>
          <w:tcPr>
            <w:tcW w:w="18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279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49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59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废空调制冷剂</w:t>
            </w:r>
          </w:p>
        </w:tc>
        <w:tc>
          <w:tcPr>
            <w:tcW w:w="18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279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49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59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废液化气罐</w:t>
            </w:r>
          </w:p>
        </w:tc>
        <w:tc>
          <w:tcPr>
            <w:tcW w:w="18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279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49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59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含铅部件</w:t>
            </w:r>
          </w:p>
        </w:tc>
        <w:tc>
          <w:tcPr>
            <w:tcW w:w="18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279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49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59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含汞开关</w:t>
            </w:r>
          </w:p>
        </w:tc>
        <w:tc>
          <w:tcPr>
            <w:tcW w:w="18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279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149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59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隔油池废油</w:t>
            </w:r>
          </w:p>
        </w:tc>
        <w:tc>
          <w:tcPr>
            <w:tcW w:w="18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279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49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59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废含油手套抹布</w:t>
            </w:r>
          </w:p>
        </w:tc>
        <w:tc>
          <w:tcPr>
            <w:tcW w:w="18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279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9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p>
        </w:tc>
        <w:tc>
          <w:tcPr>
            <w:tcW w:w="1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员工生活</w:t>
            </w:r>
          </w:p>
        </w:tc>
        <w:tc>
          <w:tcPr>
            <w:tcW w:w="1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生活垃圾</w:t>
            </w:r>
          </w:p>
        </w:tc>
        <w:tc>
          <w:tcPr>
            <w:tcW w:w="180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交由环卫部门统一收集处理</w:t>
            </w:r>
          </w:p>
        </w:tc>
        <w:tc>
          <w:tcPr>
            <w:tcW w:w="279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《生活垃圾填埋污染物控制标准》（GB16889-2008）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9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土壤及地下水污染防治措施</w:t>
            </w:r>
          </w:p>
        </w:tc>
        <w:tc>
          <w:tcPr>
            <w:tcW w:w="7945" w:type="dxa"/>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color w:val="auto"/>
                <w:szCs w:val="21"/>
              </w:rPr>
              <w:t>隔油池、污水管沟、化粪池、初期雨水池</w:t>
            </w:r>
            <w:r>
              <w:rPr>
                <w:rFonts w:hint="eastAsia" w:ascii="宋体" w:hAnsi="宋体" w:eastAsia="宋体" w:cs="宋体"/>
                <w:color w:val="auto"/>
                <w:sz w:val="21"/>
                <w:szCs w:val="21"/>
              </w:rPr>
              <w:t>、一般固废间、危废暂存间、生产车间采取防渗漏措施，其他地面均硬化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9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生态保护措施</w:t>
            </w:r>
          </w:p>
        </w:tc>
        <w:tc>
          <w:tcPr>
            <w:tcW w:w="7945" w:type="dxa"/>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49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环境风险防范措施</w:t>
            </w:r>
          </w:p>
        </w:tc>
        <w:tc>
          <w:tcPr>
            <w:tcW w:w="7945" w:type="dxa"/>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42" w:leftChars="2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①拆解车间内严禁明火，严禁在未排空废油液的情况下进行油箱拆解。</w:t>
            </w:r>
          </w:p>
          <w:p>
            <w:pPr>
              <w:keepNext w:val="0"/>
              <w:keepLines w:val="0"/>
              <w:pageBreakBefore w:val="0"/>
              <w:widowControl w:val="0"/>
              <w:kinsoku/>
              <w:wordWrap/>
              <w:overflowPunct/>
              <w:topLinePunct w:val="0"/>
              <w:autoSpaceDE w:val="0"/>
              <w:autoSpaceDN w:val="0"/>
              <w:bidi w:val="0"/>
              <w:adjustRightInd/>
              <w:snapToGrid w:val="0"/>
              <w:ind w:left="42" w:leftChars="2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②每年对灭火器材、设施进行检查，如有损坏或压力不足应及时维修更新。检测内容、</w:t>
            </w:r>
          </w:p>
          <w:p>
            <w:pPr>
              <w:keepNext w:val="0"/>
              <w:keepLines w:val="0"/>
              <w:pageBreakBefore w:val="0"/>
              <w:widowControl w:val="0"/>
              <w:kinsoku/>
              <w:wordWrap/>
              <w:overflowPunct/>
              <w:topLinePunct w:val="0"/>
              <w:autoSpaceDE w:val="0"/>
              <w:autoSpaceDN w:val="0"/>
              <w:bidi w:val="0"/>
              <w:adjustRightInd/>
              <w:snapToGrid w:val="0"/>
              <w:ind w:left="42" w:leftChars="2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时间、人员应有记录保存。安全检测应根据设备的安全性、危险性设定检测频次。在消防器材、设施放置处，安排相应的管理者负责。</w:t>
            </w:r>
          </w:p>
          <w:p>
            <w:pPr>
              <w:keepNext w:val="0"/>
              <w:keepLines w:val="0"/>
              <w:pageBreakBefore w:val="0"/>
              <w:widowControl w:val="0"/>
              <w:kinsoku/>
              <w:wordWrap/>
              <w:overflowPunct/>
              <w:topLinePunct w:val="0"/>
              <w:autoSpaceDE w:val="0"/>
              <w:autoSpaceDN w:val="0"/>
              <w:bidi w:val="0"/>
              <w:adjustRightInd/>
              <w:snapToGrid w:val="0"/>
              <w:ind w:left="42" w:leftChars="2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③强化安全生产管理，必须制订岗位责任制，将责任落实到部门和个人严格遵守操作规程，严格遵守《化学危险品管理条例》及国家、地方关于易燃、易爆、有毒有害物料的  储运使用安全规定。</w:t>
            </w:r>
          </w:p>
          <w:p>
            <w:pPr>
              <w:keepNext w:val="0"/>
              <w:keepLines w:val="0"/>
              <w:pageBreakBefore w:val="0"/>
              <w:widowControl w:val="0"/>
              <w:kinsoku/>
              <w:wordWrap/>
              <w:overflowPunct/>
              <w:topLinePunct w:val="0"/>
              <w:autoSpaceDE w:val="0"/>
              <w:autoSpaceDN w:val="0"/>
              <w:bidi w:val="0"/>
              <w:adjustRightInd/>
              <w:snapToGrid w:val="0"/>
              <w:ind w:left="42" w:leftChars="2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④建立健全环保及安全管理部门，该部门应加强监督检查，按规定监测厂内外空气及水体中的有毒有害物质，及时发现，立即处理，避免污染。</w:t>
            </w:r>
          </w:p>
          <w:p>
            <w:pPr>
              <w:keepNext w:val="0"/>
              <w:keepLines w:val="0"/>
              <w:pageBreakBefore w:val="0"/>
              <w:widowControl w:val="0"/>
              <w:kinsoku/>
              <w:wordWrap/>
              <w:overflowPunct/>
              <w:topLinePunct w:val="0"/>
              <w:autoSpaceDE w:val="0"/>
              <w:autoSpaceDN w:val="0"/>
              <w:bidi w:val="0"/>
              <w:adjustRightInd/>
              <w:snapToGrid w:val="0"/>
              <w:ind w:left="42" w:leftChars="2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⑤建立事故应急预案，成立事故应急处理小组，由车间安全负责人担任事故应急小组组长，一旦发火灾等事故，应立即启动事故应急预案，并向有关环境管理部门汇报情况，协助环境管理部门进行应急监测等工作；</w:t>
            </w:r>
          </w:p>
          <w:p>
            <w:pPr>
              <w:keepNext w:val="0"/>
              <w:keepLines w:val="0"/>
              <w:pageBreakBefore w:val="0"/>
              <w:widowControl w:val="0"/>
              <w:kinsoku/>
              <w:wordWrap/>
              <w:overflowPunct/>
              <w:topLinePunct w:val="0"/>
              <w:autoSpaceDE w:val="0"/>
              <w:autoSpaceDN w:val="0"/>
              <w:bidi w:val="0"/>
              <w:adjustRightInd/>
              <w:snapToGrid w:val="0"/>
              <w:ind w:left="42" w:leftChars="2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⑥在易燃原料贮存地点与使用易燃原料的设备处设立安全标志或涂刷相应的安全色。地面进行防腐防渗，并加强管理与维护，杜绝出现跑、冒、滴、漏现象。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49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color w:val="auto"/>
                <w:sz w:val="21"/>
              </w:rPr>
              <w:t>其他环境管理要求</w:t>
            </w:r>
          </w:p>
        </w:tc>
        <w:tc>
          <w:tcPr>
            <w:tcW w:w="7945" w:type="dxa"/>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left="21" w:leftChars="10"/>
              <w:jc w:val="center"/>
              <w:textAlignment w:val="auto"/>
              <w:rPr>
                <w:rFonts w:hint="eastAsia" w:ascii="宋体" w:hAnsi="宋体" w:eastAsia="宋体" w:cs="宋体"/>
                <w:color w:val="auto"/>
                <w:sz w:val="21"/>
                <w:szCs w:val="21"/>
              </w:rPr>
            </w:pPr>
            <w:r>
              <w:rPr>
                <w:color w:val="auto"/>
                <w:w w:val="99"/>
                <w:sz w:val="21"/>
              </w:rPr>
              <w:t>/</w:t>
            </w:r>
          </w:p>
        </w:tc>
      </w:tr>
    </w:tbl>
    <w:p>
      <w:pPr>
        <w:pStyle w:val="19"/>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12" w:name="_Toc71360648"/>
      <w:r>
        <w:rPr>
          <w:rFonts w:ascii="Times New Roman" w:hAnsi="Times New Roman" w:eastAsia="黑体"/>
          <w:snapToGrid w:val="0"/>
          <w:color w:val="auto"/>
          <w:sz w:val="30"/>
          <w:szCs w:val="30"/>
        </w:rPr>
        <w:t>六、结论</w:t>
      </w:r>
      <w:bookmarkEnd w:id="12"/>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380" w:firstLineChars="200"/>
              <w:rPr>
                <w:bCs/>
                <w:color w:val="auto"/>
                <w:spacing w:val="-10"/>
                <w:szCs w:val="21"/>
              </w:rPr>
            </w:pP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sz w:val="24"/>
              </w:rPr>
            </w:pPr>
            <w:r>
              <w:rPr>
                <w:bCs/>
                <w:color w:val="auto"/>
                <w:spacing w:val="0"/>
                <w:sz w:val="21"/>
                <w:szCs w:val="21"/>
              </w:rPr>
              <w:t>经综合分析，</w:t>
            </w:r>
            <w:r>
              <w:rPr>
                <w:rFonts w:hint="eastAsia"/>
                <w:bCs/>
                <w:color w:val="auto"/>
                <w:spacing w:val="0"/>
                <w:sz w:val="21"/>
                <w:szCs w:val="21"/>
                <w:lang w:eastAsia="zh-CN"/>
              </w:rPr>
              <w:t>衡阳众鑫再生报废汽车回收拆解有限责任公司建设</w:t>
            </w:r>
            <w:r>
              <w:rPr>
                <w:rFonts w:hint="eastAsia"/>
                <w:bCs/>
                <w:color w:val="auto"/>
                <w:spacing w:val="0"/>
                <w:sz w:val="21"/>
                <w:szCs w:val="21"/>
              </w:rPr>
              <w:t>符合“三线一单”管理及相关环保规划要求，项目按建设项目“环境保护竣工验收”制度要求，逐一落实本报告提出的污染治理项目，并在施工过程中加强环保设施管理，保证各项污染物达标排放，则项目对周围环境影响不明显。因此，从环境保护角度考虑，本项目的建设是合理、可行的。</w:t>
            </w:r>
          </w:p>
        </w:tc>
      </w:tr>
    </w:tbl>
    <w:p>
      <w:pPr>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ascii="Times New Roman" w:hAnsi="Times New Roman" w:eastAsia="黑体"/>
          <w:snapToGrid w:val="0"/>
          <w:color w:val="auto"/>
          <w:sz w:val="32"/>
          <w:szCs w:val="32"/>
        </w:rPr>
      </w:pPr>
      <w:bookmarkStart w:id="13" w:name="_Toc71360649"/>
      <w:r>
        <w:rPr>
          <w:rFonts w:ascii="Times New Roman" w:hAnsi="Times New Roman" w:eastAsia="黑体"/>
          <w:snapToGrid w:val="0"/>
          <w:color w:val="auto"/>
          <w:sz w:val="32"/>
          <w:szCs w:val="32"/>
        </w:rPr>
        <w:t>附表</w:t>
      </w:r>
      <w:bookmarkEnd w:id="13"/>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ascii="Times New Roman" w:hAnsi="Times New Roman" w:eastAsia="方正小标宋_GBK"/>
          <w:snapToGrid w:val="0"/>
          <w:color w:val="auto"/>
          <w:sz w:val="38"/>
          <w:szCs w:val="38"/>
        </w:rPr>
      </w:pPr>
      <w:bookmarkStart w:id="14" w:name="_Toc71360650"/>
      <w:r>
        <w:rPr>
          <w:rFonts w:ascii="Times New Roman" w:hAnsi="Times New Roman" w:eastAsia="方正小标宋_GBK"/>
          <w:snapToGrid w:val="0"/>
          <w:color w:val="auto"/>
          <w:sz w:val="38"/>
          <w:szCs w:val="38"/>
        </w:rPr>
        <w:t>建设项目污染物排放量汇总表</w:t>
      </w:r>
    </w:p>
    <w:tbl>
      <w:tblPr>
        <w:tblStyle w:val="21"/>
        <w:tblW w:w="1378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88"/>
        <w:gridCol w:w="1494"/>
        <w:gridCol w:w="1624"/>
        <w:gridCol w:w="1276"/>
        <w:gridCol w:w="1701"/>
        <w:gridCol w:w="1559"/>
        <w:gridCol w:w="1650"/>
        <w:gridCol w:w="1766"/>
        <w:gridCol w:w="113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38" w:hRule="atLeast"/>
          <w:jc w:val="center"/>
        </w:trPr>
        <w:tc>
          <w:tcPr>
            <w:tcW w:w="15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color w:val="auto"/>
                <w:sz w:val="22"/>
              </w:rPr>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21590</wp:posOffset>
                      </wp:positionV>
                      <wp:extent cx="995045" cy="592455"/>
                      <wp:effectExtent l="2540" t="3810" r="12065" b="13335"/>
                      <wp:wrapNone/>
                      <wp:docPr id="1" name="直接连接符 1"/>
                      <wp:cNvGraphicFramePr/>
                      <a:graphic xmlns:a="http://schemas.openxmlformats.org/drawingml/2006/main">
                        <a:graphicData uri="http://schemas.microsoft.com/office/word/2010/wordprocessingShape">
                          <wps:wsp>
                            <wps:cNvCnPr/>
                            <wps:spPr>
                              <a:xfrm>
                                <a:off x="973455" y="1173480"/>
                                <a:ext cx="995045" cy="592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1pt;margin-top:1.7pt;height:46.65pt;width:78.35pt;z-index:251661312;mso-width-relative:page;mso-height-relative:page;" filled="f" stroked="t" coordsize="21600,21600" o:gfxdata="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CXCzv1QAAAAYBAAAPAAAAAAAAAAEAIAAAACIAAABkcnMvZG93bnJldi54bWxQ&#10;SwECFAAUAAAACACHTuJARg5z4foBAADiAwAADgAAAAAAAAABACAAAAAkAQAAZHJzL2Uyb0RvYy54&#10;bWxQSwUGAAAAAAYABgBZAQAAkAUAAAAA&#10;">
                      <v:fill on="f" focussize="0,0"/>
                      <v:stroke color="#000000 [3200]" joinstyle="round"/>
                      <v:imagedata o:title=""/>
                      <o:lock v:ext="edit" aspectratio="f"/>
                    </v:line>
                  </w:pict>
                </mc:Fallback>
              </mc:AlternateContent>
            </w:r>
            <w:r>
              <w:rPr>
                <w:rFonts w:hint="eastAsia" w:ascii="方正黑体简体" w:hAnsi="方正黑体简体" w:eastAsia="方正黑体简体" w:cs="方正黑体简体"/>
                <w:color w:val="auto"/>
                <w:lang w:val="en-US" w:eastAsia="zh-CN"/>
              </w:rPr>
              <w:t xml:space="preserve">   </w:t>
            </w:r>
            <w:r>
              <w:rPr>
                <w:rFonts w:hint="eastAsia" w:ascii="方正黑体简体" w:hAnsi="方正黑体简体" w:eastAsia="方正黑体简体" w:cs="方正黑体简体"/>
                <w:color w:val="auto"/>
              </w:rPr>
              <w:t>项目</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p>
          <w:p>
            <w:pPr>
              <w:keepNext w:val="0"/>
              <w:keepLines w:val="0"/>
              <w:pageBreakBefore w:val="0"/>
              <w:widowControl w:val="0"/>
              <w:kinsoku/>
              <w:wordWrap/>
              <w:overflowPunct/>
              <w:topLinePunct w:val="0"/>
              <w:autoSpaceDE w:val="0"/>
              <w:autoSpaceDN w:val="0"/>
              <w:bidi w:val="0"/>
              <w:adjustRightInd/>
              <w:snapToGrid w:val="0"/>
              <w:ind w:firstLine="210" w:firstLineChars="100"/>
              <w:jc w:val="both"/>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分类</w:t>
            </w:r>
          </w:p>
        </w:tc>
        <w:tc>
          <w:tcPr>
            <w:tcW w:w="149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污染物名称</w:t>
            </w:r>
          </w:p>
        </w:tc>
        <w:tc>
          <w:tcPr>
            <w:tcW w:w="162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现有工程</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排放量（固体废物</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产生量）①</w:t>
            </w:r>
          </w:p>
        </w:tc>
        <w:tc>
          <w:tcPr>
            <w:tcW w:w="127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现有工程许可排放量</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②</w:t>
            </w:r>
          </w:p>
        </w:tc>
        <w:tc>
          <w:tcPr>
            <w:tcW w:w="170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在建工程</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排放量（固体废物</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产生量）③</w:t>
            </w:r>
          </w:p>
        </w:tc>
        <w:tc>
          <w:tcPr>
            <w:tcW w:w="155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本项目</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排放量（固体废</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物产生量）④</w:t>
            </w:r>
          </w:p>
        </w:tc>
        <w:tc>
          <w:tcPr>
            <w:tcW w:w="16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以新带老削减量</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（新建项目不填）⑤</w:t>
            </w:r>
          </w:p>
        </w:tc>
        <w:tc>
          <w:tcPr>
            <w:tcW w:w="176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本项目建成后</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全厂排放量（固体废物产生量）⑥</w:t>
            </w:r>
          </w:p>
        </w:tc>
        <w:tc>
          <w:tcPr>
            <w:tcW w:w="11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变化量</w:t>
            </w:r>
          </w:p>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方正黑体简体" w:hAnsi="方正黑体简体" w:eastAsia="方正黑体简体" w:cs="方正黑体简体"/>
                <w:color w:val="auto"/>
              </w:rPr>
            </w:pPr>
            <w:r>
              <w:rPr>
                <w:rFonts w:hint="eastAsia" w:ascii="方正黑体简体" w:hAnsi="方正黑体简体" w:eastAsia="方正黑体简体" w:cs="方正黑体简体"/>
                <w:color w:val="auto"/>
              </w:rPr>
              <w:t>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588" w:type="dxa"/>
            <w:vMerge w:val="restart"/>
            <w:tcBorders>
              <w:tl2br w:val="nil"/>
              <w:tr2bl w:val="nil"/>
            </w:tcBorders>
            <w:vAlign w:val="center"/>
          </w:tcPr>
          <w:p>
            <w:pPr>
              <w:jc w:val="center"/>
              <w:rPr>
                <w:rFonts w:hint="eastAsia"/>
                <w:color w:val="auto"/>
              </w:rPr>
            </w:pPr>
            <w:r>
              <w:rPr>
                <w:rFonts w:hint="eastAsia"/>
                <w:color w:val="auto"/>
              </w:rPr>
              <w:t>废气</w:t>
            </w:r>
          </w:p>
        </w:tc>
        <w:tc>
          <w:tcPr>
            <w:tcW w:w="1494" w:type="dxa"/>
            <w:tcBorders>
              <w:tl2br w:val="nil"/>
              <w:tr2bl w:val="nil"/>
            </w:tcBorders>
            <w:vAlign w:val="center"/>
          </w:tcPr>
          <w:p>
            <w:pPr>
              <w:jc w:val="center"/>
              <w:rPr>
                <w:rFonts w:hint="eastAsia"/>
                <w:color w:val="auto"/>
              </w:rPr>
            </w:pPr>
            <w:r>
              <w:rPr>
                <w:rFonts w:hint="eastAsia"/>
                <w:color w:val="auto"/>
              </w:rPr>
              <w:t>非甲烷总烃</w:t>
            </w:r>
          </w:p>
        </w:tc>
        <w:tc>
          <w:tcPr>
            <w:tcW w:w="1624" w:type="dxa"/>
            <w:tcBorders>
              <w:tl2br w:val="nil"/>
              <w:tr2bl w:val="nil"/>
            </w:tcBorders>
            <w:vAlign w:val="center"/>
          </w:tcPr>
          <w:p>
            <w:pPr>
              <w:jc w:val="center"/>
              <w:rPr>
                <w:rFonts w:hint="eastAsia"/>
                <w:color w:val="auto"/>
              </w:rPr>
            </w:pPr>
            <w:r>
              <w:rPr>
                <w:rFonts w:hint="eastAsia"/>
                <w:color w:val="auto"/>
              </w:rPr>
              <w:t>/</w:t>
            </w:r>
          </w:p>
        </w:tc>
        <w:tc>
          <w:tcPr>
            <w:tcW w:w="1276" w:type="dxa"/>
            <w:tcBorders>
              <w:tl2br w:val="nil"/>
              <w:tr2bl w:val="nil"/>
            </w:tcBorders>
            <w:vAlign w:val="center"/>
          </w:tcPr>
          <w:p>
            <w:pPr>
              <w:jc w:val="center"/>
              <w:rPr>
                <w:rFonts w:hint="eastAsia"/>
                <w:color w:val="auto"/>
              </w:rPr>
            </w:pPr>
            <w:r>
              <w:rPr>
                <w:rFonts w:hint="eastAsia"/>
                <w:color w:val="auto"/>
              </w:rPr>
              <w:t>/</w:t>
            </w:r>
          </w:p>
        </w:tc>
        <w:tc>
          <w:tcPr>
            <w:tcW w:w="1701" w:type="dxa"/>
            <w:tcBorders>
              <w:tl2br w:val="nil"/>
              <w:tr2bl w:val="nil"/>
            </w:tcBorders>
            <w:vAlign w:val="center"/>
          </w:tcPr>
          <w:p>
            <w:pPr>
              <w:jc w:val="center"/>
              <w:rPr>
                <w:rFonts w:hint="eastAsia"/>
                <w:color w:val="auto"/>
              </w:rPr>
            </w:pPr>
            <w:r>
              <w:rPr>
                <w:rFonts w:hint="eastAsia"/>
                <w:color w:val="auto"/>
              </w:rPr>
              <w:t>/</w:t>
            </w:r>
          </w:p>
        </w:tc>
        <w:tc>
          <w:tcPr>
            <w:tcW w:w="1559" w:type="dxa"/>
            <w:tcBorders>
              <w:tl2br w:val="nil"/>
              <w:tr2bl w:val="nil"/>
            </w:tcBorders>
            <w:vAlign w:val="center"/>
          </w:tcPr>
          <w:p>
            <w:pPr>
              <w:jc w:val="center"/>
              <w:rPr>
                <w:rFonts w:hint="eastAsia"/>
                <w:color w:val="auto"/>
              </w:rPr>
            </w:pPr>
            <w:r>
              <w:rPr>
                <w:rFonts w:hint="eastAsia"/>
                <w:color w:val="auto"/>
              </w:rPr>
              <w:t>0.</w:t>
            </w:r>
            <w:r>
              <w:rPr>
                <w:rFonts w:hint="eastAsia"/>
                <w:color w:val="auto"/>
                <w:lang w:val="en-US" w:eastAsia="zh-CN"/>
              </w:rPr>
              <w:t>042</w:t>
            </w:r>
            <w:r>
              <w:rPr>
                <w:rFonts w:hint="eastAsia"/>
                <w:color w:val="auto"/>
              </w:rPr>
              <w:t>t/a</w:t>
            </w:r>
          </w:p>
        </w:tc>
        <w:tc>
          <w:tcPr>
            <w:tcW w:w="1650" w:type="dxa"/>
            <w:tcBorders>
              <w:tl2br w:val="nil"/>
              <w:tr2bl w:val="nil"/>
            </w:tcBorders>
            <w:vAlign w:val="center"/>
          </w:tcPr>
          <w:p>
            <w:pPr>
              <w:jc w:val="center"/>
              <w:rPr>
                <w:rFonts w:hint="eastAsia"/>
                <w:color w:val="auto"/>
              </w:rPr>
            </w:pPr>
            <w:r>
              <w:rPr>
                <w:rFonts w:hint="eastAsia"/>
                <w:color w:val="auto"/>
              </w:rPr>
              <w:t>/</w:t>
            </w:r>
          </w:p>
        </w:tc>
        <w:tc>
          <w:tcPr>
            <w:tcW w:w="1766" w:type="dxa"/>
            <w:tcBorders>
              <w:tl2br w:val="nil"/>
              <w:tr2bl w:val="nil"/>
            </w:tcBorders>
            <w:vAlign w:val="center"/>
          </w:tcPr>
          <w:p>
            <w:pPr>
              <w:jc w:val="center"/>
              <w:rPr>
                <w:rFonts w:hint="eastAsia"/>
                <w:color w:val="auto"/>
              </w:rPr>
            </w:pPr>
            <w:r>
              <w:rPr>
                <w:rFonts w:hint="eastAsia"/>
                <w:color w:val="auto"/>
              </w:rPr>
              <w:t>0.0</w:t>
            </w:r>
            <w:r>
              <w:rPr>
                <w:rFonts w:hint="eastAsia"/>
                <w:color w:val="auto"/>
                <w:lang w:val="en-US" w:eastAsia="zh-CN"/>
              </w:rPr>
              <w:t>42</w:t>
            </w:r>
            <w:r>
              <w:rPr>
                <w:rFonts w:hint="eastAsia"/>
                <w:color w:val="auto"/>
              </w:rPr>
              <w:t>t/a</w:t>
            </w:r>
          </w:p>
        </w:tc>
        <w:tc>
          <w:tcPr>
            <w:tcW w:w="1130" w:type="dxa"/>
            <w:tcBorders>
              <w:tl2br w:val="nil"/>
              <w:tr2bl w:val="nil"/>
            </w:tcBorders>
            <w:vAlign w:val="center"/>
          </w:tcPr>
          <w:p>
            <w:pPr>
              <w:ind w:left="0" w:leftChars="0" w:right="0" w:rightChars="0"/>
              <w:jc w:val="center"/>
              <w:rPr>
                <w:rFonts w:hint="eastAsia" w:ascii="宋体" w:hAnsi="宋体" w:eastAsia="宋体" w:cs="宋体"/>
                <w:color w:val="auto"/>
                <w:sz w:val="22"/>
                <w:szCs w:val="22"/>
                <w:lang w:val="zh-CN" w:eastAsia="zh-CN" w:bidi="zh-CN"/>
              </w:rPr>
            </w:pPr>
            <w:r>
              <w:rPr>
                <w:rFonts w:hint="eastAsia"/>
                <w:color w:val="auto"/>
                <w:lang w:val="en-US" w:eastAsia="zh-CN"/>
              </w:rPr>
              <w:t>+</w:t>
            </w:r>
            <w:r>
              <w:rPr>
                <w:rFonts w:hint="eastAsia"/>
                <w:color w:val="auto"/>
              </w:rPr>
              <w:t>0.0</w:t>
            </w:r>
            <w:r>
              <w:rPr>
                <w:rFonts w:hint="eastAsia"/>
                <w:color w:val="auto"/>
                <w:lang w:val="en-US" w:eastAsia="zh-CN"/>
              </w:rPr>
              <w:t>42</w:t>
            </w:r>
            <w:r>
              <w:rPr>
                <w:rFonts w:hint="eastAsia"/>
                <w:color w:val="auto"/>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1588" w:type="dxa"/>
            <w:vMerge w:val="continue"/>
            <w:tcBorders>
              <w:tl2br w:val="nil"/>
              <w:tr2bl w:val="nil"/>
            </w:tcBorders>
            <w:vAlign w:val="center"/>
          </w:tcPr>
          <w:p>
            <w:pPr>
              <w:jc w:val="center"/>
              <w:rPr>
                <w:rFonts w:hint="eastAsia"/>
                <w:color w:val="auto"/>
              </w:rPr>
            </w:pPr>
          </w:p>
        </w:tc>
        <w:tc>
          <w:tcPr>
            <w:tcW w:w="1494" w:type="dxa"/>
            <w:tcBorders>
              <w:tl2br w:val="nil"/>
              <w:tr2bl w:val="nil"/>
            </w:tcBorders>
            <w:vAlign w:val="center"/>
          </w:tcPr>
          <w:p>
            <w:pPr>
              <w:jc w:val="center"/>
              <w:rPr>
                <w:rFonts w:hint="eastAsia"/>
                <w:color w:val="auto"/>
              </w:rPr>
            </w:pPr>
            <w:r>
              <w:rPr>
                <w:rFonts w:hint="eastAsia"/>
                <w:color w:val="auto"/>
              </w:rPr>
              <w:t>颗粒物</w:t>
            </w:r>
          </w:p>
        </w:tc>
        <w:tc>
          <w:tcPr>
            <w:tcW w:w="1624" w:type="dxa"/>
            <w:tcBorders>
              <w:tl2br w:val="nil"/>
              <w:tr2bl w:val="nil"/>
            </w:tcBorders>
            <w:vAlign w:val="center"/>
          </w:tcPr>
          <w:p>
            <w:pPr>
              <w:jc w:val="center"/>
              <w:rPr>
                <w:rFonts w:hint="eastAsia"/>
                <w:color w:val="auto"/>
              </w:rPr>
            </w:pPr>
            <w:r>
              <w:rPr>
                <w:rFonts w:hint="eastAsia"/>
                <w:color w:val="auto"/>
              </w:rPr>
              <w:t>/</w:t>
            </w:r>
          </w:p>
        </w:tc>
        <w:tc>
          <w:tcPr>
            <w:tcW w:w="1276" w:type="dxa"/>
            <w:tcBorders>
              <w:tl2br w:val="nil"/>
              <w:tr2bl w:val="nil"/>
            </w:tcBorders>
            <w:vAlign w:val="center"/>
          </w:tcPr>
          <w:p>
            <w:pPr>
              <w:jc w:val="center"/>
              <w:rPr>
                <w:rFonts w:hint="eastAsia"/>
                <w:color w:val="auto"/>
              </w:rPr>
            </w:pPr>
            <w:r>
              <w:rPr>
                <w:rFonts w:hint="eastAsia"/>
                <w:color w:val="auto"/>
              </w:rPr>
              <w:t>/</w:t>
            </w:r>
          </w:p>
        </w:tc>
        <w:tc>
          <w:tcPr>
            <w:tcW w:w="1701" w:type="dxa"/>
            <w:tcBorders>
              <w:tl2br w:val="nil"/>
              <w:tr2bl w:val="nil"/>
            </w:tcBorders>
            <w:vAlign w:val="center"/>
          </w:tcPr>
          <w:p>
            <w:pPr>
              <w:jc w:val="center"/>
              <w:rPr>
                <w:rFonts w:hint="eastAsia"/>
                <w:color w:val="auto"/>
              </w:rPr>
            </w:pPr>
            <w:r>
              <w:rPr>
                <w:rFonts w:hint="eastAsia"/>
                <w:color w:val="auto"/>
              </w:rPr>
              <w:t>/</w:t>
            </w:r>
          </w:p>
        </w:tc>
        <w:tc>
          <w:tcPr>
            <w:tcW w:w="1559" w:type="dxa"/>
            <w:tcBorders>
              <w:tl2br w:val="nil"/>
              <w:tr2bl w:val="nil"/>
            </w:tcBorders>
            <w:vAlign w:val="center"/>
          </w:tcPr>
          <w:p>
            <w:pPr>
              <w:jc w:val="center"/>
              <w:rPr>
                <w:rFonts w:hint="eastAsia"/>
                <w:color w:val="auto"/>
              </w:rPr>
            </w:pPr>
            <w:r>
              <w:rPr>
                <w:rFonts w:hint="eastAsia"/>
                <w:color w:val="auto"/>
              </w:rPr>
              <w:t>0.</w:t>
            </w:r>
            <w:r>
              <w:rPr>
                <w:rFonts w:hint="eastAsia"/>
                <w:color w:val="auto"/>
                <w:lang w:val="en-US" w:eastAsia="zh-CN"/>
              </w:rPr>
              <w:t>0</w:t>
            </w:r>
            <w:r>
              <w:rPr>
                <w:rFonts w:hint="eastAsia"/>
                <w:color w:val="auto"/>
              </w:rPr>
              <w:t>1</w:t>
            </w:r>
            <w:r>
              <w:rPr>
                <w:rFonts w:hint="eastAsia"/>
                <w:color w:val="auto"/>
                <w:lang w:val="en-US" w:eastAsia="zh-CN"/>
              </w:rPr>
              <w:t>7</w:t>
            </w:r>
            <w:r>
              <w:rPr>
                <w:rFonts w:hint="eastAsia"/>
                <w:color w:val="auto"/>
              </w:rPr>
              <w:t>t/a</w:t>
            </w:r>
          </w:p>
        </w:tc>
        <w:tc>
          <w:tcPr>
            <w:tcW w:w="1650" w:type="dxa"/>
            <w:tcBorders>
              <w:tl2br w:val="nil"/>
              <w:tr2bl w:val="nil"/>
            </w:tcBorders>
            <w:vAlign w:val="center"/>
          </w:tcPr>
          <w:p>
            <w:pPr>
              <w:jc w:val="center"/>
              <w:rPr>
                <w:rFonts w:hint="eastAsia"/>
                <w:color w:val="auto"/>
              </w:rPr>
            </w:pPr>
            <w:r>
              <w:rPr>
                <w:rFonts w:hint="eastAsia"/>
                <w:color w:val="auto"/>
              </w:rPr>
              <w:t>/</w:t>
            </w:r>
          </w:p>
        </w:tc>
        <w:tc>
          <w:tcPr>
            <w:tcW w:w="1766" w:type="dxa"/>
            <w:tcBorders>
              <w:tl2br w:val="nil"/>
              <w:tr2bl w:val="nil"/>
            </w:tcBorders>
            <w:vAlign w:val="center"/>
          </w:tcPr>
          <w:p>
            <w:pPr>
              <w:jc w:val="center"/>
              <w:rPr>
                <w:rFonts w:hint="eastAsia"/>
                <w:color w:val="auto"/>
                <w:lang w:val="en-US" w:eastAsia="zh-CN"/>
              </w:rPr>
            </w:pPr>
            <w:r>
              <w:rPr>
                <w:rFonts w:hint="eastAsia"/>
                <w:color w:val="auto"/>
                <w:lang w:val="en-US" w:eastAsia="zh-CN"/>
              </w:rPr>
              <w:t>0.017</w:t>
            </w:r>
            <w:r>
              <w:rPr>
                <w:rFonts w:hint="eastAsia"/>
                <w:color w:val="auto"/>
              </w:rPr>
              <w:t>t/a</w:t>
            </w:r>
          </w:p>
        </w:tc>
        <w:tc>
          <w:tcPr>
            <w:tcW w:w="1130" w:type="dxa"/>
            <w:tcBorders>
              <w:tl2br w:val="nil"/>
              <w:tr2bl w:val="nil"/>
            </w:tcBorders>
            <w:vAlign w:val="center"/>
          </w:tcPr>
          <w:p>
            <w:pPr>
              <w:ind w:left="0" w:leftChars="0" w:right="0" w:rightChars="0"/>
              <w:jc w:val="center"/>
              <w:rPr>
                <w:rFonts w:hint="eastAsia" w:ascii="宋体" w:hAnsi="宋体" w:eastAsia="宋体" w:cs="宋体"/>
                <w:color w:val="auto"/>
                <w:sz w:val="22"/>
                <w:szCs w:val="22"/>
                <w:lang w:val="en-US" w:eastAsia="zh-CN" w:bidi="zh-CN"/>
              </w:rPr>
            </w:pPr>
            <w:r>
              <w:rPr>
                <w:rFonts w:hint="eastAsia"/>
                <w:color w:val="auto"/>
                <w:lang w:val="en-US" w:eastAsia="zh-CN"/>
              </w:rPr>
              <w:t>+0.017</w:t>
            </w:r>
            <w:r>
              <w:rPr>
                <w:rFonts w:hint="eastAsia"/>
                <w:color w:val="auto"/>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1588" w:type="dxa"/>
            <w:tcBorders>
              <w:tl2br w:val="nil"/>
              <w:tr2bl w:val="nil"/>
            </w:tcBorders>
            <w:vAlign w:val="center"/>
          </w:tcPr>
          <w:p>
            <w:pPr>
              <w:jc w:val="center"/>
              <w:rPr>
                <w:rFonts w:hint="eastAsia"/>
                <w:color w:val="auto"/>
              </w:rPr>
            </w:pPr>
            <w:r>
              <w:rPr>
                <w:rFonts w:hint="eastAsia"/>
                <w:color w:val="auto"/>
              </w:rPr>
              <w:t>废水</w:t>
            </w:r>
          </w:p>
        </w:tc>
        <w:tc>
          <w:tcPr>
            <w:tcW w:w="1494" w:type="dxa"/>
            <w:tcBorders>
              <w:tl2br w:val="nil"/>
              <w:tr2bl w:val="nil"/>
            </w:tcBorders>
            <w:vAlign w:val="center"/>
          </w:tcPr>
          <w:p>
            <w:pPr>
              <w:jc w:val="center"/>
              <w:rPr>
                <w:rFonts w:hint="eastAsia"/>
                <w:color w:val="auto"/>
              </w:rPr>
            </w:pPr>
            <w:r>
              <w:rPr>
                <w:rFonts w:ascii="Times New Roman"/>
                <w:snapToGrid w:val="0"/>
                <w:color w:val="auto"/>
                <w:kern w:val="21"/>
                <w:szCs w:val="21"/>
              </w:rPr>
              <w:t>/</w:t>
            </w:r>
          </w:p>
        </w:tc>
        <w:tc>
          <w:tcPr>
            <w:tcW w:w="1624" w:type="dxa"/>
            <w:tcBorders>
              <w:tl2br w:val="nil"/>
              <w:tr2bl w:val="nil"/>
            </w:tcBorders>
            <w:vAlign w:val="center"/>
          </w:tcPr>
          <w:p>
            <w:pPr>
              <w:jc w:val="center"/>
              <w:rPr>
                <w:rFonts w:hint="eastAsia"/>
                <w:color w:val="auto"/>
              </w:rPr>
            </w:pPr>
            <w:r>
              <w:rPr>
                <w:rFonts w:ascii="Times New Roman"/>
                <w:snapToGrid w:val="0"/>
                <w:color w:val="auto"/>
                <w:kern w:val="21"/>
                <w:szCs w:val="21"/>
              </w:rPr>
              <w:t>/</w:t>
            </w:r>
          </w:p>
        </w:tc>
        <w:tc>
          <w:tcPr>
            <w:tcW w:w="1276" w:type="dxa"/>
            <w:tcBorders>
              <w:tl2br w:val="nil"/>
              <w:tr2bl w:val="nil"/>
            </w:tcBorders>
            <w:vAlign w:val="center"/>
          </w:tcPr>
          <w:p>
            <w:pPr>
              <w:jc w:val="center"/>
              <w:rPr>
                <w:rFonts w:hint="eastAsia"/>
                <w:color w:val="auto"/>
              </w:rPr>
            </w:pPr>
            <w:r>
              <w:rPr>
                <w:rFonts w:ascii="Times New Roman"/>
                <w:snapToGrid w:val="0"/>
                <w:color w:val="auto"/>
                <w:kern w:val="21"/>
                <w:szCs w:val="21"/>
              </w:rPr>
              <w:t>/</w:t>
            </w:r>
          </w:p>
        </w:tc>
        <w:tc>
          <w:tcPr>
            <w:tcW w:w="1701" w:type="dxa"/>
            <w:tcBorders>
              <w:tl2br w:val="nil"/>
              <w:tr2bl w:val="nil"/>
            </w:tcBorders>
            <w:vAlign w:val="center"/>
          </w:tcPr>
          <w:p>
            <w:pPr>
              <w:jc w:val="center"/>
              <w:rPr>
                <w:rFonts w:hint="eastAsia"/>
                <w:color w:val="auto"/>
              </w:rPr>
            </w:pPr>
            <w:r>
              <w:rPr>
                <w:rFonts w:ascii="Times New Roman"/>
                <w:snapToGrid w:val="0"/>
                <w:color w:val="auto"/>
                <w:kern w:val="21"/>
                <w:szCs w:val="21"/>
              </w:rPr>
              <w:t>/</w:t>
            </w:r>
          </w:p>
        </w:tc>
        <w:tc>
          <w:tcPr>
            <w:tcW w:w="1559" w:type="dxa"/>
            <w:tcBorders>
              <w:tl2br w:val="nil"/>
              <w:tr2bl w:val="nil"/>
            </w:tcBorders>
            <w:vAlign w:val="center"/>
          </w:tcPr>
          <w:p>
            <w:pPr>
              <w:jc w:val="center"/>
              <w:rPr>
                <w:rFonts w:hint="eastAsia"/>
                <w:color w:val="auto"/>
              </w:rPr>
            </w:pPr>
            <w:r>
              <w:rPr>
                <w:rFonts w:ascii="Times New Roman"/>
                <w:snapToGrid w:val="0"/>
                <w:color w:val="auto"/>
                <w:kern w:val="21"/>
                <w:szCs w:val="21"/>
              </w:rPr>
              <w:t>/</w:t>
            </w:r>
          </w:p>
        </w:tc>
        <w:tc>
          <w:tcPr>
            <w:tcW w:w="1650" w:type="dxa"/>
            <w:tcBorders>
              <w:tl2br w:val="nil"/>
              <w:tr2bl w:val="nil"/>
            </w:tcBorders>
            <w:vAlign w:val="center"/>
          </w:tcPr>
          <w:p>
            <w:pPr>
              <w:jc w:val="center"/>
              <w:rPr>
                <w:rFonts w:hint="eastAsia"/>
                <w:color w:val="auto"/>
              </w:rPr>
            </w:pPr>
            <w:r>
              <w:rPr>
                <w:rFonts w:ascii="Times New Roman"/>
                <w:snapToGrid w:val="0"/>
                <w:color w:val="auto"/>
                <w:kern w:val="21"/>
                <w:szCs w:val="21"/>
              </w:rPr>
              <w:t>/</w:t>
            </w:r>
          </w:p>
        </w:tc>
        <w:tc>
          <w:tcPr>
            <w:tcW w:w="1766" w:type="dxa"/>
            <w:tcBorders>
              <w:tl2br w:val="nil"/>
              <w:tr2bl w:val="nil"/>
            </w:tcBorders>
            <w:vAlign w:val="center"/>
          </w:tcPr>
          <w:p>
            <w:pPr>
              <w:jc w:val="center"/>
              <w:rPr>
                <w:rFonts w:hint="eastAsia"/>
                <w:color w:val="auto"/>
                <w:lang w:val="en-US" w:eastAsia="zh-CN"/>
              </w:rPr>
            </w:pPr>
            <w:r>
              <w:rPr>
                <w:rFonts w:ascii="Times New Roman"/>
                <w:snapToGrid w:val="0"/>
                <w:color w:val="auto"/>
                <w:kern w:val="21"/>
                <w:szCs w:val="21"/>
              </w:rPr>
              <w:t>/</w:t>
            </w:r>
          </w:p>
        </w:tc>
        <w:tc>
          <w:tcPr>
            <w:tcW w:w="1130" w:type="dxa"/>
            <w:tcBorders>
              <w:tl2br w:val="nil"/>
              <w:tr2bl w:val="nil"/>
            </w:tcBorders>
            <w:vAlign w:val="center"/>
          </w:tcPr>
          <w:p>
            <w:pPr>
              <w:ind w:left="0" w:leftChars="0" w:right="0" w:rightChars="0"/>
              <w:jc w:val="center"/>
              <w:rPr>
                <w:rFonts w:hint="eastAsia"/>
                <w:color w:val="auto"/>
                <w:lang w:val="en-US" w:eastAsia="zh-CN"/>
              </w:rPr>
            </w:pPr>
            <w:r>
              <w:rPr>
                <w:rFonts w:ascii="Times New Roman"/>
                <w:snapToGrid w:val="0"/>
                <w:color w:val="auto"/>
                <w:kern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1588" w:type="dxa"/>
            <w:vMerge w:val="restart"/>
            <w:tcBorders>
              <w:tl2br w:val="nil"/>
              <w:tr2bl w:val="nil"/>
            </w:tcBorders>
            <w:vAlign w:val="center"/>
          </w:tcPr>
          <w:p>
            <w:pPr>
              <w:jc w:val="center"/>
              <w:rPr>
                <w:rFonts w:hint="eastAsia"/>
                <w:color w:val="auto"/>
              </w:rPr>
            </w:pPr>
            <w:r>
              <w:rPr>
                <w:rFonts w:hint="eastAsia"/>
                <w:color w:val="auto"/>
              </w:rPr>
              <w:t>一般工业固体废物</w:t>
            </w:r>
          </w:p>
        </w:tc>
        <w:tc>
          <w:tcPr>
            <w:tcW w:w="1494" w:type="dxa"/>
            <w:tcBorders>
              <w:tl2br w:val="nil"/>
              <w:tr2bl w:val="nil"/>
            </w:tcBorders>
            <w:vAlign w:val="center"/>
          </w:tcPr>
          <w:p>
            <w:pPr>
              <w:jc w:val="center"/>
              <w:rPr>
                <w:rFonts w:hint="eastAsia"/>
                <w:color w:val="auto"/>
              </w:rPr>
            </w:pPr>
            <w:r>
              <w:rPr>
                <w:rFonts w:hint="eastAsia"/>
                <w:color w:val="auto"/>
              </w:rPr>
              <w:t>废安全气囊</w:t>
            </w:r>
          </w:p>
        </w:tc>
        <w:tc>
          <w:tcPr>
            <w:tcW w:w="1624" w:type="dxa"/>
            <w:tcBorders>
              <w:tl2br w:val="nil"/>
              <w:tr2bl w:val="nil"/>
            </w:tcBorders>
            <w:vAlign w:val="center"/>
          </w:tcPr>
          <w:p>
            <w:pPr>
              <w:jc w:val="center"/>
              <w:rPr>
                <w:rFonts w:hint="eastAsia"/>
                <w:color w:val="auto"/>
              </w:rPr>
            </w:pPr>
            <w:r>
              <w:rPr>
                <w:rFonts w:hint="eastAsia"/>
                <w:color w:val="auto"/>
              </w:rPr>
              <w:t>/</w:t>
            </w:r>
          </w:p>
        </w:tc>
        <w:tc>
          <w:tcPr>
            <w:tcW w:w="1276" w:type="dxa"/>
            <w:tcBorders>
              <w:tl2br w:val="nil"/>
              <w:tr2bl w:val="nil"/>
            </w:tcBorders>
            <w:vAlign w:val="center"/>
          </w:tcPr>
          <w:p>
            <w:pPr>
              <w:jc w:val="center"/>
              <w:rPr>
                <w:rFonts w:hint="eastAsia"/>
                <w:color w:val="auto"/>
              </w:rPr>
            </w:pPr>
            <w:r>
              <w:rPr>
                <w:rFonts w:hint="eastAsia"/>
                <w:color w:val="auto"/>
              </w:rPr>
              <w:t>/</w:t>
            </w:r>
          </w:p>
        </w:tc>
        <w:tc>
          <w:tcPr>
            <w:tcW w:w="1701" w:type="dxa"/>
            <w:tcBorders>
              <w:tl2br w:val="nil"/>
              <w:tr2bl w:val="nil"/>
            </w:tcBorders>
            <w:vAlign w:val="center"/>
          </w:tcPr>
          <w:p>
            <w:pPr>
              <w:jc w:val="center"/>
              <w:rPr>
                <w:rFonts w:hint="eastAsia"/>
                <w:color w:val="auto"/>
              </w:rPr>
            </w:pPr>
            <w:r>
              <w:rPr>
                <w:rFonts w:hint="eastAsia"/>
                <w:color w:val="auto"/>
              </w:rPr>
              <w:t>/</w:t>
            </w:r>
          </w:p>
        </w:tc>
        <w:tc>
          <w:tcPr>
            <w:tcW w:w="1559" w:type="dxa"/>
            <w:tcBorders>
              <w:tl2br w:val="nil"/>
              <w:tr2bl w:val="nil"/>
            </w:tcBorders>
            <w:vAlign w:val="center"/>
          </w:tcPr>
          <w:p>
            <w:pPr>
              <w:jc w:val="center"/>
              <w:rPr>
                <w:rFonts w:hint="eastAsia"/>
                <w:color w:val="auto"/>
              </w:rPr>
            </w:pPr>
            <w:r>
              <w:rPr>
                <w:rFonts w:hint="eastAsia"/>
                <w:color w:val="auto"/>
              </w:rPr>
              <w:t>14.4t/a</w:t>
            </w:r>
          </w:p>
        </w:tc>
        <w:tc>
          <w:tcPr>
            <w:tcW w:w="1650" w:type="dxa"/>
            <w:tcBorders>
              <w:tl2br w:val="nil"/>
              <w:tr2bl w:val="nil"/>
            </w:tcBorders>
            <w:vAlign w:val="center"/>
          </w:tcPr>
          <w:p>
            <w:pPr>
              <w:jc w:val="center"/>
              <w:rPr>
                <w:rFonts w:hint="eastAsia"/>
                <w:color w:val="auto"/>
              </w:rPr>
            </w:pPr>
            <w:r>
              <w:rPr>
                <w:rFonts w:hint="eastAsia"/>
                <w:color w:val="auto"/>
              </w:rPr>
              <w:t>/</w:t>
            </w:r>
          </w:p>
        </w:tc>
        <w:tc>
          <w:tcPr>
            <w:tcW w:w="1766" w:type="dxa"/>
            <w:tcBorders>
              <w:tl2br w:val="nil"/>
              <w:tr2bl w:val="nil"/>
            </w:tcBorders>
            <w:vAlign w:val="center"/>
          </w:tcPr>
          <w:p>
            <w:pPr>
              <w:jc w:val="center"/>
              <w:rPr>
                <w:rFonts w:hint="eastAsia"/>
                <w:color w:val="auto"/>
              </w:rPr>
            </w:pPr>
            <w:r>
              <w:rPr>
                <w:rFonts w:hint="eastAsia"/>
                <w:color w:val="auto"/>
              </w:rPr>
              <w:t>14.4t/a</w:t>
            </w:r>
          </w:p>
        </w:tc>
        <w:tc>
          <w:tcPr>
            <w:tcW w:w="1130" w:type="dxa"/>
            <w:tcBorders>
              <w:tl2br w:val="nil"/>
              <w:tr2bl w:val="nil"/>
            </w:tcBorders>
            <w:vAlign w:val="center"/>
          </w:tcPr>
          <w:p>
            <w:pPr>
              <w:ind w:left="0" w:leftChars="0" w:right="0" w:rightChars="0"/>
              <w:jc w:val="center"/>
              <w:rPr>
                <w:rFonts w:hint="eastAsia" w:ascii="宋体" w:hAnsi="宋体" w:eastAsia="宋体" w:cs="宋体"/>
                <w:color w:val="auto"/>
                <w:sz w:val="22"/>
                <w:szCs w:val="22"/>
                <w:lang w:val="zh-CN" w:eastAsia="zh-CN" w:bidi="zh-CN"/>
              </w:rPr>
            </w:pPr>
            <w:r>
              <w:rPr>
                <w:rFonts w:hint="eastAsia"/>
                <w:color w:val="auto"/>
                <w:lang w:val="en-US" w:eastAsia="zh-CN"/>
              </w:rPr>
              <w:t>+</w:t>
            </w:r>
            <w:r>
              <w:rPr>
                <w:rFonts w:hint="eastAsia"/>
                <w:color w:val="auto"/>
              </w:rPr>
              <w:t>14.4t/a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1588" w:type="dxa"/>
            <w:vMerge w:val="continue"/>
            <w:tcBorders>
              <w:tl2br w:val="nil"/>
              <w:tr2bl w:val="nil"/>
            </w:tcBorders>
            <w:vAlign w:val="center"/>
          </w:tcPr>
          <w:p>
            <w:pPr>
              <w:jc w:val="center"/>
              <w:rPr>
                <w:rFonts w:hint="eastAsia"/>
                <w:color w:val="auto"/>
              </w:rPr>
            </w:pPr>
          </w:p>
        </w:tc>
        <w:tc>
          <w:tcPr>
            <w:tcW w:w="1494" w:type="dxa"/>
            <w:tcBorders>
              <w:tl2br w:val="nil"/>
              <w:tr2bl w:val="nil"/>
            </w:tcBorders>
            <w:vAlign w:val="center"/>
          </w:tcPr>
          <w:p>
            <w:pPr>
              <w:jc w:val="center"/>
              <w:rPr>
                <w:rFonts w:hint="eastAsia"/>
                <w:color w:val="auto"/>
              </w:rPr>
            </w:pPr>
            <w:r>
              <w:rPr>
                <w:rFonts w:hint="eastAsia"/>
                <w:color w:val="auto"/>
              </w:rPr>
              <w:t>废动力电池组</w:t>
            </w:r>
          </w:p>
        </w:tc>
        <w:tc>
          <w:tcPr>
            <w:tcW w:w="1624" w:type="dxa"/>
            <w:tcBorders>
              <w:tl2br w:val="nil"/>
              <w:tr2bl w:val="nil"/>
            </w:tcBorders>
            <w:vAlign w:val="center"/>
          </w:tcPr>
          <w:p>
            <w:pPr>
              <w:jc w:val="center"/>
              <w:rPr>
                <w:rFonts w:hint="eastAsia"/>
                <w:color w:val="auto"/>
              </w:rPr>
            </w:pPr>
            <w:r>
              <w:rPr>
                <w:rFonts w:hint="eastAsia"/>
                <w:color w:val="auto"/>
              </w:rPr>
              <w:t>/</w:t>
            </w:r>
          </w:p>
        </w:tc>
        <w:tc>
          <w:tcPr>
            <w:tcW w:w="1276" w:type="dxa"/>
            <w:tcBorders>
              <w:tl2br w:val="nil"/>
              <w:tr2bl w:val="nil"/>
            </w:tcBorders>
            <w:vAlign w:val="center"/>
          </w:tcPr>
          <w:p>
            <w:pPr>
              <w:jc w:val="center"/>
              <w:rPr>
                <w:rFonts w:hint="eastAsia"/>
                <w:color w:val="auto"/>
              </w:rPr>
            </w:pPr>
            <w:r>
              <w:rPr>
                <w:rFonts w:hint="eastAsia"/>
                <w:color w:val="auto"/>
              </w:rPr>
              <w:t>/</w:t>
            </w:r>
          </w:p>
        </w:tc>
        <w:tc>
          <w:tcPr>
            <w:tcW w:w="1701" w:type="dxa"/>
            <w:tcBorders>
              <w:tl2br w:val="nil"/>
              <w:tr2bl w:val="nil"/>
            </w:tcBorders>
            <w:vAlign w:val="center"/>
          </w:tcPr>
          <w:p>
            <w:pPr>
              <w:jc w:val="center"/>
              <w:rPr>
                <w:rFonts w:hint="eastAsia"/>
                <w:color w:val="auto"/>
              </w:rPr>
            </w:pPr>
            <w:r>
              <w:rPr>
                <w:rFonts w:hint="eastAsia"/>
                <w:color w:val="auto"/>
              </w:rPr>
              <w:t>/</w:t>
            </w:r>
          </w:p>
        </w:tc>
        <w:tc>
          <w:tcPr>
            <w:tcW w:w="1559" w:type="dxa"/>
            <w:tcBorders>
              <w:tl2br w:val="nil"/>
              <w:tr2bl w:val="nil"/>
            </w:tcBorders>
            <w:vAlign w:val="center"/>
          </w:tcPr>
          <w:p>
            <w:pPr>
              <w:jc w:val="center"/>
              <w:rPr>
                <w:rFonts w:hint="eastAsia"/>
                <w:color w:val="auto"/>
              </w:rPr>
            </w:pPr>
            <w:r>
              <w:rPr>
                <w:rFonts w:hint="eastAsia"/>
                <w:color w:val="auto"/>
                <w:lang w:val="en-US" w:eastAsia="zh-CN"/>
              </w:rPr>
              <w:t>154.7</w:t>
            </w:r>
            <w:r>
              <w:rPr>
                <w:rFonts w:hint="eastAsia"/>
                <w:color w:val="auto"/>
              </w:rPr>
              <w:t>t/a</w:t>
            </w:r>
          </w:p>
        </w:tc>
        <w:tc>
          <w:tcPr>
            <w:tcW w:w="1650" w:type="dxa"/>
            <w:tcBorders>
              <w:tl2br w:val="nil"/>
              <w:tr2bl w:val="nil"/>
            </w:tcBorders>
            <w:vAlign w:val="center"/>
          </w:tcPr>
          <w:p>
            <w:pPr>
              <w:jc w:val="center"/>
              <w:rPr>
                <w:rFonts w:hint="eastAsia"/>
                <w:color w:val="auto"/>
              </w:rPr>
            </w:pPr>
            <w:r>
              <w:rPr>
                <w:rFonts w:hint="eastAsia"/>
                <w:color w:val="auto"/>
              </w:rPr>
              <w:t>/</w:t>
            </w:r>
          </w:p>
        </w:tc>
        <w:tc>
          <w:tcPr>
            <w:tcW w:w="1766" w:type="dxa"/>
            <w:tcBorders>
              <w:tl2br w:val="nil"/>
              <w:tr2bl w:val="nil"/>
            </w:tcBorders>
            <w:vAlign w:val="center"/>
          </w:tcPr>
          <w:p>
            <w:pPr>
              <w:jc w:val="center"/>
              <w:rPr>
                <w:rFonts w:hint="eastAsia"/>
                <w:color w:val="auto"/>
              </w:rPr>
            </w:pPr>
            <w:r>
              <w:rPr>
                <w:rFonts w:hint="eastAsia"/>
                <w:color w:val="auto"/>
                <w:lang w:val="en-US" w:eastAsia="zh-CN"/>
              </w:rPr>
              <w:t>154.7</w:t>
            </w:r>
            <w:r>
              <w:rPr>
                <w:rFonts w:hint="eastAsia"/>
                <w:color w:val="auto"/>
              </w:rPr>
              <w:t>t/a</w:t>
            </w:r>
          </w:p>
        </w:tc>
        <w:tc>
          <w:tcPr>
            <w:tcW w:w="1130" w:type="dxa"/>
            <w:tcBorders>
              <w:tl2br w:val="nil"/>
              <w:tr2bl w:val="nil"/>
            </w:tcBorders>
            <w:vAlign w:val="center"/>
          </w:tcPr>
          <w:p>
            <w:pPr>
              <w:ind w:left="0" w:leftChars="0" w:right="0" w:rightChars="0"/>
              <w:jc w:val="center"/>
              <w:rPr>
                <w:rFonts w:hint="eastAsia" w:ascii="宋体" w:hAnsi="宋体" w:eastAsia="宋体" w:cs="宋体"/>
                <w:color w:val="auto"/>
                <w:sz w:val="22"/>
                <w:szCs w:val="22"/>
                <w:lang w:val="zh-CN" w:eastAsia="zh-CN" w:bidi="zh-CN"/>
              </w:rPr>
            </w:pPr>
            <w:r>
              <w:rPr>
                <w:rFonts w:hint="eastAsia"/>
                <w:color w:val="auto"/>
                <w:lang w:val="en-US" w:eastAsia="zh-CN"/>
              </w:rPr>
              <w:t>+154.7</w:t>
            </w:r>
            <w:r>
              <w:rPr>
                <w:rFonts w:hint="eastAsia"/>
                <w:color w:val="auto"/>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588" w:type="dxa"/>
            <w:vMerge w:val="continue"/>
            <w:tcBorders>
              <w:tl2br w:val="nil"/>
              <w:tr2bl w:val="nil"/>
            </w:tcBorders>
            <w:vAlign w:val="center"/>
          </w:tcPr>
          <w:p>
            <w:pPr>
              <w:jc w:val="center"/>
              <w:rPr>
                <w:rFonts w:hint="eastAsia"/>
                <w:color w:val="auto"/>
              </w:rPr>
            </w:pPr>
          </w:p>
        </w:tc>
        <w:tc>
          <w:tcPr>
            <w:tcW w:w="1494" w:type="dxa"/>
            <w:tcBorders>
              <w:tl2br w:val="nil"/>
              <w:tr2bl w:val="nil"/>
            </w:tcBorders>
            <w:vAlign w:val="center"/>
          </w:tcPr>
          <w:p>
            <w:pPr>
              <w:jc w:val="center"/>
              <w:rPr>
                <w:rFonts w:hint="eastAsia"/>
                <w:color w:val="auto"/>
              </w:rPr>
            </w:pPr>
            <w:r>
              <w:rPr>
                <w:rFonts w:hint="eastAsia"/>
                <w:color w:val="auto"/>
              </w:rPr>
              <w:t>不可利用材料</w:t>
            </w:r>
          </w:p>
        </w:tc>
        <w:tc>
          <w:tcPr>
            <w:tcW w:w="1624" w:type="dxa"/>
            <w:tcBorders>
              <w:tl2br w:val="nil"/>
              <w:tr2bl w:val="nil"/>
            </w:tcBorders>
            <w:vAlign w:val="center"/>
          </w:tcPr>
          <w:p>
            <w:pPr>
              <w:jc w:val="center"/>
              <w:rPr>
                <w:rFonts w:hint="eastAsia"/>
                <w:color w:val="auto"/>
              </w:rPr>
            </w:pPr>
            <w:r>
              <w:rPr>
                <w:rFonts w:hint="eastAsia"/>
                <w:color w:val="auto"/>
              </w:rPr>
              <w:t>/</w:t>
            </w:r>
          </w:p>
        </w:tc>
        <w:tc>
          <w:tcPr>
            <w:tcW w:w="1276" w:type="dxa"/>
            <w:tcBorders>
              <w:tl2br w:val="nil"/>
              <w:tr2bl w:val="nil"/>
            </w:tcBorders>
            <w:vAlign w:val="center"/>
          </w:tcPr>
          <w:p>
            <w:pPr>
              <w:jc w:val="center"/>
              <w:rPr>
                <w:rFonts w:hint="eastAsia"/>
                <w:color w:val="auto"/>
              </w:rPr>
            </w:pPr>
            <w:r>
              <w:rPr>
                <w:rFonts w:hint="eastAsia"/>
                <w:color w:val="auto"/>
              </w:rPr>
              <w:t>/</w:t>
            </w:r>
          </w:p>
        </w:tc>
        <w:tc>
          <w:tcPr>
            <w:tcW w:w="1701" w:type="dxa"/>
            <w:tcBorders>
              <w:tl2br w:val="nil"/>
              <w:tr2bl w:val="nil"/>
            </w:tcBorders>
            <w:vAlign w:val="center"/>
          </w:tcPr>
          <w:p>
            <w:pPr>
              <w:jc w:val="center"/>
              <w:rPr>
                <w:rFonts w:hint="eastAsia"/>
                <w:color w:val="auto"/>
              </w:rPr>
            </w:pPr>
            <w:r>
              <w:rPr>
                <w:rFonts w:hint="eastAsia"/>
                <w:color w:val="auto"/>
              </w:rPr>
              <w:t>/</w:t>
            </w:r>
          </w:p>
        </w:tc>
        <w:tc>
          <w:tcPr>
            <w:tcW w:w="1559" w:type="dxa"/>
            <w:tcBorders>
              <w:tl2br w:val="nil"/>
              <w:tr2bl w:val="nil"/>
            </w:tcBorders>
            <w:vAlign w:val="center"/>
          </w:tcPr>
          <w:p>
            <w:pPr>
              <w:jc w:val="center"/>
              <w:rPr>
                <w:rFonts w:hint="eastAsia"/>
                <w:color w:val="auto"/>
              </w:rPr>
            </w:pPr>
            <w:r>
              <w:rPr>
                <w:rFonts w:hint="eastAsia"/>
                <w:color w:val="auto"/>
                <w:lang w:val="en-US" w:eastAsia="zh-CN"/>
              </w:rPr>
              <w:t>820</w:t>
            </w:r>
            <w:r>
              <w:rPr>
                <w:rFonts w:hint="eastAsia"/>
                <w:color w:val="auto"/>
              </w:rPr>
              <w:t>t/a</w:t>
            </w:r>
          </w:p>
        </w:tc>
        <w:tc>
          <w:tcPr>
            <w:tcW w:w="1650" w:type="dxa"/>
            <w:tcBorders>
              <w:tl2br w:val="nil"/>
              <w:tr2bl w:val="nil"/>
            </w:tcBorders>
            <w:vAlign w:val="center"/>
          </w:tcPr>
          <w:p>
            <w:pPr>
              <w:jc w:val="center"/>
              <w:rPr>
                <w:rFonts w:hint="eastAsia"/>
                <w:color w:val="auto"/>
              </w:rPr>
            </w:pPr>
            <w:r>
              <w:rPr>
                <w:rFonts w:hint="eastAsia"/>
                <w:color w:val="auto"/>
              </w:rPr>
              <w:t>/</w:t>
            </w:r>
          </w:p>
        </w:tc>
        <w:tc>
          <w:tcPr>
            <w:tcW w:w="1766" w:type="dxa"/>
            <w:tcBorders>
              <w:tl2br w:val="nil"/>
              <w:tr2bl w:val="nil"/>
            </w:tcBorders>
            <w:vAlign w:val="center"/>
          </w:tcPr>
          <w:p>
            <w:pPr>
              <w:jc w:val="center"/>
              <w:rPr>
                <w:rFonts w:hint="eastAsia"/>
                <w:color w:val="auto"/>
              </w:rPr>
            </w:pPr>
            <w:r>
              <w:rPr>
                <w:rFonts w:hint="eastAsia"/>
                <w:color w:val="auto"/>
                <w:lang w:val="en-US" w:eastAsia="zh-CN"/>
              </w:rPr>
              <w:t>820</w:t>
            </w:r>
            <w:r>
              <w:rPr>
                <w:rFonts w:hint="eastAsia"/>
                <w:color w:val="auto"/>
              </w:rPr>
              <w:t>t/a</w:t>
            </w:r>
          </w:p>
        </w:tc>
        <w:tc>
          <w:tcPr>
            <w:tcW w:w="1130" w:type="dxa"/>
            <w:tcBorders>
              <w:tl2br w:val="nil"/>
              <w:tr2bl w:val="nil"/>
            </w:tcBorders>
            <w:vAlign w:val="center"/>
          </w:tcPr>
          <w:p>
            <w:pPr>
              <w:ind w:left="0" w:leftChars="0" w:right="0" w:rightChars="0"/>
              <w:jc w:val="center"/>
              <w:rPr>
                <w:rFonts w:hint="eastAsia" w:ascii="宋体" w:hAnsi="宋体" w:eastAsia="宋体" w:cs="宋体"/>
                <w:color w:val="auto"/>
                <w:sz w:val="22"/>
                <w:szCs w:val="22"/>
                <w:lang w:val="zh-CN" w:eastAsia="zh-CN" w:bidi="zh-CN"/>
              </w:rPr>
            </w:pPr>
            <w:r>
              <w:rPr>
                <w:rFonts w:hint="eastAsia"/>
                <w:color w:val="auto"/>
                <w:lang w:val="en-US" w:eastAsia="zh-CN"/>
              </w:rPr>
              <w:t>+820</w:t>
            </w:r>
            <w:r>
              <w:rPr>
                <w:rFonts w:hint="eastAsia"/>
                <w:color w:val="auto"/>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1588" w:type="dxa"/>
            <w:vMerge w:val="restart"/>
            <w:tcBorders>
              <w:tl2br w:val="nil"/>
              <w:tr2bl w:val="nil"/>
            </w:tcBorders>
            <w:vAlign w:val="center"/>
          </w:tcPr>
          <w:p>
            <w:pPr>
              <w:jc w:val="center"/>
              <w:rPr>
                <w:rFonts w:hint="eastAsia"/>
                <w:color w:val="auto"/>
                <w:lang w:val="zh-CN" w:eastAsia="zh-CN"/>
              </w:rPr>
            </w:pPr>
            <w:r>
              <w:rPr>
                <w:rFonts w:hint="eastAsia"/>
                <w:color w:val="auto"/>
                <w:lang w:val="zh-CN" w:eastAsia="zh-CN"/>
              </w:rPr>
              <w:br w:type="page"/>
            </w:r>
            <w:r>
              <w:rPr>
                <w:rFonts w:hint="eastAsia"/>
                <w:color w:val="auto"/>
              </w:rPr>
              <w:t>危险废物</w:t>
            </w:r>
          </w:p>
          <w:p>
            <w:pPr>
              <w:jc w:val="both"/>
              <w:rPr>
                <w:rFonts w:hint="eastAsia"/>
                <w:color w:val="auto"/>
              </w:rPr>
            </w:pPr>
          </w:p>
        </w:tc>
        <w:tc>
          <w:tcPr>
            <w:tcW w:w="1494" w:type="dxa"/>
            <w:tcBorders>
              <w:tl2br w:val="nil"/>
              <w:tr2bl w:val="nil"/>
            </w:tcBorders>
            <w:vAlign w:val="center"/>
          </w:tcPr>
          <w:p>
            <w:pPr>
              <w:jc w:val="center"/>
              <w:rPr>
                <w:rFonts w:hint="eastAsia"/>
                <w:color w:val="auto"/>
              </w:rPr>
            </w:pPr>
            <w:r>
              <w:rPr>
                <w:rFonts w:hint="eastAsia"/>
                <w:color w:val="auto"/>
              </w:rPr>
              <w:t>废蓄电池</w:t>
            </w:r>
          </w:p>
        </w:tc>
        <w:tc>
          <w:tcPr>
            <w:tcW w:w="1624" w:type="dxa"/>
            <w:tcBorders>
              <w:tl2br w:val="nil"/>
              <w:tr2bl w:val="nil"/>
            </w:tcBorders>
            <w:vAlign w:val="center"/>
          </w:tcPr>
          <w:p>
            <w:pPr>
              <w:jc w:val="center"/>
              <w:rPr>
                <w:rFonts w:hint="eastAsia"/>
                <w:color w:val="auto"/>
              </w:rPr>
            </w:pPr>
            <w:r>
              <w:rPr>
                <w:rFonts w:hint="eastAsia"/>
                <w:color w:val="auto"/>
              </w:rPr>
              <w:t>/</w:t>
            </w:r>
          </w:p>
        </w:tc>
        <w:tc>
          <w:tcPr>
            <w:tcW w:w="1276" w:type="dxa"/>
            <w:tcBorders>
              <w:tl2br w:val="nil"/>
              <w:tr2bl w:val="nil"/>
            </w:tcBorders>
            <w:vAlign w:val="center"/>
          </w:tcPr>
          <w:p>
            <w:pPr>
              <w:jc w:val="center"/>
              <w:rPr>
                <w:rFonts w:hint="eastAsia"/>
                <w:color w:val="auto"/>
              </w:rPr>
            </w:pPr>
            <w:r>
              <w:rPr>
                <w:rFonts w:hint="eastAsia"/>
                <w:color w:val="auto"/>
              </w:rPr>
              <w:t>/</w:t>
            </w:r>
          </w:p>
        </w:tc>
        <w:tc>
          <w:tcPr>
            <w:tcW w:w="1701" w:type="dxa"/>
            <w:tcBorders>
              <w:tl2br w:val="nil"/>
              <w:tr2bl w:val="nil"/>
            </w:tcBorders>
            <w:vAlign w:val="center"/>
          </w:tcPr>
          <w:p>
            <w:pPr>
              <w:jc w:val="center"/>
              <w:rPr>
                <w:rFonts w:hint="eastAsia"/>
                <w:color w:val="auto"/>
              </w:rPr>
            </w:pPr>
            <w:r>
              <w:rPr>
                <w:rFonts w:hint="eastAsia"/>
                <w:color w:val="auto"/>
              </w:rPr>
              <w:t>/</w:t>
            </w:r>
          </w:p>
        </w:tc>
        <w:tc>
          <w:tcPr>
            <w:tcW w:w="1559" w:type="dxa"/>
            <w:tcBorders>
              <w:tl2br w:val="nil"/>
              <w:tr2bl w:val="nil"/>
            </w:tcBorders>
            <w:vAlign w:val="center"/>
          </w:tcPr>
          <w:p>
            <w:pPr>
              <w:jc w:val="center"/>
              <w:rPr>
                <w:rFonts w:hint="eastAsia"/>
                <w:color w:val="auto"/>
              </w:rPr>
            </w:pPr>
            <w:r>
              <w:rPr>
                <w:rFonts w:hint="eastAsia"/>
                <w:color w:val="auto"/>
                <w:lang w:val="en-US" w:eastAsia="zh-CN"/>
              </w:rPr>
              <w:t>184</w:t>
            </w:r>
            <w:r>
              <w:rPr>
                <w:rFonts w:hint="eastAsia"/>
                <w:color w:val="auto"/>
              </w:rPr>
              <w:t>.5t/a</w:t>
            </w:r>
          </w:p>
        </w:tc>
        <w:tc>
          <w:tcPr>
            <w:tcW w:w="1650" w:type="dxa"/>
            <w:tcBorders>
              <w:tl2br w:val="nil"/>
              <w:tr2bl w:val="nil"/>
            </w:tcBorders>
            <w:vAlign w:val="center"/>
          </w:tcPr>
          <w:p>
            <w:pPr>
              <w:jc w:val="center"/>
              <w:rPr>
                <w:rFonts w:hint="eastAsia"/>
                <w:color w:val="auto"/>
              </w:rPr>
            </w:pPr>
            <w:r>
              <w:rPr>
                <w:rFonts w:hint="eastAsia"/>
                <w:color w:val="auto"/>
              </w:rPr>
              <w:t>/</w:t>
            </w:r>
          </w:p>
        </w:tc>
        <w:tc>
          <w:tcPr>
            <w:tcW w:w="1766" w:type="dxa"/>
            <w:tcBorders>
              <w:tl2br w:val="nil"/>
              <w:tr2bl w:val="nil"/>
            </w:tcBorders>
            <w:vAlign w:val="center"/>
          </w:tcPr>
          <w:p>
            <w:pPr>
              <w:jc w:val="center"/>
              <w:rPr>
                <w:rFonts w:hint="eastAsia"/>
                <w:color w:val="auto"/>
              </w:rPr>
            </w:pPr>
            <w:r>
              <w:rPr>
                <w:rFonts w:hint="eastAsia"/>
                <w:color w:val="auto"/>
                <w:lang w:val="en-US" w:eastAsia="zh-CN"/>
              </w:rPr>
              <w:t>184</w:t>
            </w:r>
            <w:r>
              <w:rPr>
                <w:rFonts w:hint="eastAsia"/>
                <w:color w:val="auto"/>
              </w:rPr>
              <w:t>.5t/a</w:t>
            </w:r>
          </w:p>
        </w:tc>
        <w:tc>
          <w:tcPr>
            <w:tcW w:w="1130" w:type="dxa"/>
            <w:tcBorders>
              <w:tl2br w:val="nil"/>
              <w:tr2bl w:val="nil"/>
            </w:tcBorders>
            <w:vAlign w:val="center"/>
          </w:tcPr>
          <w:p>
            <w:pPr>
              <w:ind w:left="0" w:leftChars="0" w:right="0" w:rightChars="0"/>
              <w:jc w:val="center"/>
              <w:rPr>
                <w:rFonts w:hint="eastAsia" w:ascii="宋体" w:hAnsi="宋体" w:eastAsia="宋体" w:cs="宋体"/>
                <w:color w:val="auto"/>
                <w:sz w:val="22"/>
                <w:szCs w:val="22"/>
                <w:lang w:val="zh-CN" w:eastAsia="zh-CN" w:bidi="zh-CN"/>
              </w:rPr>
            </w:pPr>
            <w:r>
              <w:rPr>
                <w:rFonts w:hint="eastAsia"/>
                <w:color w:val="auto"/>
                <w:lang w:val="en-US" w:eastAsia="zh-CN"/>
              </w:rPr>
              <w:t>+184</w:t>
            </w:r>
            <w:r>
              <w:rPr>
                <w:rFonts w:hint="eastAsia"/>
                <w:color w:val="auto"/>
              </w:rPr>
              <w:t>.5t/a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1588" w:type="dxa"/>
            <w:vMerge w:val="continue"/>
            <w:tcBorders>
              <w:tl2br w:val="nil"/>
              <w:tr2bl w:val="nil"/>
            </w:tcBorders>
            <w:vAlign w:val="center"/>
          </w:tcPr>
          <w:p>
            <w:pPr>
              <w:jc w:val="center"/>
              <w:rPr>
                <w:rFonts w:hint="eastAsia"/>
                <w:color w:val="auto"/>
              </w:rPr>
            </w:pPr>
          </w:p>
        </w:tc>
        <w:tc>
          <w:tcPr>
            <w:tcW w:w="1494" w:type="dxa"/>
            <w:tcBorders>
              <w:tl2br w:val="nil"/>
              <w:tr2bl w:val="nil"/>
            </w:tcBorders>
            <w:vAlign w:val="center"/>
          </w:tcPr>
          <w:p>
            <w:pPr>
              <w:jc w:val="center"/>
              <w:rPr>
                <w:rFonts w:hint="eastAsia"/>
                <w:color w:val="auto"/>
              </w:rPr>
            </w:pPr>
            <w:r>
              <w:rPr>
                <w:rFonts w:hint="eastAsia"/>
                <w:color w:val="auto"/>
              </w:rPr>
              <w:t>废尾气净化装置（含催化剂）</w:t>
            </w:r>
          </w:p>
        </w:tc>
        <w:tc>
          <w:tcPr>
            <w:tcW w:w="1624" w:type="dxa"/>
            <w:tcBorders>
              <w:tl2br w:val="nil"/>
              <w:tr2bl w:val="nil"/>
            </w:tcBorders>
            <w:vAlign w:val="center"/>
          </w:tcPr>
          <w:p>
            <w:pPr>
              <w:jc w:val="center"/>
              <w:rPr>
                <w:rFonts w:hint="eastAsia"/>
                <w:color w:val="auto"/>
              </w:rPr>
            </w:pPr>
          </w:p>
          <w:p>
            <w:pPr>
              <w:jc w:val="center"/>
              <w:rPr>
                <w:rFonts w:hint="eastAsia"/>
                <w:color w:val="auto"/>
              </w:rPr>
            </w:pPr>
            <w:r>
              <w:rPr>
                <w:rFonts w:hint="eastAsia"/>
                <w:color w:val="auto"/>
              </w:rPr>
              <w:t>/</w:t>
            </w:r>
          </w:p>
        </w:tc>
        <w:tc>
          <w:tcPr>
            <w:tcW w:w="1276" w:type="dxa"/>
            <w:tcBorders>
              <w:tl2br w:val="nil"/>
              <w:tr2bl w:val="nil"/>
            </w:tcBorders>
            <w:vAlign w:val="center"/>
          </w:tcPr>
          <w:p>
            <w:pPr>
              <w:jc w:val="center"/>
              <w:rPr>
                <w:rFonts w:hint="eastAsia"/>
                <w:color w:val="auto"/>
              </w:rPr>
            </w:pPr>
          </w:p>
          <w:p>
            <w:pPr>
              <w:jc w:val="center"/>
              <w:rPr>
                <w:rFonts w:hint="eastAsia"/>
                <w:color w:val="auto"/>
              </w:rPr>
            </w:pPr>
            <w:r>
              <w:rPr>
                <w:rFonts w:hint="eastAsia"/>
                <w:color w:val="auto"/>
              </w:rPr>
              <w:t>/</w:t>
            </w:r>
          </w:p>
        </w:tc>
        <w:tc>
          <w:tcPr>
            <w:tcW w:w="1701" w:type="dxa"/>
            <w:tcBorders>
              <w:tl2br w:val="nil"/>
              <w:tr2bl w:val="nil"/>
            </w:tcBorders>
            <w:vAlign w:val="center"/>
          </w:tcPr>
          <w:p>
            <w:pPr>
              <w:jc w:val="center"/>
              <w:rPr>
                <w:rFonts w:hint="eastAsia"/>
                <w:color w:val="auto"/>
              </w:rPr>
            </w:pPr>
          </w:p>
          <w:p>
            <w:pPr>
              <w:jc w:val="center"/>
              <w:rPr>
                <w:rFonts w:hint="eastAsia"/>
                <w:color w:val="auto"/>
              </w:rPr>
            </w:pPr>
            <w:r>
              <w:rPr>
                <w:rFonts w:hint="eastAsia"/>
                <w:color w:val="auto"/>
              </w:rPr>
              <w:t>/</w:t>
            </w:r>
          </w:p>
        </w:tc>
        <w:tc>
          <w:tcPr>
            <w:tcW w:w="1559" w:type="dxa"/>
            <w:tcBorders>
              <w:tl2br w:val="nil"/>
              <w:tr2bl w:val="nil"/>
            </w:tcBorders>
            <w:vAlign w:val="center"/>
          </w:tcPr>
          <w:p>
            <w:pPr>
              <w:jc w:val="center"/>
              <w:rPr>
                <w:rFonts w:hint="eastAsia"/>
                <w:color w:val="auto"/>
              </w:rPr>
            </w:pPr>
            <w:r>
              <w:rPr>
                <w:rFonts w:hint="eastAsia"/>
                <w:color w:val="auto"/>
              </w:rPr>
              <w:t>17.1t/a</w:t>
            </w:r>
          </w:p>
        </w:tc>
        <w:tc>
          <w:tcPr>
            <w:tcW w:w="1650" w:type="dxa"/>
            <w:tcBorders>
              <w:tl2br w:val="nil"/>
              <w:tr2bl w:val="nil"/>
            </w:tcBorders>
            <w:vAlign w:val="center"/>
          </w:tcPr>
          <w:p>
            <w:pPr>
              <w:jc w:val="center"/>
              <w:rPr>
                <w:rFonts w:hint="eastAsia"/>
                <w:color w:val="auto"/>
              </w:rPr>
            </w:pPr>
          </w:p>
          <w:p>
            <w:pPr>
              <w:jc w:val="center"/>
              <w:rPr>
                <w:rFonts w:hint="eastAsia"/>
                <w:color w:val="auto"/>
              </w:rPr>
            </w:pPr>
            <w:r>
              <w:rPr>
                <w:rFonts w:hint="eastAsia"/>
                <w:color w:val="auto"/>
              </w:rPr>
              <w:t>/</w:t>
            </w:r>
          </w:p>
        </w:tc>
        <w:tc>
          <w:tcPr>
            <w:tcW w:w="1766" w:type="dxa"/>
            <w:tcBorders>
              <w:tl2br w:val="nil"/>
              <w:tr2bl w:val="nil"/>
            </w:tcBorders>
            <w:vAlign w:val="center"/>
          </w:tcPr>
          <w:p>
            <w:pPr>
              <w:jc w:val="center"/>
              <w:rPr>
                <w:rFonts w:hint="eastAsia"/>
                <w:color w:val="auto"/>
              </w:rPr>
            </w:pPr>
            <w:r>
              <w:rPr>
                <w:rFonts w:hint="eastAsia"/>
                <w:color w:val="auto"/>
              </w:rPr>
              <w:t>17.1t/a</w:t>
            </w:r>
          </w:p>
        </w:tc>
        <w:tc>
          <w:tcPr>
            <w:tcW w:w="1130" w:type="dxa"/>
            <w:tcBorders>
              <w:tl2br w:val="nil"/>
              <w:tr2bl w:val="nil"/>
            </w:tcBorders>
            <w:vAlign w:val="center"/>
          </w:tcPr>
          <w:p>
            <w:pPr>
              <w:ind w:left="0" w:leftChars="0" w:right="0" w:rightChars="0"/>
              <w:jc w:val="center"/>
              <w:rPr>
                <w:rFonts w:hint="eastAsia" w:ascii="宋体" w:hAnsi="宋体" w:eastAsia="宋体" w:cs="宋体"/>
                <w:color w:val="auto"/>
                <w:sz w:val="22"/>
                <w:szCs w:val="22"/>
                <w:lang w:val="zh-CN" w:eastAsia="zh-CN" w:bidi="zh-CN"/>
              </w:rPr>
            </w:pPr>
            <w:r>
              <w:rPr>
                <w:rFonts w:hint="eastAsia"/>
                <w:color w:val="auto"/>
                <w:lang w:val="en-US" w:eastAsia="zh-CN"/>
              </w:rPr>
              <w:t>+</w:t>
            </w:r>
            <w:r>
              <w:rPr>
                <w:rFonts w:hint="eastAsia"/>
                <w:color w:val="auto"/>
              </w:rPr>
              <w:t>17.1t/a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1588" w:type="dxa"/>
            <w:vMerge w:val="continue"/>
            <w:tcBorders>
              <w:tl2br w:val="nil"/>
              <w:tr2bl w:val="nil"/>
            </w:tcBorders>
            <w:vAlign w:val="center"/>
          </w:tcPr>
          <w:p>
            <w:pPr>
              <w:jc w:val="center"/>
              <w:rPr>
                <w:rFonts w:hint="eastAsia"/>
                <w:color w:val="auto"/>
              </w:rPr>
            </w:pPr>
          </w:p>
        </w:tc>
        <w:tc>
          <w:tcPr>
            <w:tcW w:w="1494" w:type="dxa"/>
            <w:tcBorders>
              <w:tl2br w:val="nil"/>
              <w:tr2bl w:val="nil"/>
            </w:tcBorders>
            <w:vAlign w:val="center"/>
          </w:tcPr>
          <w:p>
            <w:pPr>
              <w:jc w:val="center"/>
              <w:rPr>
                <w:rFonts w:hint="eastAsia"/>
                <w:color w:val="auto"/>
              </w:rPr>
            </w:pPr>
            <w:r>
              <w:rPr>
                <w:rFonts w:hint="eastAsia"/>
                <w:color w:val="auto"/>
              </w:rPr>
              <w:t>废线路板</w:t>
            </w:r>
          </w:p>
        </w:tc>
        <w:tc>
          <w:tcPr>
            <w:tcW w:w="1624" w:type="dxa"/>
            <w:tcBorders>
              <w:tl2br w:val="nil"/>
              <w:tr2bl w:val="nil"/>
            </w:tcBorders>
            <w:vAlign w:val="center"/>
          </w:tcPr>
          <w:p>
            <w:pPr>
              <w:jc w:val="center"/>
              <w:rPr>
                <w:rFonts w:hint="eastAsia"/>
                <w:color w:val="auto"/>
              </w:rPr>
            </w:pPr>
            <w:r>
              <w:rPr>
                <w:rFonts w:hint="eastAsia"/>
                <w:color w:val="auto"/>
              </w:rPr>
              <w:t>/</w:t>
            </w:r>
          </w:p>
        </w:tc>
        <w:tc>
          <w:tcPr>
            <w:tcW w:w="1276" w:type="dxa"/>
            <w:tcBorders>
              <w:tl2br w:val="nil"/>
              <w:tr2bl w:val="nil"/>
            </w:tcBorders>
            <w:vAlign w:val="center"/>
          </w:tcPr>
          <w:p>
            <w:pPr>
              <w:jc w:val="center"/>
              <w:rPr>
                <w:rFonts w:hint="eastAsia"/>
                <w:color w:val="auto"/>
              </w:rPr>
            </w:pPr>
            <w:r>
              <w:rPr>
                <w:rFonts w:hint="eastAsia"/>
                <w:color w:val="auto"/>
              </w:rPr>
              <w:t>/</w:t>
            </w:r>
          </w:p>
        </w:tc>
        <w:tc>
          <w:tcPr>
            <w:tcW w:w="1701" w:type="dxa"/>
            <w:tcBorders>
              <w:tl2br w:val="nil"/>
              <w:tr2bl w:val="nil"/>
            </w:tcBorders>
            <w:vAlign w:val="center"/>
          </w:tcPr>
          <w:p>
            <w:pPr>
              <w:jc w:val="center"/>
              <w:rPr>
                <w:rFonts w:hint="eastAsia"/>
                <w:color w:val="auto"/>
              </w:rPr>
            </w:pPr>
            <w:r>
              <w:rPr>
                <w:rFonts w:hint="eastAsia"/>
                <w:color w:val="auto"/>
              </w:rPr>
              <w:t>/</w:t>
            </w:r>
          </w:p>
        </w:tc>
        <w:tc>
          <w:tcPr>
            <w:tcW w:w="1559" w:type="dxa"/>
            <w:tcBorders>
              <w:tl2br w:val="nil"/>
              <w:tr2bl w:val="nil"/>
            </w:tcBorders>
            <w:vAlign w:val="center"/>
          </w:tcPr>
          <w:p>
            <w:pPr>
              <w:jc w:val="center"/>
              <w:rPr>
                <w:rFonts w:hint="eastAsia"/>
                <w:color w:val="auto"/>
              </w:rPr>
            </w:pPr>
            <w:r>
              <w:rPr>
                <w:rFonts w:hint="eastAsia"/>
                <w:color w:val="auto"/>
              </w:rPr>
              <w:t>2.</w:t>
            </w:r>
            <w:r>
              <w:rPr>
                <w:rFonts w:hint="eastAsia"/>
                <w:color w:val="auto"/>
                <w:lang w:val="en-US" w:eastAsia="zh-CN"/>
              </w:rPr>
              <w:t>7</w:t>
            </w:r>
            <w:r>
              <w:rPr>
                <w:rFonts w:hint="eastAsia"/>
                <w:color w:val="auto"/>
              </w:rPr>
              <w:t>t/a</w:t>
            </w:r>
          </w:p>
        </w:tc>
        <w:tc>
          <w:tcPr>
            <w:tcW w:w="1650" w:type="dxa"/>
            <w:tcBorders>
              <w:tl2br w:val="nil"/>
              <w:tr2bl w:val="nil"/>
            </w:tcBorders>
            <w:vAlign w:val="center"/>
          </w:tcPr>
          <w:p>
            <w:pPr>
              <w:jc w:val="center"/>
              <w:rPr>
                <w:rFonts w:hint="eastAsia"/>
                <w:color w:val="auto"/>
              </w:rPr>
            </w:pPr>
            <w:r>
              <w:rPr>
                <w:rFonts w:hint="eastAsia"/>
                <w:color w:val="auto"/>
              </w:rPr>
              <w:t>/</w:t>
            </w:r>
          </w:p>
        </w:tc>
        <w:tc>
          <w:tcPr>
            <w:tcW w:w="1766" w:type="dxa"/>
            <w:tcBorders>
              <w:tl2br w:val="nil"/>
              <w:tr2bl w:val="nil"/>
            </w:tcBorders>
            <w:vAlign w:val="center"/>
          </w:tcPr>
          <w:p>
            <w:pPr>
              <w:jc w:val="center"/>
              <w:rPr>
                <w:rFonts w:hint="eastAsia"/>
                <w:color w:val="auto"/>
              </w:rPr>
            </w:pPr>
            <w:r>
              <w:rPr>
                <w:rFonts w:hint="eastAsia"/>
                <w:color w:val="auto"/>
              </w:rPr>
              <w:t>2.</w:t>
            </w:r>
            <w:r>
              <w:rPr>
                <w:rFonts w:hint="eastAsia"/>
                <w:color w:val="auto"/>
                <w:lang w:val="en-US" w:eastAsia="zh-CN"/>
              </w:rPr>
              <w:t>7</w:t>
            </w:r>
            <w:r>
              <w:rPr>
                <w:rFonts w:hint="eastAsia"/>
                <w:color w:val="auto"/>
              </w:rPr>
              <w:t>t/a</w:t>
            </w:r>
          </w:p>
        </w:tc>
        <w:tc>
          <w:tcPr>
            <w:tcW w:w="1130" w:type="dxa"/>
            <w:tcBorders>
              <w:tl2br w:val="nil"/>
              <w:tr2bl w:val="nil"/>
            </w:tcBorders>
            <w:vAlign w:val="center"/>
          </w:tcPr>
          <w:p>
            <w:pPr>
              <w:ind w:left="0" w:leftChars="0" w:right="0" w:rightChars="0"/>
              <w:jc w:val="center"/>
              <w:rPr>
                <w:rFonts w:hint="eastAsia" w:ascii="宋体" w:hAnsi="宋体" w:eastAsia="宋体" w:cs="宋体"/>
                <w:color w:val="auto"/>
                <w:sz w:val="22"/>
                <w:szCs w:val="22"/>
                <w:lang w:val="zh-CN" w:eastAsia="zh-CN" w:bidi="zh-CN"/>
              </w:rPr>
            </w:pPr>
            <w:r>
              <w:rPr>
                <w:rFonts w:hint="eastAsia"/>
                <w:color w:val="auto"/>
                <w:lang w:val="en-US" w:eastAsia="zh-CN"/>
              </w:rPr>
              <w:t>+</w:t>
            </w:r>
            <w:r>
              <w:rPr>
                <w:rFonts w:hint="eastAsia"/>
                <w:color w:val="auto"/>
              </w:rPr>
              <w:t>2.</w:t>
            </w:r>
            <w:r>
              <w:rPr>
                <w:rFonts w:hint="eastAsia"/>
                <w:color w:val="auto"/>
                <w:lang w:val="en-US" w:eastAsia="zh-CN"/>
              </w:rPr>
              <w:t>7</w:t>
            </w:r>
            <w:r>
              <w:rPr>
                <w:rFonts w:hint="eastAsia"/>
                <w:color w:val="auto"/>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1588" w:type="dxa"/>
            <w:vMerge w:val="continue"/>
            <w:tcBorders>
              <w:tl2br w:val="nil"/>
              <w:tr2bl w:val="nil"/>
            </w:tcBorders>
            <w:vAlign w:val="center"/>
          </w:tcPr>
          <w:p>
            <w:pPr>
              <w:jc w:val="center"/>
              <w:rPr>
                <w:rFonts w:hint="eastAsia"/>
                <w:color w:val="auto"/>
              </w:rPr>
            </w:pPr>
          </w:p>
        </w:tc>
        <w:tc>
          <w:tcPr>
            <w:tcW w:w="1494" w:type="dxa"/>
            <w:tcBorders>
              <w:tl2br w:val="nil"/>
              <w:tr2bl w:val="nil"/>
            </w:tcBorders>
            <w:vAlign w:val="center"/>
          </w:tcPr>
          <w:p>
            <w:pPr>
              <w:jc w:val="center"/>
              <w:rPr>
                <w:rFonts w:hint="eastAsia"/>
                <w:color w:val="auto"/>
              </w:rPr>
            </w:pPr>
            <w:r>
              <w:rPr>
                <w:rFonts w:hint="eastAsia"/>
                <w:color w:val="auto"/>
              </w:rPr>
              <w:t>废油液</w:t>
            </w:r>
          </w:p>
        </w:tc>
        <w:tc>
          <w:tcPr>
            <w:tcW w:w="1624" w:type="dxa"/>
            <w:tcBorders>
              <w:tl2br w:val="nil"/>
              <w:tr2bl w:val="nil"/>
            </w:tcBorders>
            <w:vAlign w:val="center"/>
          </w:tcPr>
          <w:p>
            <w:pPr>
              <w:jc w:val="center"/>
              <w:rPr>
                <w:rFonts w:hint="eastAsia"/>
                <w:color w:val="auto"/>
              </w:rPr>
            </w:pPr>
            <w:r>
              <w:rPr>
                <w:rFonts w:hint="eastAsia"/>
                <w:color w:val="auto"/>
              </w:rPr>
              <w:t>/</w:t>
            </w:r>
          </w:p>
        </w:tc>
        <w:tc>
          <w:tcPr>
            <w:tcW w:w="1276" w:type="dxa"/>
            <w:tcBorders>
              <w:tl2br w:val="nil"/>
              <w:tr2bl w:val="nil"/>
            </w:tcBorders>
            <w:vAlign w:val="center"/>
          </w:tcPr>
          <w:p>
            <w:pPr>
              <w:jc w:val="center"/>
              <w:rPr>
                <w:rFonts w:hint="eastAsia"/>
                <w:color w:val="auto"/>
              </w:rPr>
            </w:pPr>
            <w:r>
              <w:rPr>
                <w:rFonts w:hint="eastAsia"/>
                <w:color w:val="auto"/>
              </w:rPr>
              <w:t>/</w:t>
            </w:r>
          </w:p>
        </w:tc>
        <w:tc>
          <w:tcPr>
            <w:tcW w:w="1701" w:type="dxa"/>
            <w:tcBorders>
              <w:tl2br w:val="nil"/>
              <w:tr2bl w:val="nil"/>
            </w:tcBorders>
            <w:vAlign w:val="center"/>
          </w:tcPr>
          <w:p>
            <w:pPr>
              <w:jc w:val="center"/>
              <w:rPr>
                <w:rFonts w:hint="eastAsia"/>
                <w:color w:val="auto"/>
              </w:rPr>
            </w:pPr>
            <w:r>
              <w:rPr>
                <w:rFonts w:hint="eastAsia"/>
                <w:color w:val="auto"/>
              </w:rPr>
              <w:t>/</w:t>
            </w:r>
          </w:p>
        </w:tc>
        <w:tc>
          <w:tcPr>
            <w:tcW w:w="1559" w:type="dxa"/>
            <w:tcBorders>
              <w:tl2br w:val="nil"/>
              <w:tr2bl w:val="nil"/>
            </w:tcBorders>
            <w:vAlign w:val="center"/>
          </w:tcPr>
          <w:p>
            <w:pPr>
              <w:jc w:val="center"/>
              <w:rPr>
                <w:rFonts w:hint="eastAsia"/>
                <w:color w:val="auto"/>
              </w:rPr>
            </w:pPr>
            <w:r>
              <w:rPr>
                <w:rFonts w:hint="eastAsia"/>
                <w:color w:val="auto"/>
                <w:lang w:val="en-US" w:eastAsia="zh-CN"/>
              </w:rPr>
              <w:t>72.2</w:t>
            </w:r>
            <w:r>
              <w:rPr>
                <w:rFonts w:hint="eastAsia"/>
                <w:color w:val="auto"/>
              </w:rPr>
              <w:t>t/a</w:t>
            </w:r>
          </w:p>
        </w:tc>
        <w:tc>
          <w:tcPr>
            <w:tcW w:w="1650" w:type="dxa"/>
            <w:tcBorders>
              <w:tl2br w:val="nil"/>
              <w:tr2bl w:val="nil"/>
            </w:tcBorders>
            <w:vAlign w:val="center"/>
          </w:tcPr>
          <w:p>
            <w:pPr>
              <w:jc w:val="center"/>
              <w:rPr>
                <w:rFonts w:hint="eastAsia"/>
                <w:color w:val="auto"/>
              </w:rPr>
            </w:pPr>
            <w:r>
              <w:rPr>
                <w:rFonts w:hint="eastAsia"/>
                <w:color w:val="auto"/>
              </w:rPr>
              <w:t>/</w:t>
            </w:r>
          </w:p>
        </w:tc>
        <w:tc>
          <w:tcPr>
            <w:tcW w:w="1766" w:type="dxa"/>
            <w:tcBorders>
              <w:tl2br w:val="nil"/>
              <w:tr2bl w:val="nil"/>
            </w:tcBorders>
            <w:vAlign w:val="center"/>
          </w:tcPr>
          <w:p>
            <w:pPr>
              <w:jc w:val="center"/>
              <w:rPr>
                <w:rFonts w:hint="eastAsia"/>
                <w:color w:val="auto"/>
              </w:rPr>
            </w:pPr>
            <w:r>
              <w:rPr>
                <w:rFonts w:hint="eastAsia"/>
                <w:color w:val="auto"/>
                <w:lang w:val="en-US" w:eastAsia="zh-CN"/>
              </w:rPr>
              <w:t>72.2</w:t>
            </w:r>
            <w:r>
              <w:rPr>
                <w:rFonts w:hint="eastAsia"/>
                <w:color w:val="auto"/>
              </w:rPr>
              <w:t>t/a</w:t>
            </w:r>
          </w:p>
        </w:tc>
        <w:tc>
          <w:tcPr>
            <w:tcW w:w="1130" w:type="dxa"/>
            <w:tcBorders>
              <w:tl2br w:val="nil"/>
              <w:tr2bl w:val="nil"/>
            </w:tcBorders>
            <w:vAlign w:val="center"/>
          </w:tcPr>
          <w:p>
            <w:pPr>
              <w:ind w:left="0" w:leftChars="0" w:right="0" w:rightChars="0"/>
              <w:jc w:val="center"/>
              <w:rPr>
                <w:rFonts w:hint="eastAsia" w:ascii="宋体" w:hAnsi="宋体" w:eastAsia="宋体" w:cs="宋体"/>
                <w:color w:val="auto"/>
                <w:sz w:val="22"/>
                <w:szCs w:val="22"/>
                <w:lang w:val="zh-CN" w:eastAsia="zh-CN" w:bidi="zh-CN"/>
              </w:rPr>
            </w:pPr>
            <w:r>
              <w:rPr>
                <w:rFonts w:hint="eastAsia"/>
                <w:color w:val="auto"/>
                <w:lang w:val="en-US" w:eastAsia="zh-CN"/>
              </w:rPr>
              <w:t>+72.2</w:t>
            </w:r>
            <w:r>
              <w:rPr>
                <w:rFonts w:hint="eastAsia"/>
                <w:color w:val="auto"/>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1588" w:type="dxa"/>
            <w:vMerge w:val="continue"/>
            <w:tcBorders>
              <w:tl2br w:val="nil"/>
              <w:tr2bl w:val="nil"/>
            </w:tcBorders>
            <w:vAlign w:val="center"/>
          </w:tcPr>
          <w:p>
            <w:pPr>
              <w:jc w:val="center"/>
              <w:rPr>
                <w:rFonts w:hint="eastAsia"/>
                <w:color w:val="auto"/>
              </w:rPr>
            </w:pPr>
          </w:p>
        </w:tc>
        <w:tc>
          <w:tcPr>
            <w:tcW w:w="1494" w:type="dxa"/>
            <w:tcBorders>
              <w:tl2br w:val="nil"/>
              <w:tr2bl w:val="nil"/>
            </w:tcBorders>
            <w:vAlign w:val="center"/>
          </w:tcPr>
          <w:p>
            <w:pPr>
              <w:jc w:val="center"/>
              <w:rPr>
                <w:rFonts w:hint="eastAsia"/>
                <w:color w:val="auto"/>
              </w:rPr>
            </w:pPr>
            <w:r>
              <w:rPr>
                <w:rFonts w:hint="eastAsia"/>
                <w:color w:val="auto"/>
              </w:rPr>
              <w:t>废冷却液</w:t>
            </w:r>
          </w:p>
        </w:tc>
        <w:tc>
          <w:tcPr>
            <w:tcW w:w="1624" w:type="dxa"/>
            <w:tcBorders>
              <w:tl2br w:val="nil"/>
              <w:tr2bl w:val="nil"/>
            </w:tcBorders>
            <w:vAlign w:val="center"/>
          </w:tcPr>
          <w:p>
            <w:pPr>
              <w:jc w:val="center"/>
              <w:rPr>
                <w:rFonts w:hint="eastAsia"/>
                <w:color w:val="auto"/>
              </w:rPr>
            </w:pPr>
            <w:r>
              <w:rPr>
                <w:rFonts w:hint="eastAsia"/>
                <w:color w:val="auto"/>
              </w:rPr>
              <w:t>/</w:t>
            </w:r>
          </w:p>
        </w:tc>
        <w:tc>
          <w:tcPr>
            <w:tcW w:w="1276" w:type="dxa"/>
            <w:tcBorders>
              <w:tl2br w:val="nil"/>
              <w:tr2bl w:val="nil"/>
            </w:tcBorders>
            <w:vAlign w:val="center"/>
          </w:tcPr>
          <w:p>
            <w:pPr>
              <w:jc w:val="center"/>
              <w:rPr>
                <w:rFonts w:hint="eastAsia"/>
                <w:color w:val="auto"/>
              </w:rPr>
            </w:pPr>
            <w:r>
              <w:rPr>
                <w:rFonts w:hint="eastAsia"/>
                <w:color w:val="auto"/>
              </w:rPr>
              <w:t>/</w:t>
            </w:r>
          </w:p>
        </w:tc>
        <w:tc>
          <w:tcPr>
            <w:tcW w:w="1701" w:type="dxa"/>
            <w:tcBorders>
              <w:tl2br w:val="nil"/>
              <w:tr2bl w:val="nil"/>
            </w:tcBorders>
            <w:vAlign w:val="center"/>
          </w:tcPr>
          <w:p>
            <w:pPr>
              <w:jc w:val="center"/>
              <w:rPr>
                <w:rFonts w:hint="eastAsia"/>
                <w:color w:val="auto"/>
              </w:rPr>
            </w:pPr>
            <w:r>
              <w:rPr>
                <w:rFonts w:hint="eastAsia"/>
                <w:color w:val="auto"/>
              </w:rPr>
              <w:t>/</w:t>
            </w:r>
          </w:p>
        </w:tc>
        <w:tc>
          <w:tcPr>
            <w:tcW w:w="1559" w:type="dxa"/>
            <w:tcBorders>
              <w:tl2br w:val="nil"/>
              <w:tr2bl w:val="nil"/>
            </w:tcBorders>
            <w:vAlign w:val="center"/>
          </w:tcPr>
          <w:p>
            <w:pPr>
              <w:jc w:val="center"/>
              <w:rPr>
                <w:rFonts w:hint="eastAsia"/>
                <w:color w:val="auto"/>
              </w:rPr>
            </w:pPr>
            <w:r>
              <w:rPr>
                <w:rFonts w:hint="eastAsia"/>
                <w:color w:val="auto"/>
              </w:rPr>
              <w:t>2t/a</w:t>
            </w:r>
          </w:p>
        </w:tc>
        <w:tc>
          <w:tcPr>
            <w:tcW w:w="1650" w:type="dxa"/>
            <w:tcBorders>
              <w:tl2br w:val="nil"/>
              <w:tr2bl w:val="nil"/>
            </w:tcBorders>
            <w:vAlign w:val="center"/>
          </w:tcPr>
          <w:p>
            <w:pPr>
              <w:jc w:val="center"/>
              <w:rPr>
                <w:rFonts w:hint="eastAsia"/>
                <w:color w:val="auto"/>
              </w:rPr>
            </w:pPr>
            <w:r>
              <w:rPr>
                <w:rFonts w:hint="eastAsia"/>
                <w:color w:val="auto"/>
              </w:rPr>
              <w:t>/</w:t>
            </w:r>
          </w:p>
        </w:tc>
        <w:tc>
          <w:tcPr>
            <w:tcW w:w="1766" w:type="dxa"/>
            <w:tcBorders>
              <w:tl2br w:val="nil"/>
              <w:tr2bl w:val="nil"/>
            </w:tcBorders>
            <w:vAlign w:val="center"/>
          </w:tcPr>
          <w:p>
            <w:pPr>
              <w:jc w:val="center"/>
              <w:rPr>
                <w:rFonts w:hint="eastAsia"/>
                <w:color w:val="auto"/>
              </w:rPr>
            </w:pPr>
            <w:r>
              <w:rPr>
                <w:rFonts w:hint="eastAsia"/>
                <w:color w:val="auto"/>
              </w:rPr>
              <w:t>2t/a</w:t>
            </w:r>
          </w:p>
        </w:tc>
        <w:tc>
          <w:tcPr>
            <w:tcW w:w="1130" w:type="dxa"/>
            <w:tcBorders>
              <w:tl2br w:val="nil"/>
              <w:tr2bl w:val="nil"/>
            </w:tcBorders>
            <w:vAlign w:val="center"/>
          </w:tcPr>
          <w:p>
            <w:pPr>
              <w:ind w:left="0" w:leftChars="0" w:right="0" w:rightChars="0"/>
              <w:jc w:val="center"/>
              <w:rPr>
                <w:rFonts w:hint="eastAsia" w:ascii="宋体" w:hAnsi="宋体" w:eastAsia="宋体" w:cs="宋体"/>
                <w:color w:val="auto"/>
                <w:sz w:val="22"/>
                <w:szCs w:val="22"/>
                <w:lang w:val="zh-CN" w:eastAsia="zh-CN" w:bidi="zh-CN"/>
              </w:rPr>
            </w:pPr>
            <w:r>
              <w:rPr>
                <w:rFonts w:hint="eastAsia"/>
                <w:color w:val="auto"/>
                <w:lang w:val="en-US" w:eastAsia="zh-CN"/>
              </w:rPr>
              <w:t>+</w:t>
            </w:r>
            <w:r>
              <w:rPr>
                <w:rFonts w:hint="eastAsia"/>
                <w:color w:val="auto"/>
              </w:rPr>
              <w:t>2t/a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5" w:hRule="atLeast"/>
          <w:jc w:val="center"/>
        </w:trPr>
        <w:tc>
          <w:tcPr>
            <w:tcW w:w="1588" w:type="dxa"/>
            <w:vMerge w:val="continue"/>
            <w:tcBorders>
              <w:tl2br w:val="nil"/>
              <w:tr2bl w:val="nil"/>
            </w:tcBorders>
            <w:vAlign w:val="center"/>
          </w:tcPr>
          <w:p>
            <w:pPr>
              <w:jc w:val="center"/>
              <w:rPr>
                <w:rFonts w:hint="eastAsia"/>
                <w:color w:val="auto"/>
              </w:rPr>
            </w:pPr>
          </w:p>
        </w:tc>
        <w:tc>
          <w:tcPr>
            <w:tcW w:w="1494" w:type="dxa"/>
            <w:tcBorders>
              <w:tl2br w:val="nil"/>
              <w:tr2bl w:val="nil"/>
            </w:tcBorders>
            <w:vAlign w:val="center"/>
          </w:tcPr>
          <w:p>
            <w:pPr>
              <w:jc w:val="center"/>
              <w:rPr>
                <w:rFonts w:hint="eastAsia"/>
                <w:color w:val="auto"/>
              </w:rPr>
            </w:pPr>
            <w:r>
              <w:rPr>
                <w:rFonts w:hint="eastAsia"/>
                <w:color w:val="auto"/>
              </w:rPr>
              <w:t>废空调制冷剂</w:t>
            </w:r>
          </w:p>
        </w:tc>
        <w:tc>
          <w:tcPr>
            <w:tcW w:w="1624" w:type="dxa"/>
            <w:tcBorders>
              <w:tl2br w:val="nil"/>
              <w:tr2bl w:val="nil"/>
            </w:tcBorders>
            <w:vAlign w:val="center"/>
          </w:tcPr>
          <w:p>
            <w:pPr>
              <w:jc w:val="center"/>
              <w:rPr>
                <w:rFonts w:hint="eastAsia"/>
                <w:color w:val="auto"/>
              </w:rPr>
            </w:pPr>
            <w:r>
              <w:rPr>
                <w:rFonts w:hint="eastAsia"/>
                <w:color w:val="auto"/>
              </w:rPr>
              <w:t>/</w:t>
            </w:r>
          </w:p>
        </w:tc>
        <w:tc>
          <w:tcPr>
            <w:tcW w:w="1276" w:type="dxa"/>
            <w:tcBorders>
              <w:tl2br w:val="nil"/>
              <w:tr2bl w:val="nil"/>
            </w:tcBorders>
            <w:vAlign w:val="center"/>
          </w:tcPr>
          <w:p>
            <w:pPr>
              <w:jc w:val="center"/>
              <w:rPr>
                <w:rFonts w:hint="eastAsia"/>
                <w:color w:val="auto"/>
              </w:rPr>
            </w:pPr>
            <w:r>
              <w:rPr>
                <w:rFonts w:hint="eastAsia"/>
                <w:color w:val="auto"/>
              </w:rPr>
              <w:t>/</w:t>
            </w:r>
          </w:p>
        </w:tc>
        <w:tc>
          <w:tcPr>
            <w:tcW w:w="1701" w:type="dxa"/>
            <w:tcBorders>
              <w:tl2br w:val="nil"/>
              <w:tr2bl w:val="nil"/>
            </w:tcBorders>
            <w:vAlign w:val="center"/>
          </w:tcPr>
          <w:p>
            <w:pPr>
              <w:jc w:val="center"/>
              <w:rPr>
                <w:rFonts w:hint="eastAsia"/>
                <w:color w:val="auto"/>
              </w:rPr>
            </w:pPr>
            <w:r>
              <w:rPr>
                <w:rFonts w:hint="eastAsia"/>
                <w:color w:val="auto"/>
              </w:rPr>
              <w:t>/</w:t>
            </w:r>
          </w:p>
        </w:tc>
        <w:tc>
          <w:tcPr>
            <w:tcW w:w="1559" w:type="dxa"/>
            <w:tcBorders>
              <w:tl2br w:val="nil"/>
              <w:tr2bl w:val="nil"/>
            </w:tcBorders>
            <w:vAlign w:val="center"/>
          </w:tcPr>
          <w:p>
            <w:pPr>
              <w:jc w:val="center"/>
              <w:rPr>
                <w:rFonts w:hint="eastAsia"/>
                <w:color w:val="auto"/>
              </w:rPr>
            </w:pPr>
            <w:r>
              <w:rPr>
                <w:rFonts w:hint="eastAsia"/>
                <w:color w:val="auto"/>
              </w:rPr>
              <w:t>4.</w:t>
            </w:r>
            <w:r>
              <w:rPr>
                <w:rFonts w:hint="eastAsia"/>
                <w:color w:val="auto"/>
                <w:lang w:val="en-US" w:eastAsia="zh-CN"/>
              </w:rPr>
              <w:t>4</w:t>
            </w:r>
            <w:r>
              <w:rPr>
                <w:rFonts w:hint="eastAsia"/>
                <w:color w:val="auto"/>
              </w:rPr>
              <w:t>t/a</w:t>
            </w:r>
          </w:p>
        </w:tc>
        <w:tc>
          <w:tcPr>
            <w:tcW w:w="1650" w:type="dxa"/>
            <w:tcBorders>
              <w:tl2br w:val="nil"/>
              <w:tr2bl w:val="nil"/>
            </w:tcBorders>
            <w:vAlign w:val="center"/>
          </w:tcPr>
          <w:p>
            <w:pPr>
              <w:jc w:val="center"/>
              <w:rPr>
                <w:rFonts w:hint="eastAsia"/>
                <w:color w:val="auto"/>
              </w:rPr>
            </w:pPr>
            <w:r>
              <w:rPr>
                <w:rFonts w:hint="eastAsia"/>
                <w:color w:val="auto"/>
              </w:rPr>
              <w:t>/</w:t>
            </w:r>
          </w:p>
        </w:tc>
        <w:tc>
          <w:tcPr>
            <w:tcW w:w="1766" w:type="dxa"/>
            <w:tcBorders>
              <w:tl2br w:val="nil"/>
              <w:tr2bl w:val="nil"/>
            </w:tcBorders>
            <w:vAlign w:val="center"/>
          </w:tcPr>
          <w:p>
            <w:pPr>
              <w:jc w:val="center"/>
              <w:rPr>
                <w:rFonts w:hint="eastAsia"/>
                <w:color w:val="auto"/>
              </w:rPr>
            </w:pPr>
            <w:r>
              <w:rPr>
                <w:rFonts w:hint="eastAsia"/>
                <w:color w:val="auto"/>
              </w:rPr>
              <w:t>4.</w:t>
            </w:r>
            <w:r>
              <w:rPr>
                <w:rFonts w:hint="eastAsia"/>
                <w:color w:val="auto"/>
                <w:lang w:val="en-US" w:eastAsia="zh-CN"/>
              </w:rPr>
              <w:t>4</w:t>
            </w:r>
            <w:r>
              <w:rPr>
                <w:rFonts w:hint="eastAsia"/>
                <w:color w:val="auto"/>
              </w:rPr>
              <w:t>t/a</w:t>
            </w:r>
          </w:p>
        </w:tc>
        <w:tc>
          <w:tcPr>
            <w:tcW w:w="1130" w:type="dxa"/>
            <w:tcBorders>
              <w:tl2br w:val="nil"/>
              <w:tr2bl w:val="nil"/>
            </w:tcBorders>
            <w:vAlign w:val="center"/>
          </w:tcPr>
          <w:p>
            <w:pPr>
              <w:ind w:left="0" w:leftChars="0" w:right="0" w:rightChars="0"/>
              <w:jc w:val="center"/>
              <w:rPr>
                <w:rFonts w:hint="eastAsia" w:ascii="宋体" w:hAnsi="宋体" w:eastAsia="宋体" w:cs="宋体"/>
                <w:color w:val="auto"/>
                <w:sz w:val="22"/>
                <w:szCs w:val="22"/>
                <w:lang w:val="zh-CN" w:eastAsia="zh-CN" w:bidi="zh-CN"/>
              </w:rPr>
            </w:pPr>
            <w:r>
              <w:rPr>
                <w:rFonts w:hint="eastAsia"/>
                <w:color w:val="auto"/>
                <w:lang w:val="en-US" w:eastAsia="zh-CN"/>
              </w:rPr>
              <w:t>+</w:t>
            </w:r>
            <w:r>
              <w:rPr>
                <w:rFonts w:hint="eastAsia"/>
                <w:color w:val="auto"/>
              </w:rPr>
              <w:t>4.</w:t>
            </w:r>
            <w:r>
              <w:rPr>
                <w:rFonts w:hint="eastAsia"/>
                <w:color w:val="auto"/>
                <w:lang w:val="en-US" w:eastAsia="zh-CN"/>
              </w:rPr>
              <w:t>4</w:t>
            </w:r>
            <w:r>
              <w:rPr>
                <w:rFonts w:hint="eastAsia"/>
                <w:color w:val="auto"/>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4" w:hRule="atLeast"/>
          <w:jc w:val="center"/>
        </w:trPr>
        <w:tc>
          <w:tcPr>
            <w:tcW w:w="1588" w:type="dxa"/>
            <w:vMerge w:val="continue"/>
            <w:tcBorders>
              <w:tl2br w:val="nil"/>
              <w:tr2bl w:val="nil"/>
            </w:tcBorders>
            <w:vAlign w:val="center"/>
          </w:tcPr>
          <w:p>
            <w:pPr>
              <w:jc w:val="center"/>
              <w:rPr>
                <w:rFonts w:hint="eastAsia"/>
                <w:color w:val="auto"/>
              </w:rPr>
            </w:pPr>
          </w:p>
        </w:tc>
        <w:tc>
          <w:tcPr>
            <w:tcW w:w="1494" w:type="dxa"/>
            <w:tcBorders>
              <w:tl2br w:val="nil"/>
              <w:tr2bl w:val="nil"/>
            </w:tcBorders>
            <w:vAlign w:val="center"/>
          </w:tcPr>
          <w:p>
            <w:pPr>
              <w:jc w:val="center"/>
              <w:rPr>
                <w:rFonts w:hint="eastAsia"/>
                <w:color w:val="auto"/>
              </w:rPr>
            </w:pPr>
            <w:r>
              <w:rPr>
                <w:rFonts w:hint="eastAsia"/>
                <w:color w:val="auto"/>
              </w:rPr>
              <w:t>废含油手套</w:t>
            </w:r>
          </w:p>
          <w:p>
            <w:pPr>
              <w:jc w:val="center"/>
              <w:rPr>
                <w:rFonts w:hint="eastAsia"/>
                <w:color w:val="auto"/>
              </w:rPr>
            </w:pPr>
            <w:r>
              <w:rPr>
                <w:rFonts w:hint="eastAsia"/>
                <w:color w:val="auto"/>
              </w:rPr>
              <w:t>抹布</w:t>
            </w:r>
          </w:p>
        </w:tc>
        <w:tc>
          <w:tcPr>
            <w:tcW w:w="1624" w:type="dxa"/>
            <w:tcBorders>
              <w:tl2br w:val="nil"/>
              <w:tr2bl w:val="nil"/>
            </w:tcBorders>
            <w:vAlign w:val="center"/>
          </w:tcPr>
          <w:p>
            <w:pPr>
              <w:jc w:val="center"/>
              <w:rPr>
                <w:rFonts w:hint="eastAsia"/>
                <w:color w:val="auto"/>
              </w:rPr>
            </w:pPr>
            <w:r>
              <w:rPr>
                <w:rFonts w:hint="eastAsia"/>
                <w:color w:val="auto"/>
              </w:rPr>
              <w:t>/</w:t>
            </w:r>
          </w:p>
        </w:tc>
        <w:tc>
          <w:tcPr>
            <w:tcW w:w="1276" w:type="dxa"/>
            <w:tcBorders>
              <w:tl2br w:val="nil"/>
              <w:tr2bl w:val="nil"/>
            </w:tcBorders>
            <w:vAlign w:val="center"/>
          </w:tcPr>
          <w:p>
            <w:pPr>
              <w:jc w:val="center"/>
              <w:rPr>
                <w:rFonts w:hint="eastAsia"/>
                <w:color w:val="auto"/>
              </w:rPr>
            </w:pPr>
            <w:r>
              <w:rPr>
                <w:rFonts w:hint="eastAsia"/>
                <w:color w:val="auto"/>
              </w:rPr>
              <w:t>/</w:t>
            </w:r>
          </w:p>
        </w:tc>
        <w:tc>
          <w:tcPr>
            <w:tcW w:w="1701" w:type="dxa"/>
            <w:tcBorders>
              <w:tl2br w:val="nil"/>
              <w:tr2bl w:val="nil"/>
            </w:tcBorders>
            <w:vAlign w:val="center"/>
          </w:tcPr>
          <w:p>
            <w:pPr>
              <w:jc w:val="center"/>
              <w:rPr>
                <w:rFonts w:hint="eastAsia"/>
                <w:color w:val="auto"/>
              </w:rPr>
            </w:pPr>
            <w:r>
              <w:rPr>
                <w:rFonts w:hint="eastAsia"/>
                <w:color w:val="auto"/>
              </w:rPr>
              <w:t>/</w:t>
            </w:r>
          </w:p>
        </w:tc>
        <w:tc>
          <w:tcPr>
            <w:tcW w:w="1559" w:type="dxa"/>
            <w:tcBorders>
              <w:tl2br w:val="nil"/>
              <w:tr2bl w:val="nil"/>
            </w:tcBorders>
            <w:vAlign w:val="center"/>
          </w:tcPr>
          <w:p>
            <w:pPr>
              <w:jc w:val="center"/>
              <w:rPr>
                <w:rFonts w:hint="eastAsia"/>
                <w:color w:val="auto"/>
              </w:rPr>
            </w:pPr>
            <w:r>
              <w:rPr>
                <w:rFonts w:hint="eastAsia"/>
                <w:color w:val="auto"/>
              </w:rPr>
              <w:t>0.</w:t>
            </w:r>
            <w:r>
              <w:rPr>
                <w:rFonts w:hint="eastAsia"/>
                <w:color w:val="auto"/>
                <w:lang w:val="en-US" w:eastAsia="zh-CN"/>
              </w:rPr>
              <w:t>1</w:t>
            </w:r>
            <w:r>
              <w:rPr>
                <w:rFonts w:hint="eastAsia"/>
                <w:color w:val="auto"/>
              </w:rPr>
              <w:t>t/a</w:t>
            </w:r>
          </w:p>
        </w:tc>
        <w:tc>
          <w:tcPr>
            <w:tcW w:w="1650" w:type="dxa"/>
            <w:tcBorders>
              <w:tl2br w:val="nil"/>
              <w:tr2bl w:val="nil"/>
            </w:tcBorders>
            <w:vAlign w:val="center"/>
          </w:tcPr>
          <w:p>
            <w:pPr>
              <w:jc w:val="center"/>
              <w:rPr>
                <w:rFonts w:hint="eastAsia"/>
                <w:color w:val="auto"/>
              </w:rPr>
            </w:pPr>
            <w:r>
              <w:rPr>
                <w:rFonts w:hint="eastAsia"/>
                <w:color w:val="auto"/>
              </w:rPr>
              <w:t>/</w:t>
            </w:r>
          </w:p>
        </w:tc>
        <w:tc>
          <w:tcPr>
            <w:tcW w:w="1766" w:type="dxa"/>
            <w:tcBorders>
              <w:tl2br w:val="nil"/>
              <w:tr2bl w:val="nil"/>
            </w:tcBorders>
            <w:vAlign w:val="center"/>
          </w:tcPr>
          <w:p>
            <w:pPr>
              <w:jc w:val="center"/>
              <w:rPr>
                <w:rFonts w:hint="eastAsia"/>
                <w:color w:val="auto"/>
              </w:rPr>
            </w:pPr>
            <w:r>
              <w:rPr>
                <w:rFonts w:hint="eastAsia"/>
                <w:color w:val="auto"/>
              </w:rPr>
              <w:t>0.</w:t>
            </w:r>
            <w:r>
              <w:rPr>
                <w:rFonts w:hint="eastAsia"/>
                <w:color w:val="auto"/>
                <w:lang w:val="en-US" w:eastAsia="zh-CN"/>
              </w:rPr>
              <w:t>1</w:t>
            </w:r>
            <w:r>
              <w:rPr>
                <w:rFonts w:hint="eastAsia"/>
                <w:color w:val="auto"/>
              </w:rPr>
              <w:t>t/a</w:t>
            </w:r>
          </w:p>
        </w:tc>
        <w:tc>
          <w:tcPr>
            <w:tcW w:w="1130" w:type="dxa"/>
            <w:tcBorders>
              <w:tl2br w:val="nil"/>
              <w:tr2bl w:val="nil"/>
            </w:tcBorders>
            <w:vAlign w:val="center"/>
          </w:tcPr>
          <w:p>
            <w:pPr>
              <w:ind w:left="0" w:leftChars="0" w:right="0" w:rightChars="0"/>
              <w:jc w:val="center"/>
              <w:rPr>
                <w:rFonts w:hint="eastAsia" w:ascii="宋体" w:hAnsi="宋体" w:eastAsia="宋体" w:cs="宋体"/>
                <w:color w:val="auto"/>
                <w:sz w:val="22"/>
                <w:szCs w:val="22"/>
                <w:lang w:val="zh-CN" w:eastAsia="zh-CN" w:bidi="zh-CN"/>
              </w:rPr>
            </w:pPr>
            <w:r>
              <w:rPr>
                <w:rFonts w:hint="eastAsia"/>
                <w:color w:val="auto"/>
                <w:lang w:val="en-US" w:eastAsia="zh-CN"/>
              </w:rPr>
              <w:t>+</w:t>
            </w:r>
            <w:r>
              <w:rPr>
                <w:rFonts w:hint="eastAsia"/>
                <w:color w:val="auto"/>
              </w:rPr>
              <w:t>0.</w:t>
            </w:r>
            <w:r>
              <w:rPr>
                <w:rFonts w:hint="eastAsia"/>
                <w:color w:val="auto"/>
                <w:lang w:val="en-US" w:eastAsia="zh-CN"/>
              </w:rPr>
              <w:t>1</w:t>
            </w:r>
            <w:r>
              <w:rPr>
                <w:rFonts w:hint="eastAsia"/>
                <w:color w:val="auto"/>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1588" w:type="dxa"/>
            <w:vMerge w:val="continue"/>
            <w:tcBorders>
              <w:tl2br w:val="nil"/>
              <w:tr2bl w:val="nil"/>
            </w:tcBorders>
            <w:vAlign w:val="center"/>
          </w:tcPr>
          <w:p>
            <w:pPr>
              <w:jc w:val="center"/>
              <w:rPr>
                <w:rFonts w:hint="eastAsia"/>
                <w:color w:val="auto"/>
              </w:rPr>
            </w:pPr>
          </w:p>
        </w:tc>
        <w:tc>
          <w:tcPr>
            <w:tcW w:w="1494" w:type="dxa"/>
            <w:tcBorders>
              <w:tl2br w:val="nil"/>
              <w:tr2bl w:val="nil"/>
            </w:tcBorders>
            <w:vAlign w:val="center"/>
          </w:tcPr>
          <w:p>
            <w:pPr>
              <w:jc w:val="center"/>
              <w:rPr>
                <w:rFonts w:hint="eastAsia"/>
                <w:color w:val="auto"/>
              </w:rPr>
            </w:pPr>
            <w:r>
              <w:rPr>
                <w:rFonts w:hint="eastAsia"/>
                <w:color w:val="auto"/>
              </w:rPr>
              <w:t>废液化气罐</w:t>
            </w:r>
          </w:p>
        </w:tc>
        <w:tc>
          <w:tcPr>
            <w:tcW w:w="1624" w:type="dxa"/>
            <w:tcBorders>
              <w:tl2br w:val="nil"/>
              <w:tr2bl w:val="nil"/>
            </w:tcBorders>
            <w:vAlign w:val="center"/>
          </w:tcPr>
          <w:p>
            <w:pPr>
              <w:jc w:val="center"/>
              <w:rPr>
                <w:rFonts w:hint="eastAsia"/>
                <w:color w:val="auto"/>
              </w:rPr>
            </w:pPr>
            <w:r>
              <w:rPr>
                <w:rFonts w:hint="eastAsia"/>
                <w:color w:val="auto"/>
              </w:rPr>
              <w:t>/</w:t>
            </w:r>
          </w:p>
        </w:tc>
        <w:tc>
          <w:tcPr>
            <w:tcW w:w="1276" w:type="dxa"/>
            <w:tcBorders>
              <w:tl2br w:val="nil"/>
              <w:tr2bl w:val="nil"/>
            </w:tcBorders>
            <w:vAlign w:val="center"/>
          </w:tcPr>
          <w:p>
            <w:pPr>
              <w:jc w:val="center"/>
              <w:rPr>
                <w:rFonts w:hint="eastAsia"/>
                <w:color w:val="auto"/>
              </w:rPr>
            </w:pPr>
            <w:r>
              <w:rPr>
                <w:rFonts w:hint="eastAsia"/>
                <w:color w:val="auto"/>
              </w:rPr>
              <w:t>/</w:t>
            </w:r>
          </w:p>
        </w:tc>
        <w:tc>
          <w:tcPr>
            <w:tcW w:w="1701" w:type="dxa"/>
            <w:tcBorders>
              <w:tl2br w:val="nil"/>
              <w:tr2bl w:val="nil"/>
            </w:tcBorders>
            <w:vAlign w:val="center"/>
          </w:tcPr>
          <w:p>
            <w:pPr>
              <w:jc w:val="center"/>
              <w:rPr>
                <w:rFonts w:hint="eastAsia"/>
                <w:color w:val="auto"/>
              </w:rPr>
            </w:pPr>
            <w:r>
              <w:rPr>
                <w:rFonts w:hint="eastAsia"/>
                <w:color w:val="auto"/>
              </w:rPr>
              <w:t>/</w:t>
            </w:r>
          </w:p>
        </w:tc>
        <w:tc>
          <w:tcPr>
            <w:tcW w:w="1559" w:type="dxa"/>
            <w:tcBorders>
              <w:tl2br w:val="nil"/>
              <w:tr2bl w:val="nil"/>
            </w:tcBorders>
            <w:vAlign w:val="center"/>
          </w:tcPr>
          <w:p>
            <w:pPr>
              <w:jc w:val="center"/>
              <w:rPr>
                <w:rFonts w:hint="eastAsia"/>
                <w:color w:val="auto"/>
              </w:rPr>
            </w:pPr>
            <w:r>
              <w:rPr>
                <w:rFonts w:hint="eastAsia"/>
                <w:color w:val="auto"/>
                <w:lang w:val="en-US" w:eastAsia="zh-CN"/>
              </w:rPr>
              <w:t>31.5</w:t>
            </w:r>
            <w:r>
              <w:rPr>
                <w:rFonts w:hint="eastAsia"/>
                <w:color w:val="auto"/>
              </w:rPr>
              <w:t>t/a</w:t>
            </w:r>
          </w:p>
        </w:tc>
        <w:tc>
          <w:tcPr>
            <w:tcW w:w="1650" w:type="dxa"/>
            <w:tcBorders>
              <w:tl2br w:val="nil"/>
              <w:tr2bl w:val="nil"/>
            </w:tcBorders>
            <w:vAlign w:val="center"/>
          </w:tcPr>
          <w:p>
            <w:pPr>
              <w:jc w:val="center"/>
              <w:rPr>
                <w:rFonts w:hint="eastAsia"/>
                <w:color w:val="auto"/>
              </w:rPr>
            </w:pPr>
            <w:r>
              <w:rPr>
                <w:rFonts w:hint="eastAsia"/>
                <w:color w:val="auto"/>
              </w:rPr>
              <w:t>/</w:t>
            </w:r>
          </w:p>
        </w:tc>
        <w:tc>
          <w:tcPr>
            <w:tcW w:w="1766" w:type="dxa"/>
            <w:tcBorders>
              <w:tl2br w:val="nil"/>
              <w:tr2bl w:val="nil"/>
            </w:tcBorders>
            <w:vAlign w:val="center"/>
          </w:tcPr>
          <w:p>
            <w:pPr>
              <w:jc w:val="center"/>
              <w:rPr>
                <w:rFonts w:hint="eastAsia"/>
                <w:color w:val="auto"/>
              </w:rPr>
            </w:pPr>
            <w:r>
              <w:rPr>
                <w:rFonts w:hint="eastAsia"/>
                <w:color w:val="auto"/>
                <w:lang w:val="en-US" w:eastAsia="zh-CN"/>
              </w:rPr>
              <w:t>31.5</w:t>
            </w:r>
            <w:r>
              <w:rPr>
                <w:rFonts w:hint="eastAsia"/>
                <w:color w:val="auto"/>
              </w:rPr>
              <w:t>t/a</w:t>
            </w:r>
          </w:p>
        </w:tc>
        <w:tc>
          <w:tcPr>
            <w:tcW w:w="1130" w:type="dxa"/>
            <w:tcBorders>
              <w:tl2br w:val="nil"/>
              <w:tr2bl w:val="nil"/>
            </w:tcBorders>
            <w:vAlign w:val="center"/>
          </w:tcPr>
          <w:p>
            <w:pPr>
              <w:ind w:left="0" w:leftChars="0" w:right="0" w:rightChars="0"/>
              <w:jc w:val="center"/>
              <w:rPr>
                <w:rFonts w:hint="eastAsia" w:ascii="宋体" w:hAnsi="宋体" w:eastAsia="宋体" w:cs="宋体"/>
                <w:color w:val="auto"/>
                <w:sz w:val="22"/>
                <w:szCs w:val="22"/>
                <w:lang w:val="zh-CN" w:eastAsia="zh-CN" w:bidi="zh-CN"/>
              </w:rPr>
            </w:pPr>
            <w:r>
              <w:rPr>
                <w:rFonts w:hint="eastAsia"/>
                <w:color w:val="auto"/>
                <w:lang w:val="en-US" w:eastAsia="zh-CN"/>
              </w:rPr>
              <w:t>+31.5</w:t>
            </w:r>
            <w:r>
              <w:rPr>
                <w:rFonts w:hint="eastAsia"/>
                <w:color w:val="auto"/>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1588" w:type="dxa"/>
            <w:vMerge w:val="continue"/>
            <w:tcBorders>
              <w:tl2br w:val="nil"/>
              <w:tr2bl w:val="nil"/>
            </w:tcBorders>
            <w:vAlign w:val="center"/>
          </w:tcPr>
          <w:p>
            <w:pPr>
              <w:jc w:val="center"/>
              <w:rPr>
                <w:rFonts w:hint="eastAsia"/>
                <w:color w:val="auto"/>
              </w:rPr>
            </w:pPr>
          </w:p>
        </w:tc>
        <w:tc>
          <w:tcPr>
            <w:tcW w:w="1494" w:type="dxa"/>
            <w:tcBorders>
              <w:tl2br w:val="nil"/>
              <w:tr2bl w:val="nil"/>
            </w:tcBorders>
            <w:vAlign w:val="center"/>
          </w:tcPr>
          <w:p>
            <w:pPr>
              <w:jc w:val="center"/>
              <w:rPr>
                <w:rFonts w:hint="eastAsia"/>
                <w:color w:val="auto"/>
              </w:rPr>
            </w:pPr>
            <w:r>
              <w:rPr>
                <w:rFonts w:hint="eastAsia"/>
                <w:color w:val="auto"/>
              </w:rPr>
              <w:t>含铅部件</w:t>
            </w:r>
          </w:p>
        </w:tc>
        <w:tc>
          <w:tcPr>
            <w:tcW w:w="1624" w:type="dxa"/>
            <w:tcBorders>
              <w:tl2br w:val="nil"/>
              <w:tr2bl w:val="nil"/>
            </w:tcBorders>
            <w:vAlign w:val="center"/>
          </w:tcPr>
          <w:p>
            <w:pPr>
              <w:jc w:val="center"/>
              <w:rPr>
                <w:rFonts w:hint="eastAsia"/>
                <w:color w:val="auto"/>
              </w:rPr>
            </w:pPr>
            <w:r>
              <w:rPr>
                <w:rFonts w:hint="eastAsia"/>
                <w:color w:val="auto"/>
              </w:rPr>
              <w:t>/</w:t>
            </w:r>
          </w:p>
        </w:tc>
        <w:tc>
          <w:tcPr>
            <w:tcW w:w="1276" w:type="dxa"/>
            <w:tcBorders>
              <w:tl2br w:val="nil"/>
              <w:tr2bl w:val="nil"/>
            </w:tcBorders>
            <w:vAlign w:val="center"/>
          </w:tcPr>
          <w:p>
            <w:pPr>
              <w:jc w:val="center"/>
              <w:rPr>
                <w:rFonts w:hint="eastAsia"/>
                <w:color w:val="auto"/>
              </w:rPr>
            </w:pPr>
            <w:r>
              <w:rPr>
                <w:rFonts w:hint="eastAsia"/>
                <w:color w:val="auto"/>
              </w:rPr>
              <w:t>/</w:t>
            </w:r>
          </w:p>
        </w:tc>
        <w:tc>
          <w:tcPr>
            <w:tcW w:w="1701" w:type="dxa"/>
            <w:tcBorders>
              <w:tl2br w:val="nil"/>
              <w:tr2bl w:val="nil"/>
            </w:tcBorders>
            <w:vAlign w:val="center"/>
          </w:tcPr>
          <w:p>
            <w:pPr>
              <w:jc w:val="center"/>
              <w:rPr>
                <w:rFonts w:hint="eastAsia"/>
                <w:color w:val="auto"/>
              </w:rPr>
            </w:pPr>
            <w:r>
              <w:rPr>
                <w:rFonts w:hint="eastAsia"/>
                <w:color w:val="auto"/>
              </w:rPr>
              <w:t>/</w:t>
            </w:r>
          </w:p>
        </w:tc>
        <w:tc>
          <w:tcPr>
            <w:tcW w:w="1559" w:type="dxa"/>
            <w:tcBorders>
              <w:tl2br w:val="nil"/>
              <w:tr2bl w:val="nil"/>
            </w:tcBorders>
            <w:vAlign w:val="center"/>
          </w:tcPr>
          <w:p>
            <w:pPr>
              <w:jc w:val="center"/>
              <w:rPr>
                <w:rFonts w:hint="eastAsia"/>
                <w:color w:val="auto"/>
              </w:rPr>
            </w:pPr>
            <w:r>
              <w:rPr>
                <w:rFonts w:hint="eastAsia"/>
                <w:color w:val="auto"/>
              </w:rPr>
              <w:t>3.</w:t>
            </w:r>
            <w:r>
              <w:rPr>
                <w:rFonts w:hint="eastAsia"/>
                <w:color w:val="auto"/>
                <w:lang w:val="en-US" w:eastAsia="zh-CN"/>
              </w:rPr>
              <w:t>5</w:t>
            </w:r>
            <w:r>
              <w:rPr>
                <w:rFonts w:hint="eastAsia"/>
                <w:color w:val="auto"/>
              </w:rPr>
              <w:t>5t/a</w:t>
            </w:r>
          </w:p>
        </w:tc>
        <w:tc>
          <w:tcPr>
            <w:tcW w:w="1650" w:type="dxa"/>
            <w:tcBorders>
              <w:tl2br w:val="nil"/>
              <w:tr2bl w:val="nil"/>
            </w:tcBorders>
            <w:vAlign w:val="center"/>
          </w:tcPr>
          <w:p>
            <w:pPr>
              <w:jc w:val="center"/>
              <w:rPr>
                <w:rFonts w:hint="eastAsia"/>
                <w:color w:val="auto"/>
              </w:rPr>
            </w:pPr>
            <w:r>
              <w:rPr>
                <w:rFonts w:hint="eastAsia"/>
                <w:color w:val="auto"/>
              </w:rPr>
              <w:t>/</w:t>
            </w:r>
          </w:p>
        </w:tc>
        <w:tc>
          <w:tcPr>
            <w:tcW w:w="1766" w:type="dxa"/>
            <w:tcBorders>
              <w:tl2br w:val="nil"/>
              <w:tr2bl w:val="nil"/>
            </w:tcBorders>
            <w:vAlign w:val="center"/>
          </w:tcPr>
          <w:p>
            <w:pPr>
              <w:jc w:val="center"/>
              <w:rPr>
                <w:rFonts w:hint="eastAsia"/>
                <w:color w:val="auto"/>
              </w:rPr>
            </w:pPr>
            <w:r>
              <w:rPr>
                <w:rFonts w:hint="eastAsia"/>
                <w:color w:val="auto"/>
              </w:rPr>
              <w:t>3.</w:t>
            </w:r>
            <w:r>
              <w:rPr>
                <w:rFonts w:hint="eastAsia"/>
                <w:color w:val="auto"/>
                <w:lang w:val="en-US" w:eastAsia="zh-CN"/>
              </w:rPr>
              <w:t>5</w:t>
            </w:r>
            <w:r>
              <w:rPr>
                <w:rFonts w:hint="eastAsia"/>
                <w:color w:val="auto"/>
              </w:rPr>
              <w:t>5t/a</w:t>
            </w:r>
          </w:p>
        </w:tc>
        <w:tc>
          <w:tcPr>
            <w:tcW w:w="1130" w:type="dxa"/>
            <w:tcBorders>
              <w:tl2br w:val="nil"/>
              <w:tr2bl w:val="nil"/>
            </w:tcBorders>
            <w:vAlign w:val="center"/>
          </w:tcPr>
          <w:p>
            <w:pPr>
              <w:ind w:left="0" w:leftChars="0" w:right="0" w:rightChars="0"/>
              <w:jc w:val="center"/>
              <w:rPr>
                <w:rFonts w:hint="eastAsia" w:ascii="宋体" w:hAnsi="宋体" w:eastAsia="宋体" w:cs="宋体"/>
                <w:color w:val="auto"/>
                <w:sz w:val="22"/>
                <w:szCs w:val="22"/>
                <w:lang w:val="zh-CN" w:eastAsia="zh-CN" w:bidi="zh-CN"/>
              </w:rPr>
            </w:pPr>
            <w:r>
              <w:rPr>
                <w:rFonts w:hint="eastAsia"/>
                <w:color w:val="auto"/>
                <w:lang w:val="en-US" w:eastAsia="zh-CN"/>
              </w:rPr>
              <w:t>+</w:t>
            </w:r>
            <w:r>
              <w:rPr>
                <w:rFonts w:hint="eastAsia"/>
                <w:color w:val="auto"/>
              </w:rPr>
              <w:t>3.</w:t>
            </w:r>
            <w:r>
              <w:rPr>
                <w:rFonts w:hint="eastAsia"/>
                <w:color w:val="auto"/>
                <w:lang w:val="en-US" w:eastAsia="zh-CN"/>
              </w:rPr>
              <w:t>5</w:t>
            </w:r>
            <w:r>
              <w:rPr>
                <w:rFonts w:hint="eastAsia"/>
                <w:color w:val="auto"/>
              </w:rPr>
              <w:t>5t/a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1588" w:type="dxa"/>
            <w:vMerge w:val="continue"/>
            <w:tcBorders>
              <w:tl2br w:val="nil"/>
              <w:tr2bl w:val="nil"/>
            </w:tcBorders>
            <w:vAlign w:val="center"/>
          </w:tcPr>
          <w:p>
            <w:pPr>
              <w:jc w:val="center"/>
              <w:rPr>
                <w:rFonts w:hint="eastAsia"/>
                <w:color w:val="auto"/>
              </w:rPr>
            </w:pPr>
          </w:p>
        </w:tc>
        <w:tc>
          <w:tcPr>
            <w:tcW w:w="1494" w:type="dxa"/>
            <w:tcBorders>
              <w:tl2br w:val="nil"/>
              <w:tr2bl w:val="nil"/>
            </w:tcBorders>
            <w:vAlign w:val="center"/>
          </w:tcPr>
          <w:p>
            <w:pPr>
              <w:jc w:val="center"/>
              <w:rPr>
                <w:rFonts w:hint="eastAsia"/>
                <w:color w:val="auto"/>
              </w:rPr>
            </w:pPr>
            <w:r>
              <w:rPr>
                <w:rFonts w:hint="eastAsia"/>
                <w:color w:val="auto"/>
              </w:rPr>
              <w:t>含汞开关</w:t>
            </w:r>
          </w:p>
        </w:tc>
        <w:tc>
          <w:tcPr>
            <w:tcW w:w="1624" w:type="dxa"/>
            <w:tcBorders>
              <w:tl2br w:val="nil"/>
              <w:tr2bl w:val="nil"/>
            </w:tcBorders>
            <w:vAlign w:val="center"/>
          </w:tcPr>
          <w:p>
            <w:pPr>
              <w:jc w:val="center"/>
              <w:rPr>
                <w:rFonts w:hint="eastAsia"/>
                <w:color w:val="auto"/>
              </w:rPr>
            </w:pPr>
            <w:r>
              <w:rPr>
                <w:rFonts w:hint="eastAsia"/>
                <w:color w:val="auto"/>
              </w:rPr>
              <w:t>/</w:t>
            </w:r>
          </w:p>
        </w:tc>
        <w:tc>
          <w:tcPr>
            <w:tcW w:w="1276" w:type="dxa"/>
            <w:tcBorders>
              <w:tl2br w:val="nil"/>
              <w:tr2bl w:val="nil"/>
            </w:tcBorders>
            <w:vAlign w:val="center"/>
          </w:tcPr>
          <w:p>
            <w:pPr>
              <w:jc w:val="center"/>
              <w:rPr>
                <w:rFonts w:hint="eastAsia"/>
                <w:color w:val="auto"/>
              </w:rPr>
            </w:pPr>
            <w:r>
              <w:rPr>
                <w:rFonts w:hint="eastAsia"/>
                <w:color w:val="auto"/>
              </w:rPr>
              <w:t>/</w:t>
            </w:r>
          </w:p>
        </w:tc>
        <w:tc>
          <w:tcPr>
            <w:tcW w:w="1701" w:type="dxa"/>
            <w:tcBorders>
              <w:tl2br w:val="nil"/>
              <w:tr2bl w:val="nil"/>
            </w:tcBorders>
            <w:vAlign w:val="center"/>
          </w:tcPr>
          <w:p>
            <w:pPr>
              <w:jc w:val="center"/>
              <w:rPr>
                <w:rFonts w:hint="eastAsia"/>
                <w:color w:val="auto"/>
              </w:rPr>
            </w:pPr>
            <w:r>
              <w:rPr>
                <w:rFonts w:hint="eastAsia"/>
                <w:color w:val="auto"/>
              </w:rPr>
              <w:t>/</w:t>
            </w:r>
          </w:p>
        </w:tc>
        <w:tc>
          <w:tcPr>
            <w:tcW w:w="1559" w:type="dxa"/>
            <w:tcBorders>
              <w:tl2br w:val="nil"/>
              <w:tr2bl w:val="nil"/>
            </w:tcBorders>
            <w:vAlign w:val="center"/>
          </w:tcPr>
          <w:p>
            <w:pPr>
              <w:jc w:val="center"/>
              <w:rPr>
                <w:rFonts w:hint="eastAsia"/>
                <w:color w:val="auto"/>
              </w:rPr>
            </w:pPr>
            <w:r>
              <w:rPr>
                <w:rFonts w:hint="eastAsia"/>
                <w:color w:val="auto"/>
              </w:rPr>
              <w:t>3.</w:t>
            </w:r>
            <w:r>
              <w:rPr>
                <w:rFonts w:hint="eastAsia"/>
                <w:color w:val="auto"/>
                <w:lang w:val="en-US" w:eastAsia="zh-CN"/>
              </w:rPr>
              <w:t>5</w:t>
            </w:r>
            <w:r>
              <w:rPr>
                <w:rFonts w:hint="eastAsia"/>
                <w:color w:val="auto"/>
              </w:rPr>
              <w:t>5t/a</w:t>
            </w:r>
          </w:p>
        </w:tc>
        <w:tc>
          <w:tcPr>
            <w:tcW w:w="1650" w:type="dxa"/>
            <w:tcBorders>
              <w:tl2br w:val="nil"/>
              <w:tr2bl w:val="nil"/>
            </w:tcBorders>
            <w:vAlign w:val="center"/>
          </w:tcPr>
          <w:p>
            <w:pPr>
              <w:jc w:val="center"/>
              <w:rPr>
                <w:rFonts w:hint="eastAsia"/>
                <w:color w:val="auto"/>
              </w:rPr>
            </w:pPr>
            <w:r>
              <w:rPr>
                <w:rFonts w:hint="eastAsia"/>
                <w:color w:val="auto"/>
              </w:rPr>
              <w:t>/</w:t>
            </w:r>
          </w:p>
        </w:tc>
        <w:tc>
          <w:tcPr>
            <w:tcW w:w="1766" w:type="dxa"/>
            <w:tcBorders>
              <w:tl2br w:val="nil"/>
              <w:tr2bl w:val="nil"/>
            </w:tcBorders>
            <w:vAlign w:val="center"/>
          </w:tcPr>
          <w:p>
            <w:pPr>
              <w:jc w:val="center"/>
              <w:rPr>
                <w:rFonts w:hint="eastAsia"/>
                <w:color w:val="auto"/>
              </w:rPr>
            </w:pPr>
            <w:r>
              <w:rPr>
                <w:rFonts w:hint="eastAsia"/>
                <w:color w:val="auto"/>
              </w:rPr>
              <w:t>3.</w:t>
            </w:r>
            <w:r>
              <w:rPr>
                <w:rFonts w:hint="eastAsia"/>
                <w:color w:val="auto"/>
                <w:lang w:val="en-US" w:eastAsia="zh-CN"/>
              </w:rPr>
              <w:t>5</w:t>
            </w:r>
            <w:r>
              <w:rPr>
                <w:rFonts w:hint="eastAsia"/>
                <w:color w:val="auto"/>
              </w:rPr>
              <w:t>5t/a</w:t>
            </w:r>
          </w:p>
        </w:tc>
        <w:tc>
          <w:tcPr>
            <w:tcW w:w="1130" w:type="dxa"/>
            <w:tcBorders>
              <w:tl2br w:val="nil"/>
              <w:tr2bl w:val="nil"/>
            </w:tcBorders>
            <w:vAlign w:val="center"/>
          </w:tcPr>
          <w:p>
            <w:pPr>
              <w:ind w:left="0" w:leftChars="0" w:right="0" w:rightChars="0"/>
              <w:jc w:val="center"/>
              <w:rPr>
                <w:rFonts w:hint="eastAsia" w:ascii="宋体" w:hAnsi="宋体" w:eastAsia="宋体" w:cs="宋体"/>
                <w:color w:val="auto"/>
                <w:sz w:val="22"/>
                <w:szCs w:val="22"/>
                <w:lang w:val="zh-CN" w:eastAsia="zh-CN" w:bidi="zh-CN"/>
              </w:rPr>
            </w:pPr>
            <w:r>
              <w:rPr>
                <w:rFonts w:hint="eastAsia"/>
                <w:color w:val="auto"/>
                <w:lang w:val="en-US" w:eastAsia="zh-CN"/>
              </w:rPr>
              <w:t>+</w:t>
            </w:r>
            <w:r>
              <w:rPr>
                <w:rFonts w:hint="eastAsia"/>
                <w:color w:val="auto"/>
              </w:rPr>
              <w:t>3.</w:t>
            </w:r>
            <w:r>
              <w:rPr>
                <w:rFonts w:hint="eastAsia"/>
                <w:color w:val="auto"/>
                <w:lang w:val="en-US" w:eastAsia="zh-CN"/>
              </w:rPr>
              <w:t>5</w:t>
            </w:r>
            <w:r>
              <w:rPr>
                <w:rFonts w:hint="eastAsia"/>
                <w:color w:val="auto"/>
              </w:rPr>
              <w:t>5t/a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1588" w:type="dxa"/>
            <w:vMerge w:val="continue"/>
            <w:tcBorders>
              <w:tl2br w:val="nil"/>
              <w:tr2bl w:val="nil"/>
            </w:tcBorders>
            <w:vAlign w:val="center"/>
          </w:tcPr>
          <w:p>
            <w:pPr>
              <w:jc w:val="center"/>
              <w:rPr>
                <w:rFonts w:hint="eastAsia"/>
                <w:color w:val="auto"/>
              </w:rPr>
            </w:pPr>
          </w:p>
        </w:tc>
        <w:tc>
          <w:tcPr>
            <w:tcW w:w="1494" w:type="dxa"/>
            <w:tcBorders>
              <w:tl2br w:val="nil"/>
              <w:tr2bl w:val="nil"/>
            </w:tcBorders>
            <w:vAlign w:val="center"/>
          </w:tcPr>
          <w:p>
            <w:pPr>
              <w:jc w:val="center"/>
              <w:rPr>
                <w:rFonts w:hint="eastAsia"/>
                <w:color w:val="auto"/>
              </w:rPr>
            </w:pPr>
            <w:r>
              <w:rPr>
                <w:rFonts w:hint="eastAsia"/>
                <w:color w:val="auto"/>
              </w:rPr>
              <w:t>隔油池废油</w:t>
            </w:r>
          </w:p>
        </w:tc>
        <w:tc>
          <w:tcPr>
            <w:tcW w:w="1624" w:type="dxa"/>
            <w:tcBorders>
              <w:tl2br w:val="nil"/>
              <w:tr2bl w:val="nil"/>
            </w:tcBorders>
            <w:vAlign w:val="center"/>
          </w:tcPr>
          <w:p>
            <w:pPr>
              <w:jc w:val="center"/>
              <w:rPr>
                <w:rFonts w:hint="eastAsia"/>
                <w:color w:val="auto"/>
              </w:rPr>
            </w:pPr>
            <w:r>
              <w:rPr>
                <w:rFonts w:hint="eastAsia"/>
                <w:color w:val="auto"/>
              </w:rPr>
              <w:t>/</w:t>
            </w:r>
          </w:p>
        </w:tc>
        <w:tc>
          <w:tcPr>
            <w:tcW w:w="1276" w:type="dxa"/>
            <w:tcBorders>
              <w:tl2br w:val="nil"/>
              <w:tr2bl w:val="nil"/>
            </w:tcBorders>
            <w:vAlign w:val="center"/>
          </w:tcPr>
          <w:p>
            <w:pPr>
              <w:jc w:val="center"/>
              <w:rPr>
                <w:rFonts w:hint="eastAsia"/>
                <w:color w:val="auto"/>
              </w:rPr>
            </w:pPr>
            <w:r>
              <w:rPr>
                <w:rFonts w:hint="eastAsia"/>
                <w:color w:val="auto"/>
              </w:rPr>
              <w:t>/</w:t>
            </w:r>
          </w:p>
        </w:tc>
        <w:tc>
          <w:tcPr>
            <w:tcW w:w="1701" w:type="dxa"/>
            <w:tcBorders>
              <w:tl2br w:val="nil"/>
              <w:tr2bl w:val="nil"/>
            </w:tcBorders>
            <w:vAlign w:val="center"/>
          </w:tcPr>
          <w:p>
            <w:pPr>
              <w:jc w:val="center"/>
              <w:rPr>
                <w:rFonts w:hint="eastAsia"/>
                <w:color w:val="auto"/>
              </w:rPr>
            </w:pPr>
            <w:r>
              <w:rPr>
                <w:rFonts w:hint="eastAsia"/>
                <w:color w:val="auto"/>
              </w:rPr>
              <w:t>/</w:t>
            </w:r>
          </w:p>
        </w:tc>
        <w:tc>
          <w:tcPr>
            <w:tcW w:w="1559" w:type="dxa"/>
            <w:tcBorders>
              <w:tl2br w:val="nil"/>
              <w:tr2bl w:val="nil"/>
            </w:tcBorders>
            <w:vAlign w:val="center"/>
          </w:tcPr>
          <w:p>
            <w:pPr>
              <w:jc w:val="center"/>
              <w:rPr>
                <w:rFonts w:hint="eastAsia"/>
                <w:color w:val="auto"/>
              </w:rPr>
            </w:pPr>
            <w:r>
              <w:rPr>
                <w:rFonts w:hint="eastAsia"/>
                <w:color w:val="auto"/>
              </w:rPr>
              <w:t>0.2t/a</w:t>
            </w:r>
          </w:p>
        </w:tc>
        <w:tc>
          <w:tcPr>
            <w:tcW w:w="1650" w:type="dxa"/>
            <w:tcBorders>
              <w:tl2br w:val="nil"/>
              <w:tr2bl w:val="nil"/>
            </w:tcBorders>
            <w:vAlign w:val="center"/>
          </w:tcPr>
          <w:p>
            <w:pPr>
              <w:jc w:val="center"/>
              <w:rPr>
                <w:rFonts w:hint="eastAsia"/>
                <w:color w:val="auto"/>
              </w:rPr>
            </w:pPr>
            <w:r>
              <w:rPr>
                <w:rFonts w:hint="eastAsia"/>
                <w:color w:val="auto"/>
              </w:rPr>
              <w:t>/</w:t>
            </w:r>
          </w:p>
        </w:tc>
        <w:tc>
          <w:tcPr>
            <w:tcW w:w="1766" w:type="dxa"/>
            <w:tcBorders>
              <w:tl2br w:val="nil"/>
              <w:tr2bl w:val="nil"/>
            </w:tcBorders>
            <w:vAlign w:val="center"/>
          </w:tcPr>
          <w:p>
            <w:pPr>
              <w:jc w:val="center"/>
              <w:rPr>
                <w:rFonts w:hint="eastAsia"/>
                <w:color w:val="auto"/>
              </w:rPr>
            </w:pPr>
            <w:r>
              <w:rPr>
                <w:rFonts w:hint="eastAsia"/>
                <w:color w:val="auto"/>
              </w:rPr>
              <w:t>0.2t/a</w:t>
            </w:r>
          </w:p>
        </w:tc>
        <w:tc>
          <w:tcPr>
            <w:tcW w:w="1130" w:type="dxa"/>
            <w:tcBorders>
              <w:tl2br w:val="nil"/>
              <w:tr2bl w:val="nil"/>
            </w:tcBorders>
            <w:vAlign w:val="center"/>
          </w:tcPr>
          <w:p>
            <w:pPr>
              <w:ind w:left="0" w:leftChars="0" w:right="0" w:rightChars="0"/>
              <w:jc w:val="center"/>
              <w:rPr>
                <w:rFonts w:hint="eastAsia" w:ascii="宋体" w:hAnsi="宋体" w:eastAsia="宋体" w:cs="宋体"/>
                <w:color w:val="auto"/>
                <w:sz w:val="22"/>
                <w:szCs w:val="22"/>
                <w:lang w:val="zh-CN" w:eastAsia="zh-CN" w:bidi="zh-CN"/>
              </w:rPr>
            </w:pPr>
            <w:r>
              <w:rPr>
                <w:rFonts w:hint="eastAsia"/>
                <w:color w:val="auto"/>
                <w:lang w:val="en-US" w:eastAsia="zh-CN"/>
              </w:rPr>
              <w:t>+</w:t>
            </w:r>
            <w:r>
              <w:rPr>
                <w:rFonts w:hint="eastAsia"/>
                <w:color w:val="auto"/>
              </w:rPr>
              <w:t>0.2t/a</w:t>
            </w:r>
          </w:p>
        </w:tc>
      </w:tr>
      <w:bookmarkEnd w:id="14"/>
    </w:tbl>
    <w:p>
      <w:pPr>
        <w:pStyle w:val="37"/>
        <w:spacing w:before="192" w:beforeLines="80" w:after="24"/>
        <w:jc w:val="left"/>
        <w:rPr>
          <w:rFonts w:ascii="Times New Roman"/>
          <w:snapToGrid w:val="0"/>
          <w:color w:val="auto"/>
          <w:spacing w:val="-6"/>
          <w:kern w:val="21"/>
          <w:sz w:val="21"/>
          <w:szCs w:val="21"/>
        </w:rPr>
      </w:pPr>
      <w:r>
        <w:rPr>
          <w:rFonts w:ascii="Times New Roman"/>
          <w:snapToGrid w:val="0"/>
          <w:color w:val="auto"/>
          <w:kern w:val="21"/>
          <w:sz w:val="21"/>
          <w:szCs w:val="21"/>
        </w:rPr>
        <w:t>注：</w:t>
      </w:r>
      <w:r>
        <w:rPr>
          <w:rFonts w:ascii="Times New Roman"/>
          <w:snapToGrid w:val="0"/>
          <w:color w:val="auto"/>
          <w:spacing w:val="-16"/>
          <w:kern w:val="21"/>
          <w:sz w:val="21"/>
          <w:szCs w:val="21"/>
        </w:rPr>
        <w:fldChar w:fldCharType="begin"/>
      </w:r>
      <w:r>
        <w:rPr>
          <w:rFonts w:ascii="Times New Roman"/>
          <w:snapToGrid w:val="0"/>
          <w:color w:val="auto"/>
          <w:spacing w:val="-16"/>
          <w:kern w:val="21"/>
          <w:sz w:val="21"/>
          <w:szCs w:val="21"/>
        </w:rPr>
        <w:instrText xml:space="preserve"> = 6 \* GB3 \* MERGEFORMAT </w:instrText>
      </w:r>
      <w:r>
        <w:rPr>
          <w:rFonts w:ascii="Times New Roman"/>
          <w:snapToGrid w:val="0"/>
          <w:color w:val="auto"/>
          <w:spacing w:val="-16"/>
          <w:kern w:val="21"/>
          <w:sz w:val="21"/>
          <w:szCs w:val="21"/>
        </w:rPr>
        <w:fldChar w:fldCharType="separate"/>
      </w:r>
      <w:r>
        <w:rPr>
          <w:rFonts w:hint="eastAsia" w:hAnsi="宋体" w:cs="宋体"/>
          <w:color w:val="auto"/>
          <w:sz w:val="21"/>
          <w:szCs w:val="21"/>
        </w:rPr>
        <w:t>⑥</w:t>
      </w:r>
      <w:r>
        <w:rPr>
          <w:rFonts w:ascii="Times New Roman"/>
          <w:snapToGrid w:val="0"/>
          <w:color w:val="auto"/>
          <w:spacing w:val="-16"/>
          <w:kern w:val="21"/>
          <w:sz w:val="21"/>
          <w:szCs w:val="21"/>
        </w:rPr>
        <w:fldChar w:fldCharType="end"/>
      </w:r>
      <w:r>
        <w:rPr>
          <w:rFonts w:ascii="Times New Roman"/>
          <w:snapToGrid w:val="0"/>
          <w:color w:val="auto"/>
          <w:spacing w:val="-16"/>
          <w:kern w:val="21"/>
          <w:sz w:val="21"/>
          <w:szCs w:val="21"/>
        </w:rPr>
        <w:t>=</w:t>
      </w: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1 \* GB3 \* MERGEFORMAT </w:instrText>
      </w:r>
      <w:r>
        <w:rPr>
          <w:rFonts w:ascii="Times New Roman"/>
          <w:snapToGrid w:val="0"/>
          <w:color w:val="auto"/>
          <w:spacing w:val="-6"/>
          <w:kern w:val="21"/>
          <w:sz w:val="21"/>
          <w:szCs w:val="21"/>
        </w:rPr>
        <w:fldChar w:fldCharType="separate"/>
      </w:r>
      <w:r>
        <w:rPr>
          <w:rFonts w:hint="eastAsia" w:hAnsi="宋体" w:cs="宋体"/>
          <w:color w:val="auto"/>
          <w:sz w:val="21"/>
          <w:szCs w:val="21"/>
        </w:rPr>
        <w:t>①</w:t>
      </w:r>
      <w:r>
        <w:rPr>
          <w:rFonts w:ascii="Times New Roman"/>
          <w:snapToGrid w:val="0"/>
          <w:color w:val="auto"/>
          <w:spacing w:val="-6"/>
          <w:kern w:val="21"/>
          <w:sz w:val="21"/>
          <w:szCs w:val="21"/>
        </w:rPr>
        <w:fldChar w:fldCharType="end"/>
      </w:r>
      <w:r>
        <w:rPr>
          <w:rFonts w:ascii="Times New Roman"/>
          <w:snapToGrid w:val="0"/>
          <w:color w:val="auto"/>
          <w:spacing w:val="-6"/>
          <w:kern w:val="21"/>
          <w:sz w:val="21"/>
          <w:szCs w:val="21"/>
        </w:rPr>
        <w:t>+</w:t>
      </w: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3 \* GB3 \* MERGEFORMAT </w:instrText>
      </w:r>
      <w:r>
        <w:rPr>
          <w:rFonts w:ascii="Times New Roman"/>
          <w:snapToGrid w:val="0"/>
          <w:color w:val="auto"/>
          <w:spacing w:val="-6"/>
          <w:kern w:val="21"/>
          <w:sz w:val="21"/>
          <w:szCs w:val="21"/>
        </w:rPr>
        <w:fldChar w:fldCharType="separate"/>
      </w:r>
      <w:r>
        <w:rPr>
          <w:rFonts w:hint="eastAsia" w:hAnsi="宋体" w:cs="宋体"/>
          <w:color w:val="auto"/>
          <w:sz w:val="21"/>
          <w:szCs w:val="21"/>
        </w:rPr>
        <w:t>③</w:t>
      </w:r>
      <w:r>
        <w:rPr>
          <w:rFonts w:ascii="Times New Roman"/>
          <w:snapToGrid w:val="0"/>
          <w:color w:val="auto"/>
          <w:spacing w:val="-6"/>
          <w:kern w:val="21"/>
          <w:sz w:val="21"/>
          <w:szCs w:val="21"/>
        </w:rPr>
        <w:fldChar w:fldCharType="end"/>
      </w:r>
      <w:r>
        <w:rPr>
          <w:rFonts w:ascii="Times New Roman"/>
          <w:snapToGrid w:val="0"/>
          <w:color w:val="auto"/>
          <w:spacing w:val="-6"/>
          <w:kern w:val="21"/>
          <w:sz w:val="21"/>
          <w:szCs w:val="21"/>
        </w:rPr>
        <w:t>+</w:t>
      </w: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4 \* GB3 \* MERGEFORMAT </w:instrText>
      </w:r>
      <w:r>
        <w:rPr>
          <w:rFonts w:ascii="Times New Roman"/>
          <w:snapToGrid w:val="0"/>
          <w:color w:val="auto"/>
          <w:spacing w:val="-6"/>
          <w:kern w:val="21"/>
          <w:sz w:val="21"/>
          <w:szCs w:val="21"/>
        </w:rPr>
        <w:fldChar w:fldCharType="separate"/>
      </w:r>
      <w:r>
        <w:rPr>
          <w:rFonts w:hint="eastAsia" w:hAnsi="宋体" w:cs="宋体"/>
          <w:color w:val="auto"/>
          <w:sz w:val="21"/>
          <w:szCs w:val="21"/>
        </w:rPr>
        <w:t>④</w:t>
      </w:r>
      <w:r>
        <w:rPr>
          <w:rFonts w:ascii="Times New Roman"/>
          <w:snapToGrid w:val="0"/>
          <w:color w:val="auto"/>
          <w:spacing w:val="-6"/>
          <w:kern w:val="21"/>
          <w:sz w:val="21"/>
          <w:szCs w:val="21"/>
        </w:rPr>
        <w:fldChar w:fldCharType="end"/>
      </w:r>
      <w:r>
        <w:rPr>
          <w:rFonts w:ascii="Times New Roman"/>
          <w:snapToGrid w:val="0"/>
          <w:color w:val="auto"/>
          <w:spacing w:val="-6"/>
          <w:kern w:val="21"/>
          <w:sz w:val="21"/>
          <w:szCs w:val="21"/>
        </w:rPr>
        <w:t>-</w:t>
      </w:r>
      <w:r>
        <w:rPr>
          <w:rFonts w:ascii="Times New Roman"/>
          <w:snapToGrid w:val="0"/>
          <w:color w:val="auto"/>
          <w:spacing w:val="-16"/>
          <w:kern w:val="21"/>
          <w:sz w:val="21"/>
          <w:szCs w:val="21"/>
        </w:rPr>
        <w:fldChar w:fldCharType="begin"/>
      </w:r>
      <w:r>
        <w:rPr>
          <w:rFonts w:ascii="Times New Roman"/>
          <w:snapToGrid w:val="0"/>
          <w:color w:val="auto"/>
          <w:spacing w:val="-16"/>
          <w:kern w:val="21"/>
          <w:sz w:val="21"/>
          <w:szCs w:val="21"/>
        </w:rPr>
        <w:instrText xml:space="preserve"> = 5 \* GB3 \* MERGEFORMAT </w:instrText>
      </w:r>
      <w:r>
        <w:rPr>
          <w:rFonts w:ascii="Times New Roman"/>
          <w:snapToGrid w:val="0"/>
          <w:color w:val="auto"/>
          <w:spacing w:val="-16"/>
          <w:kern w:val="21"/>
          <w:sz w:val="21"/>
          <w:szCs w:val="21"/>
        </w:rPr>
        <w:fldChar w:fldCharType="separate"/>
      </w:r>
      <w:r>
        <w:rPr>
          <w:rFonts w:hint="eastAsia" w:hAnsi="宋体" w:cs="宋体"/>
          <w:color w:val="auto"/>
          <w:sz w:val="21"/>
          <w:szCs w:val="21"/>
        </w:rPr>
        <w:t>⑤</w:t>
      </w:r>
      <w:r>
        <w:rPr>
          <w:rFonts w:ascii="Times New Roman"/>
          <w:snapToGrid w:val="0"/>
          <w:color w:val="auto"/>
          <w:spacing w:val="-16"/>
          <w:kern w:val="21"/>
          <w:sz w:val="21"/>
          <w:szCs w:val="21"/>
        </w:rPr>
        <w:fldChar w:fldCharType="end"/>
      </w:r>
      <w:r>
        <w:rPr>
          <w:rFonts w:ascii="Times New Roman"/>
          <w:snapToGrid w:val="0"/>
          <w:color w:val="auto"/>
          <w:spacing w:val="-16"/>
          <w:kern w:val="21"/>
          <w:sz w:val="21"/>
          <w:szCs w:val="21"/>
        </w:rPr>
        <w:t>；</w:t>
      </w: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7 \* GB3 \* MERGEFORMAT </w:instrText>
      </w:r>
      <w:r>
        <w:rPr>
          <w:rFonts w:ascii="Times New Roman"/>
          <w:snapToGrid w:val="0"/>
          <w:color w:val="auto"/>
          <w:spacing w:val="-6"/>
          <w:kern w:val="21"/>
          <w:sz w:val="21"/>
          <w:szCs w:val="21"/>
        </w:rPr>
        <w:fldChar w:fldCharType="separate"/>
      </w:r>
      <w:r>
        <w:rPr>
          <w:rFonts w:hint="eastAsia" w:hAnsi="宋体" w:cs="宋体"/>
          <w:color w:val="auto"/>
          <w:sz w:val="21"/>
          <w:szCs w:val="21"/>
        </w:rPr>
        <w:t>⑦</w:t>
      </w:r>
      <w:r>
        <w:rPr>
          <w:rFonts w:ascii="Times New Roman"/>
          <w:snapToGrid w:val="0"/>
          <w:color w:val="auto"/>
          <w:spacing w:val="-6"/>
          <w:kern w:val="21"/>
          <w:sz w:val="21"/>
          <w:szCs w:val="21"/>
        </w:rPr>
        <w:fldChar w:fldCharType="end"/>
      </w:r>
      <w:r>
        <w:rPr>
          <w:rFonts w:ascii="Times New Roman"/>
          <w:snapToGrid w:val="0"/>
          <w:color w:val="auto"/>
          <w:spacing w:val="-6"/>
          <w:kern w:val="21"/>
          <w:sz w:val="21"/>
          <w:szCs w:val="21"/>
        </w:rPr>
        <w:t>=</w:t>
      </w:r>
      <w:r>
        <w:rPr>
          <w:rFonts w:ascii="Times New Roman"/>
          <w:snapToGrid w:val="0"/>
          <w:color w:val="auto"/>
          <w:spacing w:val="-16"/>
          <w:kern w:val="21"/>
          <w:sz w:val="21"/>
          <w:szCs w:val="21"/>
        </w:rPr>
        <w:fldChar w:fldCharType="begin"/>
      </w:r>
      <w:r>
        <w:rPr>
          <w:rFonts w:ascii="Times New Roman"/>
          <w:snapToGrid w:val="0"/>
          <w:color w:val="auto"/>
          <w:spacing w:val="-16"/>
          <w:kern w:val="21"/>
          <w:sz w:val="21"/>
          <w:szCs w:val="21"/>
        </w:rPr>
        <w:instrText xml:space="preserve"> = 6 \* GB3 \* MERGEFORMAT </w:instrText>
      </w:r>
      <w:r>
        <w:rPr>
          <w:rFonts w:ascii="Times New Roman"/>
          <w:snapToGrid w:val="0"/>
          <w:color w:val="auto"/>
          <w:spacing w:val="-16"/>
          <w:kern w:val="21"/>
          <w:sz w:val="21"/>
          <w:szCs w:val="21"/>
        </w:rPr>
        <w:fldChar w:fldCharType="separate"/>
      </w:r>
      <w:r>
        <w:rPr>
          <w:rFonts w:hint="eastAsia" w:hAnsi="宋体" w:cs="宋体"/>
          <w:color w:val="auto"/>
          <w:sz w:val="21"/>
          <w:szCs w:val="21"/>
        </w:rPr>
        <w:t>⑥</w:t>
      </w:r>
      <w:r>
        <w:rPr>
          <w:rFonts w:ascii="Times New Roman"/>
          <w:snapToGrid w:val="0"/>
          <w:color w:val="auto"/>
          <w:spacing w:val="-16"/>
          <w:kern w:val="21"/>
          <w:sz w:val="21"/>
          <w:szCs w:val="21"/>
        </w:rPr>
        <w:fldChar w:fldCharType="end"/>
      </w:r>
      <w:r>
        <w:rPr>
          <w:rFonts w:ascii="Times New Roman"/>
          <w:snapToGrid w:val="0"/>
          <w:color w:val="auto"/>
          <w:spacing w:val="-16"/>
          <w:kern w:val="21"/>
          <w:sz w:val="21"/>
          <w:szCs w:val="21"/>
        </w:rPr>
        <w:t>-</w:t>
      </w: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1 \* GB3 \* MERGEFORMAT </w:instrText>
      </w:r>
      <w:r>
        <w:rPr>
          <w:rFonts w:ascii="Times New Roman"/>
          <w:snapToGrid w:val="0"/>
          <w:color w:val="auto"/>
          <w:spacing w:val="-6"/>
          <w:kern w:val="21"/>
          <w:sz w:val="21"/>
          <w:szCs w:val="21"/>
        </w:rPr>
        <w:fldChar w:fldCharType="separate"/>
      </w:r>
      <w:r>
        <w:rPr>
          <w:rFonts w:hint="eastAsia" w:hAnsi="宋体" w:cs="宋体"/>
          <w:color w:val="auto"/>
          <w:sz w:val="21"/>
          <w:szCs w:val="21"/>
        </w:rPr>
        <w:t>①</w:t>
      </w:r>
      <w:r>
        <w:rPr>
          <w:rFonts w:ascii="Times New Roman"/>
          <w:snapToGrid w:val="0"/>
          <w:color w:val="auto"/>
          <w:spacing w:val="-6"/>
          <w:kern w:val="21"/>
          <w:sz w:val="21"/>
          <w:szCs w:val="21"/>
        </w:rPr>
        <w:fldChar w:fldCharType="end"/>
      </w:r>
    </w:p>
    <w:p>
      <w:bookmarkStart w:id="15" w:name="_GoBack"/>
      <w:bookmarkEnd w:id="15"/>
    </w:p>
    <w:sectPr>
      <w:footerReference r:id="rId14"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altName w:val="宋体"/>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华文宋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font>
  <w:font w:name="方正黑体简体">
    <w:altName w:val="微软雅黑"/>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422"/>
        <w:tab w:val="clear" w:pos="4153"/>
      </w:tabs>
      <w:ind w:right="360" w:firstLine="360"/>
    </w:pPr>
    <w:r>
      <w:rPr>
        <w:rFonts w:hint="eastAsia"/>
        <w:lang w:eastAsia="zh-CN"/>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w:rPr>
        <w:rFonts w:hint="eastAsia"/>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422"/>
        <w:tab w:val="clear" w:pos="4153"/>
      </w:tabs>
      <w:ind w:right="360" w:firstLine="360"/>
    </w:pPr>
    <w:r>
      <w:rPr>
        <w:rFonts w:hint="eastAsia"/>
        <w:lang w:eastAsia="zh-C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C3792"/>
    <w:multiLevelType w:val="singleLevel"/>
    <w:tmpl w:val="B86C3792"/>
    <w:lvl w:ilvl="0" w:tentative="0">
      <w:start w:val="3"/>
      <w:numFmt w:val="decimal"/>
      <w:suff w:val="nothing"/>
      <w:lvlText w:val="%1、"/>
      <w:lvlJc w:val="left"/>
    </w:lvl>
  </w:abstractNum>
  <w:abstractNum w:abstractNumId="1">
    <w:nsid w:val="778218E7"/>
    <w:multiLevelType w:val="multilevel"/>
    <w:tmpl w:val="778218E7"/>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5"/>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879"/>
    <w:rsid w:val="0000314F"/>
    <w:rsid w:val="00004625"/>
    <w:rsid w:val="00004937"/>
    <w:rsid w:val="000060B3"/>
    <w:rsid w:val="00011F06"/>
    <w:rsid w:val="00014246"/>
    <w:rsid w:val="000171D3"/>
    <w:rsid w:val="0001753E"/>
    <w:rsid w:val="00017EE4"/>
    <w:rsid w:val="00017F57"/>
    <w:rsid w:val="00017F77"/>
    <w:rsid w:val="000209D8"/>
    <w:rsid w:val="00023482"/>
    <w:rsid w:val="00031DBE"/>
    <w:rsid w:val="00032F69"/>
    <w:rsid w:val="00033630"/>
    <w:rsid w:val="0003446D"/>
    <w:rsid w:val="0003627D"/>
    <w:rsid w:val="0004364B"/>
    <w:rsid w:val="000436D2"/>
    <w:rsid w:val="0004674C"/>
    <w:rsid w:val="00051A6B"/>
    <w:rsid w:val="000538B7"/>
    <w:rsid w:val="00055FB5"/>
    <w:rsid w:val="00061B1F"/>
    <w:rsid w:val="00062A23"/>
    <w:rsid w:val="000661DC"/>
    <w:rsid w:val="000669EA"/>
    <w:rsid w:val="000714C9"/>
    <w:rsid w:val="0007249C"/>
    <w:rsid w:val="00072DAC"/>
    <w:rsid w:val="000733C4"/>
    <w:rsid w:val="00074783"/>
    <w:rsid w:val="000762EF"/>
    <w:rsid w:val="000767EA"/>
    <w:rsid w:val="00076FA7"/>
    <w:rsid w:val="0007778A"/>
    <w:rsid w:val="0008070B"/>
    <w:rsid w:val="000810AC"/>
    <w:rsid w:val="00081A02"/>
    <w:rsid w:val="00082231"/>
    <w:rsid w:val="00082933"/>
    <w:rsid w:val="000854B9"/>
    <w:rsid w:val="00085562"/>
    <w:rsid w:val="00091985"/>
    <w:rsid w:val="00091D3F"/>
    <w:rsid w:val="00092745"/>
    <w:rsid w:val="00092D38"/>
    <w:rsid w:val="0009377B"/>
    <w:rsid w:val="0009615A"/>
    <w:rsid w:val="000969D1"/>
    <w:rsid w:val="00096E1B"/>
    <w:rsid w:val="000A20C9"/>
    <w:rsid w:val="000A40A8"/>
    <w:rsid w:val="000A6079"/>
    <w:rsid w:val="000A6E56"/>
    <w:rsid w:val="000B058F"/>
    <w:rsid w:val="000B0C6C"/>
    <w:rsid w:val="000B3A06"/>
    <w:rsid w:val="000B4467"/>
    <w:rsid w:val="000B4DB9"/>
    <w:rsid w:val="000C09AC"/>
    <w:rsid w:val="000C0B01"/>
    <w:rsid w:val="000C17A2"/>
    <w:rsid w:val="000C2DFD"/>
    <w:rsid w:val="000C767F"/>
    <w:rsid w:val="000D34A9"/>
    <w:rsid w:val="000D5A44"/>
    <w:rsid w:val="000E3ED2"/>
    <w:rsid w:val="000F23B3"/>
    <w:rsid w:val="00100E7B"/>
    <w:rsid w:val="0010147C"/>
    <w:rsid w:val="00107173"/>
    <w:rsid w:val="0010771B"/>
    <w:rsid w:val="001133D6"/>
    <w:rsid w:val="0011370C"/>
    <w:rsid w:val="001218FA"/>
    <w:rsid w:val="00131F42"/>
    <w:rsid w:val="001357F1"/>
    <w:rsid w:val="00140FA8"/>
    <w:rsid w:val="00142FEB"/>
    <w:rsid w:val="00143A2D"/>
    <w:rsid w:val="00145A41"/>
    <w:rsid w:val="0014745F"/>
    <w:rsid w:val="00151675"/>
    <w:rsid w:val="00154151"/>
    <w:rsid w:val="00154C38"/>
    <w:rsid w:val="00154D9A"/>
    <w:rsid w:val="001558A3"/>
    <w:rsid w:val="00157435"/>
    <w:rsid w:val="001578A8"/>
    <w:rsid w:val="00163048"/>
    <w:rsid w:val="0016744F"/>
    <w:rsid w:val="0016791E"/>
    <w:rsid w:val="001713B5"/>
    <w:rsid w:val="00172125"/>
    <w:rsid w:val="00173A75"/>
    <w:rsid w:val="0017504D"/>
    <w:rsid w:val="0017671A"/>
    <w:rsid w:val="00177422"/>
    <w:rsid w:val="0017793C"/>
    <w:rsid w:val="00181E5C"/>
    <w:rsid w:val="001820FB"/>
    <w:rsid w:val="00182727"/>
    <w:rsid w:val="001842A3"/>
    <w:rsid w:val="00184590"/>
    <w:rsid w:val="001870D1"/>
    <w:rsid w:val="0018781E"/>
    <w:rsid w:val="0019262D"/>
    <w:rsid w:val="001A13B4"/>
    <w:rsid w:val="001A1B35"/>
    <w:rsid w:val="001A48A2"/>
    <w:rsid w:val="001A4F97"/>
    <w:rsid w:val="001A6F61"/>
    <w:rsid w:val="001A7A4A"/>
    <w:rsid w:val="001B16B8"/>
    <w:rsid w:val="001B312C"/>
    <w:rsid w:val="001B72B8"/>
    <w:rsid w:val="001C03C1"/>
    <w:rsid w:val="001C69B3"/>
    <w:rsid w:val="001D0FA2"/>
    <w:rsid w:val="001D3F5F"/>
    <w:rsid w:val="001D5595"/>
    <w:rsid w:val="001D7874"/>
    <w:rsid w:val="001D7F22"/>
    <w:rsid w:val="001E2635"/>
    <w:rsid w:val="001F0F17"/>
    <w:rsid w:val="001F24AD"/>
    <w:rsid w:val="001F329E"/>
    <w:rsid w:val="001F3347"/>
    <w:rsid w:val="001F5F67"/>
    <w:rsid w:val="001F69E4"/>
    <w:rsid w:val="0020407C"/>
    <w:rsid w:val="00204A16"/>
    <w:rsid w:val="002079EC"/>
    <w:rsid w:val="0021012D"/>
    <w:rsid w:val="0021030E"/>
    <w:rsid w:val="002125B4"/>
    <w:rsid w:val="002126BE"/>
    <w:rsid w:val="002139FB"/>
    <w:rsid w:val="002155B8"/>
    <w:rsid w:val="00216EFC"/>
    <w:rsid w:val="00220E74"/>
    <w:rsid w:val="00221933"/>
    <w:rsid w:val="00224839"/>
    <w:rsid w:val="002249B2"/>
    <w:rsid w:val="0022580A"/>
    <w:rsid w:val="00225A46"/>
    <w:rsid w:val="00226574"/>
    <w:rsid w:val="002278EC"/>
    <w:rsid w:val="0023280E"/>
    <w:rsid w:val="00232CD5"/>
    <w:rsid w:val="0023315A"/>
    <w:rsid w:val="002377D1"/>
    <w:rsid w:val="00242CE4"/>
    <w:rsid w:val="00244C0E"/>
    <w:rsid w:val="00250392"/>
    <w:rsid w:val="002506BC"/>
    <w:rsid w:val="002509C7"/>
    <w:rsid w:val="00251972"/>
    <w:rsid w:val="00252C08"/>
    <w:rsid w:val="00254345"/>
    <w:rsid w:val="00264557"/>
    <w:rsid w:val="0026488F"/>
    <w:rsid w:val="00271C27"/>
    <w:rsid w:val="0027430B"/>
    <w:rsid w:val="00275A3E"/>
    <w:rsid w:val="002805AB"/>
    <w:rsid w:val="00282B3C"/>
    <w:rsid w:val="00284204"/>
    <w:rsid w:val="00286A90"/>
    <w:rsid w:val="00291773"/>
    <w:rsid w:val="0029470A"/>
    <w:rsid w:val="002953D6"/>
    <w:rsid w:val="002A168C"/>
    <w:rsid w:val="002A265E"/>
    <w:rsid w:val="002A3282"/>
    <w:rsid w:val="002A3DC7"/>
    <w:rsid w:val="002B1907"/>
    <w:rsid w:val="002B25C9"/>
    <w:rsid w:val="002B49E2"/>
    <w:rsid w:val="002B653A"/>
    <w:rsid w:val="002B7B00"/>
    <w:rsid w:val="002B7C44"/>
    <w:rsid w:val="002C2B17"/>
    <w:rsid w:val="002C2C59"/>
    <w:rsid w:val="002C46A3"/>
    <w:rsid w:val="002C66D5"/>
    <w:rsid w:val="002C6987"/>
    <w:rsid w:val="002D0A10"/>
    <w:rsid w:val="002D3DD0"/>
    <w:rsid w:val="002E1F3A"/>
    <w:rsid w:val="002E298A"/>
    <w:rsid w:val="002E4D11"/>
    <w:rsid w:val="002E6ECB"/>
    <w:rsid w:val="002F021C"/>
    <w:rsid w:val="002F5BE4"/>
    <w:rsid w:val="00301435"/>
    <w:rsid w:val="00301978"/>
    <w:rsid w:val="00301B38"/>
    <w:rsid w:val="00302537"/>
    <w:rsid w:val="00302DD1"/>
    <w:rsid w:val="0030332C"/>
    <w:rsid w:val="00304395"/>
    <w:rsid w:val="00304672"/>
    <w:rsid w:val="003051C2"/>
    <w:rsid w:val="00312296"/>
    <w:rsid w:val="00313635"/>
    <w:rsid w:val="00314B4E"/>
    <w:rsid w:val="00314F0E"/>
    <w:rsid w:val="00315F1C"/>
    <w:rsid w:val="00321D8E"/>
    <w:rsid w:val="00325380"/>
    <w:rsid w:val="00325779"/>
    <w:rsid w:val="00325928"/>
    <w:rsid w:val="00331F54"/>
    <w:rsid w:val="00332863"/>
    <w:rsid w:val="00333A47"/>
    <w:rsid w:val="003340C1"/>
    <w:rsid w:val="0033684D"/>
    <w:rsid w:val="00337B42"/>
    <w:rsid w:val="00340FB9"/>
    <w:rsid w:val="00341B42"/>
    <w:rsid w:val="0034348F"/>
    <w:rsid w:val="00347570"/>
    <w:rsid w:val="00351955"/>
    <w:rsid w:val="00353224"/>
    <w:rsid w:val="003553BE"/>
    <w:rsid w:val="00356653"/>
    <w:rsid w:val="0035743F"/>
    <w:rsid w:val="00357BE2"/>
    <w:rsid w:val="003607CE"/>
    <w:rsid w:val="0036170C"/>
    <w:rsid w:val="0036239F"/>
    <w:rsid w:val="00366E0F"/>
    <w:rsid w:val="00381A72"/>
    <w:rsid w:val="00381B68"/>
    <w:rsid w:val="003826D1"/>
    <w:rsid w:val="00382853"/>
    <w:rsid w:val="00384676"/>
    <w:rsid w:val="00390857"/>
    <w:rsid w:val="00390A33"/>
    <w:rsid w:val="00391607"/>
    <w:rsid w:val="00394E5F"/>
    <w:rsid w:val="003A0E9C"/>
    <w:rsid w:val="003A1FA1"/>
    <w:rsid w:val="003A395C"/>
    <w:rsid w:val="003A4BF3"/>
    <w:rsid w:val="003B2D0D"/>
    <w:rsid w:val="003B420D"/>
    <w:rsid w:val="003B490B"/>
    <w:rsid w:val="003B4E54"/>
    <w:rsid w:val="003C0EEE"/>
    <w:rsid w:val="003C1F05"/>
    <w:rsid w:val="003C6C16"/>
    <w:rsid w:val="003C6E72"/>
    <w:rsid w:val="003C6E8B"/>
    <w:rsid w:val="003D2D5E"/>
    <w:rsid w:val="003D30B5"/>
    <w:rsid w:val="003D525A"/>
    <w:rsid w:val="003D57EB"/>
    <w:rsid w:val="003D5EBB"/>
    <w:rsid w:val="003D7053"/>
    <w:rsid w:val="003D794D"/>
    <w:rsid w:val="003D7A4E"/>
    <w:rsid w:val="003E3058"/>
    <w:rsid w:val="003E4B0C"/>
    <w:rsid w:val="003E76A9"/>
    <w:rsid w:val="003F026D"/>
    <w:rsid w:val="003F0809"/>
    <w:rsid w:val="003F2498"/>
    <w:rsid w:val="003F342B"/>
    <w:rsid w:val="003F3891"/>
    <w:rsid w:val="003F6898"/>
    <w:rsid w:val="003F6A8C"/>
    <w:rsid w:val="003F755C"/>
    <w:rsid w:val="00402BE7"/>
    <w:rsid w:val="00403748"/>
    <w:rsid w:val="00405FCC"/>
    <w:rsid w:val="00405FDB"/>
    <w:rsid w:val="00406F01"/>
    <w:rsid w:val="004072C5"/>
    <w:rsid w:val="004101C9"/>
    <w:rsid w:val="00410FC3"/>
    <w:rsid w:val="004125BD"/>
    <w:rsid w:val="00413999"/>
    <w:rsid w:val="00416D50"/>
    <w:rsid w:val="00416FD5"/>
    <w:rsid w:val="00417772"/>
    <w:rsid w:val="00420E6A"/>
    <w:rsid w:val="004237C3"/>
    <w:rsid w:val="00423CA3"/>
    <w:rsid w:val="00425A9E"/>
    <w:rsid w:val="00426D2F"/>
    <w:rsid w:val="00426D6B"/>
    <w:rsid w:val="00431E6C"/>
    <w:rsid w:val="00432EB4"/>
    <w:rsid w:val="00433CE7"/>
    <w:rsid w:val="00435D38"/>
    <w:rsid w:val="004440A4"/>
    <w:rsid w:val="00450078"/>
    <w:rsid w:val="00451FAC"/>
    <w:rsid w:val="00452738"/>
    <w:rsid w:val="0045529F"/>
    <w:rsid w:val="00456091"/>
    <w:rsid w:val="004576BB"/>
    <w:rsid w:val="00461625"/>
    <w:rsid w:val="004657C6"/>
    <w:rsid w:val="00466321"/>
    <w:rsid w:val="00470CFD"/>
    <w:rsid w:val="004736CE"/>
    <w:rsid w:val="00477E8F"/>
    <w:rsid w:val="00481D83"/>
    <w:rsid w:val="00481EDF"/>
    <w:rsid w:val="00484B9B"/>
    <w:rsid w:val="004855F6"/>
    <w:rsid w:val="0048661E"/>
    <w:rsid w:val="004866EB"/>
    <w:rsid w:val="00487AF0"/>
    <w:rsid w:val="00494670"/>
    <w:rsid w:val="00496694"/>
    <w:rsid w:val="004A1254"/>
    <w:rsid w:val="004A3823"/>
    <w:rsid w:val="004A79C0"/>
    <w:rsid w:val="004B1479"/>
    <w:rsid w:val="004B17EA"/>
    <w:rsid w:val="004B2C08"/>
    <w:rsid w:val="004C029A"/>
    <w:rsid w:val="004D16F0"/>
    <w:rsid w:val="004D20F8"/>
    <w:rsid w:val="004D3CCE"/>
    <w:rsid w:val="004D7E4B"/>
    <w:rsid w:val="004E1EFD"/>
    <w:rsid w:val="004E35BC"/>
    <w:rsid w:val="004E6946"/>
    <w:rsid w:val="004F1AD8"/>
    <w:rsid w:val="004F24C0"/>
    <w:rsid w:val="004F3C5E"/>
    <w:rsid w:val="004F71BB"/>
    <w:rsid w:val="00500728"/>
    <w:rsid w:val="0050135A"/>
    <w:rsid w:val="005039CB"/>
    <w:rsid w:val="00503DE2"/>
    <w:rsid w:val="0050558F"/>
    <w:rsid w:val="00506286"/>
    <w:rsid w:val="00506816"/>
    <w:rsid w:val="00507E24"/>
    <w:rsid w:val="005100DC"/>
    <w:rsid w:val="00510813"/>
    <w:rsid w:val="00511990"/>
    <w:rsid w:val="00511DE0"/>
    <w:rsid w:val="00513860"/>
    <w:rsid w:val="0051429C"/>
    <w:rsid w:val="00514870"/>
    <w:rsid w:val="00514B9B"/>
    <w:rsid w:val="0051701F"/>
    <w:rsid w:val="00517EF4"/>
    <w:rsid w:val="00517F02"/>
    <w:rsid w:val="00524303"/>
    <w:rsid w:val="005258A2"/>
    <w:rsid w:val="005264EE"/>
    <w:rsid w:val="00530462"/>
    <w:rsid w:val="0053551E"/>
    <w:rsid w:val="00537D9F"/>
    <w:rsid w:val="00537E9A"/>
    <w:rsid w:val="005401AE"/>
    <w:rsid w:val="00542BBD"/>
    <w:rsid w:val="00542E07"/>
    <w:rsid w:val="00545424"/>
    <w:rsid w:val="00545DA0"/>
    <w:rsid w:val="00550F1D"/>
    <w:rsid w:val="00554A7B"/>
    <w:rsid w:val="00554C3E"/>
    <w:rsid w:val="00554FEB"/>
    <w:rsid w:val="0055572C"/>
    <w:rsid w:val="0056106A"/>
    <w:rsid w:val="0056241C"/>
    <w:rsid w:val="005655D2"/>
    <w:rsid w:val="0056659E"/>
    <w:rsid w:val="00566FE1"/>
    <w:rsid w:val="005720AE"/>
    <w:rsid w:val="0058041F"/>
    <w:rsid w:val="00587B7F"/>
    <w:rsid w:val="0059012F"/>
    <w:rsid w:val="00594D77"/>
    <w:rsid w:val="0059562D"/>
    <w:rsid w:val="005969E4"/>
    <w:rsid w:val="005974B2"/>
    <w:rsid w:val="005A06B7"/>
    <w:rsid w:val="005A1759"/>
    <w:rsid w:val="005A51CA"/>
    <w:rsid w:val="005A61D5"/>
    <w:rsid w:val="005A63A5"/>
    <w:rsid w:val="005A68A7"/>
    <w:rsid w:val="005B0453"/>
    <w:rsid w:val="005B1FF9"/>
    <w:rsid w:val="005B283D"/>
    <w:rsid w:val="005B5053"/>
    <w:rsid w:val="005B7A87"/>
    <w:rsid w:val="005C4EF0"/>
    <w:rsid w:val="005C5728"/>
    <w:rsid w:val="005D1277"/>
    <w:rsid w:val="005D2548"/>
    <w:rsid w:val="005D36AB"/>
    <w:rsid w:val="005D3A20"/>
    <w:rsid w:val="005D474B"/>
    <w:rsid w:val="005D632B"/>
    <w:rsid w:val="005D6AB6"/>
    <w:rsid w:val="005E0533"/>
    <w:rsid w:val="005E0A35"/>
    <w:rsid w:val="005E4613"/>
    <w:rsid w:val="005E6015"/>
    <w:rsid w:val="005E660E"/>
    <w:rsid w:val="005F43FA"/>
    <w:rsid w:val="005F4D66"/>
    <w:rsid w:val="005F65EA"/>
    <w:rsid w:val="005F7028"/>
    <w:rsid w:val="006039B7"/>
    <w:rsid w:val="0060560F"/>
    <w:rsid w:val="00607290"/>
    <w:rsid w:val="006108C7"/>
    <w:rsid w:val="00613404"/>
    <w:rsid w:val="006143C5"/>
    <w:rsid w:val="00617CC3"/>
    <w:rsid w:val="00625995"/>
    <w:rsid w:val="006306EE"/>
    <w:rsid w:val="00632669"/>
    <w:rsid w:val="00633ECC"/>
    <w:rsid w:val="00634DD7"/>
    <w:rsid w:val="00636E9F"/>
    <w:rsid w:val="0063704D"/>
    <w:rsid w:val="006370CF"/>
    <w:rsid w:val="006377A6"/>
    <w:rsid w:val="006377D1"/>
    <w:rsid w:val="00637A3D"/>
    <w:rsid w:val="006411EF"/>
    <w:rsid w:val="00644ABF"/>
    <w:rsid w:val="00646ADC"/>
    <w:rsid w:val="006517EF"/>
    <w:rsid w:val="00651C2C"/>
    <w:rsid w:val="006543A3"/>
    <w:rsid w:val="00655D25"/>
    <w:rsid w:val="00661BA1"/>
    <w:rsid w:val="006639F8"/>
    <w:rsid w:val="00664002"/>
    <w:rsid w:val="0066501B"/>
    <w:rsid w:val="006678C6"/>
    <w:rsid w:val="006716A3"/>
    <w:rsid w:val="0067277E"/>
    <w:rsid w:val="00673DF0"/>
    <w:rsid w:val="006748B8"/>
    <w:rsid w:val="00675BDC"/>
    <w:rsid w:val="006775C3"/>
    <w:rsid w:val="00677E3D"/>
    <w:rsid w:val="00684E96"/>
    <w:rsid w:val="00685A79"/>
    <w:rsid w:val="00691815"/>
    <w:rsid w:val="0069290A"/>
    <w:rsid w:val="00694299"/>
    <w:rsid w:val="0069519A"/>
    <w:rsid w:val="006959F4"/>
    <w:rsid w:val="0069775A"/>
    <w:rsid w:val="00697813"/>
    <w:rsid w:val="00697AE1"/>
    <w:rsid w:val="006A0742"/>
    <w:rsid w:val="006A27CD"/>
    <w:rsid w:val="006A3EE8"/>
    <w:rsid w:val="006A4EDB"/>
    <w:rsid w:val="006A5E5A"/>
    <w:rsid w:val="006A72BF"/>
    <w:rsid w:val="006B03F2"/>
    <w:rsid w:val="006B0EDA"/>
    <w:rsid w:val="006B14A8"/>
    <w:rsid w:val="006B26E0"/>
    <w:rsid w:val="006B37DC"/>
    <w:rsid w:val="006B3D2C"/>
    <w:rsid w:val="006B4F68"/>
    <w:rsid w:val="006C0592"/>
    <w:rsid w:val="006C1185"/>
    <w:rsid w:val="006C272E"/>
    <w:rsid w:val="006C5479"/>
    <w:rsid w:val="006D13B5"/>
    <w:rsid w:val="006D2DB6"/>
    <w:rsid w:val="006D41BB"/>
    <w:rsid w:val="006D472A"/>
    <w:rsid w:val="006D5DA6"/>
    <w:rsid w:val="006E08C7"/>
    <w:rsid w:val="006E097F"/>
    <w:rsid w:val="006E12FF"/>
    <w:rsid w:val="006E1A8A"/>
    <w:rsid w:val="006E3123"/>
    <w:rsid w:val="006E3C3F"/>
    <w:rsid w:val="006E3CA9"/>
    <w:rsid w:val="006E5F7F"/>
    <w:rsid w:val="006E607E"/>
    <w:rsid w:val="006F2703"/>
    <w:rsid w:val="006F2F12"/>
    <w:rsid w:val="006F50E8"/>
    <w:rsid w:val="006F7035"/>
    <w:rsid w:val="00702ED9"/>
    <w:rsid w:val="00706C5D"/>
    <w:rsid w:val="00713F92"/>
    <w:rsid w:val="0072406F"/>
    <w:rsid w:val="00732922"/>
    <w:rsid w:val="0073682B"/>
    <w:rsid w:val="0074434C"/>
    <w:rsid w:val="00747007"/>
    <w:rsid w:val="0075019B"/>
    <w:rsid w:val="0075030D"/>
    <w:rsid w:val="0075162E"/>
    <w:rsid w:val="00752680"/>
    <w:rsid w:val="00754034"/>
    <w:rsid w:val="00755CAA"/>
    <w:rsid w:val="00755DFE"/>
    <w:rsid w:val="00756556"/>
    <w:rsid w:val="0076042C"/>
    <w:rsid w:val="00760F4E"/>
    <w:rsid w:val="007618C4"/>
    <w:rsid w:val="007657BF"/>
    <w:rsid w:val="00766458"/>
    <w:rsid w:val="00767980"/>
    <w:rsid w:val="0077055D"/>
    <w:rsid w:val="00770B19"/>
    <w:rsid w:val="00773926"/>
    <w:rsid w:val="0077463F"/>
    <w:rsid w:val="00781B64"/>
    <w:rsid w:val="007836EA"/>
    <w:rsid w:val="00784547"/>
    <w:rsid w:val="00784CDA"/>
    <w:rsid w:val="007906C4"/>
    <w:rsid w:val="007914C3"/>
    <w:rsid w:val="00793877"/>
    <w:rsid w:val="007940EA"/>
    <w:rsid w:val="007960B5"/>
    <w:rsid w:val="007967E8"/>
    <w:rsid w:val="007A2170"/>
    <w:rsid w:val="007A22BF"/>
    <w:rsid w:val="007A3323"/>
    <w:rsid w:val="007A4486"/>
    <w:rsid w:val="007A6EDE"/>
    <w:rsid w:val="007B00EE"/>
    <w:rsid w:val="007B2886"/>
    <w:rsid w:val="007B33CE"/>
    <w:rsid w:val="007B5FB7"/>
    <w:rsid w:val="007B72B8"/>
    <w:rsid w:val="007B7A58"/>
    <w:rsid w:val="007C21B5"/>
    <w:rsid w:val="007C5138"/>
    <w:rsid w:val="007D2AAC"/>
    <w:rsid w:val="007D4CE4"/>
    <w:rsid w:val="007D7539"/>
    <w:rsid w:val="007E427B"/>
    <w:rsid w:val="007E4BD2"/>
    <w:rsid w:val="007F119D"/>
    <w:rsid w:val="007F376A"/>
    <w:rsid w:val="007F427C"/>
    <w:rsid w:val="00801393"/>
    <w:rsid w:val="0080237D"/>
    <w:rsid w:val="00802F88"/>
    <w:rsid w:val="0080346F"/>
    <w:rsid w:val="00804986"/>
    <w:rsid w:val="00807F8F"/>
    <w:rsid w:val="00810D2B"/>
    <w:rsid w:val="0081293E"/>
    <w:rsid w:val="00815465"/>
    <w:rsid w:val="0081575C"/>
    <w:rsid w:val="00816558"/>
    <w:rsid w:val="0081662E"/>
    <w:rsid w:val="00817E9A"/>
    <w:rsid w:val="00821FFA"/>
    <w:rsid w:val="008241BD"/>
    <w:rsid w:val="00825BCE"/>
    <w:rsid w:val="008306BD"/>
    <w:rsid w:val="00831A80"/>
    <w:rsid w:val="0083259F"/>
    <w:rsid w:val="00833743"/>
    <w:rsid w:val="008340A4"/>
    <w:rsid w:val="00834DEC"/>
    <w:rsid w:val="00836878"/>
    <w:rsid w:val="00837851"/>
    <w:rsid w:val="00847C6B"/>
    <w:rsid w:val="0085233E"/>
    <w:rsid w:val="00856829"/>
    <w:rsid w:val="00862574"/>
    <w:rsid w:val="00866257"/>
    <w:rsid w:val="00867AD8"/>
    <w:rsid w:val="0087135F"/>
    <w:rsid w:val="00872D94"/>
    <w:rsid w:val="0088026F"/>
    <w:rsid w:val="00880364"/>
    <w:rsid w:val="0088106A"/>
    <w:rsid w:val="0088403D"/>
    <w:rsid w:val="00886F30"/>
    <w:rsid w:val="00891592"/>
    <w:rsid w:val="00891E9E"/>
    <w:rsid w:val="0089489C"/>
    <w:rsid w:val="008A0583"/>
    <w:rsid w:val="008A0B72"/>
    <w:rsid w:val="008A1A3C"/>
    <w:rsid w:val="008A2F68"/>
    <w:rsid w:val="008A500A"/>
    <w:rsid w:val="008B4FA6"/>
    <w:rsid w:val="008B5282"/>
    <w:rsid w:val="008B7C17"/>
    <w:rsid w:val="008C2D01"/>
    <w:rsid w:val="008C2E1C"/>
    <w:rsid w:val="008C40E6"/>
    <w:rsid w:val="008D0F7A"/>
    <w:rsid w:val="008D34BE"/>
    <w:rsid w:val="008D58AA"/>
    <w:rsid w:val="008D68E4"/>
    <w:rsid w:val="008E0506"/>
    <w:rsid w:val="008E0CFF"/>
    <w:rsid w:val="008E59DA"/>
    <w:rsid w:val="008E5D6B"/>
    <w:rsid w:val="008E614B"/>
    <w:rsid w:val="008E6CA7"/>
    <w:rsid w:val="008E76F0"/>
    <w:rsid w:val="008F15FE"/>
    <w:rsid w:val="008F2D29"/>
    <w:rsid w:val="008F5187"/>
    <w:rsid w:val="008F60D8"/>
    <w:rsid w:val="008F7B07"/>
    <w:rsid w:val="008F7DBA"/>
    <w:rsid w:val="00900C99"/>
    <w:rsid w:val="00902039"/>
    <w:rsid w:val="00902727"/>
    <w:rsid w:val="0090312B"/>
    <w:rsid w:val="009031DE"/>
    <w:rsid w:val="00906A63"/>
    <w:rsid w:val="0091066A"/>
    <w:rsid w:val="009125C6"/>
    <w:rsid w:val="009141DE"/>
    <w:rsid w:val="00914711"/>
    <w:rsid w:val="00914964"/>
    <w:rsid w:val="0091736D"/>
    <w:rsid w:val="009205D2"/>
    <w:rsid w:val="00922D2D"/>
    <w:rsid w:val="0092337F"/>
    <w:rsid w:val="0092462C"/>
    <w:rsid w:val="009279C2"/>
    <w:rsid w:val="0093037A"/>
    <w:rsid w:val="00937CB8"/>
    <w:rsid w:val="0094154D"/>
    <w:rsid w:val="00941A51"/>
    <w:rsid w:val="00950779"/>
    <w:rsid w:val="0095155F"/>
    <w:rsid w:val="009536DC"/>
    <w:rsid w:val="00954429"/>
    <w:rsid w:val="00954A2E"/>
    <w:rsid w:val="009563CE"/>
    <w:rsid w:val="00966508"/>
    <w:rsid w:val="00970883"/>
    <w:rsid w:val="00971BCB"/>
    <w:rsid w:val="00974E36"/>
    <w:rsid w:val="00976328"/>
    <w:rsid w:val="0097680D"/>
    <w:rsid w:val="00982406"/>
    <w:rsid w:val="00982438"/>
    <w:rsid w:val="0098404C"/>
    <w:rsid w:val="00985283"/>
    <w:rsid w:val="00991B84"/>
    <w:rsid w:val="00994463"/>
    <w:rsid w:val="00995992"/>
    <w:rsid w:val="0099754B"/>
    <w:rsid w:val="009A03E5"/>
    <w:rsid w:val="009A0F3B"/>
    <w:rsid w:val="009A1BB4"/>
    <w:rsid w:val="009A2628"/>
    <w:rsid w:val="009A3200"/>
    <w:rsid w:val="009A54A9"/>
    <w:rsid w:val="009B0897"/>
    <w:rsid w:val="009B7211"/>
    <w:rsid w:val="009B7BD9"/>
    <w:rsid w:val="009C0EC7"/>
    <w:rsid w:val="009C4D65"/>
    <w:rsid w:val="009C6AC8"/>
    <w:rsid w:val="009C7DD5"/>
    <w:rsid w:val="009D0922"/>
    <w:rsid w:val="009D19D2"/>
    <w:rsid w:val="009D3D6B"/>
    <w:rsid w:val="009D54EE"/>
    <w:rsid w:val="009D5BC7"/>
    <w:rsid w:val="009D6657"/>
    <w:rsid w:val="009E1022"/>
    <w:rsid w:val="009E227D"/>
    <w:rsid w:val="009E5019"/>
    <w:rsid w:val="009E751F"/>
    <w:rsid w:val="009E784B"/>
    <w:rsid w:val="009F5434"/>
    <w:rsid w:val="009F7E5B"/>
    <w:rsid w:val="00A015C8"/>
    <w:rsid w:val="00A031D7"/>
    <w:rsid w:val="00A04F1B"/>
    <w:rsid w:val="00A0501B"/>
    <w:rsid w:val="00A06E50"/>
    <w:rsid w:val="00A0702D"/>
    <w:rsid w:val="00A11425"/>
    <w:rsid w:val="00A12BB4"/>
    <w:rsid w:val="00A14947"/>
    <w:rsid w:val="00A21DAB"/>
    <w:rsid w:val="00A274CA"/>
    <w:rsid w:val="00A3134F"/>
    <w:rsid w:val="00A32A83"/>
    <w:rsid w:val="00A33B87"/>
    <w:rsid w:val="00A368DB"/>
    <w:rsid w:val="00A40707"/>
    <w:rsid w:val="00A4079A"/>
    <w:rsid w:val="00A423AA"/>
    <w:rsid w:val="00A43411"/>
    <w:rsid w:val="00A4443B"/>
    <w:rsid w:val="00A46D59"/>
    <w:rsid w:val="00A502DF"/>
    <w:rsid w:val="00A53EC6"/>
    <w:rsid w:val="00A55C0F"/>
    <w:rsid w:val="00A55D12"/>
    <w:rsid w:val="00A562D2"/>
    <w:rsid w:val="00A655C6"/>
    <w:rsid w:val="00A671C2"/>
    <w:rsid w:val="00A77207"/>
    <w:rsid w:val="00A848B5"/>
    <w:rsid w:val="00A8696F"/>
    <w:rsid w:val="00A8713F"/>
    <w:rsid w:val="00A874DC"/>
    <w:rsid w:val="00A9073A"/>
    <w:rsid w:val="00A90BA1"/>
    <w:rsid w:val="00A96C5F"/>
    <w:rsid w:val="00A97A9A"/>
    <w:rsid w:val="00AA0671"/>
    <w:rsid w:val="00AA2531"/>
    <w:rsid w:val="00AA43CD"/>
    <w:rsid w:val="00AA446A"/>
    <w:rsid w:val="00AA4A51"/>
    <w:rsid w:val="00AA517A"/>
    <w:rsid w:val="00AA587E"/>
    <w:rsid w:val="00AA7EE1"/>
    <w:rsid w:val="00AB1588"/>
    <w:rsid w:val="00AB1E09"/>
    <w:rsid w:val="00AB5330"/>
    <w:rsid w:val="00AB5DE0"/>
    <w:rsid w:val="00AB7747"/>
    <w:rsid w:val="00AC14CE"/>
    <w:rsid w:val="00AC2137"/>
    <w:rsid w:val="00AC2A56"/>
    <w:rsid w:val="00AC4BEA"/>
    <w:rsid w:val="00AC68E4"/>
    <w:rsid w:val="00AC6B5A"/>
    <w:rsid w:val="00AD055E"/>
    <w:rsid w:val="00AD47A7"/>
    <w:rsid w:val="00AD6CEF"/>
    <w:rsid w:val="00AF02F1"/>
    <w:rsid w:val="00AF0CBF"/>
    <w:rsid w:val="00AF247A"/>
    <w:rsid w:val="00AF257F"/>
    <w:rsid w:val="00AF33CF"/>
    <w:rsid w:val="00AF4D50"/>
    <w:rsid w:val="00AF6179"/>
    <w:rsid w:val="00AF61A9"/>
    <w:rsid w:val="00B007FD"/>
    <w:rsid w:val="00B018B5"/>
    <w:rsid w:val="00B027C9"/>
    <w:rsid w:val="00B041A9"/>
    <w:rsid w:val="00B04D3A"/>
    <w:rsid w:val="00B1295A"/>
    <w:rsid w:val="00B13C12"/>
    <w:rsid w:val="00B16B24"/>
    <w:rsid w:val="00B17D3D"/>
    <w:rsid w:val="00B20A45"/>
    <w:rsid w:val="00B22C5C"/>
    <w:rsid w:val="00B24F30"/>
    <w:rsid w:val="00B27E29"/>
    <w:rsid w:val="00B31ABF"/>
    <w:rsid w:val="00B33BE3"/>
    <w:rsid w:val="00B52AF0"/>
    <w:rsid w:val="00B53B5D"/>
    <w:rsid w:val="00B53F82"/>
    <w:rsid w:val="00B60488"/>
    <w:rsid w:val="00B6055E"/>
    <w:rsid w:val="00B6092C"/>
    <w:rsid w:val="00B625AA"/>
    <w:rsid w:val="00B6317D"/>
    <w:rsid w:val="00B6318A"/>
    <w:rsid w:val="00B639C5"/>
    <w:rsid w:val="00B64DFA"/>
    <w:rsid w:val="00B66A40"/>
    <w:rsid w:val="00B71B53"/>
    <w:rsid w:val="00B770E3"/>
    <w:rsid w:val="00B7723F"/>
    <w:rsid w:val="00B7748F"/>
    <w:rsid w:val="00B776AF"/>
    <w:rsid w:val="00B77CF1"/>
    <w:rsid w:val="00B80534"/>
    <w:rsid w:val="00B8433C"/>
    <w:rsid w:val="00B87491"/>
    <w:rsid w:val="00B87D58"/>
    <w:rsid w:val="00B9263A"/>
    <w:rsid w:val="00B9460F"/>
    <w:rsid w:val="00BA140B"/>
    <w:rsid w:val="00BA29E9"/>
    <w:rsid w:val="00BA7142"/>
    <w:rsid w:val="00BB237C"/>
    <w:rsid w:val="00BB2EF8"/>
    <w:rsid w:val="00BB41A3"/>
    <w:rsid w:val="00BC15EA"/>
    <w:rsid w:val="00BC32DC"/>
    <w:rsid w:val="00BC35B6"/>
    <w:rsid w:val="00BC5008"/>
    <w:rsid w:val="00BD1B51"/>
    <w:rsid w:val="00BD4596"/>
    <w:rsid w:val="00BD6221"/>
    <w:rsid w:val="00BD7710"/>
    <w:rsid w:val="00BE1405"/>
    <w:rsid w:val="00BE2311"/>
    <w:rsid w:val="00BE262C"/>
    <w:rsid w:val="00BE312D"/>
    <w:rsid w:val="00BE4320"/>
    <w:rsid w:val="00BE58FC"/>
    <w:rsid w:val="00BF1528"/>
    <w:rsid w:val="00BF1C20"/>
    <w:rsid w:val="00BF2A1F"/>
    <w:rsid w:val="00BF3917"/>
    <w:rsid w:val="00BF3A39"/>
    <w:rsid w:val="00C03102"/>
    <w:rsid w:val="00C03E43"/>
    <w:rsid w:val="00C10578"/>
    <w:rsid w:val="00C1116C"/>
    <w:rsid w:val="00C135BC"/>
    <w:rsid w:val="00C15663"/>
    <w:rsid w:val="00C15C95"/>
    <w:rsid w:val="00C2220E"/>
    <w:rsid w:val="00C2596A"/>
    <w:rsid w:val="00C2675D"/>
    <w:rsid w:val="00C27537"/>
    <w:rsid w:val="00C3184E"/>
    <w:rsid w:val="00C328FE"/>
    <w:rsid w:val="00C3346B"/>
    <w:rsid w:val="00C33507"/>
    <w:rsid w:val="00C34CA1"/>
    <w:rsid w:val="00C377C6"/>
    <w:rsid w:val="00C4409D"/>
    <w:rsid w:val="00C44E72"/>
    <w:rsid w:val="00C45A06"/>
    <w:rsid w:val="00C47E5B"/>
    <w:rsid w:val="00C5207E"/>
    <w:rsid w:val="00C568F9"/>
    <w:rsid w:val="00C571AF"/>
    <w:rsid w:val="00C60F13"/>
    <w:rsid w:val="00C61796"/>
    <w:rsid w:val="00C61E4B"/>
    <w:rsid w:val="00C62A17"/>
    <w:rsid w:val="00C63EF6"/>
    <w:rsid w:val="00C64BFF"/>
    <w:rsid w:val="00C65653"/>
    <w:rsid w:val="00C703F0"/>
    <w:rsid w:val="00C704E9"/>
    <w:rsid w:val="00C74E06"/>
    <w:rsid w:val="00C763C9"/>
    <w:rsid w:val="00C76B60"/>
    <w:rsid w:val="00C80057"/>
    <w:rsid w:val="00C82232"/>
    <w:rsid w:val="00C82913"/>
    <w:rsid w:val="00C83032"/>
    <w:rsid w:val="00C84DFD"/>
    <w:rsid w:val="00C864AD"/>
    <w:rsid w:val="00C92321"/>
    <w:rsid w:val="00C972B1"/>
    <w:rsid w:val="00CA2BB1"/>
    <w:rsid w:val="00CA2CCE"/>
    <w:rsid w:val="00CA2E41"/>
    <w:rsid w:val="00CA43FD"/>
    <w:rsid w:val="00CA6B43"/>
    <w:rsid w:val="00CA7EF8"/>
    <w:rsid w:val="00CB1721"/>
    <w:rsid w:val="00CB3DE6"/>
    <w:rsid w:val="00CC1BFB"/>
    <w:rsid w:val="00CC2ED3"/>
    <w:rsid w:val="00CC489B"/>
    <w:rsid w:val="00CC7E51"/>
    <w:rsid w:val="00CD2BCD"/>
    <w:rsid w:val="00CD3A4C"/>
    <w:rsid w:val="00CD6E71"/>
    <w:rsid w:val="00CE10E9"/>
    <w:rsid w:val="00CE2910"/>
    <w:rsid w:val="00CE4817"/>
    <w:rsid w:val="00CE5393"/>
    <w:rsid w:val="00CF36BE"/>
    <w:rsid w:val="00CF404E"/>
    <w:rsid w:val="00CF4666"/>
    <w:rsid w:val="00CF5B86"/>
    <w:rsid w:val="00CF6000"/>
    <w:rsid w:val="00CF6142"/>
    <w:rsid w:val="00CF6A81"/>
    <w:rsid w:val="00D003F3"/>
    <w:rsid w:val="00D0364F"/>
    <w:rsid w:val="00D03DBB"/>
    <w:rsid w:val="00D06834"/>
    <w:rsid w:val="00D06869"/>
    <w:rsid w:val="00D12626"/>
    <w:rsid w:val="00D1384F"/>
    <w:rsid w:val="00D15B01"/>
    <w:rsid w:val="00D179EE"/>
    <w:rsid w:val="00D2310A"/>
    <w:rsid w:val="00D235E7"/>
    <w:rsid w:val="00D308ED"/>
    <w:rsid w:val="00D3112D"/>
    <w:rsid w:val="00D34096"/>
    <w:rsid w:val="00D36D86"/>
    <w:rsid w:val="00D428AA"/>
    <w:rsid w:val="00D44F94"/>
    <w:rsid w:val="00D46B51"/>
    <w:rsid w:val="00D50252"/>
    <w:rsid w:val="00D50A34"/>
    <w:rsid w:val="00D52774"/>
    <w:rsid w:val="00D52899"/>
    <w:rsid w:val="00D53EFA"/>
    <w:rsid w:val="00D633AE"/>
    <w:rsid w:val="00D634A7"/>
    <w:rsid w:val="00D63C5B"/>
    <w:rsid w:val="00D6473A"/>
    <w:rsid w:val="00D70B37"/>
    <w:rsid w:val="00D72102"/>
    <w:rsid w:val="00D7271A"/>
    <w:rsid w:val="00D74F81"/>
    <w:rsid w:val="00D85098"/>
    <w:rsid w:val="00D90B63"/>
    <w:rsid w:val="00D94A7C"/>
    <w:rsid w:val="00D94AE5"/>
    <w:rsid w:val="00D95896"/>
    <w:rsid w:val="00DA0193"/>
    <w:rsid w:val="00DA14B4"/>
    <w:rsid w:val="00DA21B2"/>
    <w:rsid w:val="00DA6313"/>
    <w:rsid w:val="00DB05F0"/>
    <w:rsid w:val="00DB1FFF"/>
    <w:rsid w:val="00DB2983"/>
    <w:rsid w:val="00DB2AE3"/>
    <w:rsid w:val="00DB410D"/>
    <w:rsid w:val="00DB48DF"/>
    <w:rsid w:val="00DB7450"/>
    <w:rsid w:val="00DC0FFC"/>
    <w:rsid w:val="00DC1257"/>
    <w:rsid w:val="00DC3DC0"/>
    <w:rsid w:val="00DC5B2B"/>
    <w:rsid w:val="00DD153B"/>
    <w:rsid w:val="00DD318D"/>
    <w:rsid w:val="00DD47A1"/>
    <w:rsid w:val="00DE1D3B"/>
    <w:rsid w:val="00DE6096"/>
    <w:rsid w:val="00DF0BC8"/>
    <w:rsid w:val="00DF12B4"/>
    <w:rsid w:val="00DF1B61"/>
    <w:rsid w:val="00DF2E12"/>
    <w:rsid w:val="00DF4052"/>
    <w:rsid w:val="00DF4A3C"/>
    <w:rsid w:val="00DF514A"/>
    <w:rsid w:val="00DF5A2F"/>
    <w:rsid w:val="00DF5FFF"/>
    <w:rsid w:val="00DF6690"/>
    <w:rsid w:val="00DF6804"/>
    <w:rsid w:val="00E0358D"/>
    <w:rsid w:val="00E04323"/>
    <w:rsid w:val="00E070A2"/>
    <w:rsid w:val="00E07801"/>
    <w:rsid w:val="00E10DDA"/>
    <w:rsid w:val="00E246C7"/>
    <w:rsid w:val="00E25EB7"/>
    <w:rsid w:val="00E2656A"/>
    <w:rsid w:val="00E2737E"/>
    <w:rsid w:val="00E30210"/>
    <w:rsid w:val="00E33094"/>
    <w:rsid w:val="00E330F2"/>
    <w:rsid w:val="00E3438D"/>
    <w:rsid w:val="00E3617B"/>
    <w:rsid w:val="00E412D0"/>
    <w:rsid w:val="00E44F99"/>
    <w:rsid w:val="00E45718"/>
    <w:rsid w:val="00E50208"/>
    <w:rsid w:val="00E528A8"/>
    <w:rsid w:val="00E54690"/>
    <w:rsid w:val="00E56322"/>
    <w:rsid w:val="00E60974"/>
    <w:rsid w:val="00E60982"/>
    <w:rsid w:val="00E62225"/>
    <w:rsid w:val="00E6243A"/>
    <w:rsid w:val="00E62C62"/>
    <w:rsid w:val="00E644DF"/>
    <w:rsid w:val="00E64A97"/>
    <w:rsid w:val="00E6519D"/>
    <w:rsid w:val="00E654C1"/>
    <w:rsid w:val="00E65D97"/>
    <w:rsid w:val="00E661BE"/>
    <w:rsid w:val="00E71F85"/>
    <w:rsid w:val="00E725FC"/>
    <w:rsid w:val="00E72A5A"/>
    <w:rsid w:val="00E73354"/>
    <w:rsid w:val="00E801A3"/>
    <w:rsid w:val="00E86E88"/>
    <w:rsid w:val="00E917C9"/>
    <w:rsid w:val="00E9242D"/>
    <w:rsid w:val="00EB2024"/>
    <w:rsid w:val="00EB488F"/>
    <w:rsid w:val="00EB4E6D"/>
    <w:rsid w:val="00EB5255"/>
    <w:rsid w:val="00EB5C47"/>
    <w:rsid w:val="00EC08F2"/>
    <w:rsid w:val="00EC1434"/>
    <w:rsid w:val="00EC3237"/>
    <w:rsid w:val="00EC5E85"/>
    <w:rsid w:val="00ED0639"/>
    <w:rsid w:val="00ED33C1"/>
    <w:rsid w:val="00ED5FB6"/>
    <w:rsid w:val="00ED6B50"/>
    <w:rsid w:val="00EE2300"/>
    <w:rsid w:val="00EE5E92"/>
    <w:rsid w:val="00EE6D43"/>
    <w:rsid w:val="00EF4755"/>
    <w:rsid w:val="00EF7135"/>
    <w:rsid w:val="00F00B2B"/>
    <w:rsid w:val="00F01532"/>
    <w:rsid w:val="00F01D9D"/>
    <w:rsid w:val="00F0222E"/>
    <w:rsid w:val="00F027DB"/>
    <w:rsid w:val="00F047ED"/>
    <w:rsid w:val="00F05D71"/>
    <w:rsid w:val="00F05ED4"/>
    <w:rsid w:val="00F14A7A"/>
    <w:rsid w:val="00F176F0"/>
    <w:rsid w:val="00F21395"/>
    <w:rsid w:val="00F22985"/>
    <w:rsid w:val="00F241A8"/>
    <w:rsid w:val="00F24F2B"/>
    <w:rsid w:val="00F26686"/>
    <w:rsid w:val="00F3383E"/>
    <w:rsid w:val="00F33F4F"/>
    <w:rsid w:val="00F36F31"/>
    <w:rsid w:val="00F42A3A"/>
    <w:rsid w:val="00F434AA"/>
    <w:rsid w:val="00F465A7"/>
    <w:rsid w:val="00F50B7C"/>
    <w:rsid w:val="00F550E6"/>
    <w:rsid w:val="00F56523"/>
    <w:rsid w:val="00F56BD1"/>
    <w:rsid w:val="00F62D36"/>
    <w:rsid w:val="00F72854"/>
    <w:rsid w:val="00F74345"/>
    <w:rsid w:val="00F80A0A"/>
    <w:rsid w:val="00F80D3A"/>
    <w:rsid w:val="00F81683"/>
    <w:rsid w:val="00F8246B"/>
    <w:rsid w:val="00F82B19"/>
    <w:rsid w:val="00F90248"/>
    <w:rsid w:val="00F9141A"/>
    <w:rsid w:val="00F9212D"/>
    <w:rsid w:val="00F921DD"/>
    <w:rsid w:val="00F92AB4"/>
    <w:rsid w:val="00F965DA"/>
    <w:rsid w:val="00F9797B"/>
    <w:rsid w:val="00FA09C3"/>
    <w:rsid w:val="00FA1C91"/>
    <w:rsid w:val="00FA406A"/>
    <w:rsid w:val="00FA494C"/>
    <w:rsid w:val="00FB04D2"/>
    <w:rsid w:val="00FB503A"/>
    <w:rsid w:val="00FB516C"/>
    <w:rsid w:val="00FD0236"/>
    <w:rsid w:val="00FD18F4"/>
    <w:rsid w:val="00FD3A8A"/>
    <w:rsid w:val="00FD54DB"/>
    <w:rsid w:val="00FD619F"/>
    <w:rsid w:val="00FD65B1"/>
    <w:rsid w:val="00FE1104"/>
    <w:rsid w:val="00FE2B43"/>
    <w:rsid w:val="00FE6419"/>
    <w:rsid w:val="00FF583E"/>
    <w:rsid w:val="01290F7E"/>
    <w:rsid w:val="012B3A77"/>
    <w:rsid w:val="015D1E09"/>
    <w:rsid w:val="02084E76"/>
    <w:rsid w:val="020D55D4"/>
    <w:rsid w:val="024252D8"/>
    <w:rsid w:val="0257591F"/>
    <w:rsid w:val="0258507F"/>
    <w:rsid w:val="02697903"/>
    <w:rsid w:val="027975E8"/>
    <w:rsid w:val="02F96569"/>
    <w:rsid w:val="031E198F"/>
    <w:rsid w:val="033B5835"/>
    <w:rsid w:val="03C70AC9"/>
    <w:rsid w:val="03EA7B21"/>
    <w:rsid w:val="04B95D5F"/>
    <w:rsid w:val="04E62B29"/>
    <w:rsid w:val="059F77D2"/>
    <w:rsid w:val="05A25980"/>
    <w:rsid w:val="05F83EAE"/>
    <w:rsid w:val="060013A2"/>
    <w:rsid w:val="063E7D85"/>
    <w:rsid w:val="063E7FCD"/>
    <w:rsid w:val="067560F4"/>
    <w:rsid w:val="06AC5AB4"/>
    <w:rsid w:val="07293586"/>
    <w:rsid w:val="07295285"/>
    <w:rsid w:val="07636392"/>
    <w:rsid w:val="07770C56"/>
    <w:rsid w:val="08BF501B"/>
    <w:rsid w:val="08D126A2"/>
    <w:rsid w:val="08D4545F"/>
    <w:rsid w:val="08DB191C"/>
    <w:rsid w:val="092217DD"/>
    <w:rsid w:val="093A7294"/>
    <w:rsid w:val="09FF2D58"/>
    <w:rsid w:val="0A263993"/>
    <w:rsid w:val="0A2D3AC2"/>
    <w:rsid w:val="0AA755DF"/>
    <w:rsid w:val="0AC54860"/>
    <w:rsid w:val="0B017301"/>
    <w:rsid w:val="0B120D44"/>
    <w:rsid w:val="0B3952A6"/>
    <w:rsid w:val="0B884351"/>
    <w:rsid w:val="0B936712"/>
    <w:rsid w:val="0BD27BF6"/>
    <w:rsid w:val="0BF623B9"/>
    <w:rsid w:val="0C3B3C7D"/>
    <w:rsid w:val="0CAB2EAE"/>
    <w:rsid w:val="0D621C7D"/>
    <w:rsid w:val="0E73034D"/>
    <w:rsid w:val="0EB64CA6"/>
    <w:rsid w:val="0EF80A97"/>
    <w:rsid w:val="0F13775A"/>
    <w:rsid w:val="0F155F93"/>
    <w:rsid w:val="0F4F6838"/>
    <w:rsid w:val="0F5F45FE"/>
    <w:rsid w:val="0F6A6DDF"/>
    <w:rsid w:val="0F823A0A"/>
    <w:rsid w:val="0F9A112B"/>
    <w:rsid w:val="0FD06D67"/>
    <w:rsid w:val="0FE342EB"/>
    <w:rsid w:val="100161DF"/>
    <w:rsid w:val="102566C7"/>
    <w:rsid w:val="10344134"/>
    <w:rsid w:val="105501D5"/>
    <w:rsid w:val="106D2F64"/>
    <w:rsid w:val="1098445F"/>
    <w:rsid w:val="10B63710"/>
    <w:rsid w:val="10F10820"/>
    <w:rsid w:val="1107318E"/>
    <w:rsid w:val="111C2F7A"/>
    <w:rsid w:val="11665CA1"/>
    <w:rsid w:val="11FB0527"/>
    <w:rsid w:val="12424463"/>
    <w:rsid w:val="13907C7B"/>
    <w:rsid w:val="13951726"/>
    <w:rsid w:val="13B625C5"/>
    <w:rsid w:val="13BB105D"/>
    <w:rsid w:val="13DA0553"/>
    <w:rsid w:val="14396509"/>
    <w:rsid w:val="1450002A"/>
    <w:rsid w:val="146B0B18"/>
    <w:rsid w:val="14DD2C3C"/>
    <w:rsid w:val="151E5D67"/>
    <w:rsid w:val="156729D5"/>
    <w:rsid w:val="156F4B07"/>
    <w:rsid w:val="15EB11FF"/>
    <w:rsid w:val="16087E1D"/>
    <w:rsid w:val="162A3B29"/>
    <w:rsid w:val="167C6435"/>
    <w:rsid w:val="16922E00"/>
    <w:rsid w:val="175A7B32"/>
    <w:rsid w:val="17701D14"/>
    <w:rsid w:val="17735226"/>
    <w:rsid w:val="1790774C"/>
    <w:rsid w:val="17955653"/>
    <w:rsid w:val="17C46BF8"/>
    <w:rsid w:val="18514716"/>
    <w:rsid w:val="186901AE"/>
    <w:rsid w:val="189F624C"/>
    <w:rsid w:val="18D7150A"/>
    <w:rsid w:val="191B24D1"/>
    <w:rsid w:val="19AF3E24"/>
    <w:rsid w:val="19B60D75"/>
    <w:rsid w:val="19F02ADA"/>
    <w:rsid w:val="1A1C66C0"/>
    <w:rsid w:val="1A42393B"/>
    <w:rsid w:val="1A854090"/>
    <w:rsid w:val="1AA053DE"/>
    <w:rsid w:val="1AAD45DE"/>
    <w:rsid w:val="1AD86EEB"/>
    <w:rsid w:val="1B046F80"/>
    <w:rsid w:val="1B064E83"/>
    <w:rsid w:val="1B3267B5"/>
    <w:rsid w:val="1B40161D"/>
    <w:rsid w:val="1B441859"/>
    <w:rsid w:val="1B6606B1"/>
    <w:rsid w:val="1B6E30BB"/>
    <w:rsid w:val="1BA71842"/>
    <w:rsid w:val="1BB704FD"/>
    <w:rsid w:val="1C3861F8"/>
    <w:rsid w:val="1C5E7925"/>
    <w:rsid w:val="1C6D789F"/>
    <w:rsid w:val="1C9D11FF"/>
    <w:rsid w:val="1CFD070F"/>
    <w:rsid w:val="1D207C7C"/>
    <w:rsid w:val="1D3A1EE3"/>
    <w:rsid w:val="1D5F6196"/>
    <w:rsid w:val="1D6132A5"/>
    <w:rsid w:val="1D654F44"/>
    <w:rsid w:val="1D8E56D5"/>
    <w:rsid w:val="1DD34065"/>
    <w:rsid w:val="1E084A77"/>
    <w:rsid w:val="1E2516D5"/>
    <w:rsid w:val="1E4E62E5"/>
    <w:rsid w:val="1E7A43DA"/>
    <w:rsid w:val="1E7B53B9"/>
    <w:rsid w:val="1EE80081"/>
    <w:rsid w:val="1F242EAA"/>
    <w:rsid w:val="1FA96FA6"/>
    <w:rsid w:val="1FD640CE"/>
    <w:rsid w:val="1FE7539E"/>
    <w:rsid w:val="20671BE0"/>
    <w:rsid w:val="20963CB8"/>
    <w:rsid w:val="20A81A1B"/>
    <w:rsid w:val="20B07FB6"/>
    <w:rsid w:val="20B646FB"/>
    <w:rsid w:val="20BB2327"/>
    <w:rsid w:val="210F68E4"/>
    <w:rsid w:val="213B74B1"/>
    <w:rsid w:val="214B727D"/>
    <w:rsid w:val="215A2310"/>
    <w:rsid w:val="219A79C1"/>
    <w:rsid w:val="219F7201"/>
    <w:rsid w:val="21DE318A"/>
    <w:rsid w:val="21E856F3"/>
    <w:rsid w:val="21EF5B80"/>
    <w:rsid w:val="21F04774"/>
    <w:rsid w:val="22576990"/>
    <w:rsid w:val="225B1AD2"/>
    <w:rsid w:val="226F31E8"/>
    <w:rsid w:val="22F47480"/>
    <w:rsid w:val="23C066D9"/>
    <w:rsid w:val="23C245F9"/>
    <w:rsid w:val="23DE1C48"/>
    <w:rsid w:val="23F33892"/>
    <w:rsid w:val="240210CD"/>
    <w:rsid w:val="247B1A9E"/>
    <w:rsid w:val="24954B76"/>
    <w:rsid w:val="24BF09F7"/>
    <w:rsid w:val="252D53FE"/>
    <w:rsid w:val="25664FC7"/>
    <w:rsid w:val="25E956DC"/>
    <w:rsid w:val="25EC2D81"/>
    <w:rsid w:val="26B16D0F"/>
    <w:rsid w:val="26E70677"/>
    <w:rsid w:val="26ED6B88"/>
    <w:rsid w:val="271B6E79"/>
    <w:rsid w:val="277057A2"/>
    <w:rsid w:val="27A30781"/>
    <w:rsid w:val="27B552BD"/>
    <w:rsid w:val="28190853"/>
    <w:rsid w:val="282E5A61"/>
    <w:rsid w:val="28B5567F"/>
    <w:rsid w:val="29135FED"/>
    <w:rsid w:val="29146F43"/>
    <w:rsid w:val="29206EB8"/>
    <w:rsid w:val="293E2974"/>
    <w:rsid w:val="29595666"/>
    <w:rsid w:val="29874881"/>
    <w:rsid w:val="298A5D3E"/>
    <w:rsid w:val="29BF5A1A"/>
    <w:rsid w:val="29E325E0"/>
    <w:rsid w:val="29F82279"/>
    <w:rsid w:val="2A452503"/>
    <w:rsid w:val="2A46319B"/>
    <w:rsid w:val="2AE30605"/>
    <w:rsid w:val="2B244C25"/>
    <w:rsid w:val="2B2F43B8"/>
    <w:rsid w:val="2B5434FA"/>
    <w:rsid w:val="2B5F3287"/>
    <w:rsid w:val="2BA936A8"/>
    <w:rsid w:val="2C061586"/>
    <w:rsid w:val="2C315A5A"/>
    <w:rsid w:val="2C4B1C25"/>
    <w:rsid w:val="2C794669"/>
    <w:rsid w:val="2CD2529E"/>
    <w:rsid w:val="2D04768D"/>
    <w:rsid w:val="2D7823CE"/>
    <w:rsid w:val="2D9E56F5"/>
    <w:rsid w:val="2DE63D20"/>
    <w:rsid w:val="2E342952"/>
    <w:rsid w:val="2E343FBA"/>
    <w:rsid w:val="2E667F96"/>
    <w:rsid w:val="2E8226AB"/>
    <w:rsid w:val="2EA16517"/>
    <w:rsid w:val="2EB3273B"/>
    <w:rsid w:val="2F263E2A"/>
    <w:rsid w:val="2F964A52"/>
    <w:rsid w:val="2F9E707E"/>
    <w:rsid w:val="2FD065E6"/>
    <w:rsid w:val="2FD96870"/>
    <w:rsid w:val="30394957"/>
    <w:rsid w:val="30580BC9"/>
    <w:rsid w:val="30EF3E69"/>
    <w:rsid w:val="30F04312"/>
    <w:rsid w:val="311E2ED7"/>
    <w:rsid w:val="31303D72"/>
    <w:rsid w:val="315619EE"/>
    <w:rsid w:val="315A721B"/>
    <w:rsid w:val="315C449C"/>
    <w:rsid w:val="31783E46"/>
    <w:rsid w:val="31B82709"/>
    <w:rsid w:val="31D05482"/>
    <w:rsid w:val="31FB3B31"/>
    <w:rsid w:val="320A749E"/>
    <w:rsid w:val="32400B34"/>
    <w:rsid w:val="3276762B"/>
    <w:rsid w:val="329E6876"/>
    <w:rsid w:val="32F529A9"/>
    <w:rsid w:val="333015F2"/>
    <w:rsid w:val="334B6320"/>
    <w:rsid w:val="33D934D4"/>
    <w:rsid w:val="33FE2F6A"/>
    <w:rsid w:val="340E07E5"/>
    <w:rsid w:val="34235BF7"/>
    <w:rsid w:val="34291C82"/>
    <w:rsid w:val="34386840"/>
    <w:rsid w:val="343A136E"/>
    <w:rsid w:val="347945EA"/>
    <w:rsid w:val="349B6AF8"/>
    <w:rsid w:val="34AC70A4"/>
    <w:rsid w:val="34D3660E"/>
    <w:rsid w:val="34ED7DEF"/>
    <w:rsid w:val="35863A17"/>
    <w:rsid w:val="358C5FA8"/>
    <w:rsid w:val="35C15DF1"/>
    <w:rsid w:val="36074A7F"/>
    <w:rsid w:val="368536BD"/>
    <w:rsid w:val="36923549"/>
    <w:rsid w:val="36B75FBF"/>
    <w:rsid w:val="36BD0C45"/>
    <w:rsid w:val="36C45991"/>
    <w:rsid w:val="36D5223F"/>
    <w:rsid w:val="36E03454"/>
    <w:rsid w:val="36E04E7B"/>
    <w:rsid w:val="36FE39D4"/>
    <w:rsid w:val="371461C0"/>
    <w:rsid w:val="37183D8F"/>
    <w:rsid w:val="372000C7"/>
    <w:rsid w:val="373E0FF4"/>
    <w:rsid w:val="37E00298"/>
    <w:rsid w:val="387B4B2F"/>
    <w:rsid w:val="38A03544"/>
    <w:rsid w:val="38A17483"/>
    <w:rsid w:val="38B302F9"/>
    <w:rsid w:val="38BD4042"/>
    <w:rsid w:val="38D806EF"/>
    <w:rsid w:val="38F12CD3"/>
    <w:rsid w:val="38F94775"/>
    <w:rsid w:val="392971ED"/>
    <w:rsid w:val="39325651"/>
    <w:rsid w:val="396034CB"/>
    <w:rsid w:val="399F7069"/>
    <w:rsid w:val="39CE30C2"/>
    <w:rsid w:val="3A31121C"/>
    <w:rsid w:val="3A4C4188"/>
    <w:rsid w:val="3A6E4918"/>
    <w:rsid w:val="3A7828F7"/>
    <w:rsid w:val="3A872856"/>
    <w:rsid w:val="3A912193"/>
    <w:rsid w:val="3AC73C9B"/>
    <w:rsid w:val="3B3763D1"/>
    <w:rsid w:val="3BA60932"/>
    <w:rsid w:val="3C00256F"/>
    <w:rsid w:val="3C2F6E1E"/>
    <w:rsid w:val="3C4F64BA"/>
    <w:rsid w:val="3C660770"/>
    <w:rsid w:val="3CDA245A"/>
    <w:rsid w:val="3CDE6D80"/>
    <w:rsid w:val="3D1E06B7"/>
    <w:rsid w:val="3D475C41"/>
    <w:rsid w:val="3E0E4CB2"/>
    <w:rsid w:val="3E8D1F7B"/>
    <w:rsid w:val="3EDA0523"/>
    <w:rsid w:val="3F5842E8"/>
    <w:rsid w:val="3F612E33"/>
    <w:rsid w:val="3F6938C1"/>
    <w:rsid w:val="3F882336"/>
    <w:rsid w:val="3F952880"/>
    <w:rsid w:val="3FB43934"/>
    <w:rsid w:val="3FD5098F"/>
    <w:rsid w:val="3FD92337"/>
    <w:rsid w:val="3FF10D5F"/>
    <w:rsid w:val="3FFF5FB0"/>
    <w:rsid w:val="40167ABE"/>
    <w:rsid w:val="407A6407"/>
    <w:rsid w:val="41357712"/>
    <w:rsid w:val="41720FB5"/>
    <w:rsid w:val="419B0CEA"/>
    <w:rsid w:val="41E122AD"/>
    <w:rsid w:val="4200449D"/>
    <w:rsid w:val="423A3BCC"/>
    <w:rsid w:val="424E57D2"/>
    <w:rsid w:val="42AF5DDA"/>
    <w:rsid w:val="42B26C49"/>
    <w:rsid w:val="42E2334D"/>
    <w:rsid w:val="42E47FDE"/>
    <w:rsid w:val="433A6FE6"/>
    <w:rsid w:val="43455072"/>
    <w:rsid w:val="43480868"/>
    <w:rsid w:val="4350713C"/>
    <w:rsid w:val="435E225F"/>
    <w:rsid w:val="435F7D5E"/>
    <w:rsid w:val="436653E0"/>
    <w:rsid w:val="43857C44"/>
    <w:rsid w:val="43BB74DC"/>
    <w:rsid w:val="43C4431A"/>
    <w:rsid w:val="449E3C30"/>
    <w:rsid w:val="44AE6247"/>
    <w:rsid w:val="44B951CC"/>
    <w:rsid w:val="44CD14E0"/>
    <w:rsid w:val="44F20B0B"/>
    <w:rsid w:val="45220F04"/>
    <w:rsid w:val="452E5F4C"/>
    <w:rsid w:val="454B228C"/>
    <w:rsid w:val="45612018"/>
    <w:rsid w:val="458946E9"/>
    <w:rsid w:val="45A47C0E"/>
    <w:rsid w:val="45B33653"/>
    <w:rsid w:val="46054558"/>
    <w:rsid w:val="461414F9"/>
    <w:rsid w:val="462749A5"/>
    <w:rsid w:val="46577FD6"/>
    <w:rsid w:val="46582C65"/>
    <w:rsid w:val="467F5115"/>
    <w:rsid w:val="4696623A"/>
    <w:rsid w:val="469D4472"/>
    <w:rsid w:val="46D955A7"/>
    <w:rsid w:val="470839B0"/>
    <w:rsid w:val="47091EDA"/>
    <w:rsid w:val="47133957"/>
    <w:rsid w:val="47190019"/>
    <w:rsid w:val="477E72B8"/>
    <w:rsid w:val="47A07E0C"/>
    <w:rsid w:val="47F7218E"/>
    <w:rsid w:val="4870272E"/>
    <w:rsid w:val="48CE7CF4"/>
    <w:rsid w:val="48FF1F40"/>
    <w:rsid w:val="491C52C4"/>
    <w:rsid w:val="49DC7715"/>
    <w:rsid w:val="4A023139"/>
    <w:rsid w:val="4A7B576F"/>
    <w:rsid w:val="4AC15280"/>
    <w:rsid w:val="4AF561A9"/>
    <w:rsid w:val="4C4A0649"/>
    <w:rsid w:val="4C7E5211"/>
    <w:rsid w:val="4C7E5ECA"/>
    <w:rsid w:val="4C876AA5"/>
    <w:rsid w:val="4C986910"/>
    <w:rsid w:val="4CE72A24"/>
    <w:rsid w:val="4D0E00FB"/>
    <w:rsid w:val="4D176606"/>
    <w:rsid w:val="4DB011FB"/>
    <w:rsid w:val="4DDF1E44"/>
    <w:rsid w:val="4DEC4FB0"/>
    <w:rsid w:val="4DFC4ACA"/>
    <w:rsid w:val="4E075D8A"/>
    <w:rsid w:val="4E940D6D"/>
    <w:rsid w:val="4EC00FAD"/>
    <w:rsid w:val="4EDB617B"/>
    <w:rsid w:val="4F691C49"/>
    <w:rsid w:val="4F9843DC"/>
    <w:rsid w:val="4FC62A8C"/>
    <w:rsid w:val="4FE20F0D"/>
    <w:rsid w:val="4FE51552"/>
    <w:rsid w:val="50504C4B"/>
    <w:rsid w:val="507721E1"/>
    <w:rsid w:val="509C6E7C"/>
    <w:rsid w:val="50D602E0"/>
    <w:rsid w:val="50FC220E"/>
    <w:rsid w:val="50FF7B2F"/>
    <w:rsid w:val="512050EE"/>
    <w:rsid w:val="5162104E"/>
    <w:rsid w:val="51F27CEE"/>
    <w:rsid w:val="52324068"/>
    <w:rsid w:val="52870F44"/>
    <w:rsid w:val="53364EB2"/>
    <w:rsid w:val="53A039CC"/>
    <w:rsid w:val="53A1505A"/>
    <w:rsid w:val="53A170B4"/>
    <w:rsid w:val="54044C95"/>
    <w:rsid w:val="54063E08"/>
    <w:rsid w:val="543437E8"/>
    <w:rsid w:val="548F369B"/>
    <w:rsid w:val="54EA4EAE"/>
    <w:rsid w:val="54F73313"/>
    <w:rsid w:val="54F80955"/>
    <w:rsid w:val="550A73FB"/>
    <w:rsid w:val="55416B92"/>
    <w:rsid w:val="555170A7"/>
    <w:rsid w:val="555A5E0C"/>
    <w:rsid w:val="5587536D"/>
    <w:rsid w:val="55895D0C"/>
    <w:rsid w:val="559B174B"/>
    <w:rsid w:val="55CE0CF4"/>
    <w:rsid w:val="563B68D1"/>
    <w:rsid w:val="56AC3D25"/>
    <w:rsid w:val="56B22A9C"/>
    <w:rsid w:val="56B32BAB"/>
    <w:rsid w:val="57092D62"/>
    <w:rsid w:val="57B72A76"/>
    <w:rsid w:val="57C3426C"/>
    <w:rsid w:val="57CE1F93"/>
    <w:rsid w:val="57DB3900"/>
    <w:rsid w:val="57DF716D"/>
    <w:rsid w:val="583B44D8"/>
    <w:rsid w:val="586D63E2"/>
    <w:rsid w:val="588743D1"/>
    <w:rsid w:val="5887701A"/>
    <w:rsid w:val="5889335C"/>
    <w:rsid w:val="597729A3"/>
    <w:rsid w:val="59BB30AA"/>
    <w:rsid w:val="59BF254E"/>
    <w:rsid w:val="59C0439F"/>
    <w:rsid w:val="59EF6B2B"/>
    <w:rsid w:val="5A3524EB"/>
    <w:rsid w:val="5A51701F"/>
    <w:rsid w:val="5ABA1E8D"/>
    <w:rsid w:val="5ABE2233"/>
    <w:rsid w:val="5AE2225B"/>
    <w:rsid w:val="5B476A32"/>
    <w:rsid w:val="5B6825C5"/>
    <w:rsid w:val="5BA153D9"/>
    <w:rsid w:val="5BDF5D95"/>
    <w:rsid w:val="5BFE7528"/>
    <w:rsid w:val="5C677EFC"/>
    <w:rsid w:val="5CD251F8"/>
    <w:rsid w:val="5CF07FBF"/>
    <w:rsid w:val="5D27657E"/>
    <w:rsid w:val="5D2D2D37"/>
    <w:rsid w:val="5D931164"/>
    <w:rsid w:val="5DD32E83"/>
    <w:rsid w:val="5E2467F1"/>
    <w:rsid w:val="5EAC07E8"/>
    <w:rsid w:val="5EAE46CE"/>
    <w:rsid w:val="5F1A2B43"/>
    <w:rsid w:val="5F8F4C6B"/>
    <w:rsid w:val="5F9558DB"/>
    <w:rsid w:val="5FB837BB"/>
    <w:rsid w:val="5FFB48FA"/>
    <w:rsid w:val="601856F1"/>
    <w:rsid w:val="603371A2"/>
    <w:rsid w:val="60496E44"/>
    <w:rsid w:val="608A0B7A"/>
    <w:rsid w:val="60C273B0"/>
    <w:rsid w:val="60CC405A"/>
    <w:rsid w:val="60D55415"/>
    <w:rsid w:val="60D80478"/>
    <w:rsid w:val="60E56F26"/>
    <w:rsid w:val="60E9165A"/>
    <w:rsid w:val="60F746B7"/>
    <w:rsid w:val="611A0FF5"/>
    <w:rsid w:val="611C1779"/>
    <w:rsid w:val="6134011C"/>
    <w:rsid w:val="61A4459B"/>
    <w:rsid w:val="61AA7FBE"/>
    <w:rsid w:val="61C51A83"/>
    <w:rsid w:val="61D7720B"/>
    <w:rsid w:val="61E215D8"/>
    <w:rsid w:val="621B3775"/>
    <w:rsid w:val="62364782"/>
    <w:rsid w:val="626434DB"/>
    <w:rsid w:val="62AC4CD6"/>
    <w:rsid w:val="62F27248"/>
    <w:rsid w:val="63065B24"/>
    <w:rsid w:val="631E2650"/>
    <w:rsid w:val="634A2E87"/>
    <w:rsid w:val="6358361C"/>
    <w:rsid w:val="6394356A"/>
    <w:rsid w:val="63B92B43"/>
    <w:rsid w:val="63BF0185"/>
    <w:rsid w:val="63C61B2C"/>
    <w:rsid w:val="63D40BE9"/>
    <w:rsid w:val="64067883"/>
    <w:rsid w:val="64102431"/>
    <w:rsid w:val="64384279"/>
    <w:rsid w:val="646656FE"/>
    <w:rsid w:val="64672061"/>
    <w:rsid w:val="649C3A45"/>
    <w:rsid w:val="64A5243A"/>
    <w:rsid w:val="64D60829"/>
    <w:rsid w:val="64F531DE"/>
    <w:rsid w:val="65373578"/>
    <w:rsid w:val="655F1309"/>
    <w:rsid w:val="659646FA"/>
    <w:rsid w:val="65C2245C"/>
    <w:rsid w:val="66047BF7"/>
    <w:rsid w:val="66A9587E"/>
    <w:rsid w:val="671F124A"/>
    <w:rsid w:val="67664812"/>
    <w:rsid w:val="676B2650"/>
    <w:rsid w:val="677A33C6"/>
    <w:rsid w:val="67D146AD"/>
    <w:rsid w:val="67D234EB"/>
    <w:rsid w:val="681F6961"/>
    <w:rsid w:val="68222D69"/>
    <w:rsid w:val="684D4241"/>
    <w:rsid w:val="68610A2F"/>
    <w:rsid w:val="687A00FF"/>
    <w:rsid w:val="68805514"/>
    <w:rsid w:val="688F3BBC"/>
    <w:rsid w:val="690C4457"/>
    <w:rsid w:val="69316E2F"/>
    <w:rsid w:val="694E2071"/>
    <w:rsid w:val="697362FE"/>
    <w:rsid w:val="69766163"/>
    <w:rsid w:val="697A3B33"/>
    <w:rsid w:val="69D44760"/>
    <w:rsid w:val="69FF5C48"/>
    <w:rsid w:val="6A520EC7"/>
    <w:rsid w:val="6AA74006"/>
    <w:rsid w:val="6AF87E20"/>
    <w:rsid w:val="6B1C33CA"/>
    <w:rsid w:val="6B322639"/>
    <w:rsid w:val="6B327633"/>
    <w:rsid w:val="6B7040F9"/>
    <w:rsid w:val="6B7B165B"/>
    <w:rsid w:val="6BF340CD"/>
    <w:rsid w:val="6C636C38"/>
    <w:rsid w:val="6CB0330F"/>
    <w:rsid w:val="6CBA5392"/>
    <w:rsid w:val="6D764E80"/>
    <w:rsid w:val="6D812A20"/>
    <w:rsid w:val="6DB34098"/>
    <w:rsid w:val="6DB545B6"/>
    <w:rsid w:val="6DE02FB4"/>
    <w:rsid w:val="6E3F048F"/>
    <w:rsid w:val="6E514CED"/>
    <w:rsid w:val="6EB563D5"/>
    <w:rsid w:val="6ED92677"/>
    <w:rsid w:val="6ED944D9"/>
    <w:rsid w:val="6EDD2A04"/>
    <w:rsid w:val="6F225983"/>
    <w:rsid w:val="6F531DAE"/>
    <w:rsid w:val="6F9449FD"/>
    <w:rsid w:val="6FD3227A"/>
    <w:rsid w:val="6FFA3A5E"/>
    <w:rsid w:val="6FFC5590"/>
    <w:rsid w:val="703136F2"/>
    <w:rsid w:val="706D1DD0"/>
    <w:rsid w:val="70856B87"/>
    <w:rsid w:val="70CA6636"/>
    <w:rsid w:val="70CE1867"/>
    <w:rsid w:val="70D527EE"/>
    <w:rsid w:val="713D29FE"/>
    <w:rsid w:val="715B5300"/>
    <w:rsid w:val="719819B9"/>
    <w:rsid w:val="71D27F8A"/>
    <w:rsid w:val="724D03CB"/>
    <w:rsid w:val="725271D3"/>
    <w:rsid w:val="72553024"/>
    <w:rsid w:val="72AC2D3F"/>
    <w:rsid w:val="73122968"/>
    <w:rsid w:val="7318576A"/>
    <w:rsid w:val="731F5D5E"/>
    <w:rsid w:val="73B51F0E"/>
    <w:rsid w:val="73C51057"/>
    <w:rsid w:val="73C51AD5"/>
    <w:rsid w:val="741E793C"/>
    <w:rsid w:val="743203E1"/>
    <w:rsid w:val="74444761"/>
    <w:rsid w:val="744969F3"/>
    <w:rsid w:val="745E3944"/>
    <w:rsid w:val="745F1BC2"/>
    <w:rsid w:val="74736F96"/>
    <w:rsid w:val="74C152CA"/>
    <w:rsid w:val="751B2756"/>
    <w:rsid w:val="753B004D"/>
    <w:rsid w:val="75703504"/>
    <w:rsid w:val="757B659D"/>
    <w:rsid w:val="75CC5DDC"/>
    <w:rsid w:val="7635099D"/>
    <w:rsid w:val="76746A59"/>
    <w:rsid w:val="76982992"/>
    <w:rsid w:val="775A7CDD"/>
    <w:rsid w:val="77741D8C"/>
    <w:rsid w:val="77762421"/>
    <w:rsid w:val="77783357"/>
    <w:rsid w:val="77B56B1F"/>
    <w:rsid w:val="77CD77DB"/>
    <w:rsid w:val="77DE17E7"/>
    <w:rsid w:val="77E670E7"/>
    <w:rsid w:val="780F09F4"/>
    <w:rsid w:val="783C2A6B"/>
    <w:rsid w:val="787D09BE"/>
    <w:rsid w:val="787E4304"/>
    <w:rsid w:val="78A25BC0"/>
    <w:rsid w:val="78A90480"/>
    <w:rsid w:val="78CE6E98"/>
    <w:rsid w:val="78DE707B"/>
    <w:rsid w:val="78EB62C9"/>
    <w:rsid w:val="799338BF"/>
    <w:rsid w:val="799F0B42"/>
    <w:rsid w:val="79E2229D"/>
    <w:rsid w:val="7A14033C"/>
    <w:rsid w:val="7A240D2B"/>
    <w:rsid w:val="7A364017"/>
    <w:rsid w:val="7A8265E1"/>
    <w:rsid w:val="7ABB0992"/>
    <w:rsid w:val="7B683486"/>
    <w:rsid w:val="7B686D42"/>
    <w:rsid w:val="7B841746"/>
    <w:rsid w:val="7C1B4376"/>
    <w:rsid w:val="7C1E1CDC"/>
    <w:rsid w:val="7C5D1D90"/>
    <w:rsid w:val="7C6C5AC7"/>
    <w:rsid w:val="7CBC5FF4"/>
    <w:rsid w:val="7CC6544B"/>
    <w:rsid w:val="7D0239FF"/>
    <w:rsid w:val="7D5E40CD"/>
    <w:rsid w:val="7DCD56F2"/>
    <w:rsid w:val="7DE62533"/>
    <w:rsid w:val="7DEA72CE"/>
    <w:rsid w:val="7E2B1BC4"/>
    <w:rsid w:val="7E351120"/>
    <w:rsid w:val="7E8113DF"/>
    <w:rsid w:val="7EBB503C"/>
    <w:rsid w:val="7EFA5827"/>
    <w:rsid w:val="7F001CE7"/>
    <w:rsid w:val="7F051E86"/>
    <w:rsid w:val="7F0A6935"/>
    <w:rsid w:val="7F1B779C"/>
    <w:rsid w:val="7F5E1823"/>
    <w:rsid w:val="7F6A58E3"/>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5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1"/>
    <w:next w:val="1"/>
    <w:link w:val="57"/>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6"/>
    <w:semiHidden/>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6"/>
    <w:qFormat/>
    <w:locked/>
    <w:uiPriority w:val="9"/>
    <w:pPr>
      <w:keepNext/>
      <w:keepLines/>
      <w:numPr>
        <w:ilvl w:val="3"/>
        <w:numId w:val="1"/>
      </w:numPr>
      <w:spacing w:line="360" w:lineRule="auto"/>
      <w:jc w:val="left"/>
      <w:outlineLvl w:val="3"/>
    </w:pPr>
    <w:rPr>
      <w:rFonts w:ascii="Times New Roman" w:hAnsi="Times New Roman"/>
      <w:bCs/>
      <w:kern w:val="0"/>
      <w:sz w:val="24"/>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Body Text First Indent"/>
    <w:basedOn w:val="7"/>
    <w:link w:val="46"/>
    <w:qFormat/>
    <w:locked/>
    <w:uiPriority w:val="0"/>
    <w:pPr>
      <w:widowControl w:val="0"/>
      <w:snapToGrid/>
      <w:spacing w:before="0" w:after="120" w:line="240" w:lineRule="auto"/>
      <w:ind w:right="0" w:firstLine="420" w:firstLineChars="100"/>
    </w:pPr>
    <w:rPr>
      <w:kern w:val="2"/>
      <w:sz w:val="21"/>
      <w:szCs w:val="24"/>
    </w:rPr>
  </w:style>
  <w:style w:type="paragraph" w:styleId="7">
    <w:name w:val="Body Text"/>
    <w:basedOn w:val="1"/>
    <w:next w:val="8"/>
    <w:link w:val="34"/>
    <w:qFormat/>
    <w:uiPriority w:val="0"/>
    <w:pPr>
      <w:widowControl/>
      <w:snapToGrid w:val="0"/>
      <w:spacing w:before="60" w:after="160" w:line="259" w:lineRule="auto"/>
      <w:ind w:right="113"/>
    </w:pPr>
    <w:rPr>
      <w:kern w:val="0"/>
      <w:sz w:val="18"/>
      <w:szCs w:val="20"/>
    </w:rPr>
  </w:style>
  <w:style w:type="paragraph" w:customStyle="1" w:styleId="8">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9">
    <w:name w:val="caption"/>
    <w:basedOn w:val="1"/>
    <w:next w:val="6"/>
    <w:link w:val="49"/>
    <w:qFormat/>
    <w:locked/>
    <w:uiPriority w:val="35"/>
    <w:pPr>
      <w:widowControl/>
      <w:adjustRightInd w:val="0"/>
      <w:snapToGrid w:val="0"/>
      <w:jc w:val="center"/>
    </w:pPr>
    <w:rPr>
      <w:rFonts w:eastAsia="黑体"/>
      <w:kern w:val="0"/>
      <w:sz w:val="24"/>
      <w:szCs w:val="20"/>
      <w:lang w:val="zh-CN" w:eastAsia="zh-CN"/>
    </w:rPr>
  </w:style>
  <w:style w:type="paragraph" w:styleId="10">
    <w:name w:val="annotation text"/>
    <w:basedOn w:val="1"/>
    <w:link w:val="35"/>
    <w:semiHidden/>
    <w:qFormat/>
    <w:uiPriority w:val="0"/>
    <w:pPr>
      <w:jc w:val="left"/>
    </w:pPr>
    <w:rPr>
      <w:kern w:val="0"/>
      <w:sz w:val="24"/>
      <w:szCs w:val="20"/>
    </w:rPr>
  </w:style>
  <w:style w:type="paragraph" w:styleId="11">
    <w:name w:val="Body Text Indent"/>
    <w:basedOn w:val="1"/>
    <w:link w:val="43"/>
    <w:qFormat/>
    <w:uiPriority w:val="0"/>
    <w:pPr>
      <w:spacing w:after="120"/>
      <w:ind w:left="420" w:leftChars="200"/>
    </w:pPr>
    <w:rPr>
      <w:kern w:val="0"/>
      <w:sz w:val="24"/>
      <w:szCs w:val="20"/>
    </w:rPr>
  </w:style>
  <w:style w:type="paragraph" w:styleId="12">
    <w:name w:val="Plain Text"/>
    <w:basedOn w:val="1"/>
    <w:qFormat/>
    <w:locked/>
    <w:uiPriority w:val="0"/>
    <w:pPr>
      <w:widowControl w:val="0"/>
      <w:adjustRightInd/>
      <w:snapToGrid/>
      <w:spacing w:line="360" w:lineRule="auto"/>
      <w:ind w:firstLine="200" w:firstLineChars="200"/>
    </w:pPr>
    <w:rPr>
      <w:rFonts w:ascii="宋体" w:hAnsi="Courier New"/>
      <w:kern w:val="0"/>
      <w:sz w:val="20"/>
      <w:szCs w:val="20"/>
    </w:rPr>
  </w:style>
  <w:style w:type="paragraph" w:styleId="13">
    <w:name w:val="Date"/>
    <w:basedOn w:val="1"/>
    <w:next w:val="1"/>
    <w:link w:val="30"/>
    <w:qFormat/>
    <w:uiPriority w:val="0"/>
    <w:pPr>
      <w:ind w:left="100" w:leftChars="2500"/>
    </w:pPr>
    <w:rPr>
      <w:kern w:val="0"/>
      <w:sz w:val="24"/>
      <w:szCs w:val="20"/>
    </w:rPr>
  </w:style>
  <w:style w:type="paragraph" w:styleId="14">
    <w:name w:val="Body Text Indent 2"/>
    <w:basedOn w:val="1"/>
    <w:link w:val="55"/>
    <w:unhideWhenUsed/>
    <w:qFormat/>
    <w:locked/>
    <w:uiPriority w:val="99"/>
    <w:pPr>
      <w:spacing w:after="120" w:line="480" w:lineRule="auto"/>
      <w:ind w:left="420" w:leftChars="200"/>
    </w:pPr>
    <w:rPr>
      <w:rFonts w:asciiTheme="minorHAnsi" w:hAnsiTheme="minorHAnsi" w:eastAsiaTheme="minorEastAsia" w:cstheme="minorBidi"/>
      <w:szCs w:val="22"/>
    </w:rPr>
  </w:style>
  <w:style w:type="paragraph" w:styleId="15">
    <w:name w:val="Balloon Text"/>
    <w:basedOn w:val="1"/>
    <w:link w:val="39"/>
    <w:semiHidden/>
    <w:qFormat/>
    <w:uiPriority w:val="0"/>
    <w:rPr>
      <w:kern w:val="0"/>
      <w:sz w:val="18"/>
      <w:szCs w:val="20"/>
    </w:rPr>
  </w:style>
  <w:style w:type="paragraph" w:styleId="16">
    <w:name w:val="footer"/>
    <w:basedOn w:val="1"/>
    <w:link w:val="29"/>
    <w:qFormat/>
    <w:uiPriority w:val="99"/>
    <w:pPr>
      <w:tabs>
        <w:tab w:val="center" w:pos="4153"/>
        <w:tab w:val="right" w:pos="8306"/>
      </w:tabs>
      <w:snapToGrid w:val="0"/>
      <w:jc w:val="left"/>
    </w:pPr>
    <w:rPr>
      <w:kern w:val="0"/>
      <w:sz w:val="18"/>
      <w:szCs w:val="20"/>
    </w:rPr>
  </w:style>
  <w:style w:type="paragraph" w:styleId="17">
    <w:name w:val="header"/>
    <w:basedOn w:val="1"/>
    <w:link w:val="41"/>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toc 1"/>
    <w:basedOn w:val="1"/>
    <w:next w:val="1"/>
    <w:qFormat/>
    <w:locked/>
    <w:uiPriority w:val="39"/>
  </w:style>
  <w:style w:type="paragraph" w:styleId="19">
    <w:name w:val="Normal (Web)"/>
    <w:basedOn w:val="1"/>
    <w:link w:val="32"/>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10"/>
    <w:next w:val="10"/>
    <w:link w:val="40"/>
    <w:semiHidden/>
    <w:qFormat/>
    <w:uiPriority w:val="0"/>
    <w:rPr>
      <w:b/>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locked/>
    <w:uiPriority w:val="0"/>
  </w:style>
  <w:style w:type="character" w:styleId="25">
    <w:name w:val="Hyperlink"/>
    <w:basedOn w:val="23"/>
    <w:unhideWhenUsed/>
    <w:qFormat/>
    <w:locked/>
    <w:uiPriority w:val="99"/>
    <w:rPr>
      <w:color w:val="0000FF" w:themeColor="hyperlink"/>
      <w:u w:val="single"/>
      <w14:textFill>
        <w14:solidFill>
          <w14:schemeClr w14:val="hlink"/>
        </w14:solidFill>
      </w14:textFill>
    </w:rPr>
  </w:style>
  <w:style w:type="character" w:styleId="26">
    <w:name w:val="annotation reference"/>
    <w:semiHidden/>
    <w:qFormat/>
    <w:uiPriority w:val="0"/>
    <w:rPr>
      <w:sz w:val="21"/>
    </w:rPr>
  </w:style>
  <w:style w:type="paragraph" w:customStyle="1" w:styleId="27">
    <w:name w:val="Default"/>
    <w:basedOn w:val="28"/>
    <w:unhideWhenUsed/>
    <w:qFormat/>
    <w:uiPriority w:val="0"/>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28">
    <w:name w:val="纯文本1"/>
    <w:basedOn w:val="1"/>
    <w:qFormat/>
    <w:uiPriority w:val="0"/>
    <w:pPr>
      <w:adjustRightInd w:val="0"/>
    </w:pPr>
    <w:rPr>
      <w:rFonts w:hAnsi="Courier New"/>
      <w:szCs w:val="20"/>
    </w:rPr>
  </w:style>
  <w:style w:type="character" w:customStyle="1" w:styleId="29">
    <w:name w:val="页脚 Char"/>
    <w:link w:val="16"/>
    <w:qFormat/>
    <w:locked/>
    <w:uiPriority w:val="99"/>
    <w:rPr>
      <w:sz w:val="18"/>
    </w:rPr>
  </w:style>
  <w:style w:type="character" w:customStyle="1" w:styleId="30">
    <w:name w:val="日期 Char"/>
    <w:link w:val="13"/>
    <w:qFormat/>
    <w:locked/>
    <w:uiPriority w:val="0"/>
    <w:rPr>
      <w:rFonts w:ascii="Times New Roman" w:hAnsi="Times New Roman" w:eastAsia="宋体"/>
      <w:sz w:val="24"/>
    </w:rPr>
  </w:style>
  <w:style w:type="character" w:customStyle="1" w:styleId="31">
    <w:name w:val="页脚 字符"/>
    <w:basedOn w:val="23"/>
    <w:qFormat/>
    <w:uiPriority w:val="99"/>
  </w:style>
  <w:style w:type="character" w:customStyle="1" w:styleId="32">
    <w:name w:val="普通(网站) Char"/>
    <w:link w:val="19"/>
    <w:qFormat/>
    <w:locked/>
    <w:uiPriority w:val="0"/>
    <w:rPr>
      <w:rFonts w:ascii="宋体" w:hAnsi="宋体" w:eastAsia="宋体"/>
      <w:sz w:val="24"/>
    </w:rPr>
  </w:style>
  <w:style w:type="character" w:customStyle="1" w:styleId="33">
    <w:name w:val="正文文本 字符1"/>
    <w:semiHidden/>
    <w:qFormat/>
    <w:uiPriority w:val="0"/>
    <w:rPr>
      <w:rFonts w:ascii="Times New Roman" w:hAnsi="Times New Roman" w:eastAsia="宋体"/>
      <w:sz w:val="24"/>
    </w:rPr>
  </w:style>
  <w:style w:type="character" w:customStyle="1" w:styleId="34">
    <w:name w:val="正文文本 Char"/>
    <w:link w:val="7"/>
    <w:qFormat/>
    <w:locked/>
    <w:uiPriority w:val="0"/>
    <w:rPr>
      <w:sz w:val="18"/>
    </w:rPr>
  </w:style>
  <w:style w:type="character" w:customStyle="1" w:styleId="35">
    <w:name w:val="批注文字 Char"/>
    <w:link w:val="10"/>
    <w:qFormat/>
    <w:locked/>
    <w:uiPriority w:val="0"/>
    <w:rPr>
      <w:rFonts w:ascii="Times New Roman" w:hAnsi="Times New Roman" w:eastAsia="宋体"/>
      <w:sz w:val="24"/>
    </w:rPr>
  </w:style>
  <w:style w:type="character" w:customStyle="1" w:styleId="36">
    <w:name w:val="表格 Char"/>
    <w:link w:val="37"/>
    <w:qFormat/>
    <w:locked/>
    <w:uiPriority w:val="0"/>
    <w:rPr>
      <w:rFonts w:ascii="宋体"/>
      <w:sz w:val="21"/>
    </w:rPr>
  </w:style>
  <w:style w:type="paragraph" w:customStyle="1" w:styleId="37">
    <w:name w:val="表格"/>
    <w:basedOn w:val="1"/>
    <w:next w:val="1"/>
    <w:link w:val="36"/>
    <w:qFormat/>
    <w:uiPriority w:val="0"/>
    <w:pPr>
      <w:adjustRightInd w:val="0"/>
      <w:snapToGrid w:val="0"/>
      <w:spacing w:beforeLines="10" w:afterLines="10" w:line="259" w:lineRule="auto"/>
      <w:jc w:val="center"/>
    </w:pPr>
    <w:rPr>
      <w:rFonts w:ascii="宋体"/>
      <w:kern w:val="0"/>
      <w:szCs w:val="20"/>
    </w:rPr>
  </w:style>
  <w:style w:type="character" w:customStyle="1" w:styleId="38">
    <w:name w:val="日期 字符"/>
    <w:semiHidden/>
    <w:qFormat/>
    <w:uiPriority w:val="0"/>
    <w:rPr>
      <w:rFonts w:ascii="Times New Roman" w:hAnsi="Times New Roman" w:eastAsia="宋体"/>
      <w:sz w:val="24"/>
    </w:rPr>
  </w:style>
  <w:style w:type="character" w:customStyle="1" w:styleId="39">
    <w:name w:val="批注框文本 Char"/>
    <w:link w:val="15"/>
    <w:semiHidden/>
    <w:qFormat/>
    <w:locked/>
    <w:uiPriority w:val="0"/>
    <w:rPr>
      <w:rFonts w:ascii="Times New Roman" w:hAnsi="Times New Roman" w:eastAsia="宋体"/>
      <w:sz w:val="18"/>
    </w:rPr>
  </w:style>
  <w:style w:type="character" w:customStyle="1" w:styleId="40">
    <w:name w:val="批注主题 Char"/>
    <w:link w:val="20"/>
    <w:semiHidden/>
    <w:qFormat/>
    <w:locked/>
    <w:uiPriority w:val="0"/>
    <w:rPr>
      <w:rFonts w:ascii="Times New Roman" w:hAnsi="Times New Roman" w:eastAsia="宋体"/>
      <w:b/>
      <w:kern w:val="2"/>
      <w:sz w:val="24"/>
    </w:rPr>
  </w:style>
  <w:style w:type="character" w:customStyle="1" w:styleId="41">
    <w:name w:val="页眉 Char"/>
    <w:link w:val="17"/>
    <w:qFormat/>
    <w:locked/>
    <w:uiPriority w:val="0"/>
    <w:rPr>
      <w:sz w:val="18"/>
    </w:rPr>
  </w:style>
  <w:style w:type="character" w:customStyle="1" w:styleId="42">
    <w:name w:val="批注文字 字符1"/>
    <w:semiHidden/>
    <w:qFormat/>
    <w:uiPriority w:val="0"/>
    <w:rPr>
      <w:rFonts w:ascii="Times New Roman" w:hAnsi="Times New Roman" w:eastAsia="宋体"/>
      <w:sz w:val="24"/>
    </w:rPr>
  </w:style>
  <w:style w:type="character" w:customStyle="1" w:styleId="43">
    <w:name w:val="正文文本缩进 Char"/>
    <w:link w:val="11"/>
    <w:semiHidden/>
    <w:qFormat/>
    <w:locked/>
    <w:uiPriority w:val="0"/>
    <w:rPr>
      <w:rFonts w:ascii="Times New Roman" w:hAnsi="Times New Roman" w:eastAsia="宋体"/>
      <w:sz w:val="24"/>
    </w:rPr>
  </w:style>
  <w:style w:type="paragraph" w:customStyle="1" w:styleId="4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6">
    <w:name w:val="正文首行缩进 Char"/>
    <w:link w:val="6"/>
    <w:qFormat/>
    <w:uiPriority w:val="0"/>
    <w:rPr>
      <w:kern w:val="2"/>
      <w:sz w:val="21"/>
      <w:szCs w:val="24"/>
    </w:rPr>
  </w:style>
  <w:style w:type="paragraph" w:customStyle="1" w:styleId="47">
    <w:name w:val="表格文字"/>
    <w:basedOn w:val="1"/>
    <w:link w:val="48"/>
    <w:qFormat/>
    <w:uiPriority w:val="0"/>
    <w:pPr>
      <w:widowControl/>
      <w:adjustRightInd w:val="0"/>
      <w:snapToGrid w:val="0"/>
      <w:jc w:val="center"/>
    </w:pPr>
    <w:rPr>
      <w:kern w:val="0"/>
      <w:sz w:val="20"/>
      <w:szCs w:val="20"/>
      <w:lang w:val="zh-CN" w:eastAsia="zh-CN"/>
    </w:rPr>
  </w:style>
  <w:style w:type="character" w:customStyle="1" w:styleId="48">
    <w:name w:val="表格文字 Char"/>
    <w:link w:val="47"/>
    <w:qFormat/>
    <w:uiPriority w:val="0"/>
    <w:rPr>
      <w:lang w:val="zh-CN" w:eastAsia="zh-CN"/>
    </w:rPr>
  </w:style>
  <w:style w:type="character" w:customStyle="1" w:styleId="49">
    <w:name w:val="题注 Char"/>
    <w:link w:val="9"/>
    <w:qFormat/>
    <w:uiPriority w:val="99"/>
    <w:rPr>
      <w:rFonts w:eastAsia="黑体"/>
      <w:sz w:val="24"/>
      <w:lang w:val="zh-CN" w:eastAsia="zh-CN"/>
    </w:rPr>
  </w:style>
  <w:style w:type="paragraph" w:customStyle="1" w:styleId="50">
    <w:name w:val="正文首行缩进1"/>
    <w:basedOn w:val="7"/>
    <w:unhideWhenUsed/>
    <w:qFormat/>
    <w:uiPriority w:val="99"/>
    <w:pPr>
      <w:adjustRightInd w:val="0"/>
      <w:spacing w:before="0" w:after="0" w:line="360" w:lineRule="auto"/>
      <w:ind w:right="0" w:firstLine="200" w:firstLineChars="200"/>
    </w:pPr>
    <w:rPr>
      <w:kern w:val="2"/>
      <w:sz w:val="24"/>
      <w:szCs w:val="21"/>
    </w:rPr>
  </w:style>
  <w:style w:type="character" w:customStyle="1" w:styleId="51">
    <w:name w:val="表格文字7 Char"/>
    <w:link w:val="52"/>
    <w:qFormat/>
    <w:uiPriority w:val="0"/>
    <w:rPr>
      <w:bCs/>
      <w:kern w:val="2"/>
      <w:sz w:val="21"/>
      <w:szCs w:val="21"/>
      <w:lang w:val="zh-CN"/>
    </w:rPr>
  </w:style>
  <w:style w:type="paragraph" w:customStyle="1" w:styleId="52">
    <w:name w:val="表格文字7"/>
    <w:basedOn w:val="1"/>
    <w:link w:val="51"/>
    <w:qFormat/>
    <w:uiPriority w:val="0"/>
    <w:pPr>
      <w:tabs>
        <w:tab w:val="left" w:pos="2745"/>
      </w:tabs>
      <w:snapToGrid w:val="0"/>
      <w:jc w:val="center"/>
    </w:pPr>
    <w:rPr>
      <w:bCs/>
      <w:szCs w:val="21"/>
      <w:lang w:val="zh-CN"/>
    </w:rPr>
  </w:style>
  <w:style w:type="character" w:customStyle="1" w:styleId="53">
    <w:name w:val="ENFI正文 Char Char"/>
    <w:link w:val="54"/>
    <w:qFormat/>
    <w:locked/>
    <w:uiPriority w:val="0"/>
    <w:rPr>
      <w:rFonts w:eastAsia="仿宋_GB2312"/>
      <w:color w:val="000000"/>
      <w:sz w:val="24"/>
    </w:rPr>
  </w:style>
  <w:style w:type="paragraph" w:customStyle="1" w:styleId="54">
    <w:name w:val="ENFI正文"/>
    <w:basedOn w:val="1"/>
    <w:link w:val="53"/>
    <w:qFormat/>
    <w:uiPriority w:val="0"/>
    <w:pPr>
      <w:adjustRightInd w:val="0"/>
      <w:snapToGrid w:val="0"/>
      <w:spacing w:line="400" w:lineRule="exact"/>
      <w:ind w:firstLine="567"/>
    </w:pPr>
    <w:rPr>
      <w:rFonts w:eastAsia="仿宋_GB2312"/>
      <w:color w:val="000000"/>
      <w:kern w:val="0"/>
      <w:sz w:val="24"/>
      <w:szCs w:val="20"/>
    </w:rPr>
  </w:style>
  <w:style w:type="character" w:customStyle="1" w:styleId="55">
    <w:name w:val="正文文本缩进 2 Char"/>
    <w:basedOn w:val="23"/>
    <w:link w:val="14"/>
    <w:qFormat/>
    <w:uiPriority w:val="99"/>
    <w:rPr>
      <w:rFonts w:asciiTheme="minorHAnsi" w:hAnsiTheme="minorHAnsi" w:eastAsiaTheme="minorEastAsia" w:cstheme="minorBidi"/>
      <w:kern w:val="2"/>
      <w:sz w:val="21"/>
      <w:szCs w:val="22"/>
    </w:rPr>
  </w:style>
  <w:style w:type="character" w:customStyle="1" w:styleId="56">
    <w:name w:val="标题 3 Char"/>
    <w:basedOn w:val="23"/>
    <w:link w:val="4"/>
    <w:semiHidden/>
    <w:qFormat/>
    <w:uiPriority w:val="0"/>
    <w:rPr>
      <w:b/>
      <w:bCs/>
      <w:kern w:val="2"/>
      <w:sz w:val="32"/>
      <w:szCs w:val="32"/>
    </w:rPr>
  </w:style>
  <w:style w:type="character" w:customStyle="1" w:styleId="57">
    <w:name w:val="标题 2 Char"/>
    <w:basedOn w:val="23"/>
    <w:link w:val="2"/>
    <w:semiHidden/>
    <w:qFormat/>
    <w:uiPriority w:val="0"/>
    <w:rPr>
      <w:rFonts w:asciiTheme="majorHAnsi" w:hAnsiTheme="majorHAnsi" w:eastAsiaTheme="majorEastAsia" w:cstheme="majorBidi"/>
      <w:b/>
      <w:bCs/>
      <w:kern w:val="2"/>
      <w:sz w:val="32"/>
      <w:szCs w:val="32"/>
    </w:rPr>
  </w:style>
  <w:style w:type="paragraph" w:customStyle="1" w:styleId="58">
    <w:name w:val="TOC Heading"/>
    <w:basedOn w:val="3"/>
    <w:next w:val="1"/>
    <w:unhideWhenUsed/>
    <w:qFormat/>
    <w:uiPriority w:val="39"/>
    <w:pPr>
      <w:keepLines/>
      <w:widowControl/>
      <w:overflowPunct/>
      <w:snapToGrid/>
      <w:spacing w:before="480" w:after="0" w:line="276" w:lineRule="auto"/>
      <w:ind w:left="0" w:firstLine="0"/>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59">
    <w:name w:val="Table Paragraph"/>
    <w:basedOn w:val="1"/>
    <w:qFormat/>
    <w:uiPriority w:val="1"/>
    <w:pPr>
      <w:jc w:val="center"/>
    </w:pPr>
    <w:rPr>
      <w:rFonts w:ascii="宋体" w:hAnsi="宋体" w:eastAsia="宋体" w:cs="宋体"/>
      <w:lang w:val="zh-CN" w:eastAsia="zh-CN" w:bidi="zh-CN"/>
    </w:rPr>
  </w:style>
  <w:style w:type="paragraph" w:customStyle="1" w:styleId="60">
    <w:name w:val="君邦正文"/>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paragraph" w:customStyle="1" w:styleId="61">
    <w:name w:val="正文1"/>
    <w:basedOn w:val="1"/>
    <w:qFormat/>
    <w:uiPriority w:val="0"/>
    <w:pPr>
      <w:adjustRightInd w:val="0"/>
      <w:spacing w:line="480" w:lineRule="exact"/>
      <w:textAlignment w:val="baseline"/>
    </w:pPr>
    <w:rPr>
      <w:spacing w:val="-2"/>
      <w:kern w:val="0"/>
      <w:szCs w:val="20"/>
    </w:rPr>
  </w:style>
  <w:style w:type="paragraph" w:styleId="62">
    <w:name w:val="List Paragraph"/>
    <w:basedOn w:val="1"/>
    <w:qFormat/>
    <w:uiPriority w:val="1"/>
    <w:pPr>
      <w:ind w:left="700" w:hanging="601"/>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media/image12.wmf"/><Relationship Id="rId27" Type="http://schemas.openxmlformats.org/officeDocument/2006/relationships/oleObject" Target="embeddings/oleObject1.bin"/><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85D47B-B415-4D22-87D5-660E5DBD64B7}">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32</Pages>
  <Words>3784</Words>
  <Characters>21572</Characters>
  <Lines>179</Lines>
  <Paragraphs>50</Paragraphs>
  <TotalTime>1</TotalTime>
  <ScaleCrop>false</ScaleCrop>
  <LinksUpToDate>false</LinksUpToDate>
  <CharactersWithSpaces>25306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2021-03-28T07:13:00Z</dcterms:created>
  <dc:creator>lhj</dc:creator>
  <cp:lastModifiedBy>彭波</cp:lastModifiedBy>
  <cp:lastPrinted>2020-12-29T02:43:00Z</cp:lastPrinted>
  <dcterms:modified xsi:type="dcterms:W3CDTF">2021-12-08T07:37:08Z</dcterms:modified>
  <dc:title>附件2</dc:title>
  <cp:revision>1058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1D75980FCA1B404AB15904588B38BDDD</vt:lpwstr>
  </property>
</Properties>
</file>