
<file path=[Content_Types].xml><?xml version="1.0" encoding="utf-8"?>
<Types xmlns="http://schemas.openxmlformats.org/package/2006/content-types">
  <Default Extension="xml" ContentType="application/xml"/>
  <Default Extension="wmf" ContentType="image/x-wmf"/>
  <Default Extension="bin" ContentType="application/vnd.openxmlformats-officedocument.oleObject"/>
  <Default Extension="png" ContentType="image/png"/>
  <Default Extension="jpeg" ContentType="image/jpeg"/>
  <Default Extension="JPG" ContentType="image/.jp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2003-2010___1.vsd" ContentType="application/vnd.visio"/>
  <Override PartName="/word/embeddings/Microsoft_Visio_2003-2010___2.vsd" ContentType="application/vnd.visio"/>
  <Override PartName="/word/embeddings/Microsoft_Visio___3.vsdx" ContentType="application/vnd.ms-visio.drawing"/>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黑体"/>
          <w:kern w:val="0"/>
          <w:sz w:val="52"/>
          <w:szCs w:val="52"/>
        </w:rPr>
      </w:pPr>
    </w:p>
    <w:p>
      <w:pPr>
        <w:spacing w:line="360" w:lineRule="auto"/>
        <w:jc w:val="center"/>
        <w:rPr>
          <w:rFonts w:eastAsia="黑体"/>
          <w:kern w:val="0"/>
          <w:sz w:val="52"/>
          <w:szCs w:val="52"/>
        </w:rPr>
      </w:pPr>
      <w:r>
        <w:rPr>
          <w:rFonts w:hint="eastAsia" w:eastAsia="黑体"/>
          <w:kern w:val="0"/>
          <w:sz w:val="52"/>
          <w:szCs w:val="52"/>
        </w:rPr>
        <w:t>湖南安发原生态农业旅游开发有限公司养鸡场项目环境影响报告书</w:t>
      </w:r>
    </w:p>
    <w:p>
      <w:pPr>
        <w:pStyle w:val="17"/>
        <w:spacing w:before="360"/>
        <w:rPr>
          <w:rFonts w:cs="Times New Roman" w:eastAsiaTheme="minorEastAsia"/>
          <w:b/>
          <w:smallCaps w:val="0"/>
          <w:sz w:val="30"/>
          <w:szCs w:val="30"/>
          <w:u w:val="none"/>
        </w:rPr>
      </w:pPr>
      <w:r>
        <w:rPr>
          <w:rFonts w:cs="Times New Roman" w:eastAsiaTheme="minorEastAsia"/>
          <w:b/>
          <w:smallCaps w:val="0"/>
          <w:sz w:val="30"/>
          <w:szCs w:val="30"/>
          <w:u w:val="none"/>
        </w:rPr>
        <w:t>（</w:t>
      </w:r>
      <w:r>
        <w:rPr>
          <w:rFonts w:hint="eastAsia" w:cs="Times New Roman" w:eastAsiaTheme="minorEastAsia"/>
          <w:b/>
          <w:smallCaps w:val="0"/>
          <w:sz w:val="30"/>
          <w:szCs w:val="30"/>
          <w:u w:val="none"/>
        </w:rPr>
        <w:t>报批</w:t>
      </w:r>
      <w:r>
        <w:rPr>
          <w:rFonts w:cs="Times New Roman" w:eastAsiaTheme="minorEastAsia"/>
          <w:b/>
          <w:smallCaps w:val="0"/>
          <w:sz w:val="30"/>
          <w:szCs w:val="30"/>
          <w:u w:val="none"/>
        </w:rPr>
        <w:t>稿）</w:t>
      </w:r>
    </w:p>
    <w:p/>
    <w:p/>
    <w:p/>
    <w:p/>
    <w:p/>
    <w:p/>
    <w:p/>
    <w:p/>
    <w:p/>
    <w:p/>
    <w:p/>
    <w:p/>
    <w:p/>
    <w:p/>
    <w:p/>
    <w:p/>
    <w:p/>
    <w:p/>
    <w:p/>
    <w:p/>
    <w:p/>
    <w:p/>
    <w:p/>
    <w:p/>
    <w:p/>
    <w:p/>
    <w:p/>
    <w:p/>
    <w:p/>
    <w:p/>
    <w:p/>
    <w:p>
      <w:pPr>
        <w:pStyle w:val="3"/>
        <w:adjustRightInd/>
        <w:snapToGrid/>
        <w:ind w:firstLine="0" w:firstLineChars="0"/>
        <w:jc w:val="center"/>
        <w:rPr>
          <w:rFonts w:eastAsia="黑体" w:cs="Times New Roman"/>
          <w:b/>
          <w:bCs/>
          <w:sz w:val="36"/>
        </w:rPr>
      </w:pPr>
    </w:p>
    <w:p>
      <w:pPr>
        <w:pStyle w:val="3"/>
        <w:adjustRightInd/>
        <w:snapToGrid/>
        <w:ind w:firstLine="0" w:firstLineChars="0"/>
        <w:jc w:val="center"/>
        <w:rPr>
          <w:rFonts w:eastAsia="黑体" w:cs="Times New Roman"/>
          <w:b/>
          <w:bCs/>
          <w:sz w:val="36"/>
        </w:rPr>
      </w:pPr>
      <w:r>
        <w:rPr>
          <w:rFonts w:hint="eastAsia" w:eastAsia="黑体" w:cs="Times New Roman"/>
          <w:b/>
          <w:bCs/>
          <w:sz w:val="36"/>
        </w:rPr>
        <w:t>湖南百恒环保科技有限公司</w:t>
      </w:r>
    </w:p>
    <w:p>
      <w:pPr>
        <w:pStyle w:val="3"/>
        <w:adjustRightInd/>
        <w:snapToGrid/>
        <w:ind w:firstLine="0" w:firstLineChars="0"/>
        <w:jc w:val="center"/>
      </w:pPr>
      <w:r>
        <w:rPr>
          <w:rFonts w:eastAsia="黑体" w:cs="Times New Roman"/>
          <w:b/>
          <w:bCs/>
          <w:sz w:val="36"/>
        </w:rPr>
        <w:t>2021年</w:t>
      </w:r>
      <w:r>
        <w:rPr>
          <w:rFonts w:hint="eastAsia" w:eastAsia="黑体" w:cs="Times New Roman"/>
          <w:b/>
          <w:bCs/>
          <w:sz w:val="36"/>
        </w:rPr>
        <w:t>11</w:t>
      </w:r>
      <w:r>
        <w:rPr>
          <w:rFonts w:eastAsia="黑体" w:cs="Times New Roman"/>
          <w:b/>
          <w:bCs/>
          <w:sz w:val="36"/>
        </w:rPr>
        <w:t>月</w:t>
      </w:r>
    </w:p>
    <w:p>
      <w:pPr>
        <w:pStyle w:val="3"/>
        <w:ind w:firstLine="480"/>
        <w:sectPr>
          <w:footerReference r:id="rId5" w:type="default"/>
          <w:pgSz w:w="11906" w:h="16838"/>
          <w:pgMar w:top="1474" w:right="1361" w:bottom="1474" w:left="1588" w:header="851" w:footer="992" w:gutter="0"/>
          <w:pgNumType w:fmt="upperRoman"/>
          <w:cols w:space="425" w:num="1"/>
          <w:docGrid w:type="lines" w:linePitch="312" w:charSpace="0"/>
        </w:sectPr>
      </w:pPr>
    </w:p>
    <w:p>
      <w:pPr>
        <w:pStyle w:val="15"/>
        <w:spacing w:line="360" w:lineRule="auto"/>
      </w:pPr>
      <w:r>
        <w:rPr>
          <w:rFonts w:hint="eastAsia"/>
        </w:rPr>
        <w:t>目  录</w:t>
      </w:r>
    </w:p>
    <w:p>
      <w:pPr>
        <w:pStyle w:val="22"/>
        <w:tabs>
          <w:tab w:val="left" w:pos="420"/>
          <w:tab w:val="right" w:leader="dot" w:pos="8947"/>
        </w:tabs>
        <w:spacing w:line="360" w:lineRule="auto"/>
        <w:rPr>
          <w:rFonts w:asciiTheme="minorHAnsi" w:hAnsiTheme="minorHAnsi" w:eastAsiaTheme="minorEastAsia" w:cstheme="minorBidi"/>
          <w:szCs w:val="22"/>
        </w:rPr>
      </w:pPr>
      <w:r>
        <w:fldChar w:fldCharType="begin"/>
      </w:r>
      <w:r>
        <w:instrText xml:space="preserve"> </w:instrText>
      </w:r>
      <w:r>
        <w:rPr>
          <w:rFonts w:hint="eastAsia"/>
        </w:rPr>
        <w:instrText xml:space="preserve">TOC \o "1-2" \h \z \u</w:instrText>
      </w:r>
      <w:r>
        <w:instrText xml:space="preserve"> </w:instrText>
      </w:r>
      <w:r>
        <w:fldChar w:fldCharType="separate"/>
      </w:r>
      <w:r>
        <w:fldChar w:fldCharType="begin"/>
      </w:r>
      <w:r>
        <w:instrText xml:space="preserve"> HYPERLINK \l "_Toc80889062" </w:instrText>
      </w:r>
      <w:r>
        <w:fldChar w:fldCharType="separate"/>
      </w:r>
      <w:r>
        <w:rPr>
          <w:rStyle w:val="30"/>
        </w:rPr>
        <w:t>1</w:t>
      </w:r>
      <w:r>
        <w:rPr>
          <w:rFonts w:asciiTheme="minorHAnsi" w:hAnsiTheme="minorHAnsi" w:eastAsiaTheme="minorEastAsia" w:cstheme="minorBidi"/>
          <w:szCs w:val="22"/>
        </w:rPr>
        <w:tab/>
      </w:r>
      <w:r>
        <w:rPr>
          <w:rStyle w:val="30"/>
          <w:rFonts w:hint="eastAsia"/>
        </w:rPr>
        <w:t>概述</w:t>
      </w:r>
      <w:r>
        <w:tab/>
      </w:r>
      <w:r>
        <w:fldChar w:fldCharType="begin"/>
      </w:r>
      <w:r>
        <w:instrText xml:space="preserve"> PAGEREF _Toc80889062 \h </w:instrText>
      </w:r>
      <w:r>
        <w:fldChar w:fldCharType="separate"/>
      </w:r>
      <w:r>
        <w:t>1</w:t>
      </w:r>
      <w:r>
        <w:fldChar w:fldCharType="end"/>
      </w:r>
      <w:r>
        <w:fldChar w:fldCharType="end"/>
      </w:r>
    </w:p>
    <w:p>
      <w:pPr>
        <w:pStyle w:val="23"/>
        <w:tabs>
          <w:tab w:val="left" w:pos="1050"/>
          <w:tab w:val="right" w:leader="dot" w:pos="8947"/>
        </w:tabs>
        <w:spacing w:line="360" w:lineRule="auto"/>
        <w:rPr>
          <w:rFonts w:asciiTheme="minorHAnsi" w:hAnsiTheme="minorHAnsi" w:eastAsiaTheme="minorEastAsia" w:cstheme="minorBidi"/>
          <w:szCs w:val="22"/>
        </w:rPr>
      </w:pPr>
      <w:r>
        <w:fldChar w:fldCharType="begin"/>
      </w:r>
      <w:r>
        <w:instrText xml:space="preserve"> HYPERLINK \l "_Toc80889063" </w:instrText>
      </w:r>
      <w:r>
        <w:fldChar w:fldCharType="separate"/>
      </w:r>
      <w:r>
        <w:rPr>
          <w:rStyle w:val="30"/>
        </w:rPr>
        <w:t>1.1</w:t>
      </w:r>
      <w:r>
        <w:rPr>
          <w:rFonts w:asciiTheme="minorHAnsi" w:hAnsiTheme="minorHAnsi" w:eastAsiaTheme="minorEastAsia" w:cstheme="minorBidi"/>
          <w:szCs w:val="22"/>
        </w:rPr>
        <w:tab/>
      </w:r>
      <w:r>
        <w:rPr>
          <w:rStyle w:val="30"/>
          <w:rFonts w:hint="eastAsia"/>
        </w:rPr>
        <w:t>项目由来</w:t>
      </w:r>
      <w:r>
        <w:tab/>
      </w:r>
      <w:r>
        <w:fldChar w:fldCharType="begin"/>
      </w:r>
      <w:r>
        <w:instrText xml:space="preserve"> PAGEREF _Toc80889063 \h </w:instrText>
      </w:r>
      <w:r>
        <w:fldChar w:fldCharType="separate"/>
      </w:r>
      <w:r>
        <w:t>1</w:t>
      </w:r>
      <w:r>
        <w:fldChar w:fldCharType="end"/>
      </w:r>
      <w:r>
        <w:fldChar w:fldCharType="end"/>
      </w:r>
    </w:p>
    <w:p>
      <w:pPr>
        <w:pStyle w:val="23"/>
        <w:tabs>
          <w:tab w:val="left" w:pos="1050"/>
          <w:tab w:val="right" w:leader="dot" w:pos="8947"/>
        </w:tabs>
        <w:spacing w:line="360" w:lineRule="auto"/>
        <w:rPr>
          <w:rFonts w:asciiTheme="minorHAnsi" w:hAnsiTheme="minorHAnsi" w:eastAsiaTheme="minorEastAsia" w:cstheme="minorBidi"/>
          <w:szCs w:val="22"/>
        </w:rPr>
      </w:pPr>
      <w:r>
        <w:fldChar w:fldCharType="begin"/>
      </w:r>
      <w:r>
        <w:instrText xml:space="preserve"> HYPERLINK \l "_Toc80889064" </w:instrText>
      </w:r>
      <w:r>
        <w:fldChar w:fldCharType="separate"/>
      </w:r>
      <w:r>
        <w:rPr>
          <w:rStyle w:val="30"/>
        </w:rPr>
        <w:t>1.2</w:t>
      </w:r>
      <w:r>
        <w:rPr>
          <w:rFonts w:asciiTheme="minorHAnsi" w:hAnsiTheme="minorHAnsi" w:eastAsiaTheme="minorEastAsia" w:cstheme="minorBidi"/>
          <w:szCs w:val="22"/>
        </w:rPr>
        <w:tab/>
      </w:r>
      <w:r>
        <w:rPr>
          <w:rStyle w:val="30"/>
          <w:rFonts w:hint="eastAsia"/>
        </w:rPr>
        <w:t>建设项目特点</w:t>
      </w:r>
      <w:r>
        <w:tab/>
      </w:r>
      <w:r>
        <w:fldChar w:fldCharType="begin"/>
      </w:r>
      <w:r>
        <w:instrText xml:space="preserve"> PAGEREF _Toc80889064 \h </w:instrText>
      </w:r>
      <w:r>
        <w:fldChar w:fldCharType="separate"/>
      </w:r>
      <w:r>
        <w:t>2</w:t>
      </w:r>
      <w:r>
        <w:fldChar w:fldCharType="end"/>
      </w:r>
      <w:r>
        <w:fldChar w:fldCharType="end"/>
      </w:r>
    </w:p>
    <w:p>
      <w:pPr>
        <w:pStyle w:val="23"/>
        <w:tabs>
          <w:tab w:val="left" w:pos="1050"/>
          <w:tab w:val="right" w:leader="dot" w:pos="8947"/>
        </w:tabs>
        <w:spacing w:line="360" w:lineRule="auto"/>
        <w:rPr>
          <w:rFonts w:asciiTheme="minorHAnsi" w:hAnsiTheme="minorHAnsi" w:eastAsiaTheme="minorEastAsia" w:cstheme="minorBidi"/>
          <w:szCs w:val="22"/>
        </w:rPr>
      </w:pPr>
      <w:r>
        <w:fldChar w:fldCharType="begin"/>
      </w:r>
      <w:r>
        <w:instrText xml:space="preserve"> HYPERLINK \l "_Toc80889065" </w:instrText>
      </w:r>
      <w:r>
        <w:fldChar w:fldCharType="separate"/>
      </w:r>
      <w:r>
        <w:rPr>
          <w:rStyle w:val="30"/>
        </w:rPr>
        <w:t>1.3</w:t>
      </w:r>
      <w:r>
        <w:rPr>
          <w:rFonts w:asciiTheme="minorHAnsi" w:hAnsiTheme="minorHAnsi" w:eastAsiaTheme="minorEastAsia" w:cstheme="minorBidi"/>
          <w:szCs w:val="22"/>
        </w:rPr>
        <w:tab/>
      </w:r>
      <w:r>
        <w:rPr>
          <w:rStyle w:val="30"/>
          <w:rFonts w:hint="eastAsia"/>
        </w:rPr>
        <w:t>环境影响评价工作过程概述</w:t>
      </w:r>
      <w:r>
        <w:tab/>
      </w:r>
      <w:r>
        <w:fldChar w:fldCharType="begin"/>
      </w:r>
      <w:r>
        <w:instrText xml:space="preserve"> PAGEREF _Toc80889065 \h </w:instrText>
      </w:r>
      <w:r>
        <w:fldChar w:fldCharType="separate"/>
      </w:r>
      <w:r>
        <w:t>3</w:t>
      </w:r>
      <w:r>
        <w:fldChar w:fldCharType="end"/>
      </w:r>
      <w:r>
        <w:fldChar w:fldCharType="end"/>
      </w:r>
    </w:p>
    <w:p>
      <w:pPr>
        <w:pStyle w:val="23"/>
        <w:tabs>
          <w:tab w:val="left" w:pos="1050"/>
          <w:tab w:val="right" w:leader="dot" w:pos="8947"/>
        </w:tabs>
        <w:spacing w:line="360" w:lineRule="auto"/>
        <w:rPr>
          <w:rFonts w:asciiTheme="minorHAnsi" w:hAnsiTheme="minorHAnsi" w:eastAsiaTheme="minorEastAsia" w:cstheme="minorBidi"/>
          <w:szCs w:val="22"/>
        </w:rPr>
      </w:pPr>
      <w:r>
        <w:fldChar w:fldCharType="begin"/>
      </w:r>
      <w:r>
        <w:instrText xml:space="preserve"> HYPERLINK \l "_Toc80889066" </w:instrText>
      </w:r>
      <w:r>
        <w:fldChar w:fldCharType="separate"/>
      </w:r>
      <w:r>
        <w:rPr>
          <w:rStyle w:val="30"/>
        </w:rPr>
        <w:t>1.4</w:t>
      </w:r>
      <w:r>
        <w:rPr>
          <w:rFonts w:asciiTheme="minorHAnsi" w:hAnsiTheme="minorHAnsi" w:eastAsiaTheme="minorEastAsia" w:cstheme="minorBidi"/>
          <w:szCs w:val="22"/>
        </w:rPr>
        <w:tab/>
      </w:r>
      <w:r>
        <w:rPr>
          <w:rStyle w:val="30"/>
          <w:rFonts w:hint="eastAsia"/>
        </w:rPr>
        <w:t>关注的主要环境问题及环境影响</w:t>
      </w:r>
      <w:r>
        <w:tab/>
      </w:r>
      <w:r>
        <w:fldChar w:fldCharType="begin"/>
      </w:r>
      <w:r>
        <w:instrText xml:space="preserve"> PAGEREF _Toc80889066 \h </w:instrText>
      </w:r>
      <w:r>
        <w:fldChar w:fldCharType="separate"/>
      </w:r>
      <w:r>
        <w:t>4</w:t>
      </w:r>
      <w:r>
        <w:fldChar w:fldCharType="end"/>
      </w:r>
      <w:r>
        <w:fldChar w:fldCharType="end"/>
      </w:r>
    </w:p>
    <w:p>
      <w:pPr>
        <w:pStyle w:val="23"/>
        <w:tabs>
          <w:tab w:val="left" w:pos="1050"/>
          <w:tab w:val="right" w:leader="dot" w:pos="8947"/>
        </w:tabs>
        <w:spacing w:line="360" w:lineRule="auto"/>
        <w:rPr>
          <w:rFonts w:asciiTheme="minorHAnsi" w:hAnsiTheme="minorHAnsi" w:eastAsiaTheme="minorEastAsia" w:cstheme="minorBidi"/>
          <w:szCs w:val="22"/>
        </w:rPr>
      </w:pPr>
      <w:r>
        <w:fldChar w:fldCharType="begin"/>
      </w:r>
      <w:r>
        <w:instrText xml:space="preserve"> HYPERLINK \l "_Toc80889067" </w:instrText>
      </w:r>
      <w:r>
        <w:fldChar w:fldCharType="separate"/>
      </w:r>
      <w:r>
        <w:rPr>
          <w:rStyle w:val="30"/>
        </w:rPr>
        <w:t>1.5</w:t>
      </w:r>
      <w:r>
        <w:rPr>
          <w:rFonts w:asciiTheme="minorHAnsi" w:hAnsiTheme="minorHAnsi" w:eastAsiaTheme="minorEastAsia" w:cstheme="minorBidi"/>
          <w:szCs w:val="22"/>
        </w:rPr>
        <w:tab/>
      </w:r>
      <w:r>
        <w:rPr>
          <w:rStyle w:val="30"/>
          <w:rFonts w:hint="eastAsia"/>
        </w:rPr>
        <w:t>报告书主要结论</w:t>
      </w:r>
      <w:r>
        <w:tab/>
      </w:r>
      <w:r>
        <w:fldChar w:fldCharType="begin"/>
      </w:r>
      <w:r>
        <w:instrText xml:space="preserve"> PAGEREF _Toc80889067 \h </w:instrText>
      </w:r>
      <w:r>
        <w:fldChar w:fldCharType="separate"/>
      </w:r>
      <w:r>
        <w:t>4</w:t>
      </w:r>
      <w:r>
        <w:fldChar w:fldCharType="end"/>
      </w:r>
      <w:r>
        <w:fldChar w:fldCharType="end"/>
      </w:r>
    </w:p>
    <w:p>
      <w:pPr>
        <w:pStyle w:val="22"/>
        <w:tabs>
          <w:tab w:val="left" w:pos="420"/>
          <w:tab w:val="right" w:leader="dot" w:pos="8947"/>
        </w:tabs>
        <w:spacing w:line="360" w:lineRule="auto"/>
        <w:rPr>
          <w:rFonts w:asciiTheme="minorHAnsi" w:hAnsiTheme="minorHAnsi" w:eastAsiaTheme="minorEastAsia" w:cstheme="minorBidi"/>
          <w:szCs w:val="22"/>
        </w:rPr>
      </w:pPr>
      <w:r>
        <w:fldChar w:fldCharType="begin"/>
      </w:r>
      <w:r>
        <w:instrText xml:space="preserve"> HYPERLINK \l "_Toc80889068" </w:instrText>
      </w:r>
      <w:r>
        <w:fldChar w:fldCharType="separate"/>
      </w:r>
      <w:r>
        <w:rPr>
          <w:rStyle w:val="30"/>
        </w:rPr>
        <w:t>2</w:t>
      </w:r>
      <w:r>
        <w:rPr>
          <w:rFonts w:asciiTheme="minorHAnsi" w:hAnsiTheme="minorHAnsi" w:eastAsiaTheme="minorEastAsia" w:cstheme="minorBidi"/>
          <w:szCs w:val="22"/>
        </w:rPr>
        <w:tab/>
      </w:r>
      <w:r>
        <w:rPr>
          <w:rStyle w:val="30"/>
          <w:rFonts w:hint="eastAsia"/>
        </w:rPr>
        <w:t>总则</w:t>
      </w:r>
      <w:r>
        <w:tab/>
      </w:r>
      <w:r>
        <w:fldChar w:fldCharType="begin"/>
      </w:r>
      <w:r>
        <w:instrText xml:space="preserve"> PAGEREF _Toc80889068 \h </w:instrText>
      </w:r>
      <w:r>
        <w:fldChar w:fldCharType="separate"/>
      </w:r>
      <w:r>
        <w:t>6</w:t>
      </w:r>
      <w:r>
        <w:fldChar w:fldCharType="end"/>
      </w:r>
      <w:r>
        <w:fldChar w:fldCharType="end"/>
      </w:r>
    </w:p>
    <w:p>
      <w:pPr>
        <w:pStyle w:val="23"/>
        <w:tabs>
          <w:tab w:val="left" w:pos="1050"/>
          <w:tab w:val="right" w:leader="dot" w:pos="8947"/>
        </w:tabs>
        <w:spacing w:line="360" w:lineRule="auto"/>
        <w:rPr>
          <w:rFonts w:asciiTheme="minorHAnsi" w:hAnsiTheme="minorHAnsi" w:eastAsiaTheme="minorEastAsia" w:cstheme="minorBidi"/>
          <w:szCs w:val="22"/>
        </w:rPr>
      </w:pPr>
      <w:r>
        <w:fldChar w:fldCharType="begin"/>
      </w:r>
      <w:r>
        <w:instrText xml:space="preserve"> HYPERLINK \l "_Toc80889069" </w:instrText>
      </w:r>
      <w:r>
        <w:fldChar w:fldCharType="separate"/>
      </w:r>
      <w:r>
        <w:rPr>
          <w:rStyle w:val="30"/>
        </w:rPr>
        <w:t>2.1</w:t>
      </w:r>
      <w:r>
        <w:rPr>
          <w:rFonts w:asciiTheme="minorHAnsi" w:hAnsiTheme="minorHAnsi" w:eastAsiaTheme="minorEastAsia" w:cstheme="minorBidi"/>
          <w:szCs w:val="22"/>
        </w:rPr>
        <w:tab/>
      </w:r>
      <w:r>
        <w:rPr>
          <w:rStyle w:val="30"/>
          <w:rFonts w:hint="eastAsia"/>
        </w:rPr>
        <w:t>编制依据</w:t>
      </w:r>
      <w:r>
        <w:tab/>
      </w:r>
      <w:r>
        <w:fldChar w:fldCharType="begin"/>
      </w:r>
      <w:r>
        <w:instrText xml:space="preserve"> PAGEREF _Toc80889069 \h </w:instrText>
      </w:r>
      <w:r>
        <w:fldChar w:fldCharType="separate"/>
      </w:r>
      <w:r>
        <w:t>6</w:t>
      </w:r>
      <w:r>
        <w:fldChar w:fldCharType="end"/>
      </w:r>
      <w:r>
        <w:fldChar w:fldCharType="end"/>
      </w:r>
    </w:p>
    <w:p>
      <w:pPr>
        <w:pStyle w:val="23"/>
        <w:tabs>
          <w:tab w:val="left" w:pos="1050"/>
          <w:tab w:val="right" w:leader="dot" w:pos="8947"/>
        </w:tabs>
        <w:spacing w:line="360" w:lineRule="auto"/>
        <w:rPr>
          <w:rFonts w:asciiTheme="minorHAnsi" w:hAnsiTheme="minorHAnsi" w:eastAsiaTheme="minorEastAsia" w:cstheme="minorBidi"/>
          <w:szCs w:val="22"/>
        </w:rPr>
      </w:pPr>
      <w:r>
        <w:fldChar w:fldCharType="begin"/>
      </w:r>
      <w:r>
        <w:instrText xml:space="preserve"> HYPERLINK \l "_Toc80889070" </w:instrText>
      </w:r>
      <w:r>
        <w:fldChar w:fldCharType="separate"/>
      </w:r>
      <w:r>
        <w:rPr>
          <w:rStyle w:val="30"/>
        </w:rPr>
        <w:t>2.2</w:t>
      </w:r>
      <w:r>
        <w:rPr>
          <w:rFonts w:asciiTheme="minorHAnsi" w:hAnsiTheme="minorHAnsi" w:eastAsiaTheme="minorEastAsia" w:cstheme="minorBidi"/>
          <w:szCs w:val="22"/>
        </w:rPr>
        <w:tab/>
      </w:r>
      <w:r>
        <w:rPr>
          <w:rStyle w:val="30"/>
          <w:rFonts w:hint="eastAsia"/>
        </w:rPr>
        <w:t>评价目的及评价原则</w:t>
      </w:r>
      <w:r>
        <w:tab/>
      </w:r>
      <w:r>
        <w:fldChar w:fldCharType="begin"/>
      </w:r>
      <w:r>
        <w:instrText xml:space="preserve"> PAGEREF _Toc80889070 \h </w:instrText>
      </w:r>
      <w:r>
        <w:fldChar w:fldCharType="separate"/>
      </w:r>
      <w:r>
        <w:t>8</w:t>
      </w:r>
      <w:r>
        <w:fldChar w:fldCharType="end"/>
      </w:r>
      <w:r>
        <w:fldChar w:fldCharType="end"/>
      </w:r>
    </w:p>
    <w:p>
      <w:pPr>
        <w:pStyle w:val="23"/>
        <w:tabs>
          <w:tab w:val="left" w:pos="1050"/>
          <w:tab w:val="right" w:leader="dot" w:pos="8947"/>
        </w:tabs>
        <w:spacing w:line="360" w:lineRule="auto"/>
        <w:rPr>
          <w:rFonts w:asciiTheme="minorHAnsi" w:hAnsiTheme="minorHAnsi" w:eastAsiaTheme="minorEastAsia" w:cstheme="minorBidi"/>
          <w:szCs w:val="22"/>
        </w:rPr>
      </w:pPr>
      <w:r>
        <w:fldChar w:fldCharType="begin"/>
      </w:r>
      <w:r>
        <w:instrText xml:space="preserve"> HYPERLINK \l "_Toc80889071" </w:instrText>
      </w:r>
      <w:r>
        <w:fldChar w:fldCharType="separate"/>
      </w:r>
      <w:r>
        <w:rPr>
          <w:rStyle w:val="30"/>
        </w:rPr>
        <w:t>2.3</w:t>
      </w:r>
      <w:r>
        <w:rPr>
          <w:rFonts w:asciiTheme="minorHAnsi" w:hAnsiTheme="minorHAnsi" w:eastAsiaTheme="minorEastAsia" w:cstheme="minorBidi"/>
          <w:szCs w:val="22"/>
        </w:rPr>
        <w:tab/>
      </w:r>
      <w:r>
        <w:rPr>
          <w:rStyle w:val="30"/>
          <w:rFonts w:hint="eastAsia"/>
        </w:rPr>
        <w:t>评价内容与重点</w:t>
      </w:r>
      <w:r>
        <w:tab/>
      </w:r>
      <w:r>
        <w:fldChar w:fldCharType="begin"/>
      </w:r>
      <w:r>
        <w:instrText xml:space="preserve"> PAGEREF _Toc80889071 \h </w:instrText>
      </w:r>
      <w:r>
        <w:fldChar w:fldCharType="separate"/>
      </w:r>
      <w:r>
        <w:t>9</w:t>
      </w:r>
      <w:r>
        <w:fldChar w:fldCharType="end"/>
      </w:r>
      <w:r>
        <w:fldChar w:fldCharType="end"/>
      </w:r>
    </w:p>
    <w:p>
      <w:pPr>
        <w:pStyle w:val="23"/>
        <w:tabs>
          <w:tab w:val="left" w:pos="1050"/>
          <w:tab w:val="right" w:leader="dot" w:pos="8947"/>
        </w:tabs>
        <w:spacing w:line="360" w:lineRule="auto"/>
        <w:rPr>
          <w:rFonts w:asciiTheme="minorHAnsi" w:hAnsiTheme="minorHAnsi" w:eastAsiaTheme="minorEastAsia" w:cstheme="minorBidi"/>
          <w:szCs w:val="22"/>
        </w:rPr>
      </w:pPr>
      <w:r>
        <w:fldChar w:fldCharType="begin"/>
      </w:r>
      <w:r>
        <w:instrText xml:space="preserve"> HYPERLINK \l "_Toc80889072" </w:instrText>
      </w:r>
      <w:r>
        <w:fldChar w:fldCharType="separate"/>
      </w:r>
      <w:r>
        <w:rPr>
          <w:rStyle w:val="30"/>
        </w:rPr>
        <w:t>2.4</w:t>
      </w:r>
      <w:r>
        <w:rPr>
          <w:rFonts w:asciiTheme="minorHAnsi" w:hAnsiTheme="minorHAnsi" w:eastAsiaTheme="minorEastAsia" w:cstheme="minorBidi"/>
          <w:szCs w:val="22"/>
        </w:rPr>
        <w:tab/>
      </w:r>
      <w:r>
        <w:rPr>
          <w:rStyle w:val="30"/>
          <w:rFonts w:hint="eastAsia"/>
        </w:rPr>
        <w:t>环境影响识别及评价因子筛选</w:t>
      </w:r>
      <w:r>
        <w:tab/>
      </w:r>
      <w:r>
        <w:fldChar w:fldCharType="begin"/>
      </w:r>
      <w:r>
        <w:instrText xml:space="preserve"> PAGEREF _Toc80889072 \h </w:instrText>
      </w:r>
      <w:r>
        <w:fldChar w:fldCharType="separate"/>
      </w:r>
      <w:r>
        <w:t>9</w:t>
      </w:r>
      <w:r>
        <w:fldChar w:fldCharType="end"/>
      </w:r>
      <w:r>
        <w:fldChar w:fldCharType="end"/>
      </w:r>
    </w:p>
    <w:p>
      <w:pPr>
        <w:pStyle w:val="23"/>
        <w:tabs>
          <w:tab w:val="left" w:pos="1050"/>
          <w:tab w:val="right" w:leader="dot" w:pos="8947"/>
        </w:tabs>
        <w:spacing w:line="360" w:lineRule="auto"/>
        <w:rPr>
          <w:rFonts w:asciiTheme="minorHAnsi" w:hAnsiTheme="minorHAnsi" w:eastAsiaTheme="minorEastAsia" w:cstheme="minorBidi"/>
          <w:szCs w:val="22"/>
        </w:rPr>
      </w:pPr>
      <w:r>
        <w:fldChar w:fldCharType="begin"/>
      </w:r>
      <w:r>
        <w:instrText xml:space="preserve"> HYPERLINK \l "_Toc80889073" </w:instrText>
      </w:r>
      <w:r>
        <w:fldChar w:fldCharType="separate"/>
      </w:r>
      <w:r>
        <w:rPr>
          <w:rStyle w:val="30"/>
        </w:rPr>
        <w:t>2.5</w:t>
      </w:r>
      <w:r>
        <w:rPr>
          <w:rFonts w:asciiTheme="minorHAnsi" w:hAnsiTheme="minorHAnsi" w:eastAsiaTheme="minorEastAsia" w:cstheme="minorBidi"/>
          <w:szCs w:val="22"/>
        </w:rPr>
        <w:tab/>
      </w:r>
      <w:r>
        <w:rPr>
          <w:rStyle w:val="30"/>
          <w:rFonts w:hint="eastAsia"/>
        </w:rPr>
        <w:t>环境功能区划及评价标准</w:t>
      </w:r>
      <w:r>
        <w:tab/>
      </w:r>
      <w:r>
        <w:fldChar w:fldCharType="begin"/>
      </w:r>
      <w:r>
        <w:instrText xml:space="preserve"> PAGEREF _Toc80889073 \h </w:instrText>
      </w:r>
      <w:r>
        <w:fldChar w:fldCharType="separate"/>
      </w:r>
      <w:r>
        <w:t>11</w:t>
      </w:r>
      <w:r>
        <w:fldChar w:fldCharType="end"/>
      </w:r>
      <w:r>
        <w:fldChar w:fldCharType="end"/>
      </w:r>
    </w:p>
    <w:p>
      <w:pPr>
        <w:pStyle w:val="23"/>
        <w:tabs>
          <w:tab w:val="left" w:pos="1050"/>
          <w:tab w:val="right" w:leader="dot" w:pos="8947"/>
        </w:tabs>
        <w:spacing w:line="360" w:lineRule="auto"/>
        <w:rPr>
          <w:rFonts w:asciiTheme="minorHAnsi" w:hAnsiTheme="minorHAnsi" w:eastAsiaTheme="minorEastAsia" w:cstheme="minorBidi"/>
          <w:szCs w:val="22"/>
        </w:rPr>
      </w:pPr>
      <w:r>
        <w:fldChar w:fldCharType="begin"/>
      </w:r>
      <w:r>
        <w:instrText xml:space="preserve"> HYPERLINK \l "_Toc80889074" </w:instrText>
      </w:r>
      <w:r>
        <w:fldChar w:fldCharType="separate"/>
      </w:r>
      <w:r>
        <w:rPr>
          <w:rStyle w:val="30"/>
        </w:rPr>
        <w:t>2.6</w:t>
      </w:r>
      <w:r>
        <w:rPr>
          <w:rFonts w:asciiTheme="minorHAnsi" w:hAnsiTheme="minorHAnsi" w:eastAsiaTheme="minorEastAsia" w:cstheme="minorBidi"/>
          <w:szCs w:val="22"/>
        </w:rPr>
        <w:tab/>
      </w:r>
      <w:r>
        <w:rPr>
          <w:rStyle w:val="30"/>
          <w:rFonts w:hint="eastAsia"/>
        </w:rPr>
        <w:t>评价工作等级及评价范围</w:t>
      </w:r>
      <w:r>
        <w:tab/>
      </w:r>
      <w:r>
        <w:fldChar w:fldCharType="begin"/>
      </w:r>
      <w:r>
        <w:instrText xml:space="preserve"> PAGEREF _Toc80889074 \h </w:instrText>
      </w:r>
      <w:r>
        <w:fldChar w:fldCharType="separate"/>
      </w:r>
      <w:r>
        <w:t>16</w:t>
      </w:r>
      <w:r>
        <w:fldChar w:fldCharType="end"/>
      </w:r>
      <w:r>
        <w:fldChar w:fldCharType="end"/>
      </w:r>
    </w:p>
    <w:p>
      <w:pPr>
        <w:pStyle w:val="23"/>
        <w:tabs>
          <w:tab w:val="left" w:pos="1050"/>
          <w:tab w:val="right" w:leader="dot" w:pos="8947"/>
        </w:tabs>
        <w:spacing w:line="360" w:lineRule="auto"/>
        <w:rPr>
          <w:rFonts w:asciiTheme="minorHAnsi" w:hAnsiTheme="minorHAnsi" w:eastAsiaTheme="minorEastAsia" w:cstheme="minorBidi"/>
          <w:szCs w:val="22"/>
        </w:rPr>
      </w:pPr>
      <w:r>
        <w:fldChar w:fldCharType="begin"/>
      </w:r>
      <w:r>
        <w:instrText xml:space="preserve"> HYPERLINK \l "_Toc80889075" </w:instrText>
      </w:r>
      <w:r>
        <w:fldChar w:fldCharType="separate"/>
      </w:r>
      <w:r>
        <w:rPr>
          <w:rStyle w:val="30"/>
        </w:rPr>
        <w:t>2.7</w:t>
      </w:r>
      <w:r>
        <w:rPr>
          <w:rFonts w:asciiTheme="minorHAnsi" w:hAnsiTheme="minorHAnsi" w:eastAsiaTheme="minorEastAsia" w:cstheme="minorBidi"/>
          <w:szCs w:val="22"/>
        </w:rPr>
        <w:tab/>
      </w:r>
      <w:r>
        <w:rPr>
          <w:rStyle w:val="30"/>
          <w:rFonts w:hint="eastAsia"/>
        </w:rPr>
        <w:t>环境保护目标</w:t>
      </w:r>
      <w:r>
        <w:tab/>
      </w:r>
      <w:r>
        <w:fldChar w:fldCharType="begin"/>
      </w:r>
      <w:r>
        <w:instrText xml:space="preserve"> PAGEREF _Toc80889075 \h </w:instrText>
      </w:r>
      <w:r>
        <w:fldChar w:fldCharType="separate"/>
      </w:r>
      <w:r>
        <w:t>23</w:t>
      </w:r>
      <w:r>
        <w:fldChar w:fldCharType="end"/>
      </w:r>
      <w:r>
        <w:fldChar w:fldCharType="end"/>
      </w:r>
    </w:p>
    <w:p>
      <w:pPr>
        <w:pStyle w:val="23"/>
        <w:tabs>
          <w:tab w:val="left" w:pos="1050"/>
          <w:tab w:val="right" w:leader="dot" w:pos="8947"/>
        </w:tabs>
        <w:spacing w:line="360" w:lineRule="auto"/>
        <w:rPr>
          <w:rFonts w:asciiTheme="minorHAnsi" w:hAnsiTheme="minorHAnsi" w:eastAsiaTheme="minorEastAsia" w:cstheme="minorBidi"/>
          <w:szCs w:val="22"/>
        </w:rPr>
      </w:pPr>
      <w:r>
        <w:fldChar w:fldCharType="begin"/>
      </w:r>
      <w:r>
        <w:instrText xml:space="preserve"> HYPERLINK \l "_Toc80889076" </w:instrText>
      </w:r>
      <w:r>
        <w:fldChar w:fldCharType="separate"/>
      </w:r>
      <w:r>
        <w:rPr>
          <w:rStyle w:val="30"/>
        </w:rPr>
        <w:t>2.8</w:t>
      </w:r>
      <w:r>
        <w:rPr>
          <w:rFonts w:asciiTheme="minorHAnsi" w:hAnsiTheme="minorHAnsi" w:eastAsiaTheme="minorEastAsia" w:cstheme="minorBidi"/>
          <w:szCs w:val="22"/>
        </w:rPr>
        <w:tab/>
      </w:r>
      <w:r>
        <w:rPr>
          <w:rStyle w:val="30"/>
          <w:rFonts w:hint="eastAsia"/>
        </w:rPr>
        <w:t>环境功能区划</w:t>
      </w:r>
      <w:r>
        <w:tab/>
      </w:r>
      <w:r>
        <w:fldChar w:fldCharType="begin"/>
      </w:r>
      <w:r>
        <w:instrText xml:space="preserve"> PAGEREF _Toc80889076 \h </w:instrText>
      </w:r>
      <w:r>
        <w:fldChar w:fldCharType="separate"/>
      </w:r>
      <w:r>
        <w:t>25</w:t>
      </w:r>
      <w:r>
        <w:fldChar w:fldCharType="end"/>
      </w:r>
      <w:r>
        <w:fldChar w:fldCharType="end"/>
      </w:r>
    </w:p>
    <w:p>
      <w:pPr>
        <w:pStyle w:val="22"/>
        <w:tabs>
          <w:tab w:val="left" w:pos="420"/>
          <w:tab w:val="right" w:leader="dot" w:pos="8947"/>
        </w:tabs>
        <w:spacing w:line="360" w:lineRule="auto"/>
        <w:rPr>
          <w:rFonts w:asciiTheme="minorHAnsi" w:hAnsiTheme="minorHAnsi" w:eastAsiaTheme="minorEastAsia" w:cstheme="minorBidi"/>
          <w:szCs w:val="22"/>
        </w:rPr>
      </w:pPr>
      <w:r>
        <w:fldChar w:fldCharType="begin"/>
      </w:r>
      <w:r>
        <w:instrText xml:space="preserve"> HYPERLINK \l "_Toc80889077" </w:instrText>
      </w:r>
      <w:r>
        <w:fldChar w:fldCharType="separate"/>
      </w:r>
      <w:r>
        <w:rPr>
          <w:rStyle w:val="30"/>
        </w:rPr>
        <w:t>3</w:t>
      </w:r>
      <w:r>
        <w:rPr>
          <w:rFonts w:asciiTheme="minorHAnsi" w:hAnsiTheme="minorHAnsi" w:eastAsiaTheme="minorEastAsia" w:cstheme="minorBidi"/>
          <w:szCs w:val="22"/>
        </w:rPr>
        <w:tab/>
      </w:r>
      <w:r>
        <w:rPr>
          <w:rStyle w:val="30"/>
          <w:rFonts w:hint="eastAsia"/>
        </w:rPr>
        <w:t>工程概况及工程分析</w:t>
      </w:r>
      <w:r>
        <w:tab/>
      </w:r>
      <w:r>
        <w:fldChar w:fldCharType="begin"/>
      </w:r>
      <w:r>
        <w:instrText xml:space="preserve"> PAGEREF _Toc80889077 \h </w:instrText>
      </w:r>
      <w:r>
        <w:fldChar w:fldCharType="separate"/>
      </w:r>
      <w:r>
        <w:t>27</w:t>
      </w:r>
      <w:r>
        <w:fldChar w:fldCharType="end"/>
      </w:r>
      <w:r>
        <w:fldChar w:fldCharType="end"/>
      </w:r>
    </w:p>
    <w:p>
      <w:pPr>
        <w:pStyle w:val="23"/>
        <w:tabs>
          <w:tab w:val="left" w:pos="1050"/>
          <w:tab w:val="right" w:leader="dot" w:pos="8947"/>
        </w:tabs>
        <w:spacing w:line="360" w:lineRule="auto"/>
        <w:rPr>
          <w:rFonts w:asciiTheme="minorHAnsi" w:hAnsiTheme="minorHAnsi" w:eastAsiaTheme="minorEastAsia" w:cstheme="minorBidi"/>
          <w:szCs w:val="22"/>
        </w:rPr>
      </w:pPr>
      <w:r>
        <w:fldChar w:fldCharType="begin"/>
      </w:r>
      <w:r>
        <w:instrText xml:space="preserve"> HYPERLINK \l "_Toc80889078" </w:instrText>
      </w:r>
      <w:r>
        <w:fldChar w:fldCharType="separate"/>
      </w:r>
      <w:r>
        <w:rPr>
          <w:rStyle w:val="30"/>
        </w:rPr>
        <w:t>3.1</w:t>
      </w:r>
      <w:r>
        <w:rPr>
          <w:rFonts w:asciiTheme="minorHAnsi" w:hAnsiTheme="minorHAnsi" w:eastAsiaTheme="minorEastAsia" w:cstheme="minorBidi"/>
          <w:szCs w:val="22"/>
        </w:rPr>
        <w:tab/>
      </w:r>
      <w:r>
        <w:rPr>
          <w:rStyle w:val="30"/>
          <w:rFonts w:hint="eastAsia"/>
        </w:rPr>
        <w:t>工程概况</w:t>
      </w:r>
      <w:r>
        <w:tab/>
      </w:r>
      <w:r>
        <w:fldChar w:fldCharType="begin"/>
      </w:r>
      <w:r>
        <w:instrText xml:space="preserve"> PAGEREF _Toc80889078 \h </w:instrText>
      </w:r>
      <w:r>
        <w:fldChar w:fldCharType="separate"/>
      </w:r>
      <w:r>
        <w:t>27</w:t>
      </w:r>
      <w:r>
        <w:fldChar w:fldCharType="end"/>
      </w:r>
      <w:r>
        <w:fldChar w:fldCharType="end"/>
      </w:r>
    </w:p>
    <w:p>
      <w:pPr>
        <w:pStyle w:val="23"/>
        <w:tabs>
          <w:tab w:val="left" w:pos="1050"/>
          <w:tab w:val="right" w:leader="dot" w:pos="8947"/>
        </w:tabs>
        <w:spacing w:line="360" w:lineRule="auto"/>
        <w:rPr>
          <w:rFonts w:asciiTheme="minorHAnsi" w:hAnsiTheme="minorHAnsi" w:eastAsiaTheme="minorEastAsia" w:cstheme="minorBidi"/>
          <w:szCs w:val="22"/>
        </w:rPr>
      </w:pPr>
      <w:r>
        <w:fldChar w:fldCharType="begin"/>
      </w:r>
      <w:r>
        <w:instrText xml:space="preserve"> HYPERLINK \l "_Toc80889079" </w:instrText>
      </w:r>
      <w:r>
        <w:fldChar w:fldCharType="separate"/>
      </w:r>
      <w:r>
        <w:rPr>
          <w:rStyle w:val="30"/>
        </w:rPr>
        <w:t>3.2</w:t>
      </w:r>
      <w:r>
        <w:rPr>
          <w:rFonts w:asciiTheme="minorHAnsi" w:hAnsiTheme="minorHAnsi" w:eastAsiaTheme="minorEastAsia" w:cstheme="minorBidi"/>
          <w:szCs w:val="22"/>
        </w:rPr>
        <w:tab/>
      </w:r>
      <w:r>
        <w:rPr>
          <w:rStyle w:val="30"/>
          <w:rFonts w:hint="eastAsia"/>
        </w:rPr>
        <w:t>工程分析</w:t>
      </w:r>
      <w:r>
        <w:tab/>
      </w:r>
      <w:r>
        <w:fldChar w:fldCharType="begin"/>
      </w:r>
      <w:r>
        <w:instrText xml:space="preserve"> PAGEREF _Toc80889079 \h </w:instrText>
      </w:r>
      <w:r>
        <w:fldChar w:fldCharType="separate"/>
      </w:r>
      <w:r>
        <w:t>35</w:t>
      </w:r>
      <w:r>
        <w:fldChar w:fldCharType="end"/>
      </w:r>
      <w:r>
        <w:fldChar w:fldCharType="end"/>
      </w:r>
    </w:p>
    <w:p>
      <w:pPr>
        <w:pStyle w:val="22"/>
        <w:tabs>
          <w:tab w:val="left" w:pos="420"/>
          <w:tab w:val="right" w:leader="dot" w:pos="8947"/>
        </w:tabs>
        <w:spacing w:line="360" w:lineRule="auto"/>
        <w:rPr>
          <w:rFonts w:asciiTheme="minorHAnsi" w:hAnsiTheme="minorHAnsi" w:eastAsiaTheme="minorEastAsia" w:cstheme="minorBidi"/>
          <w:szCs w:val="22"/>
        </w:rPr>
      </w:pPr>
      <w:r>
        <w:fldChar w:fldCharType="begin"/>
      </w:r>
      <w:r>
        <w:instrText xml:space="preserve"> HYPERLINK \l "_Toc80889080" </w:instrText>
      </w:r>
      <w:r>
        <w:fldChar w:fldCharType="separate"/>
      </w:r>
      <w:r>
        <w:rPr>
          <w:rStyle w:val="30"/>
        </w:rPr>
        <w:t>4</w:t>
      </w:r>
      <w:r>
        <w:rPr>
          <w:rFonts w:asciiTheme="minorHAnsi" w:hAnsiTheme="minorHAnsi" w:eastAsiaTheme="minorEastAsia" w:cstheme="minorBidi"/>
          <w:szCs w:val="22"/>
        </w:rPr>
        <w:tab/>
      </w:r>
      <w:r>
        <w:rPr>
          <w:rStyle w:val="30"/>
          <w:rFonts w:hint="eastAsia"/>
        </w:rPr>
        <w:t>环境现状调查与评价</w:t>
      </w:r>
      <w:r>
        <w:tab/>
      </w:r>
      <w:r>
        <w:fldChar w:fldCharType="begin"/>
      </w:r>
      <w:r>
        <w:instrText xml:space="preserve"> PAGEREF _Toc80889080 \h </w:instrText>
      </w:r>
      <w:r>
        <w:fldChar w:fldCharType="separate"/>
      </w:r>
      <w:r>
        <w:t>53</w:t>
      </w:r>
      <w:r>
        <w:fldChar w:fldCharType="end"/>
      </w:r>
      <w:r>
        <w:fldChar w:fldCharType="end"/>
      </w:r>
    </w:p>
    <w:p>
      <w:pPr>
        <w:pStyle w:val="23"/>
        <w:tabs>
          <w:tab w:val="left" w:pos="1050"/>
          <w:tab w:val="right" w:leader="dot" w:pos="8947"/>
        </w:tabs>
        <w:spacing w:line="360" w:lineRule="auto"/>
        <w:rPr>
          <w:rFonts w:asciiTheme="minorHAnsi" w:hAnsiTheme="minorHAnsi" w:eastAsiaTheme="minorEastAsia" w:cstheme="minorBidi"/>
          <w:szCs w:val="22"/>
        </w:rPr>
      </w:pPr>
      <w:r>
        <w:fldChar w:fldCharType="begin"/>
      </w:r>
      <w:r>
        <w:instrText xml:space="preserve"> HYPERLINK \l "_Toc80889081" </w:instrText>
      </w:r>
      <w:r>
        <w:fldChar w:fldCharType="separate"/>
      </w:r>
      <w:r>
        <w:rPr>
          <w:rStyle w:val="30"/>
        </w:rPr>
        <w:t>4.1</w:t>
      </w:r>
      <w:r>
        <w:rPr>
          <w:rFonts w:asciiTheme="minorHAnsi" w:hAnsiTheme="minorHAnsi" w:eastAsiaTheme="minorEastAsia" w:cstheme="minorBidi"/>
          <w:szCs w:val="22"/>
        </w:rPr>
        <w:tab/>
      </w:r>
      <w:r>
        <w:rPr>
          <w:rStyle w:val="30"/>
          <w:rFonts w:hint="eastAsia"/>
        </w:rPr>
        <w:t>自然环境概况</w:t>
      </w:r>
      <w:r>
        <w:tab/>
      </w:r>
      <w:r>
        <w:fldChar w:fldCharType="begin"/>
      </w:r>
      <w:r>
        <w:instrText xml:space="preserve"> PAGEREF _Toc80889081 \h </w:instrText>
      </w:r>
      <w:r>
        <w:fldChar w:fldCharType="separate"/>
      </w:r>
      <w:r>
        <w:t>53</w:t>
      </w:r>
      <w:r>
        <w:fldChar w:fldCharType="end"/>
      </w:r>
      <w:r>
        <w:fldChar w:fldCharType="end"/>
      </w:r>
    </w:p>
    <w:p>
      <w:pPr>
        <w:pStyle w:val="23"/>
        <w:tabs>
          <w:tab w:val="left" w:pos="1050"/>
          <w:tab w:val="right" w:leader="dot" w:pos="8947"/>
        </w:tabs>
        <w:spacing w:line="360" w:lineRule="auto"/>
        <w:rPr>
          <w:rFonts w:asciiTheme="minorHAnsi" w:hAnsiTheme="minorHAnsi" w:eastAsiaTheme="minorEastAsia" w:cstheme="minorBidi"/>
          <w:szCs w:val="22"/>
        </w:rPr>
      </w:pPr>
      <w:r>
        <w:fldChar w:fldCharType="begin"/>
      </w:r>
      <w:r>
        <w:instrText xml:space="preserve"> HYPERLINK \l "_Toc80889082" </w:instrText>
      </w:r>
      <w:r>
        <w:fldChar w:fldCharType="separate"/>
      </w:r>
      <w:r>
        <w:rPr>
          <w:rStyle w:val="30"/>
        </w:rPr>
        <w:t>4.2</w:t>
      </w:r>
      <w:r>
        <w:rPr>
          <w:rFonts w:asciiTheme="minorHAnsi" w:hAnsiTheme="minorHAnsi" w:eastAsiaTheme="minorEastAsia" w:cstheme="minorBidi"/>
          <w:szCs w:val="22"/>
        </w:rPr>
        <w:tab/>
      </w:r>
      <w:r>
        <w:rPr>
          <w:rStyle w:val="30"/>
          <w:rFonts w:hint="eastAsia"/>
        </w:rPr>
        <w:t>环境质量现状监测与评价</w:t>
      </w:r>
      <w:r>
        <w:tab/>
      </w:r>
      <w:r>
        <w:fldChar w:fldCharType="begin"/>
      </w:r>
      <w:r>
        <w:instrText xml:space="preserve"> PAGEREF _Toc80889082 \h </w:instrText>
      </w:r>
      <w:r>
        <w:fldChar w:fldCharType="separate"/>
      </w:r>
      <w:r>
        <w:t>56</w:t>
      </w:r>
      <w:r>
        <w:fldChar w:fldCharType="end"/>
      </w:r>
      <w:r>
        <w:fldChar w:fldCharType="end"/>
      </w:r>
    </w:p>
    <w:p>
      <w:pPr>
        <w:pStyle w:val="22"/>
        <w:tabs>
          <w:tab w:val="left" w:pos="420"/>
          <w:tab w:val="right" w:leader="dot" w:pos="8947"/>
        </w:tabs>
        <w:spacing w:line="360" w:lineRule="auto"/>
        <w:rPr>
          <w:rFonts w:asciiTheme="minorHAnsi" w:hAnsiTheme="minorHAnsi" w:eastAsiaTheme="minorEastAsia" w:cstheme="minorBidi"/>
          <w:szCs w:val="22"/>
        </w:rPr>
      </w:pPr>
      <w:r>
        <w:fldChar w:fldCharType="begin"/>
      </w:r>
      <w:r>
        <w:instrText xml:space="preserve"> HYPERLINK \l "_Toc80889083" </w:instrText>
      </w:r>
      <w:r>
        <w:fldChar w:fldCharType="separate"/>
      </w:r>
      <w:r>
        <w:rPr>
          <w:rStyle w:val="30"/>
        </w:rPr>
        <w:t>5</w:t>
      </w:r>
      <w:r>
        <w:rPr>
          <w:rFonts w:asciiTheme="minorHAnsi" w:hAnsiTheme="minorHAnsi" w:eastAsiaTheme="minorEastAsia" w:cstheme="minorBidi"/>
          <w:szCs w:val="22"/>
        </w:rPr>
        <w:tab/>
      </w:r>
      <w:r>
        <w:rPr>
          <w:rStyle w:val="30"/>
          <w:rFonts w:hint="eastAsia"/>
        </w:rPr>
        <w:t>环境影响预测与评价</w:t>
      </w:r>
      <w:r>
        <w:tab/>
      </w:r>
      <w:r>
        <w:fldChar w:fldCharType="begin"/>
      </w:r>
      <w:r>
        <w:instrText xml:space="preserve"> PAGEREF _Toc80889083 \h </w:instrText>
      </w:r>
      <w:r>
        <w:fldChar w:fldCharType="separate"/>
      </w:r>
      <w:r>
        <w:t>65</w:t>
      </w:r>
      <w:r>
        <w:fldChar w:fldCharType="end"/>
      </w:r>
      <w:r>
        <w:fldChar w:fldCharType="end"/>
      </w:r>
    </w:p>
    <w:p>
      <w:pPr>
        <w:pStyle w:val="23"/>
        <w:tabs>
          <w:tab w:val="left" w:pos="1050"/>
          <w:tab w:val="right" w:leader="dot" w:pos="8947"/>
        </w:tabs>
        <w:spacing w:line="360" w:lineRule="auto"/>
        <w:rPr>
          <w:rFonts w:asciiTheme="minorHAnsi" w:hAnsiTheme="minorHAnsi" w:eastAsiaTheme="minorEastAsia" w:cstheme="minorBidi"/>
          <w:szCs w:val="22"/>
        </w:rPr>
      </w:pPr>
      <w:r>
        <w:fldChar w:fldCharType="begin"/>
      </w:r>
      <w:r>
        <w:instrText xml:space="preserve"> HYPERLINK \l "_Toc80889084" </w:instrText>
      </w:r>
      <w:r>
        <w:fldChar w:fldCharType="separate"/>
      </w:r>
      <w:r>
        <w:rPr>
          <w:rStyle w:val="30"/>
        </w:rPr>
        <w:t>5.1</w:t>
      </w:r>
      <w:r>
        <w:rPr>
          <w:rFonts w:asciiTheme="minorHAnsi" w:hAnsiTheme="minorHAnsi" w:eastAsiaTheme="minorEastAsia" w:cstheme="minorBidi"/>
          <w:szCs w:val="22"/>
        </w:rPr>
        <w:tab/>
      </w:r>
      <w:r>
        <w:rPr>
          <w:rStyle w:val="30"/>
          <w:rFonts w:hint="eastAsia"/>
        </w:rPr>
        <w:t>施工期环境影响预测与评价</w:t>
      </w:r>
      <w:r>
        <w:tab/>
      </w:r>
      <w:r>
        <w:fldChar w:fldCharType="begin"/>
      </w:r>
      <w:r>
        <w:instrText xml:space="preserve"> PAGEREF _Toc80889084 \h </w:instrText>
      </w:r>
      <w:r>
        <w:fldChar w:fldCharType="separate"/>
      </w:r>
      <w:r>
        <w:t>65</w:t>
      </w:r>
      <w:r>
        <w:fldChar w:fldCharType="end"/>
      </w:r>
      <w:r>
        <w:fldChar w:fldCharType="end"/>
      </w:r>
    </w:p>
    <w:p>
      <w:pPr>
        <w:pStyle w:val="23"/>
        <w:tabs>
          <w:tab w:val="left" w:pos="1050"/>
          <w:tab w:val="right" w:leader="dot" w:pos="8947"/>
        </w:tabs>
        <w:spacing w:line="360" w:lineRule="auto"/>
        <w:rPr>
          <w:rFonts w:asciiTheme="minorHAnsi" w:hAnsiTheme="minorHAnsi" w:eastAsiaTheme="minorEastAsia" w:cstheme="minorBidi"/>
          <w:szCs w:val="22"/>
        </w:rPr>
      </w:pPr>
      <w:r>
        <w:fldChar w:fldCharType="begin"/>
      </w:r>
      <w:r>
        <w:instrText xml:space="preserve"> HYPERLINK \l "_Toc80889085" </w:instrText>
      </w:r>
      <w:r>
        <w:fldChar w:fldCharType="separate"/>
      </w:r>
      <w:r>
        <w:rPr>
          <w:rStyle w:val="30"/>
        </w:rPr>
        <w:t>5.2</w:t>
      </w:r>
      <w:r>
        <w:rPr>
          <w:rFonts w:asciiTheme="minorHAnsi" w:hAnsiTheme="minorHAnsi" w:eastAsiaTheme="minorEastAsia" w:cstheme="minorBidi"/>
          <w:szCs w:val="22"/>
        </w:rPr>
        <w:tab/>
      </w:r>
      <w:r>
        <w:rPr>
          <w:rStyle w:val="30"/>
          <w:rFonts w:hint="eastAsia"/>
        </w:rPr>
        <w:t>营运期环境影响预测与评价</w:t>
      </w:r>
      <w:r>
        <w:tab/>
      </w:r>
      <w:r>
        <w:fldChar w:fldCharType="begin"/>
      </w:r>
      <w:r>
        <w:instrText xml:space="preserve"> PAGEREF _Toc80889085 \h </w:instrText>
      </w:r>
      <w:r>
        <w:fldChar w:fldCharType="separate"/>
      </w:r>
      <w:r>
        <w:t>70</w:t>
      </w:r>
      <w:r>
        <w:fldChar w:fldCharType="end"/>
      </w:r>
      <w:r>
        <w:fldChar w:fldCharType="end"/>
      </w:r>
    </w:p>
    <w:p>
      <w:pPr>
        <w:pStyle w:val="23"/>
        <w:tabs>
          <w:tab w:val="left" w:pos="1050"/>
          <w:tab w:val="right" w:leader="dot" w:pos="8947"/>
        </w:tabs>
        <w:spacing w:line="360" w:lineRule="auto"/>
        <w:rPr>
          <w:rFonts w:asciiTheme="minorHAnsi" w:hAnsiTheme="minorHAnsi" w:eastAsiaTheme="minorEastAsia" w:cstheme="minorBidi"/>
          <w:szCs w:val="22"/>
        </w:rPr>
      </w:pPr>
      <w:r>
        <w:fldChar w:fldCharType="begin"/>
      </w:r>
      <w:r>
        <w:instrText xml:space="preserve"> HYPERLINK \l "_Toc80889086" </w:instrText>
      </w:r>
      <w:r>
        <w:fldChar w:fldCharType="separate"/>
      </w:r>
      <w:r>
        <w:rPr>
          <w:rStyle w:val="30"/>
        </w:rPr>
        <w:t>5.3</w:t>
      </w:r>
      <w:r>
        <w:rPr>
          <w:rFonts w:asciiTheme="minorHAnsi" w:hAnsiTheme="minorHAnsi" w:eastAsiaTheme="minorEastAsia" w:cstheme="minorBidi"/>
          <w:szCs w:val="22"/>
        </w:rPr>
        <w:tab/>
      </w:r>
      <w:r>
        <w:rPr>
          <w:rStyle w:val="30"/>
          <w:rFonts w:hint="eastAsia"/>
        </w:rPr>
        <w:t>环境风险分析</w:t>
      </w:r>
      <w:r>
        <w:tab/>
      </w:r>
      <w:r>
        <w:fldChar w:fldCharType="begin"/>
      </w:r>
      <w:r>
        <w:instrText xml:space="preserve"> PAGEREF _Toc80889086 \h </w:instrText>
      </w:r>
      <w:r>
        <w:fldChar w:fldCharType="separate"/>
      </w:r>
      <w:r>
        <w:t>91</w:t>
      </w:r>
      <w:r>
        <w:fldChar w:fldCharType="end"/>
      </w:r>
      <w:r>
        <w:fldChar w:fldCharType="end"/>
      </w:r>
    </w:p>
    <w:p>
      <w:pPr>
        <w:pStyle w:val="22"/>
        <w:tabs>
          <w:tab w:val="left" w:pos="420"/>
          <w:tab w:val="right" w:leader="dot" w:pos="8947"/>
        </w:tabs>
        <w:spacing w:line="360" w:lineRule="auto"/>
        <w:rPr>
          <w:rFonts w:asciiTheme="minorHAnsi" w:hAnsiTheme="minorHAnsi" w:eastAsiaTheme="minorEastAsia" w:cstheme="minorBidi"/>
          <w:szCs w:val="22"/>
        </w:rPr>
      </w:pPr>
      <w:r>
        <w:fldChar w:fldCharType="begin"/>
      </w:r>
      <w:r>
        <w:instrText xml:space="preserve"> HYPERLINK \l "_Toc80889087" </w:instrText>
      </w:r>
      <w:r>
        <w:fldChar w:fldCharType="separate"/>
      </w:r>
      <w:r>
        <w:rPr>
          <w:rStyle w:val="30"/>
        </w:rPr>
        <w:t>6</w:t>
      </w:r>
      <w:r>
        <w:rPr>
          <w:rFonts w:asciiTheme="minorHAnsi" w:hAnsiTheme="minorHAnsi" w:eastAsiaTheme="minorEastAsia" w:cstheme="minorBidi"/>
          <w:szCs w:val="22"/>
        </w:rPr>
        <w:tab/>
      </w:r>
      <w:r>
        <w:rPr>
          <w:rStyle w:val="30"/>
          <w:rFonts w:hint="eastAsia"/>
        </w:rPr>
        <w:t>环保措施及其技术经济论证</w:t>
      </w:r>
      <w:r>
        <w:tab/>
      </w:r>
      <w:r>
        <w:fldChar w:fldCharType="begin"/>
      </w:r>
      <w:r>
        <w:instrText xml:space="preserve"> PAGEREF _Toc80889087 \h </w:instrText>
      </w:r>
      <w:r>
        <w:fldChar w:fldCharType="separate"/>
      </w:r>
      <w:r>
        <w:t>99</w:t>
      </w:r>
      <w:r>
        <w:fldChar w:fldCharType="end"/>
      </w:r>
      <w:r>
        <w:fldChar w:fldCharType="end"/>
      </w:r>
    </w:p>
    <w:p>
      <w:pPr>
        <w:pStyle w:val="23"/>
        <w:tabs>
          <w:tab w:val="left" w:pos="1050"/>
          <w:tab w:val="right" w:leader="dot" w:pos="8947"/>
        </w:tabs>
        <w:spacing w:line="360" w:lineRule="auto"/>
        <w:rPr>
          <w:rFonts w:asciiTheme="minorHAnsi" w:hAnsiTheme="minorHAnsi" w:eastAsiaTheme="minorEastAsia" w:cstheme="minorBidi"/>
          <w:szCs w:val="22"/>
        </w:rPr>
      </w:pPr>
      <w:r>
        <w:fldChar w:fldCharType="begin"/>
      </w:r>
      <w:r>
        <w:instrText xml:space="preserve"> HYPERLINK \l "_Toc80889088" </w:instrText>
      </w:r>
      <w:r>
        <w:fldChar w:fldCharType="separate"/>
      </w:r>
      <w:r>
        <w:rPr>
          <w:rStyle w:val="30"/>
        </w:rPr>
        <w:t>6.1</w:t>
      </w:r>
      <w:r>
        <w:rPr>
          <w:rFonts w:asciiTheme="minorHAnsi" w:hAnsiTheme="minorHAnsi" w:eastAsiaTheme="minorEastAsia" w:cstheme="minorBidi"/>
          <w:szCs w:val="22"/>
        </w:rPr>
        <w:tab/>
      </w:r>
      <w:r>
        <w:rPr>
          <w:rStyle w:val="30"/>
          <w:rFonts w:hint="eastAsia"/>
        </w:rPr>
        <w:t>施工期污染防治措施</w:t>
      </w:r>
      <w:r>
        <w:tab/>
      </w:r>
      <w:r>
        <w:fldChar w:fldCharType="begin"/>
      </w:r>
      <w:r>
        <w:instrText xml:space="preserve"> PAGEREF _Toc80889088 \h </w:instrText>
      </w:r>
      <w:r>
        <w:fldChar w:fldCharType="separate"/>
      </w:r>
      <w:r>
        <w:t>99</w:t>
      </w:r>
      <w:r>
        <w:fldChar w:fldCharType="end"/>
      </w:r>
      <w:r>
        <w:fldChar w:fldCharType="end"/>
      </w:r>
    </w:p>
    <w:p>
      <w:pPr>
        <w:pStyle w:val="23"/>
        <w:tabs>
          <w:tab w:val="left" w:pos="1050"/>
          <w:tab w:val="right" w:leader="dot" w:pos="8947"/>
        </w:tabs>
        <w:spacing w:line="360" w:lineRule="auto"/>
        <w:rPr>
          <w:rFonts w:asciiTheme="minorHAnsi" w:hAnsiTheme="minorHAnsi" w:eastAsiaTheme="minorEastAsia" w:cstheme="minorBidi"/>
          <w:szCs w:val="22"/>
        </w:rPr>
      </w:pPr>
      <w:r>
        <w:fldChar w:fldCharType="begin"/>
      </w:r>
      <w:r>
        <w:instrText xml:space="preserve"> HYPERLINK \l "_Toc80889089" </w:instrText>
      </w:r>
      <w:r>
        <w:fldChar w:fldCharType="separate"/>
      </w:r>
      <w:r>
        <w:rPr>
          <w:rStyle w:val="30"/>
        </w:rPr>
        <w:t>6.2</w:t>
      </w:r>
      <w:r>
        <w:rPr>
          <w:rFonts w:asciiTheme="minorHAnsi" w:hAnsiTheme="minorHAnsi" w:eastAsiaTheme="minorEastAsia" w:cstheme="minorBidi"/>
          <w:szCs w:val="22"/>
        </w:rPr>
        <w:tab/>
      </w:r>
      <w:r>
        <w:rPr>
          <w:rStyle w:val="30"/>
          <w:rFonts w:hint="eastAsia"/>
        </w:rPr>
        <w:t>营运期污染防治措施</w:t>
      </w:r>
      <w:r>
        <w:tab/>
      </w:r>
      <w:r>
        <w:fldChar w:fldCharType="begin"/>
      </w:r>
      <w:r>
        <w:instrText xml:space="preserve"> PAGEREF _Toc80889089 \h </w:instrText>
      </w:r>
      <w:r>
        <w:fldChar w:fldCharType="separate"/>
      </w:r>
      <w:r>
        <w:t>103</w:t>
      </w:r>
      <w:r>
        <w:fldChar w:fldCharType="end"/>
      </w:r>
      <w:r>
        <w:fldChar w:fldCharType="end"/>
      </w:r>
    </w:p>
    <w:p>
      <w:pPr>
        <w:pStyle w:val="22"/>
        <w:tabs>
          <w:tab w:val="left" w:pos="420"/>
          <w:tab w:val="right" w:leader="dot" w:pos="8947"/>
        </w:tabs>
        <w:spacing w:line="360" w:lineRule="auto"/>
        <w:rPr>
          <w:rFonts w:asciiTheme="minorHAnsi" w:hAnsiTheme="minorHAnsi" w:eastAsiaTheme="minorEastAsia" w:cstheme="minorBidi"/>
          <w:szCs w:val="22"/>
        </w:rPr>
      </w:pPr>
      <w:r>
        <w:fldChar w:fldCharType="begin"/>
      </w:r>
      <w:r>
        <w:instrText xml:space="preserve"> HYPERLINK \l "_Toc80889090" </w:instrText>
      </w:r>
      <w:r>
        <w:fldChar w:fldCharType="separate"/>
      </w:r>
      <w:r>
        <w:rPr>
          <w:rStyle w:val="30"/>
        </w:rPr>
        <w:t>7</w:t>
      </w:r>
      <w:r>
        <w:rPr>
          <w:rFonts w:asciiTheme="minorHAnsi" w:hAnsiTheme="minorHAnsi" w:eastAsiaTheme="minorEastAsia" w:cstheme="minorBidi"/>
          <w:szCs w:val="22"/>
        </w:rPr>
        <w:tab/>
      </w:r>
      <w:r>
        <w:rPr>
          <w:rStyle w:val="30"/>
          <w:rFonts w:hint="eastAsia"/>
        </w:rPr>
        <w:t>项目建设环境可行性分析</w:t>
      </w:r>
      <w:r>
        <w:tab/>
      </w:r>
      <w:r>
        <w:fldChar w:fldCharType="begin"/>
      </w:r>
      <w:r>
        <w:instrText xml:space="preserve"> PAGEREF _Toc80889090 \h </w:instrText>
      </w:r>
      <w:r>
        <w:fldChar w:fldCharType="separate"/>
      </w:r>
      <w:r>
        <w:t>116</w:t>
      </w:r>
      <w:r>
        <w:fldChar w:fldCharType="end"/>
      </w:r>
      <w:r>
        <w:fldChar w:fldCharType="end"/>
      </w:r>
    </w:p>
    <w:p>
      <w:pPr>
        <w:pStyle w:val="23"/>
        <w:tabs>
          <w:tab w:val="left" w:pos="1050"/>
          <w:tab w:val="right" w:leader="dot" w:pos="8947"/>
        </w:tabs>
        <w:spacing w:line="360" w:lineRule="auto"/>
        <w:rPr>
          <w:rFonts w:asciiTheme="minorHAnsi" w:hAnsiTheme="minorHAnsi" w:eastAsiaTheme="minorEastAsia" w:cstheme="minorBidi"/>
          <w:szCs w:val="22"/>
        </w:rPr>
      </w:pPr>
      <w:r>
        <w:fldChar w:fldCharType="begin"/>
      </w:r>
      <w:r>
        <w:instrText xml:space="preserve"> HYPERLINK \l "_Toc80889091" </w:instrText>
      </w:r>
      <w:r>
        <w:fldChar w:fldCharType="separate"/>
      </w:r>
      <w:r>
        <w:rPr>
          <w:rStyle w:val="30"/>
        </w:rPr>
        <w:t>7.1</w:t>
      </w:r>
      <w:r>
        <w:rPr>
          <w:rFonts w:asciiTheme="minorHAnsi" w:hAnsiTheme="minorHAnsi" w:eastAsiaTheme="minorEastAsia" w:cstheme="minorBidi"/>
          <w:szCs w:val="22"/>
        </w:rPr>
        <w:tab/>
      </w:r>
      <w:r>
        <w:rPr>
          <w:rStyle w:val="30"/>
          <w:rFonts w:hint="eastAsia"/>
        </w:rPr>
        <w:t>产业政策符合性分析</w:t>
      </w:r>
      <w:r>
        <w:tab/>
      </w:r>
      <w:r>
        <w:fldChar w:fldCharType="begin"/>
      </w:r>
      <w:r>
        <w:instrText xml:space="preserve"> PAGEREF _Toc80889091 \h </w:instrText>
      </w:r>
      <w:r>
        <w:fldChar w:fldCharType="separate"/>
      </w:r>
      <w:r>
        <w:t>116</w:t>
      </w:r>
      <w:r>
        <w:fldChar w:fldCharType="end"/>
      </w:r>
      <w:r>
        <w:fldChar w:fldCharType="end"/>
      </w:r>
    </w:p>
    <w:p>
      <w:pPr>
        <w:pStyle w:val="23"/>
        <w:tabs>
          <w:tab w:val="left" w:pos="1050"/>
          <w:tab w:val="right" w:leader="dot" w:pos="8947"/>
        </w:tabs>
        <w:spacing w:line="360" w:lineRule="auto"/>
        <w:rPr>
          <w:rFonts w:asciiTheme="minorHAnsi" w:hAnsiTheme="minorHAnsi" w:eastAsiaTheme="minorEastAsia" w:cstheme="minorBidi"/>
          <w:szCs w:val="22"/>
        </w:rPr>
      </w:pPr>
      <w:r>
        <w:fldChar w:fldCharType="begin"/>
      </w:r>
      <w:r>
        <w:instrText xml:space="preserve"> HYPERLINK \l "_Toc80889092" </w:instrText>
      </w:r>
      <w:r>
        <w:fldChar w:fldCharType="separate"/>
      </w:r>
      <w:r>
        <w:rPr>
          <w:rStyle w:val="30"/>
        </w:rPr>
        <w:t>7.2</w:t>
      </w:r>
      <w:r>
        <w:rPr>
          <w:rFonts w:asciiTheme="minorHAnsi" w:hAnsiTheme="minorHAnsi" w:eastAsiaTheme="minorEastAsia" w:cstheme="minorBidi"/>
          <w:szCs w:val="22"/>
        </w:rPr>
        <w:tab/>
      </w:r>
      <w:r>
        <w:rPr>
          <w:rStyle w:val="30"/>
          <w:rFonts w:hint="eastAsia"/>
        </w:rPr>
        <w:t>选址合理性分析</w:t>
      </w:r>
      <w:r>
        <w:tab/>
      </w:r>
      <w:r>
        <w:fldChar w:fldCharType="begin"/>
      </w:r>
      <w:r>
        <w:instrText xml:space="preserve"> PAGEREF _Toc80889092 \h </w:instrText>
      </w:r>
      <w:r>
        <w:fldChar w:fldCharType="separate"/>
      </w:r>
      <w:r>
        <w:t>116</w:t>
      </w:r>
      <w:r>
        <w:fldChar w:fldCharType="end"/>
      </w:r>
      <w:r>
        <w:fldChar w:fldCharType="end"/>
      </w:r>
    </w:p>
    <w:p>
      <w:pPr>
        <w:pStyle w:val="23"/>
        <w:tabs>
          <w:tab w:val="left" w:pos="1050"/>
          <w:tab w:val="right" w:leader="dot" w:pos="8947"/>
        </w:tabs>
        <w:spacing w:line="360" w:lineRule="auto"/>
        <w:rPr>
          <w:rFonts w:asciiTheme="minorHAnsi" w:hAnsiTheme="minorHAnsi" w:eastAsiaTheme="minorEastAsia" w:cstheme="minorBidi"/>
          <w:szCs w:val="22"/>
        </w:rPr>
      </w:pPr>
      <w:r>
        <w:fldChar w:fldCharType="begin"/>
      </w:r>
      <w:r>
        <w:instrText xml:space="preserve"> HYPERLINK \l "_Toc80889093" </w:instrText>
      </w:r>
      <w:r>
        <w:fldChar w:fldCharType="separate"/>
      </w:r>
      <w:r>
        <w:rPr>
          <w:rStyle w:val="30"/>
        </w:rPr>
        <w:t>7.3</w:t>
      </w:r>
      <w:r>
        <w:rPr>
          <w:rFonts w:asciiTheme="minorHAnsi" w:hAnsiTheme="minorHAnsi" w:eastAsiaTheme="minorEastAsia" w:cstheme="minorBidi"/>
          <w:szCs w:val="22"/>
        </w:rPr>
        <w:tab/>
      </w:r>
      <w:r>
        <w:rPr>
          <w:rStyle w:val="30"/>
          <w:rFonts w:hint="eastAsia"/>
        </w:rPr>
        <w:t>平面布局合理性分析</w:t>
      </w:r>
      <w:r>
        <w:tab/>
      </w:r>
      <w:r>
        <w:fldChar w:fldCharType="begin"/>
      </w:r>
      <w:r>
        <w:instrText xml:space="preserve"> PAGEREF _Toc80889093 \h </w:instrText>
      </w:r>
      <w:r>
        <w:fldChar w:fldCharType="separate"/>
      </w:r>
      <w:r>
        <w:t>122</w:t>
      </w:r>
      <w:r>
        <w:fldChar w:fldCharType="end"/>
      </w:r>
      <w:r>
        <w:fldChar w:fldCharType="end"/>
      </w:r>
    </w:p>
    <w:p>
      <w:pPr>
        <w:pStyle w:val="23"/>
        <w:tabs>
          <w:tab w:val="left" w:pos="1050"/>
          <w:tab w:val="right" w:leader="dot" w:pos="8947"/>
        </w:tabs>
        <w:spacing w:line="360" w:lineRule="auto"/>
        <w:rPr>
          <w:rFonts w:asciiTheme="minorHAnsi" w:hAnsiTheme="minorHAnsi" w:eastAsiaTheme="minorEastAsia" w:cstheme="minorBidi"/>
          <w:szCs w:val="22"/>
        </w:rPr>
      </w:pPr>
      <w:r>
        <w:fldChar w:fldCharType="begin"/>
      </w:r>
      <w:r>
        <w:instrText xml:space="preserve"> HYPERLINK \l "_Toc80889094" </w:instrText>
      </w:r>
      <w:r>
        <w:fldChar w:fldCharType="separate"/>
      </w:r>
      <w:r>
        <w:rPr>
          <w:rStyle w:val="30"/>
        </w:rPr>
        <w:t>7.4</w:t>
      </w:r>
      <w:r>
        <w:rPr>
          <w:rFonts w:asciiTheme="minorHAnsi" w:hAnsiTheme="minorHAnsi" w:eastAsiaTheme="minorEastAsia" w:cstheme="minorBidi"/>
          <w:szCs w:val="22"/>
        </w:rPr>
        <w:tab/>
      </w:r>
      <w:r>
        <w:rPr>
          <w:rStyle w:val="30"/>
          <w:rFonts w:hint="eastAsia"/>
        </w:rPr>
        <w:t>项目建设与</w:t>
      </w:r>
      <w:r>
        <w:rPr>
          <w:rStyle w:val="30"/>
        </w:rPr>
        <w:t>“</w:t>
      </w:r>
      <w:r>
        <w:rPr>
          <w:rStyle w:val="30"/>
          <w:rFonts w:hint="eastAsia"/>
        </w:rPr>
        <w:t>三线一单</w:t>
      </w:r>
      <w:r>
        <w:rPr>
          <w:rStyle w:val="30"/>
        </w:rPr>
        <w:t>”</w:t>
      </w:r>
      <w:r>
        <w:rPr>
          <w:rStyle w:val="30"/>
          <w:rFonts w:hint="eastAsia"/>
        </w:rPr>
        <w:t>符合性分析</w:t>
      </w:r>
      <w:r>
        <w:tab/>
      </w:r>
      <w:r>
        <w:fldChar w:fldCharType="begin"/>
      </w:r>
      <w:r>
        <w:instrText xml:space="preserve"> PAGEREF _Toc80889094 \h </w:instrText>
      </w:r>
      <w:r>
        <w:fldChar w:fldCharType="separate"/>
      </w:r>
      <w:r>
        <w:t>123</w:t>
      </w:r>
      <w:r>
        <w:fldChar w:fldCharType="end"/>
      </w:r>
      <w:r>
        <w:fldChar w:fldCharType="end"/>
      </w:r>
    </w:p>
    <w:p>
      <w:pPr>
        <w:pStyle w:val="23"/>
        <w:tabs>
          <w:tab w:val="left" w:pos="1050"/>
          <w:tab w:val="right" w:leader="dot" w:pos="8947"/>
        </w:tabs>
        <w:spacing w:line="360" w:lineRule="auto"/>
        <w:rPr>
          <w:rFonts w:asciiTheme="minorHAnsi" w:hAnsiTheme="minorHAnsi" w:eastAsiaTheme="minorEastAsia" w:cstheme="minorBidi"/>
          <w:szCs w:val="22"/>
        </w:rPr>
      </w:pPr>
      <w:r>
        <w:fldChar w:fldCharType="begin"/>
      </w:r>
      <w:r>
        <w:instrText xml:space="preserve"> HYPERLINK \l "_Toc80889095" </w:instrText>
      </w:r>
      <w:r>
        <w:fldChar w:fldCharType="separate"/>
      </w:r>
      <w:r>
        <w:rPr>
          <w:rStyle w:val="30"/>
        </w:rPr>
        <w:t>7.5</w:t>
      </w:r>
      <w:r>
        <w:rPr>
          <w:rFonts w:asciiTheme="minorHAnsi" w:hAnsiTheme="minorHAnsi" w:eastAsiaTheme="minorEastAsia" w:cstheme="minorBidi"/>
          <w:szCs w:val="22"/>
        </w:rPr>
        <w:tab/>
      </w:r>
      <w:r>
        <w:rPr>
          <w:rStyle w:val="30"/>
          <w:rFonts w:hint="eastAsia"/>
        </w:rPr>
        <w:t>制约因素</w:t>
      </w:r>
      <w:r>
        <w:tab/>
      </w:r>
      <w:r>
        <w:fldChar w:fldCharType="begin"/>
      </w:r>
      <w:r>
        <w:instrText xml:space="preserve"> PAGEREF _Toc80889095 \h </w:instrText>
      </w:r>
      <w:r>
        <w:fldChar w:fldCharType="separate"/>
      </w:r>
      <w:r>
        <w:t>125</w:t>
      </w:r>
      <w:r>
        <w:fldChar w:fldCharType="end"/>
      </w:r>
      <w:r>
        <w:fldChar w:fldCharType="end"/>
      </w:r>
    </w:p>
    <w:p>
      <w:pPr>
        <w:pStyle w:val="22"/>
        <w:tabs>
          <w:tab w:val="left" w:pos="420"/>
          <w:tab w:val="right" w:leader="dot" w:pos="8947"/>
        </w:tabs>
        <w:spacing w:line="360" w:lineRule="auto"/>
        <w:rPr>
          <w:rFonts w:asciiTheme="minorHAnsi" w:hAnsiTheme="minorHAnsi" w:eastAsiaTheme="minorEastAsia" w:cstheme="minorBidi"/>
          <w:szCs w:val="22"/>
        </w:rPr>
      </w:pPr>
      <w:r>
        <w:fldChar w:fldCharType="begin"/>
      </w:r>
      <w:r>
        <w:instrText xml:space="preserve"> HYPERLINK \l "_Toc80889096" </w:instrText>
      </w:r>
      <w:r>
        <w:fldChar w:fldCharType="separate"/>
      </w:r>
      <w:r>
        <w:rPr>
          <w:rStyle w:val="30"/>
        </w:rPr>
        <w:t>8</w:t>
      </w:r>
      <w:r>
        <w:rPr>
          <w:rFonts w:asciiTheme="minorHAnsi" w:hAnsiTheme="minorHAnsi" w:eastAsiaTheme="minorEastAsia" w:cstheme="minorBidi"/>
          <w:szCs w:val="22"/>
        </w:rPr>
        <w:tab/>
      </w:r>
      <w:r>
        <w:rPr>
          <w:rStyle w:val="30"/>
          <w:rFonts w:hint="eastAsia"/>
        </w:rPr>
        <w:t>环境经济损益分析</w:t>
      </w:r>
      <w:r>
        <w:tab/>
      </w:r>
      <w:r>
        <w:fldChar w:fldCharType="begin"/>
      </w:r>
      <w:r>
        <w:instrText xml:space="preserve"> PAGEREF _Toc80889096 \h </w:instrText>
      </w:r>
      <w:r>
        <w:fldChar w:fldCharType="separate"/>
      </w:r>
      <w:r>
        <w:t>127</w:t>
      </w:r>
      <w:r>
        <w:fldChar w:fldCharType="end"/>
      </w:r>
      <w:r>
        <w:fldChar w:fldCharType="end"/>
      </w:r>
    </w:p>
    <w:p>
      <w:pPr>
        <w:pStyle w:val="23"/>
        <w:tabs>
          <w:tab w:val="left" w:pos="1050"/>
          <w:tab w:val="right" w:leader="dot" w:pos="8947"/>
        </w:tabs>
        <w:spacing w:line="360" w:lineRule="auto"/>
        <w:rPr>
          <w:rFonts w:asciiTheme="minorHAnsi" w:hAnsiTheme="minorHAnsi" w:eastAsiaTheme="minorEastAsia" w:cstheme="minorBidi"/>
          <w:szCs w:val="22"/>
        </w:rPr>
      </w:pPr>
      <w:r>
        <w:fldChar w:fldCharType="begin"/>
      </w:r>
      <w:r>
        <w:instrText xml:space="preserve"> HYPERLINK \l "_Toc80889097" </w:instrText>
      </w:r>
      <w:r>
        <w:fldChar w:fldCharType="separate"/>
      </w:r>
      <w:r>
        <w:rPr>
          <w:rStyle w:val="30"/>
        </w:rPr>
        <w:t>8.1</w:t>
      </w:r>
      <w:r>
        <w:rPr>
          <w:rFonts w:asciiTheme="minorHAnsi" w:hAnsiTheme="minorHAnsi" w:eastAsiaTheme="minorEastAsia" w:cstheme="minorBidi"/>
          <w:szCs w:val="22"/>
        </w:rPr>
        <w:tab/>
      </w:r>
      <w:r>
        <w:rPr>
          <w:rStyle w:val="30"/>
          <w:rFonts w:hint="eastAsia"/>
        </w:rPr>
        <w:t>环保投资分析</w:t>
      </w:r>
      <w:r>
        <w:tab/>
      </w:r>
      <w:r>
        <w:fldChar w:fldCharType="begin"/>
      </w:r>
      <w:r>
        <w:instrText xml:space="preserve"> PAGEREF _Toc80889097 \h </w:instrText>
      </w:r>
      <w:r>
        <w:fldChar w:fldCharType="separate"/>
      </w:r>
      <w:r>
        <w:t>127</w:t>
      </w:r>
      <w:r>
        <w:fldChar w:fldCharType="end"/>
      </w:r>
      <w:r>
        <w:fldChar w:fldCharType="end"/>
      </w:r>
    </w:p>
    <w:p>
      <w:pPr>
        <w:pStyle w:val="23"/>
        <w:tabs>
          <w:tab w:val="left" w:pos="1050"/>
          <w:tab w:val="right" w:leader="dot" w:pos="8947"/>
        </w:tabs>
        <w:spacing w:line="360" w:lineRule="auto"/>
        <w:rPr>
          <w:rFonts w:asciiTheme="minorHAnsi" w:hAnsiTheme="minorHAnsi" w:eastAsiaTheme="minorEastAsia" w:cstheme="minorBidi"/>
          <w:szCs w:val="22"/>
        </w:rPr>
      </w:pPr>
      <w:r>
        <w:fldChar w:fldCharType="begin"/>
      </w:r>
      <w:r>
        <w:instrText xml:space="preserve"> HYPERLINK \l "_Toc80889098" </w:instrText>
      </w:r>
      <w:r>
        <w:fldChar w:fldCharType="separate"/>
      </w:r>
      <w:r>
        <w:rPr>
          <w:rStyle w:val="30"/>
        </w:rPr>
        <w:t>8.2</w:t>
      </w:r>
      <w:r>
        <w:rPr>
          <w:rFonts w:asciiTheme="minorHAnsi" w:hAnsiTheme="minorHAnsi" w:eastAsiaTheme="minorEastAsia" w:cstheme="minorBidi"/>
          <w:szCs w:val="22"/>
        </w:rPr>
        <w:tab/>
      </w:r>
      <w:r>
        <w:rPr>
          <w:rStyle w:val="30"/>
          <w:rFonts w:hint="eastAsia"/>
        </w:rPr>
        <w:t>社会效益分析</w:t>
      </w:r>
      <w:r>
        <w:tab/>
      </w:r>
      <w:r>
        <w:fldChar w:fldCharType="begin"/>
      </w:r>
      <w:r>
        <w:instrText xml:space="preserve"> PAGEREF _Toc80889098 \h </w:instrText>
      </w:r>
      <w:r>
        <w:fldChar w:fldCharType="separate"/>
      </w:r>
      <w:r>
        <w:t>128</w:t>
      </w:r>
      <w:r>
        <w:fldChar w:fldCharType="end"/>
      </w:r>
      <w:r>
        <w:fldChar w:fldCharType="end"/>
      </w:r>
    </w:p>
    <w:p>
      <w:pPr>
        <w:pStyle w:val="23"/>
        <w:tabs>
          <w:tab w:val="left" w:pos="1050"/>
          <w:tab w:val="right" w:leader="dot" w:pos="8947"/>
        </w:tabs>
        <w:spacing w:line="360" w:lineRule="auto"/>
        <w:rPr>
          <w:rFonts w:asciiTheme="minorHAnsi" w:hAnsiTheme="minorHAnsi" w:eastAsiaTheme="minorEastAsia" w:cstheme="minorBidi"/>
          <w:szCs w:val="22"/>
        </w:rPr>
      </w:pPr>
      <w:r>
        <w:fldChar w:fldCharType="begin"/>
      </w:r>
      <w:r>
        <w:instrText xml:space="preserve"> HYPERLINK \l "_Toc80889099" </w:instrText>
      </w:r>
      <w:r>
        <w:fldChar w:fldCharType="separate"/>
      </w:r>
      <w:r>
        <w:rPr>
          <w:rStyle w:val="30"/>
        </w:rPr>
        <w:t>8.3</w:t>
      </w:r>
      <w:r>
        <w:rPr>
          <w:rFonts w:asciiTheme="minorHAnsi" w:hAnsiTheme="minorHAnsi" w:eastAsiaTheme="minorEastAsia" w:cstheme="minorBidi"/>
          <w:szCs w:val="22"/>
        </w:rPr>
        <w:tab/>
      </w:r>
      <w:r>
        <w:rPr>
          <w:rStyle w:val="30"/>
          <w:rFonts w:hint="eastAsia"/>
        </w:rPr>
        <w:t>经济损益分析</w:t>
      </w:r>
      <w:r>
        <w:tab/>
      </w:r>
      <w:r>
        <w:fldChar w:fldCharType="begin"/>
      </w:r>
      <w:r>
        <w:instrText xml:space="preserve"> PAGEREF _Toc80889099 \h </w:instrText>
      </w:r>
      <w:r>
        <w:fldChar w:fldCharType="separate"/>
      </w:r>
      <w:r>
        <w:t>129</w:t>
      </w:r>
      <w:r>
        <w:fldChar w:fldCharType="end"/>
      </w:r>
      <w:r>
        <w:fldChar w:fldCharType="end"/>
      </w:r>
    </w:p>
    <w:p>
      <w:pPr>
        <w:pStyle w:val="23"/>
        <w:tabs>
          <w:tab w:val="left" w:pos="1050"/>
          <w:tab w:val="right" w:leader="dot" w:pos="8947"/>
        </w:tabs>
        <w:spacing w:line="360" w:lineRule="auto"/>
        <w:rPr>
          <w:rFonts w:asciiTheme="minorHAnsi" w:hAnsiTheme="minorHAnsi" w:eastAsiaTheme="minorEastAsia" w:cstheme="minorBidi"/>
          <w:szCs w:val="22"/>
        </w:rPr>
      </w:pPr>
      <w:r>
        <w:fldChar w:fldCharType="begin"/>
      </w:r>
      <w:r>
        <w:instrText xml:space="preserve"> HYPERLINK \l "_Toc80889100" </w:instrText>
      </w:r>
      <w:r>
        <w:fldChar w:fldCharType="separate"/>
      </w:r>
      <w:r>
        <w:rPr>
          <w:rStyle w:val="30"/>
        </w:rPr>
        <w:t>8.4</w:t>
      </w:r>
      <w:r>
        <w:rPr>
          <w:rFonts w:asciiTheme="minorHAnsi" w:hAnsiTheme="minorHAnsi" w:eastAsiaTheme="minorEastAsia" w:cstheme="minorBidi"/>
          <w:szCs w:val="22"/>
        </w:rPr>
        <w:tab/>
      </w:r>
      <w:r>
        <w:rPr>
          <w:rStyle w:val="30"/>
          <w:rFonts w:hint="eastAsia"/>
        </w:rPr>
        <w:t>综合评价</w:t>
      </w:r>
      <w:r>
        <w:tab/>
      </w:r>
      <w:r>
        <w:fldChar w:fldCharType="begin"/>
      </w:r>
      <w:r>
        <w:instrText xml:space="preserve"> PAGEREF _Toc80889100 \h </w:instrText>
      </w:r>
      <w:r>
        <w:fldChar w:fldCharType="separate"/>
      </w:r>
      <w:r>
        <w:t>129</w:t>
      </w:r>
      <w:r>
        <w:fldChar w:fldCharType="end"/>
      </w:r>
      <w:r>
        <w:fldChar w:fldCharType="end"/>
      </w:r>
    </w:p>
    <w:p>
      <w:pPr>
        <w:pStyle w:val="22"/>
        <w:tabs>
          <w:tab w:val="left" w:pos="420"/>
          <w:tab w:val="right" w:leader="dot" w:pos="8947"/>
        </w:tabs>
        <w:spacing w:line="360" w:lineRule="auto"/>
        <w:rPr>
          <w:rFonts w:asciiTheme="minorHAnsi" w:hAnsiTheme="minorHAnsi" w:eastAsiaTheme="minorEastAsia" w:cstheme="minorBidi"/>
          <w:szCs w:val="22"/>
        </w:rPr>
      </w:pPr>
      <w:r>
        <w:fldChar w:fldCharType="begin"/>
      </w:r>
      <w:r>
        <w:instrText xml:space="preserve"> HYPERLINK \l "_Toc80889101" </w:instrText>
      </w:r>
      <w:r>
        <w:fldChar w:fldCharType="separate"/>
      </w:r>
      <w:r>
        <w:rPr>
          <w:rStyle w:val="30"/>
        </w:rPr>
        <w:t>9</w:t>
      </w:r>
      <w:r>
        <w:rPr>
          <w:rFonts w:asciiTheme="minorHAnsi" w:hAnsiTheme="minorHAnsi" w:eastAsiaTheme="minorEastAsia" w:cstheme="minorBidi"/>
          <w:szCs w:val="22"/>
        </w:rPr>
        <w:tab/>
      </w:r>
      <w:r>
        <w:rPr>
          <w:rStyle w:val="30"/>
          <w:rFonts w:hint="eastAsia"/>
        </w:rPr>
        <w:t>环境管理与环境监测</w:t>
      </w:r>
      <w:r>
        <w:tab/>
      </w:r>
      <w:r>
        <w:fldChar w:fldCharType="begin"/>
      </w:r>
      <w:r>
        <w:instrText xml:space="preserve"> PAGEREF _Toc80889101 \h </w:instrText>
      </w:r>
      <w:r>
        <w:fldChar w:fldCharType="separate"/>
      </w:r>
      <w:r>
        <w:t>131</w:t>
      </w:r>
      <w:r>
        <w:fldChar w:fldCharType="end"/>
      </w:r>
      <w:r>
        <w:fldChar w:fldCharType="end"/>
      </w:r>
    </w:p>
    <w:p>
      <w:pPr>
        <w:pStyle w:val="23"/>
        <w:tabs>
          <w:tab w:val="left" w:pos="1050"/>
          <w:tab w:val="right" w:leader="dot" w:pos="8947"/>
        </w:tabs>
        <w:spacing w:line="360" w:lineRule="auto"/>
        <w:rPr>
          <w:rFonts w:asciiTheme="minorHAnsi" w:hAnsiTheme="minorHAnsi" w:eastAsiaTheme="minorEastAsia" w:cstheme="minorBidi"/>
          <w:szCs w:val="22"/>
        </w:rPr>
      </w:pPr>
      <w:r>
        <w:fldChar w:fldCharType="begin"/>
      </w:r>
      <w:r>
        <w:instrText xml:space="preserve"> HYPERLINK \l "_Toc80889102" </w:instrText>
      </w:r>
      <w:r>
        <w:fldChar w:fldCharType="separate"/>
      </w:r>
      <w:r>
        <w:rPr>
          <w:rStyle w:val="30"/>
        </w:rPr>
        <w:t>9.1</w:t>
      </w:r>
      <w:r>
        <w:rPr>
          <w:rFonts w:asciiTheme="minorHAnsi" w:hAnsiTheme="minorHAnsi" w:eastAsiaTheme="minorEastAsia" w:cstheme="minorBidi"/>
          <w:szCs w:val="22"/>
        </w:rPr>
        <w:tab/>
      </w:r>
      <w:r>
        <w:rPr>
          <w:rStyle w:val="30"/>
          <w:rFonts w:hint="eastAsia"/>
        </w:rPr>
        <w:t>环境管理</w:t>
      </w:r>
      <w:r>
        <w:tab/>
      </w:r>
      <w:r>
        <w:fldChar w:fldCharType="begin"/>
      </w:r>
      <w:r>
        <w:instrText xml:space="preserve"> PAGEREF _Toc80889102 \h </w:instrText>
      </w:r>
      <w:r>
        <w:fldChar w:fldCharType="separate"/>
      </w:r>
      <w:r>
        <w:t>131</w:t>
      </w:r>
      <w:r>
        <w:fldChar w:fldCharType="end"/>
      </w:r>
      <w:r>
        <w:fldChar w:fldCharType="end"/>
      </w:r>
    </w:p>
    <w:p>
      <w:pPr>
        <w:pStyle w:val="23"/>
        <w:tabs>
          <w:tab w:val="left" w:pos="1050"/>
          <w:tab w:val="right" w:leader="dot" w:pos="8947"/>
        </w:tabs>
        <w:spacing w:line="360" w:lineRule="auto"/>
        <w:rPr>
          <w:rFonts w:asciiTheme="minorHAnsi" w:hAnsiTheme="minorHAnsi" w:eastAsiaTheme="minorEastAsia" w:cstheme="minorBidi"/>
          <w:szCs w:val="22"/>
        </w:rPr>
      </w:pPr>
      <w:r>
        <w:fldChar w:fldCharType="begin"/>
      </w:r>
      <w:r>
        <w:instrText xml:space="preserve"> HYPERLINK \l "_Toc80889103" </w:instrText>
      </w:r>
      <w:r>
        <w:fldChar w:fldCharType="separate"/>
      </w:r>
      <w:r>
        <w:rPr>
          <w:rStyle w:val="30"/>
        </w:rPr>
        <w:t>9.2</w:t>
      </w:r>
      <w:r>
        <w:rPr>
          <w:rFonts w:asciiTheme="minorHAnsi" w:hAnsiTheme="minorHAnsi" w:eastAsiaTheme="minorEastAsia" w:cstheme="minorBidi"/>
          <w:szCs w:val="22"/>
        </w:rPr>
        <w:tab/>
      </w:r>
      <w:r>
        <w:rPr>
          <w:rStyle w:val="30"/>
          <w:rFonts w:hint="eastAsia"/>
        </w:rPr>
        <w:t>环境监测计划</w:t>
      </w:r>
      <w:r>
        <w:tab/>
      </w:r>
      <w:r>
        <w:fldChar w:fldCharType="begin"/>
      </w:r>
      <w:r>
        <w:instrText xml:space="preserve"> PAGEREF _Toc80889103 \h </w:instrText>
      </w:r>
      <w:r>
        <w:fldChar w:fldCharType="separate"/>
      </w:r>
      <w:r>
        <w:t>132</w:t>
      </w:r>
      <w:r>
        <w:fldChar w:fldCharType="end"/>
      </w:r>
      <w:r>
        <w:fldChar w:fldCharType="end"/>
      </w:r>
    </w:p>
    <w:p>
      <w:pPr>
        <w:pStyle w:val="23"/>
        <w:tabs>
          <w:tab w:val="left" w:pos="1050"/>
          <w:tab w:val="right" w:leader="dot" w:pos="8947"/>
        </w:tabs>
        <w:spacing w:line="360" w:lineRule="auto"/>
        <w:rPr>
          <w:rFonts w:asciiTheme="minorHAnsi" w:hAnsiTheme="minorHAnsi" w:eastAsiaTheme="minorEastAsia" w:cstheme="minorBidi"/>
          <w:szCs w:val="22"/>
        </w:rPr>
      </w:pPr>
      <w:r>
        <w:fldChar w:fldCharType="begin"/>
      </w:r>
      <w:r>
        <w:instrText xml:space="preserve"> HYPERLINK \l "_Toc80889104" </w:instrText>
      </w:r>
      <w:r>
        <w:fldChar w:fldCharType="separate"/>
      </w:r>
      <w:r>
        <w:rPr>
          <w:rStyle w:val="30"/>
        </w:rPr>
        <w:t>9.3</w:t>
      </w:r>
      <w:r>
        <w:rPr>
          <w:rFonts w:asciiTheme="minorHAnsi" w:hAnsiTheme="minorHAnsi" w:eastAsiaTheme="minorEastAsia" w:cstheme="minorBidi"/>
          <w:szCs w:val="22"/>
        </w:rPr>
        <w:tab/>
      </w:r>
      <w:r>
        <w:rPr>
          <w:rStyle w:val="30"/>
          <w:rFonts w:hint="eastAsia"/>
        </w:rPr>
        <w:t>排污口设置及规范化管理</w:t>
      </w:r>
      <w:r>
        <w:tab/>
      </w:r>
      <w:r>
        <w:fldChar w:fldCharType="begin"/>
      </w:r>
      <w:r>
        <w:instrText xml:space="preserve"> PAGEREF _Toc80889104 \h </w:instrText>
      </w:r>
      <w:r>
        <w:fldChar w:fldCharType="separate"/>
      </w:r>
      <w:r>
        <w:t>133</w:t>
      </w:r>
      <w:r>
        <w:fldChar w:fldCharType="end"/>
      </w:r>
      <w:r>
        <w:fldChar w:fldCharType="end"/>
      </w:r>
    </w:p>
    <w:p>
      <w:pPr>
        <w:pStyle w:val="23"/>
        <w:tabs>
          <w:tab w:val="left" w:pos="1050"/>
          <w:tab w:val="right" w:leader="dot" w:pos="8947"/>
        </w:tabs>
        <w:spacing w:line="360" w:lineRule="auto"/>
        <w:rPr>
          <w:rFonts w:asciiTheme="minorHAnsi" w:hAnsiTheme="minorHAnsi" w:eastAsiaTheme="minorEastAsia" w:cstheme="minorBidi"/>
          <w:szCs w:val="22"/>
        </w:rPr>
      </w:pPr>
      <w:r>
        <w:fldChar w:fldCharType="begin"/>
      </w:r>
      <w:r>
        <w:instrText xml:space="preserve"> HYPERLINK \l "_Toc80889105" </w:instrText>
      </w:r>
      <w:r>
        <w:fldChar w:fldCharType="separate"/>
      </w:r>
      <w:r>
        <w:rPr>
          <w:rStyle w:val="30"/>
        </w:rPr>
        <w:t>9.4</w:t>
      </w:r>
      <w:r>
        <w:rPr>
          <w:rFonts w:asciiTheme="minorHAnsi" w:hAnsiTheme="minorHAnsi" w:eastAsiaTheme="minorEastAsia" w:cstheme="minorBidi"/>
          <w:szCs w:val="22"/>
        </w:rPr>
        <w:tab/>
      </w:r>
      <w:r>
        <w:rPr>
          <w:rStyle w:val="30"/>
          <w:rFonts w:hint="eastAsia"/>
        </w:rPr>
        <w:t>环保设施竣工验收</w:t>
      </w:r>
      <w:r>
        <w:tab/>
      </w:r>
      <w:r>
        <w:fldChar w:fldCharType="begin"/>
      </w:r>
      <w:r>
        <w:instrText xml:space="preserve"> PAGEREF _Toc80889105 \h </w:instrText>
      </w:r>
      <w:r>
        <w:fldChar w:fldCharType="separate"/>
      </w:r>
      <w:r>
        <w:t>134</w:t>
      </w:r>
      <w:r>
        <w:fldChar w:fldCharType="end"/>
      </w:r>
      <w:r>
        <w:fldChar w:fldCharType="end"/>
      </w:r>
    </w:p>
    <w:p>
      <w:pPr>
        <w:pStyle w:val="23"/>
        <w:tabs>
          <w:tab w:val="left" w:pos="1050"/>
          <w:tab w:val="right" w:leader="dot" w:pos="8947"/>
        </w:tabs>
        <w:spacing w:line="360" w:lineRule="auto"/>
        <w:rPr>
          <w:rFonts w:asciiTheme="minorHAnsi" w:hAnsiTheme="minorHAnsi" w:eastAsiaTheme="minorEastAsia" w:cstheme="minorBidi"/>
          <w:szCs w:val="22"/>
        </w:rPr>
      </w:pPr>
      <w:r>
        <w:fldChar w:fldCharType="begin"/>
      </w:r>
      <w:r>
        <w:instrText xml:space="preserve"> HYPERLINK \l "_Toc80889106" </w:instrText>
      </w:r>
      <w:r>
        <w:fldChar w:fldCharType="separate"/>
      </w:r>
      <w:r>
        <w:rPr>
          <w:rStyle w:val="30"/>
        </w:rPr>
        <w:t>9.5</w:t>
      </w:r>
      <w:r>
        <w:rPr>
          <w:rFonts w:asciiTheme="minorHAnsi" w:hAnsiTheme="minorHAnsi" w:eastAsiaTheme="minorEastAsia" w:cstheme="minorBidi"/>
          <w:szCs w:val="22"/>
        </w:rPr>
        <w:tab/>
      </w:r>
      <w:r>
        <w:rPr>
          <w:rStyle w:val="30"/>
          <w:rFonts w:hint="eastAsia"/>
        </w:rPr>
        <w:t>总量控制</w:t>
      </w:r>
      <w:r>
        <w:tab/>
      </w:r>
      <w:r>
        <w:fldChar w:fldCharType="begin"/>
      </w:r>
      <w:r>
        <w:instrText xml:space="preserve"> PAGEREF _Toc80889106 \h </w:instrText>
      </w:r>
      <w:r>
        <w:fldChar w:fldCharType="separate"/>
      </w:r>
      <w:r>
        <w:t>136</w:t>
      </w:r>
      <w:r>
        <w:fldChar w:fldCharType="end"/>
      </w:r>
      <w:r>
        <w:fldChar w:fldCharType="end"/>
      </w:r>
    </w:p>
    <w:p>
      <w:pPr>
        <w:pStyle w:val="22"/>
        <w:tabs>
          <w:tab w:val="left" w:pos="630"/>
          <w:tab w:val="right" w:leader="dot" w:pos="8947"/>
        </w:tabs>
        <w:spacing w:line="360" w:lineRule="auto"/>
        <w:rPr>
          <w:rFonts w:asciiTheme="minorHAnsi" w:hAnsiTheme="minorHAnsi" w:eastAsiaTheme="minorEastAsia" w:cstheme="minorBidi"/>
          <w:szCs w:val="22"/>
        </w:rPr>
      </w:pPr>
      <w:r>
        <w:fldChar w:fldCharType="begin"/>
      </w:r>
      <w:r>
        <w:instrText xml:space="preserve"> HYPERLINK \l "_Toc80889107" </w:instrText>
      </w:r>
      <w:r>
        <w:fldChar w:fldCharType="separate"/>
      </w:r>
      <w:r>
        <w:rPr>
          <w:rStyle w:val="30"/>
        </w:rPr>
        <w:t>10</w:t>
      </w:r>
      <w:r>
        <w:rPr>
          <w:rFonts w:asciiTheme="minorHAnsi" w:hAnsiTheme="minorHAnsi" w:eastAsiaTheme="minorEastAsia" w:cstheme="minorBidi"/>
          <w:szCs w:val="22"/>
        </w:rPr>
        <w:tab/>
      </w:r>
      <w:r>
        <w:rPr>
          <w:rStyle w:val="30"/>
          <w:rFonts w:hint="eastAsia"/>
        </w:rPr>
        <w:t>结论及建议</w:t>
      </w:r>
      <w:r>
        <w:tab/>
      </w:r>
      <w:r>
        <w:fldChar w:fldCharType="begin"/>
      </w:r>
      <w:r>
        <w:instrText xml:space="preserve"> PAGEREF _Toc80889107 \h </w:instrText>
      </w:r>
      <w:r>
        <w:fldChar w:fldCharType="separate"/>
      </w:r>
      <w:r>
        <w:t>137</w:t>
      </w:r>
      <w:r>
        <w:fldChar w:fldCharType="end"/>
      </w:r>
      <w:r>
        <w:fldChar w:fldCharType="end"/>
      </w:r>
    </w:p>
    <w:p>
      <w:pPr>
        <w:pStyle w:val="23"/>
        <w:tabs>
          <w:tab w:val="left" w:pos="1260"/>
          <w:tab w:val="right" w:leader="dot" w:pos="8947"/>
        </w:tabs>
        <w:spacing w:line="360" w:lineRule="auto"/>
        <w:rPr>
          <w:rFonts w:asciiTheme="minorHAnsi" w:hAnsiTheme="minorHAnsi" w:eastAsiaTheme="minorEastAsia" w:cstheme="minorBidi"/>
          <w:szCs w:val="22"/>
        </w:rPr>
      </w:pPr>
      <w:r>
        <w:fldChar w:fldCharType="begin"/>
      </w:r>
      <w:r>
        <w:instrText xml:space="preserve"> HYPERLINK \l "_Toc80889108" </w:instrText>
      </w:r>
      <w:r>
        <w:fldChar w:fldCharType="separate"/>
      </w:r>
      <w:r>
        <w:rPr>
          <w:rStyle w:val="30"/>
        </w:rPr>
        <w:t>10.1</w:t>
      </w:r>
      <w:r>
        <w:rPr>
          <w:rFonts w:asciiTheme="minorHAnsi" w:hAnsiTheme="minorHAnsi" w:eastAsiaTheme="minorEastAsia" w:cstheme="minorBidi"/>
          <w:szCs w:val="22"/>
        </w:rPr>
        <w:tab/>
      </w:r>
      <w:r>
        <w:rPr>
          <w:rStyle w:val="30"/>
          <w:rFonts w:hint="eastAsia"/>
        </w:rPr>
        <w:t>项目概况</w:t>
      </w:r>
      <w:r>
        <w:tab/>
      </w:r>
      <w:r>
        <w:fldChar w:fldCharType="begin"/>
      </w:r>
      <w:r>
        <w:instrText xml:space="preserve"> PAGEREF _Toc80889108 \h </w:instrText>
      </w:r>
      <w:r>
        <w:fldChar w:fldCharType="separate"/>
      </w:r>
      <w:r>
        <w:t>137</w:t>
      </w:r>
      <w:r>
        <w:fldChar w:fldCharType="end"/>
      </w:r>
      <w:r>
        <w:fldChar w:fldCharType="end"/>
      </w:r>
    </w:p>
    <w:p>
      <w:pPr>
        <w:pStyle w:val="23"/>
        <w:tabs>
          <w:tab w:val="left" w:pos="1260"/>
          <w:tab w:val="right" w:leader="dot" w:pos="8947"/>
        </w:tabs>
        <w:spacing w:line="360" w:lineRule="auto"/>
        <w:rPr>
          <w:rFonts w:asciiTheme="minorHAnsi" w:hAnsiTheme="minorHAnsi" w:eastAsiaTheme="minorEastAsia" w:cstheme="minorBidi"/>
          <w:szCs w:val="22"/>
        </w:rPr>
      </w:pPr>
      <w:r>
        <w:fldChar w:fldCharType="begin"/>
      </w:r>
      <w:r>
        <w:instrText xml:space="preserve"> HYPERLINK \l "_Toc80889109" </w:instrText>
      </w:r>
      <w:r>
        <w:fldChar w:fldCharType="separate"/>
      </w:r>
      <w:r>
        <w:rPr>
          <w:rStyle w:val="30"/>
        </w:rPr>
        <w:t>10.2</w:t>
      </w:r>
      <w:r>
        <w:rPr>
          <w:rFonts w:asciiTheme="minorHAnsi" w:hAnsiTheme="minorHAnsi" w:eastAsiaTheme="minorEastAsia" w:cstheme="minorBidi"/>
          <w:szCs w:val="22"/>
        </w:rPr>
        <w:tab/>
      </w:r>
      <w:r>
        <w:rPr>
          <w:rStyle w:val="30"/>
          <w:rFonts w:hint="eastAsia"/>
        </w:rPr>
        <w:t>环境质量现状</w:t>
      </w:r>
      <w:r>
        <w:tab/>
      </w:r>
      <w:r>
        <w:fldChar w:fldCharType="begin"/>
      </w:r>
      <w:r>
        <w:instrText xml:space="preserve"> PAGEREF _Toc80889109 \h </w:instrText>
      </w:r>
      <w:r>
        <w:fldChar w:fldCharType="separate"/>
      </w:r>
      <w:r>
        <w:t>137</w:t>
      </w:r>
      <w:r>
        <w:fldChar w:fldCharType="end"/>
      </w:r>
      <w:r>
        <w:fldChar w:fldCharType="end"/>
      </w:r>
    </w:p>
    <w:p>
      <w:pPr>
        <w:pStyle w:val="23"/>
        <w:tabs>
          <w:tab w:val="left" w:pos="1260"/>
          <w:tab w:val="right" w:leader="dot" w:pos="8947"/>
        </w:tabs>
        <w:spacing w:line="360" w:lineRule="auto"/>
        <w:rPr>
          <w:rFonts w:asciiTheme="minorHAnsi" w:hAnsiTheme="minorHAnsi" w:eastAsiaTheme="minorEastAsia" w:cstheme="minorBidi"/>
          <w:szCs w:val="22"/>
        </w:rPr>
      </w:pPr>
      <w:r>
        <w:fldChar w:fldCharType="begin"/>
      </w:r>
      <w:r>
        <w:instrText xml:space="preserve"> HYPERLINK \l "_Toc80889110" </w:instrText>
      </w:r>
      <w:r>
        <w:fldChar w:fldCharType="separate"/>
      </w:r>
      <w:r>
        <w:rPr>
          <w:rStyle w:val="30"/>
        </w:rPr>
        <w:t>10.3</w:t>
      </w:r>
      <w:r>
        <w:rPr>
          <w:rFonts w:asciiTheme="minorHAnsi" w:hAnsiTheme="minorHAnsi" w:eastAsiaTheme="minorEastAsia" w:cstheme="minorBidi"/>
          <w:szCs w:val="22"/>
        </w:rPr>
        <w:tab/>
      </w:r>
      <w:r>
        <w:rPr>
          <w:rStyle w:val="30"/>
          <w:rFonts w:hint="eastAsia"/>
        </w:rPr>
        <w:t>主要环境影响分析</w:t>
      </w:r>
      <w:r>
        <w:tab/>
      </w:r>
      <w:r>
        <w:fldChar w:fldCharType="begin"/>
      </w:r>
      <w:r>
        <w:instrText xml:space="preserve"> PAGEREF _Toc80889110 \h </w:instrText>
      </w:r>
      <w:r>
        <w:fldChar w:fldCharType="separate"/>
      </w:r>
      <w:r>
        <w:t>138</w:t>
      </w:r>
      <w:r>
        <w:fldChar w:fldCharType="end"/>
      </w:r>
      <w:r>
        <w:fldChar w:fldCharType="end"/>
      </w:r>
    </w:p>
    <w:p>
      <w:pPr>
        <w:pStyle w:val="23"/>
        <w:tabs>
          <w:tab w:val="left" w:pos="1260"/>
          <w:tab w:val="right" w:leader="dot" w:pos="8947"/>
        </w:tabs>
        <w:spacing w:line="360" w:lineRule="auto"/>
        <w:rPr>
          <w:rFonts w:asciiTheme="minorHAnsi" w:hAnsiTheme="minorHAnsi" w:eastAsiaTheme="minorEastAsia" w:cstheme="minorBidi"/>
          <w:szCs w:val="22"/>
        </w:rPr>
      </w:pPr>
      <w:r>
        <w:fldChar w:fldCharType="begin"/>
      </w:r>
      <w:r>
        <w:instrText xml:space="preserve"> HYPERLINK \l "_Toc80889111" </w:instrText>
      </w:r>
      <w:r>
        <w:fldChar w:fldCharType="separate"/>
      </w:r>
      <w:r>
        <w:rPr>
          <w:rStyle w:val="30"/>
        </w:rPr>
        <w:t>10.4</w:t>
      </w:r>
      <w:r>
        <w:rPr>
          <w:rFonts w:asciiTheme="minorHAnsi" w:hAnsiTheme="minorHAnsi" w:eastAsiaTheme="minorEastAsia" w:cstheme="minorBidi"/>
          <w:szCs w:val="22"/>
        </w:rPr>
        <w:tab/>
      </w:r>
      <w:r>
        <w:rPr>
          <w:rStyle w:val="30"/>
          <w:rFonts w:hint="eastAsia"/>
        </w:rPr>
        <w:t>总量建议指标</w:t>
      </w:r>
      <w:r>
        <w:tab/>
      </w:r>
      <w:r>
        <w:fldChar w:fldCharType="begin"/>
      </w:r>
      <w:r>
        <w:instrText xml:space="preserve"> PAGEREF _Toc80889111 \h </w:instrText>
      </w:r>
      <w:r>
        <w:fldChar w:fldCharType="separate"/>
      </w:r>
      <w:r>
        <w:t>140</w:t>
      </w:r>
      <w:r>
        <w:fldChar w:fldCharType="end"/>
      </w:r>
      <w:r>
        <w:fldChar w:fldCharType="end"/>
      </w:r>
    </w:p>
    <w:p>
      <w:pPr>
        <w:pStyle w:val="23"/>
        <w:tabs>
          <w:tab w:val="left" w:pos="1260"/>
          <w:tab w:val="right" w:leader="dot" w:pos="8947"/>
        </w:tabs>
        <w:spacing w:line="360" w:lineRule="auto"/>
        <w:rPr>
          <w:rFonts w:asciiTheme="minorHAnsi" w:hAnsiTheme="minorHAnsi" w:eastAsiaTheme="minorEastAsia" w:cstheme="minorBidi"/>
          <w:szCs w:val="22"/>
        </w:rPr>
      </w:pPr>
      <w:r>
        <w:fldChar w:fldCharType="begin"/>
      </w:r>
      <w:r>
        <w:instrText xml:space="preserve"> HYPERLINK \l "_Toc80889112" </w:instrText>
      </w:r>
      <w:r>
        <w:fldChar w:fldCharType="separate"/>
      </w:r>
      <w:r>
        <w:rPr>
          <w:rStyle w:val="30"/>
        </w:rPr>
        <w:t>10.5</w:t>
      </w:r>
      <w:r>
        <w:rPr>
          <w:rFonts w:asciiTheme="minorHAnsi" w:hAnsiTheme="minorHAnsi" w:eastAsiaTheme="minorEastAsia" w:cstheme="minorBidi"/>
          <w:szCs w:val="22"/>
        </w:rPr>
        <w:tab/>
      </w:r>
      <w:r>
        <w:rPr>
          <w:rStyle w:val="30"/>
          <w:rFonts w:hint="eastAsia"/>
        </w:rPr>
        <w:t>主要环境保护措施</w:t>
      </w:r>
      <w:r>
        <w:tab/>
      </w:r>
      <w:r>
        <w:fldChar w:fldCharType="begin"/>
      </w:r>
      <w:r>
        <w:instrText xml:space="preserve"> PAGEREF _Toc80889112 \h </w:instrText>
      </w:r>
      <w:r>
        <w:fldChar w:fldCharType="separate"/>
      </w:r>
      <w:r>
        <w:t>140</w:t>
      </w:r>
      <w:r>
        <w:fldChar w:fldCharType="end"/>
      </w:r>
      <w:r>
        <w:fldChar w:fldCharType="end"/>
      </w:r>
    </w:p>
    <w:p>
      <w:pPr>
        <w:pStyle w:val="23"/>
        <w:tabs>
          <w:tab w:val="left" w:pos="1260"/>
          <w:tab w:val="right" w:leader="dot" w:pos="8947"/>
        </w:tabs>
        <w:spacing w:line="360" w:lineRule="auto"/>
        <w:rPr>
          <w:rFonts w:asciiTheme="minorHAnsi" w:hAnsiTheme="minorHAnsi" w:eastAsiaTheme="minorEastAsia" w:cstheme="minorBidi"/>
          <w:szCs w:val="22"/>
        </w:rPr>
      </w:pPr>
      <w:r>
        <w:fldChar w:fldCharType="begin"/>
      </w:r>
      <w:r>
        <w:instrText xml:space="preserve"> HYPERLINK \l "_Toc80889113" </w:instrText>
      </w:r>
      <w:r>
        <w:fldChar w:fldCharType="separate"/>
      </w:r>
      <w:r>
        <w:rPr>
          <w:rStyle w:val="30"/>
        </w:rPr>
        <w:t>10.6</w:t>
      </w:r>
      <w:r>
        <w:rPr>
          <w:rFonts w:asciiTheme="minorHAnsi" w:hAnsiTheme="minorHAnsi" w:eastAsiaTheme="minorEastAsia" w:cstheme="minorBidi"/>
          <w:szCs w:val="22"/>
        </w:rPr>
        <w:tab/>
      </w:r>
      <w:r>
        <w:rPr>
          <w:rStyle w:val="30"/>
          <w:rFonts w:hint="eastAsia"/>
        </w:rPr>
        <w:t>项目建设可行性分析</w:t>
      </w:r>
      <w:r>
        <w:tab/>
      </w:r>
      <w:r>
        <w:fldChar w:fldCharType="begin"/>
      </w:r>
      <w:r>
        <w:instrText xml:space="preserve"> PAGEREF _Toc80889113 \h </w:instrText>
      </w:r>
      <w:r>
        <w:fldChar w:fldCharType="separate"/>
      </w:r>
      <w:r>
        <w:t>141</w:t>
      </w:r>
      <w:r>
        <w:fldChar w:fldCharType="end"/>
      </w:r>
      <w:r>
        <w:fldChar w:fldCharType="end"/>
      </w:r>
    </w:p>
    <w:p>
      <w:pPr>
        <w:pStyle w:val="23"/>
        <w:tabs>
          <w:tab w:val="left" w:pos="1260"/>
          <w:tab w:val="right" w:leader="dot" w:pos="8947"/>
        </w:tabs>
        <w:spacing w:line="360" w:lineRule="auto"/>
        <w:rPr>
          <w:rFonts w:asciiTheme="minorHAnsi" w:hAnsiTheme="minorHAnsi" w:eastAsiaTheme="minorEastAsia" w:cstheme="minorBidi"/>
          <w:szCs w:val="22"/>
        </w:rPr>
      </w:pPr>
      <w:r>
        <w:fldChar w:fldCharType="begin"/>
      </w:r>
      <w:r>
        <w:instrText xml:space="preserve"> HYPERLINK \l "_Toc80889114" </w:instrText>
      </w:r>
      <w:r>
        <w:fldChar w:fldCharType="separate"/>
      </w:r>
      <w:r>
        <w:rPr>
          <w:rStyle w:val="30"/>
        </w:rPr>
        <w:t>10.7</w:t>
      </w:r>
      <w:r>
        <w:rPr>
          <w:rFonts w:asciiTheme="minorHAnsi" w:hAnsiTheme="minorHAnsi" w:eastAsiaTheme="minorEastAsia" w:cstheme="minorBidi"/>
          <w:szCs w:val="22"/>
        </w:rPr>
        <w:tab/>
      </w:r>
      <w:r>
        <w:rPr>
          <w:rStyle w:val="30"/>
          <w:rFonts w:hint="eastAsia"/>
        </w:rPr>
        <w:t>项目制约因素及解决办法</w:t>
      </w:r>
      <w:r>
        <w:tab/>
      </w:r>
      <w:r>
        <w:fldChar w:fldCharType="begin"/>
      </w:r>
      <w:r>
        <w:instrText xml:space="preserve"> PAGEREF _Toc80889114 \h </w:instrText>
      </w:r>
      <w:r>
        <w:fldChar w:fldCharType="separate"/>
      </w:r>
      <w:r>
        <w:t>142</w:t>
      </w:r>
      <w:r>
        <w:fldChar w:fldCharType="end"/>
      </w:r>
      <w:r>
        <w:fldChar w:fldCharType="end"/>
      </w:r>
    </w:p>
    <w:p>
      <w:pPr>
        <w:pStyle w:val="23"/>
        <w:tabs>
          <w:tab w:val="left" w:pos="1260"/>
          <w:tab w:val="right" w:leader="dot" w:pos="8947"/>
        </w:tabs>
        <w:spacing w:line="360" w:lineRule="auto"/>
        <w:rPr>
          <w:rFonts w:asciiTheme="minorHAnsi" w:hAnsiTheme="minorHAnsi" w:eastAsiaTheme="minorEastAsia" w:cstheme="minorBidi"/>
          <w:szCs w:val="22"/>
        </w:rPr>
      </w:pPr>
      <w:r>
        <w:fldChar w:fldCharType="begin"/>
      </w:r>
      <w:r>
        <w:instrText xml:space="preserve"> HYPERLINK \l "_Toc80889115" </w:instrText>
      </w:r>
      <w:r>
        <w:fldChar w:fldCharType="separate"/>
      </w:r>
      <w:r>
        <w:rPr>
          <w:rStyle w:val="30"/>
        </w:rPr>
        <w:t>10.8</w:t>
      </w:r>
      <w:r>
        <w:rPr>
          <w:rFonts w:asciiTheme="minorHAnsi" w:hAnsiTheme="minorHAnsi" w:eastAsiaTheme="minorEastAsia" w:cstheme="minorBidi"/>
          <w:szCs w:val="22"/>
        </w:rPr>
        <w:tab/>
      </w:r>
      <w:r>
        <w:rPr>
          <w:rStyle w:val="30"/>
          <w:rFonts w:hint="eastAsia"/>
        </w:rPr>
        <w:t>评价总体结论</w:t>
      </w:r>
      <w:r>
        <w:tab/>
      </w:r>
      <w:r>
        <w:fldChar w:fldCharType="begin"/>
      </w:r>
      <w:r>
        <w:instrText xml:space="preserve"> PAGEREF _Toc80889115 \h </w:instrText>
      </w:r>
      <w:r>
        <w:fldChar w:fldCharType="separate"/>
      </w:r>
      <w:r>
        <w:t>142</w:t>
      </w:r>
      <w:r>
        <w:fldChar w:fldCharType="end"/>
      </w:r>
      <w:r>
        <w:fldChar w:fldCharType="end"/>
      </w:r>
    </w:p>
    <w:p>
      <w:pPr>
        <w:pStyle w:val="23"/>
        <w:tabs>
          <w:tab w:val="left" w:pos="1260"/>
          <w:tab w:val="right" w:leader="dot" w:pos="8947"/>
        </w:tabs>
        <w:spacing w:line="360" w:lineRule="auto"/>
        <w:rPr>
          <w:rStyle w:val="30"/>
        </w:rPr>
      </w:pPr>
      <w:r>
        <w:fldChar w:fldCharType="begin"/>
      </w:r>
      <w:r>
        <w:instrText xml:space="preserve"> HYPERLINK \l "_Toc80889116" </w:instrText>
      </w:r>
      <w:r>
        <w:fldChar w:fldCharType="separate"/>
      </w:r>
      <w:r>
        <w:rPr>
          <w:rStyle w:val="30"/>
        </w:rPr>
        <w:t>10.9</w:t>
      </w:r>
      <w:r>
        <w:rPr>
          <w:rFonts w:asciiTheme="minorHAnsi" w:hAnsiTheme="minorHAnsi" w:eastAsiaTheme="minorEastAsia" w:cstheme="minorBidi"/>
          <w:szCs w:val="22"/>
        </w:rPr>
        <w:tab/>
      </w:r>
      <w:r>
        <w:rPr>
          <w:rStyle w:val="30"/>
          <w:rFonts w:hint="eastAsia"/>
        </w:rPr>
        <w:t>建议</w:t>
      </w:r>
      <w:r>
        <w:tab/>
      </w:r>
      <w:r>
        <w:fldChar w:fldCharType="begin"/>
      </w:r>
      <w:r>
        <w:instrText xml:space="preserve"> PAGEREF _Toc80889116 \h </w:instrText>
      </w:r>
      <w:r>
        <w:fldChar w:fldCharType="separate"/>
      </w:r>
      <w:r>
        <w:t>143</w:t>
      </w:r>
      <w:r>
        <w:fldChar w:fldCharType="end"/>
      </w:r>
      <w:r>
        <w:fldChar w:fldCharType="end"/>
      </w:r>
    </w:p>
    <w:p>
      <w:r>
        <w:br w:type="page"/>
      </w:r>
    </w:p>
    <w:p>
      <w:pPr>
        <w:pStyle w:val="15"/>
        <w:spacing w:line="360" w:lineRule="auto"/>
        <w:jc w:val="both"/>
        <w:rPr>
          <w:rFonts w:cs="Times New Roman"/>
        </w:rPr>
      </w:pPr>
      <w:r>
        <w:rPr>
          <w:rFonts w:cs="Times New Roman"/>
        </w:rPr>
        <w:t>附 表：</w:t>
      </w:r>
    </w:p>
    <w:p>
      <w:pPr>
        <w:pStyle w:val="3"/>
        <w:ind w:firstLine="480"/>
        <w:rPr>
          <w:rFonts w:cs="Times New Roman"/>
        </w:rPr>
      </w:pPr>
      <w:r>
        <w:rPr>
          <w:rFonts w:cs="Times New Roman"/>
        </w:rPr>
        <w:t>附表1：建设项目环评审批基础信息表</w:t>
      </w:r>
    </w:p>
    <w:p>
      <w:pPr>
        <w:pStyle w:val="3"/>
        <w:ind w:firstLine="480"/>
        <w:rPr>
          <w:rFonts w:cs="Times New Roman"/>
        </w:rPr>
      </w:pPr>
      <w:r>
        <w:rPr>
          <w:rFonts w:cs="Times New Roman"/>
        </w:rPr>
        <w:t>附表2：大气环境影响评价自查表</w:t>
      </w:r>
    </w:p>
    <w:p>
      <w:pPr>
        <w:pStyle w:val="3"/>
        <w:ind w:firstLine="480"/>
        <w:rPr>
          <w:rFonts w:cs="Times New Roman"/>
        </w:rPr>
      </w:pPr>
      <w:r>
        <w:rPr>
          <w:rFonts w:cs="Times New Roman"/>
        </w:rPr>
        <w:t>附表3：环境风险评价自查表</w:t>
      </w:r>
    </w:p>
    <w:p>
      <w:pPr>
        <w:pStyle w:val="3"/>
        <w:ind w:firstLine="480"/>
        <w:rPr>
          <w:rFonts w:cs="Times New Roman"/>
        </w:rPr>
      </w:pPr>
      <w:r>
        <w:rPr>
          <w:rFonts w:cs="Times New Roman"/>
        </w:rPr>
        <w:t>附表4：地表水环境影响评价自查表</w:t>
      </w:r>
    </w:p>
    <w:p>
      <w:pPr>
        <w:pStyle w:val="3"/>
        <w:ind w:firstLine="480"/>
        <w:rPr>
          <w:rFonts w:cs="Times New Roman"/>
        </w:rPr>
      </w:pPr>
      <w:r>
        <w:rPr>
          <w:rFonts w:cs="Times New Roman"/>
        </w:rPr>
        <w:t>附表5：土壤环境影响评价自查表</w:t>
      </w:r>
    </w:p>
    <w:p>
      <w:pPr>
        <w:pStyle w:val="3"/>
        <w:ind w:firstLine="480"/>
        <w:rPr>
          <w:rFonts w:cs="Times New Roman"/>
        </w:rPr>
      </w:pPr>
    </w:p>
    <w:p>
      <w:pPr>
        <w:pStyle w:val="15"/>
        <w:spacing w:line="360" w:lineRule="auto"/>
        <w:jc w:val="both"/>
        <w:rPr>
          <w:rFonts w:cs="Times New Roman"/>
        </w:rPr>
      </w:pPr>
      <w:r>
        <w:rPr>
          <w:rFonts w:cs="Times New Roman"/>
        </w:rPr>
        <w:t>附 件：</w:t>
      </w:r>
    </w:p>
    <w:p>
      <w:pPr>
        <w:pStyle w:val="3"/>
        <w:ind w:firstLine="480"/>
        <w:rPr>
          <w:rFonts w:cs="Times New Roman"/>
        </w:rPr>
      </w:pPr>
      <w:r>
        <w:rPr>
          <w:rFonts w:cs="Times New Roman"/>
        </w:rPr>
        <w:t>附件1：评价委托书</w:t>
      </w:r>
    </w:p>
    <w:p>
      <w:pPr>
        <w:pStyle w:val="3"/>
        <w:ind w:firstLine="480"/>
        <w:rPr>
          <w:rFonts w:cs="Times New Roman"/>
        </w:rPr>
      </w:pPr>
      <w:r>
        <w:rPr>
          <w:rFonts w:cs="Times New Roman"/>
        </w:rPr>
        <w:t>附件2：关于</w:t>
      </w:r>
      <w:r>
        <w:rPr>
          <w:rFonts w:hint="eastAsia" w:cs="Times New Roman"/>
        </w:rPr>
        <w:t>湖南安发原生态农业旅游开发有限公司养鸡场项目</w:t>
      </w:r>
      <w:r>
        <w:rPr>
          <w:rFonts w:cs="Times New Roman"/>
        </w:rPr>
        <w:t>环境影响评价执行标准函</w:t>
      </w:r>
    </w:p>
    <w:p>
      <w:pPr>
        <w:pStyle w:val="3"/>
        <w:ind w:firstLine="480"/>
        <w:rPr>
          <w:rFonts w:cs="Times New Roman"/>
        </w:rPr>
      </w:pPr>
      <w:r>
        <w:rPr>
          <w:rFonts w:cs="Times New Roman"/>
        </w:rPr>
        <w:t>附件3：营业执照</w:t>
      </w:r>
    </w:p>
    <w:p>
      <w:pPr>
        <w:pStyle w:val="3"/>
        <w:ind w:firstLine="480"/>
        <w:rPr>
          <w:rFonts w:cs="Times New Roman"/>
        </w:rPr>
      </w:pPr>
      <w:r>
        <w:rPr>
          <w:rFonts w:cs="Times New Roman"/>
        </w:rPr>
        <w:t>附件4：</w:t>
      </w:r>
      <w:r>
        <w:rPr>
          <w:rFonts w:hint="eastAsia" w:cs="Times New Roman"/>
        </w:rPr>
        <w:t>环</w:t>
      </w:r>
      <w:r>
        <w:rPr>
          <w:rFonts w:cs="Times New Roman"/>
          <w:lang w:bidi="ar"/>
        </w:rPr>
        <w:t>境质量现状</w:t>
      </w:r>
      <w:r>
        <w:rPr>
          <w:rFonts w:cs="Times New Roman"/>
        </w:rPr>
        <w:t>检测报告</w:t>
      </w:r>
    </w:p>
    <w:p>
      <w:pPr>
        <w:pStyle w:val="3"/>
        <w:ind w:firstLine="480"/>
        <w:rPr>
          <w:rFonts w:cs="Times New Roman"/>
        </w:rPr>
      </w:pPr>
      <w:r>
        <w:rPr>
          <w:rFonts w:cs="Times New Roman"/>
        </w:rPr>
        <w:t>附件5：</w:t>
      </w:r>
      <w:r>
        <w:rPr>
          <w:rFonts w:hint="eastAsia" w:cs="Times New Roman"/>
        </w:rPr>
        <w:t>湖南安发原生态农业旅游开发有限公司养鸡场项目</w:t>
      </w:r>
      <w:r>
        <w:rPr>
          <w:rFonts w:cs="Times New Roman"/>
        </w:rPr>
        <w:t>备案证明</w:t>
      </w:r>
    </w:p>
    <w:p>
      <w:pPr>
        <w:pStyle w:val="3"/>
        <w:ind w:firstLine="480"/>
        <w:rPr>
          <w:rFonts w:cs="Times New Roman"/>
        </w:rPr>
      </w:pPr>
      <w:r>
        <w:rPr>
          <w:rFonts w:cs="Times New Roman"/>
        </w:rPr>
        <w:t>附件6：土地承包流转出租合同</w:t>
      </w:r>
    </w:p>
    <w:p>
      <w:pPr>
        <w:pStyle w:val="3"/>
        <w:ind w:firstLine="480"/>
        <w:rPr>
          <w:rFonts w:cs="Times New Roman"/>
        </w:rPr>
      </w:pPr>
      <w:r>
        <w:rPr>
          <w:rFonts w:cs="Times New Roman"/>
        </w:rPr>
        <w:t>附件7：生态红线证明</w:t>
      </w:r>
    </w:p>
    <w:p>
      <w:pPr>
        <w:pStyle w:val="3"/>
        <w:ind w:firstLine="480"/>
        <w:rPr>
          <w:rFonts w:cs="Times New Roman"/>
          <w:u w:val="single"/>
        </w:rPr>
      </w:pPr>
      <w:r>
        <w:rPr>
          <w:rFonts w:hint="eastAsia" w:cs="Times New Roman"/>
          <w:u w:val="single"/>
        </w:rPr>
        <w:t>附件8：</w:t>
      </w:r>
      <w:r>
        <w:rPr>
          <w:rFonts w:cs="Times New Roman"/>
          <w:u w:val="single"/>
        </w:rPr>
        <w:t>专家评审意见</w:t>
      </w:r>
      <w:r>
        <w:rPr>
          <w:rFonts w:hint="eastAsia" w:cs="Times New Roman"/>
          <w:u w:val="single"/>
        </w:rPr>
        <w:t>及签到表</w:t>
      </w:r>
    </w:p>
    <w:p>
      <w:pPr>
        <w:pStyle w:val="3"/>
        <w:ind w:firstLine="480"/>
        <w:rPr>
          <w:rFonts w:cs="Times New Roman"/>
          <w:lang w:bidi="ar"/>
        </w:rPr>
      </w:pPr>
    </w:p>
    <w:p>
      <w:pPr>
        <w:pStyle w:val="15"/>
        <w:spacing w:line="360" w:lineRule="auto"/>
        <w:jc w:val="both"/>
        <w:rPr>
          <w:rFonts w:cs="Times New Roman"/>
        </w:rPr>
      </w:pPr>
      <w:r>
        <w:rPr>
          <w:rFonts w:cs="Times New Roman"/>
        </w:rPr>
        <w:t>附 图：</w:t>
      </w:r>
    </w:p>
    <w:p>
      <w:pPr>
        <w:pStyle w:val="3"/>
        <w:ind w:firstLine="480"/>
        <w:rPr>
          <w:rFonts w:cs="Times New Roman"/>
        </w:rPr>
      </w:pPr>
      <w:r>
        <w:rPr>
          <w:rFonts w:cs="Times New Roman"/>
        </w:rPr>
        <w:t>附图1：</w:t>
      </w:r>
      <w:r>
        <w:rPr>
          <w:rFonts w:hint="eastAsia" w:cs="Times New Roman"/>
        </w:rPr>
        <w:t>湖南安发原生态农业旅游开发有限公司养鸡场项目</w:t>
      </w:r>
      <w:r>
        <w:rPr>
          <w:rFonts w:cs="Times New Roman"/>
        </w:rPr>
        <w:t>地理位置图</w:t>
      </w:r>
    </w:p>
    <w:p>
      <w:pPr>
        <w:pStyle w:val="3"/>
        <w:ind w:firstLine="480"/>
        <w:rPr>
          <w:rFonts w:cs="Times New Roman"/>
        </w:rPr>
      </w:pPr>
      <w:r>
        <w:rPr>
          <w:rFonts w:cs="Times New Roman"/>
        </w:rPr>
        <w:t>附图2：湖南安发原生态农业旅游开发有限公司养鸡场项目平面布置图</w:t>
      </w:r>
    </w:p>
    <w:p>
      <w:pPr>
        <w:pStyle w:val="3"/>
        <w:ind w:firstLine="480"/>
        <w:rPr>
          <w:rFonts w:cs="Times New Roman"/>
          <w:kern w:val="0"/>
          <w:lang w:bidi="ar"/>
        </w:rPr>
      </w:pPr>
      <w:r>
        <w:rPr>
          <w:rFonts w:cs="Times New Roman"/>
          <w:kern w:val="0"/>
          <w:lang w:bidi="ar"/>
        </w:rPr>
        <w:t>附图3</w:t>
      </w:r>
      <w:r>
        <w:rPr>
          <w:rFonts w:cs="Times New Roman"/>
        </w:rPr>
        <w:t>：湖南安发原生态农业旅游开发有限公司养鸡场项目</w:t>
      </w:r>
      <w:r>
        <w:rPr>
          <w:rFonts w:cs="Times New Roman"/>
          <w:kern w:val="0"/>
          <w:lang w:bidi="ar"/>
        </w:rPr>
        <w:t>环保目标分布及卫生防护距离图</w:t>
      </w:r>
    </w:p>
    <w:p>
      <w:pPr>
        <w:pStyle w:val="3"/>
        <w:ind w:firstLine="480"/>
        <w:rPr>
          <w:rFonts w:cs="Times New Roman"/>
        </w:rPr>
      </w:pPr>
      <w:r>
        <w:rPr>
          <w:rFonts w:cs="Times New Roman"/>
        </w:rPr>
        <w:t>附图4：湖南安发原生态农业旅游开发有限公司养鸡场项目环境质量现状监测布点图</w:t>
      </w:r>
    </w:p>
    <w:p>
      <w:pPr>
        <w:pStyle w:val="3"/>
        <w:ind w:firstLine="480"/>
        <w:rPr>
          <w:rFonts w:cs="Times New Roman"/>
          <w:u w:val="single"/>
        </w:rPr>
      </w:pPr>
      <w:r>
        <w:rPr>
          <w:rFonts w:hint="eastAsia" w:cs="Times New Roman"/>
          <w:u w:val="single"/>
        </w:rPr>
        <w:t>附图5：</w:t>
      </w:r>
      <w:r>
        <w:rPr>
          <w:rFonts w:cs="Times New Roman"/>
          <w:u w:val="single"/>
        </w:rPr>
        <w:t>湖南安发原生态农业旅游开发有限公司养鸡场项目</w:t>
      </w:r>
      <w:r>
        <w:rPr>
          <w:rFonts w:hint="eastAsia" w:cs="Times New Roman"/>
          <w:u w:val="single"/>
        </w:rPr>
        <w:t>分区</w:t>
      </w:r>
      <w:r>
        <w:rPr>
          <w:rFonts w:cs="Times New Roman"/>
          <w:u w:val="single"/>
        </w:rPr>
        <w:t>防渗图</w:t>
      </w:r>
    </w:p>
    <w:p/>
    <w:p>
      <w:pPr>
        <w:pStyle w:val="3"/>
        <w:ind w:firstLine="0" w:firstLineChars="0"/>
      </w:pPr>
      <w:r>
        <w:fldChar w:fldCharType="end"/>
      </w:r>
    </w:p>
    <w:p/>
    <w:p>
      <w:pPr>
        <w:sectPr>
          <w:headerReference r:id="rId6" w:type="default"/>
          <w:footerReference r:id="rId7" w:type="default"/>
          <w:pgSz w:w="11906" w:h="16838"/>
          <w:pgMar w:top="1474" w:right="1361" w:bottom="1474" w:left="1588" w:header="851" w:footer="992" w:gutter="0"/>
          <w:pgNumType w:fmt="upperRoman" w:start="1"/>
          <w:cols w:space="425" w:num="1"/>
          <w:docGrid w:type="lines" w:linePitch="312" w:charSpace="0"/>
        </w:sectPr>
      </w:pPr>
    </w:p>
    <w:p>
      <w:pPr>
        <w:pStyle w:val="2"/>
      </w:pPr>
      <w:bookmarkStart w:id="0" w:name="_Toc80889062"/>
      <w:r>
        <w:rPr>
          <w:rFonts w:hint="eastAsia"/>
        </w:rPr>
        <w:t>概述</w:t>
      </w:r>
      <w:bookmarkEnd w:id="0"/>
    </w:p>
    <w:p>
      <w:pPr>
        <w:pStyle w:val="5"/>
      </w:pPr>
      <w:bookmarkStart w:id="1" w:name="_Toc80889063"/>
      <w:r>
        <w:rPr>
          <w:rFonts w:hint="eastAsia"/>
        </w:rPr>
        <w:t>项目</w:t>
      </w:r>
      <w:r>
        <w:t>由来</w:t>
      </w:r>
      <w:bookmarkEnd w:id="1"/>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我国养殖业在改革开放后得到了有史以来的最大发展，从过去多年的畜牧产品季度缺乏状态，达到了敞开供应满足市场需求的现状，它不仅为广大人民群众提供了生活所必需的肉、蛋、奶，还增加了农民收入，养殖业在整个农业经济中占有重要地位，甚至有的成为支柱产业。随着人民生活水平的提高，对食品消费安全日益重视，无公害养殖及其产品必将受到广大消费者的青睐，同时也是国家政策和产业规划重点支持的发展方向。</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我国蛋鸡业的发展已进入新的十字路口，正处于新的历史转折时期。我国的蛋鸡市场已经进入相对过剩的时期，小生产与大市场需求的矛盾日益表现出来，随着人民生活水平的提高，消费者日益关注鸡蛋的药物残留等安全质量问题，且国际市场对我出口鸡蛋药残和微生物指标要求越来越高。</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rPr>
        <w:t>在此良好的社会和市场环境下，</w:t>
      </w:r>
      <w:r>
        <w:rPr>
          <w:rFonts w:hint="eastAsia" w:ascii="Times New Roman" w:hAnsi="Times New Roman" w:cs="Times New Roman"/>
          <w:sz w:val="24"/>
        </w:rPr>
        <w:t>湖南安发原生态农业旅游开发有限公司</w:t>
      </w:r>
      <w:r>
        <w:rPr>
          <w:rFonts w:ascii="Times New Roman" w:hAnsi="Times New Roman" w:cs="Times New Roman"/>
          <w:sz w:val="24"/>
        </w:rPr>
        <w:t>选址于</w:t>
      </w:r>
      <w:r>
        <w:rPr>
          <w:rFonts w:hint="eastAsia" w:ascii="Times New Roman" w:hAnsi="Times New Roman" w:cs="Times New Roman"/>
          <w:sz w:val="24"/>
        </w:rPr>
        <w:t>衡阳县台源镇前进村财冲组和东湖寺村近丝塘组建设养鸡场项目，总投资6000万元，</w:t>
      </w:r>
      <w:r>
        <w:rPr>
          <w:rFonts w:ascii="Times New Roman" w:hAnsi="Times New Roman" w:cs="Times New Roman"/>
          <w:sz w:val="24"/>
        </w:rPr>
        <w:t>该项目于20</w:t>
      </w:r>
      <w:r>
        <w:rPr>
          <w:rFonts w:hint="eastAsia" w:ascii="Times New Roman" w:hAnsi="Times New Roman" w:cs="Times New Roman"/>
          <w:sz w:val="24"/>
        </w:rPr>
        <w:t>21</w:t>
      </w:r>
      <w:r>
        <w:rPr>
          <w:rFonts w:ascii="Times New Roman" w:hAnsi="Times New Roman" w:cs="Times New Roman"/>
          <w:sz w:val="24"/>
        </w:rPr>
        <w:t>年</w:t>
      </w:r>
      <w:r>
        <w:rPr>
          <w:rFonts w:hint="eastAsia" w:ascii="Times New Roman" w:hAnsi="Times New Roman" w:cs="Times New Roman"/>
          <w:sz w:val="24"/>
        </w:rPr>
        <w:t>4</w:t>
      </w:r>
      <w:r>
        <w:rPr>
          <w:rFonts w:ascii="Times New Roman" w:hAnsi="Times New Roman" w:cs="Times New Roman"/>
          <w:sz w:val="24"/>
        </w:rPr>
        <w:t>月2</w:t>
      </w:r>
      <w:r>
        <w:rPr>
          <w:rFonts w:hint="eastAsia" w:ascii="Times New Roman" w:hAnsi="Times New Roman" w:cs="Times New Roman"/>
          <w:sz w:val="24"/>
        </w:rPr>
        <w:t>7</w:t>
      </w:r>
      <w:r>
        <w:rPr>
          <w:rFonts w:ascii="Times New Roman" w:hAnsi="Times New Roman" w:cs="Times New Roman"/>
          <w:sz w:val="24"/>
        </w:rPr>
        <w:t>日在</w:t>
      </w:r>
      <w:r>
        <w:rPr>
          <w:rFonts w:hint="eastAsia" w:ascii="Times New Roman" w:hAnsi="Times New Roman" w:cs="Times New Roman"/>
          <w:sz w:val="24"/>
        </w:rPr>
        <w:t>湖南省投资项目在线审批监管平台</w:t>
      </w:r>
      <w:r>
        <w:rPr>
          <w:rFonts w:ascii="Times New Roman" w:hAnsi="Times New Roman" w:cs="Times New Roman"/>
          <w:sz w:val="24"/>
        </w:rPr>
        <w:t>进行备案</w:t>
      </w:r>
      <w:r>
        <w:rPr>
          <w:rFonts w:hint="eastAsia" w:ascii="Times New Roman" w:hAnsi="Times New Roman" w:cs="Times New Roman"/>
          <w:sz w:val="24"/>
        </w:rPr>
        <w:t>，项目编码：2014-430421-04-05-280832；</w:t>
      </w:r>
      <w:r>
        <w:rPr>
          <w:rFonts w:ascii="Times New Roman" w:hAnsi="Times New Roman" w:cs="Times New Roman"/>
          <w:sz w:val="24"/>
          <w:szCs w:val="24"/>
        </w:rPr>
        <w:t>项目用地面积149240.75m</w:t>
      </w:r>
      <w:r>
        <w:rPr>
          <w:rFonts w:ascii="Times New Roman" w:hAnsi="Times New Roman" w:cs="Times New Roman"/>
          <w:sz w:val="24"/>
          <w:szCs w:val="24"/>
          <w:vertAlign w:val="superscript"/>
        </w:rPr>
        <w:t>2</w:t>
      </w:r>
      <w:r>
        <w:rPr>
          <w:rFonts w:ascii="Times New Roman" w:hAnsi="Times New Roman" w:cs="Times New Roman"/>
          <w:sz w:val="24"/>
          <w:szCs w:val="24"/>
        </w:rPr>
        <w:t>（合223.86亩），总建筑面积约49688m</w:t>
      </w:r>
      <w:r>
        <w:rPr>
          <w:rFonts w:ascii="Times New Roman" w:hAnsi="Times New Roman" w:cs="Times New Roman"/>
          <w:sz w:val="24"/>
          <w:szCs w:val="24"/>
          <w:vertAlign w:val="superscript"/>
        </w:rPr>
        <w:t>2</w:t>
      </w:r>
      <w:r>
        <w:rPr>
          <w:rFonts w:ascii="Times New Roman" w:hAnsi="Times New Roman" w:cs="Times New Roman"/>
          <w:sz w:val="24"/>
          <w:szCs w:val="24"/>
        </w:rPr>
        <w:t>；项目建成后，存栏蛋鸡60万羽/a，鸡蛋10680吨。</w:t>
      </w:r>
    </w:p>
    <w:p>
      <w:pPr>
        <w:pStyle w:val="3"/>
        <w:ind w:firstLine="480"/>
      </w:pPr>
      <w:r>
        <w:rPr>
          <w:rFonts w:hint="eastAsia" w:cs="Times New Roman"/>
        </w:rPr>
        <w:t>根据《中华人民共和国环境保护法》（2015年1月1日）、《中华人民共和国环境影响评价法》（2018年12月）、《建设项目环境保护管理条例》（2017年7月16日修订、2017年10月1日施行）、《建设项目环境影响评价分类管理名录（2021年1月1日施行）》等有关法律和规定</w:t>
      </w:r>
      <w:r>
        <w:rPr>
          <w:rFonts w:cs="Times New Roman"/>
        </w:rPr>
        <w:t>，本项目属于“</w:t>
      </w:r>
      <w:r>
        <w:rPr>
          <w:rFonts w:hint="eastAsia" w:cs="Times New Roman"/>
        </w:rPr>
        <w:t>二</w:t>
      </w:r>
      <w:r>
        <w:rPr>
          <w:rFonts w:cs="Times New Roman"/>
        </w:rPr>
        <w:t>、畜牧业</w:t>
      </w:r>
      <w:r>
        <w:rPr>
          <w:rFonts w:hint="eastAsia" w:cs="Times New Roman"/>
        </w:rPr>
        <w:t>03</w:t>
      </w:r>
      <w:r>
        <w:rPr>
          <w:rFonts w:cs="Times New Roman"/>
        </w:rPr>
        <w:t>：</w:t>
      </w:r>
      <w:r>
        <w:rPr>
          <w:rFonts w:hint="eastAsia" w:cs="Times New Roman"/>
        </w:rPr>
        <w:t>3</w:t>
      </w:r>
      <w:r>
        <w:rPr>
          <w:rFonts w:cs="Times New Roman"/>
        </w:rPr>
        <w:t>、</w:t>
      </w:r>
      <w:r>
        <w:rPr>
          <w:rFonts w:hint="eastAsia" w:cs="Times New Roman"/>
        </w:rPr>
        <w:t>家禽饲养032</w:t>
      </w:r>
      <w:r>
        <w:rPr>
          <w:rFonts w:cs="Times New Roman"/>
        </w:rPr>
        <w:t>：</w:t>
      </w:r>
      <w:r>
        <w:rPr>
          <w:rFonts w:hint="eastAsia" w:cs="Times New Roman"/>
        </w:rPr>
        <w:t>存栏生猪2500头（其他畜禽种类折合猪的养殖规模）及以上无出栏量的规模化畜禽养殖</w:t>
      </w:r>
      <w:r>
        <w:rPr>
          <w:rFonts w:cs="Times New Roman"/>
        </w:rPr>
        <w:t>，应当编制环境影响报告书。根据《畜禽养殖业污染物排放标准》（GB18596-2001）中“30只蛋鸡折算成1头</w:t>
      </w:r>
      <w:r>
        <w:rPr>
          <w:rFonts w:hint="eastAsia" w:cs="Times New Roman"/>
        </w:rPr>
        <w:t>成年</w:t>
      </w:r>
      <w:r>
        <w:rPr>
          <w:rFonts w:cs="Times New Roman"/>
        </w:rPr>
        <w:t>猪”的折算标准，本项目</w:t>
      </w:r>
      <w:r>
        <w:rPr>
          <w:rFonts w:hint="eastAsia" w:cs="Times New Roman"/>
        </w:rPr>
        <w:t>存栏蛋鸡6</w:t>
      </w:r>
      <w:r>
        <w:rPr>
          <w:rFonts w:cs="Times New Roman"/>
        </w:rPr>
        <w:t>0</w:t>
      </w:r>
      <w:r>
        <w:rPr>
          <w:rFonts w:cs="Times New Roman"/>
          <w:szCs w:val="24"/>
        </w:rPr>
        <w:t>万羽</w:t>
      </w:r>
      <w:r>
        <w:rPr>
          <w:rFonts w:hint="eastAsia" w:cs="Times New Roman"/>
          <w:szCs w:val="24"/>
        </w:rPr>
        <w:t>，</w:t>
      </w:r>
      <w:r>
        <w:rPr>
          <w:rFonts w:cs="Times New Roman"/>
        </w:rPr>
        <w:t>参照蛋鸡换算比例折合猪的养殖规模为</w:t>
      </w:r>
      <w:r>
        <w:rPr>
          <w:rFonts w:hint="eastAsia" w:cs="Times New Roman"/>
        </w:rPr>
        <w:t>2</w:t>
      </w:r>
      <w:r>
        <w:rPr>
          <w:rFonts w:cs="Times New Roman"/>
        </w:rPr>
        <w:t>万头</w:t>
      </w:r>
      <w:r>
        <w:rPr>
          <w:rFonts w:hint="eastAsia" w:cs="Times New Roman"/>
        </w:rPr>
        <w:t>成年</w:t>
      </w:r>
      <w:r>
        <w:rPr>
          <w:rFonts w:cs="Times New Roman"/>
        </w:rPr>
        <w:t>猪，因此，本项目需编制环境影响报告书。</w:t>
      </w:r>
      <w:r>
        <w:rPr>
          <w:rFonts w:hint="eastAsia" w:cs="Times New Roman"/>
        </w:rPr>
        <w:t>湖南安发原生态农业旅游开发有限公司</w:t>
      </w:r>
      <w:r>
        <w:rPr>
          <w:rFonts w:cs="Times New Roman"/>
        </w:rPr>
        <w:t>委托</w:t>
      </w:r>
      <w:r>
        <w:rPr>
          <w:rFonts w:hint="eastAsia" w:cs="Times New Roman"/>
        </w:rPr>
        <w:t>湖南百恒环保科技有限公司</w:t>
      </w:r>
      <w:r>
        <w:rPr>
          <w:rFonts w:cs="Times New Roman"/>
        </w:rPr>
        <w:t>承担了本项目的环境影响评价工作，评价单位接受委托后，在多次进行现场踏勘，环境现状调查和调查研究及收集有关数据、资料的基础上，以国家有关环境保护的法律法规、环境影响评价技术导则、环境标准等为依据，编制了《</w:t>
      </w:r>
      <w:r>
        <w:rPr>
          <w:rFonts w:hint="eastAsia" w:cs="Times New Roman"/>
        </w:rPr>
        <w:t>湖南安发原生态农业旅游开发有限公司养鸡场项目</w:t>
      </w:r>
      <w:r>
        <w:rPr>
          <w:rFonts w:cs="Times New Roman"/>
        </w:rPr>
        <w:t>环境影响报告书》，现</w:t>
      </w:r>
      <w:bookmarkStart w:id="2" w:name="_Toc502157267"/>
      <w:r>
        <w:rPr>
          <w:rFonts w:cs="Times New Roman"/>
        </w:rPr>
        <w:t>提交主管部门审查、审批。</w:t>
      </w:r>
      <w:bookmarkEnd w:id="2"/>
    </w:p>
    <w:p>
      <w:pPr>
        <w:pStyle w:val="5"/>
      </w:pPr>
      <w:bookmarkStart w:id="3" w:name="_Toc80889064"/>
      <w:r>
        <w:rPr>
          <w:rFonts w:hint="eastAsia"/>
        </w:rPr>
        <w:t>建设</w:t>
      </w:r>
      <w:r>
        <w:t>项目特点</w:t>
      </w:r>
      <w:bookmarkEnd w:id="3"/>
    </w:p>
    <w:p>
      <w:pPr>
        <w:pStyle w:val="6"/>
        <w:rPr>
          <w:rFonts w:cs="Times New Roman"/>
        </w:rPr>
      </w:pPr>
      <w:r>
        <w:rPr>
          <w:rFonts w:cs="Times New Roman"/>
        </w:rPr>
        <w:t>施工期环境污染防治措施</w:t>
      </w:r>
    </w:p>
    <w:p>
      <w:pPr>
        <w:pStyle w:val="3"/>
        <w:ind w:firstLine="480"/>
        <w:rPr>
          <w:rFonts w:cs="Times New Roman"/>
        </w:rPr>
      </w:pPr>
      <w:r>
        <w:rPr>
          <w:rFonts w:cs="Times New Roman"/>
        </w:rPr>
        <w:t>施工期施工扬尘通过晒水压尘控制；施工废水经处理后回用于洒水抑尘用水；通过合理安排施工时间、采用低噪声施工设备降低噪声影响；生活垃圾交由环卫部门运走处理；尽量做到土石方内平衡，做好排洪沟排水导排措施，设置排水沟、沉砂池等。</w:t>
      </w:r>
    </w:p>
    <w:p>
      <w:pPr>
        <w:pStyle w:val="6"/>
        <w:rPr>
          <w:rFonts w:cs="Times New Roman"/>
        </w:rPr>
      </w:pPr>
      <w:r>
        <w:rPr>
          <w:rFonts w:cs="Times New Roman"/>
        </w:rPr>
        <w:t>营运期环境污染防治措施</w:t>
      </w:r>
    </w:p>
    <w:p>
      <w:pPr>
        <w:pStyle w:val="3"/>
        <w:ind w:firstLine="480"/>
        <w:rPr>
          <w:rFonts w:cs="Times New Roman"/>
        </w:rPr>
      </w:pPr>
      <w:r>
        <w:rPr>
          <w:rFonts w:cs="Times New Roman"/>
        </w:rPr>
        <w:t>（1）地表水污染防治措施</w:t>
      </w:r>
    </w:p>
    <w:p>
      <w:pPr>
        <w:pStyle w:val="3"/>
        <w:ind w:firstLine="480"/>
        <w:rPr>
          <w:rFonts w:cs="Times New Roman"/>
        </w:rPr>
      </w:pPr>
      <w:r>
        <w:rPr>
          <w:rFonts w:hint="eastAsia" w:hAnsi="宋体"/>
          <w:color w:val="000000"/>
        </w:rPr>
        <w:t>鸡舍冲洗废水经废水收集池收集后，用泵将废水抽至化粪池；鸡舍冲洗废水和生活污水一起经</w:t>
      </w:r>
      <w:r>
        <w:rPr>
          <w:rFonts w:cs="Times New Roman"/>
        </w:rPr>
        <w:t>三级化粪池预处理</w:t>
      </w:r>
      <w:r>
        <w:rPr>
          <w:rFonts w:hint="eastAsia" w:hAnsi="宋体"/>
          <w:color w:val="000000"/>
        </w:rPr>
        <w:t>处理后作为农肥</w:t>
      </w:r>
      <w:r>
        <w:rPr>
          <w:rFonts w:cs="Times New Roman"/>
        </w:rPr>
        <w:t>，不外排。</w:t>
      </w:r>
    </w:p>
    <w:p>
      <w:pPr>
        <w:pStyle w:val="3"/>
        <w:ind w:firstLine="480"/>
        <w:rPr>
          <w:rFonts w:cs="Times New Roman"/>
        </w:rPr>
      </w:pPr>
      <w:r>
        <w:rPr>
          <w:rFonts w:cs="Times New Roman"/>
        </w:rPr>
        <w:t>（2）废气污染防治措施</w:t>
      </w:r>
    </w:p>
    <w:p>
      <w:pPr>
        <w:pStyle w:val="3"/>
        <w:ind w:firstLine="480"/>
        <w:rPr>
          <w:rFonts w:ascii="宋体" w:hAnsi="宋体" w:cs="宋体"/>
          <w:kern w:val="0"/>
          <w:szCs w:val="24"/>
        </w:rPr>
      </w:pPr>
      <w:r>
        <w:rPr>
          <w:rFonts w:hint="eastAsia" w:ascii="宋体" w:hAnsi="宋体" w:cs="宋体"/>
          <w:kern w:val="0"/>
          <w:szCs w:val="24"/>
        </w:rPr>
        <w:t>①鸡舍：科学饲养，优化饲料等，鸡粪采用履带自动刮粪，喷洒除臭剂，加强通风换气；</w:t>
      </w:r>
    </w:p>
    <w:p>
      <w:pPr>
        <w:pStyle w:val="3"/>
        <w:ind w:firstLine="480"/>
        <w:rPr>
          <w:rFonts w:ascii="宋体" w:hAnsi="宋体" w:cs="宋体"/>
          <w:kern w:val="0"/>
          <w:szCs w:val="24"/>
        </w:rPr>
      </w:pPr>
      <w:r>
        <w:rPr>
          <w:rFonts w:hint="eastAsia" w:ascii="宋体" w:hAnsi="宋体" w:cs="宋体"/>
          <w:kern w:val="0"/>
          <w:szCs w:val="24"/>
        </w:rPr>
        <w:t>②鸡粪处理区：采用多赛干燥机，利用鸡舍内的热气将新鲜鸡粪进行干燥成有机肥，避免鸡粪发酵产生恶臭。</w:t>
      </w:r>
    </w:p>
    <w:p>
      <w:pPr>
        <w:pStyle w:val="3"/>
        <w:ind w:firstLine="480"/>
        <w:rPr>
          <w:rFonts w:ascii="宋体" w:hAnsi="宋体" w:cs="宋体"/>
          <w:kern w:val="0"/>
          <w:szCs w:val="24"/>
        </w:rPr>
      </w:pPr>
      <w:r>
        <w:rPr>
          <w:rFonts w:hint="eastAsia" w:ascii="宋体" w:hAnsi="宋体" w:cs="宋体"/>
          <w:kern w:val="0"/>
          <w:szCs w:val="24"/>
        </w:rPr>
        <w:t>③废水收集池恶臭：加盖板密闭措施，定期喷洒微生物除臭剂，加强废水收集池周边绿化；</w:t>
      </w:r>
    </w:p>
    <w:p>
      <w:pPr>
        <w:pStyle w:val="3"/>
        <w:ind w:firstLine="480"/>
        <w:rPr>
          <w:rFonts w:ascii="宋体" w:hAnsi="宋体" w:cs="宋体"/>
          <w:kern w:val="0"/>
          <w:szCs w:val="24"/>
        </w:rPr>
      </w:pPr>
      <w:r>
        <w:rPr>
          <w:rFonts w:hint="eastAsia" w:ascii="宋体" w:hAnsi="宋体" w:cs="宋体"/>
          <w:kern w:val="0"/>
          <w:szCs w:val="24"/>
        </w:rPr>
        <w:t>④发电机燃烧废气：采用低硫柴油，产生的尾气由专用烟道引至屋外排放；</w:t>
      </w:r>
    </w:p>
    <w:p>
      <w:pPr>
        <w:pStyle w:val="3"/>
        <w:ind w:firstLine="480"/>
        <w:rPr>
          <w:rFonts w:ascii="宋体" w:hAnsi="宋体" w:cs="宋体"/>
          <w:kern w:val="0"/>
          <w:szCs w:val="24"/>
        </w:rPr>
      </w:pPr>
      <w:r>
        <w:rPr>
          <w:rFonts w:hint="eastAsia" w:ascii="宋体" w:hAnsi="宋体" w:cs="宋体"/>
          <w:kern w:val="0"/>
          <w:szCs w:val="24"/>
        </w:rPr>
        <w:t>⑤生物质颗粒锅炉废气：燃烧产生的尾气通过布袋除尘器+20m高的排气筒排放；</w:t>
      </w:r>
    </w:p>
    <w:p>
      <w:pPr>
        <w:pStyle w:val="3"/>
        <w:ind w:firstLine="480"/>
        <w:rPr>
          <w:rFonts w:ascii="宋体" w:hAnsi="宋体" w:cs="宋体"/>
          <w:kern w:val="0"/>
          <w:szCs w:val="24"/>
        </w:rPr>
      </w:pPr>
      <w:r>
        <w:rPr>
          <w:rFonts w:hint="eastAsia" w:ascii="宋体" w:hAnsi="宋体" w:cs="宋体"/>
          <w:kern w:val="0"/>
          <w:szCs w:val="24"/>
        </w:rPr>
        <w:t>⑥食堂油烟由油烟净化器处理后又将专用烟道引至食堂楼顶排放。</w:t>
      </w:r>
    </w:p>
    <w:p>
      <w:pPr>
        <w:pStyle w:val="3"/>
        <w:ind w:firstLine="480"/>
        <w:rPr>
          <w:rFonts w:cs="Times New Roman"/>
          <w:kern w:val="0"/>
          <w:szCs w:val="24"/>
        </w:rPr>
      </w:pPr>
      <w:r>
        <w:rPr>
          <w:rFonts w:cs="Times New Roman"/>
          <w:kern w:val="0"/>
          <w:szCs w:val="24"/>
        </w:rPr>
        <w:t>项目主要污染源为各类鸡舍无组织排放的恶臭气体，大气特征污染物主要为氨气、硫化氢等；本项目采用干清粪输送带输</w:t>
      </w:r>
      <w:r>
        <w:rPr>
          <w:rFonts w:hint="eastAsia" w:cs="Times New Roman"/>
          <w:kern w:val="0"/>
          <w:szCs w:val="24"/>
        </w:rPr>
        <w:t>，每天输送3次，将收集的鸡粪输送</w:t>
      </w:r>
      <w:r>
        <w:rPr>
          <w:rFonts w:cs="Times New Roman"/>
          <w:kern w:val="0"/>
          <w:szCs w:val="24"/>
        </w:rPr>
        <w:t>至</w:t>
      </w:r>
      <w:r>
        <w:rPr>
          <w:rFonts w:hint="eastAsia" w:cs="Times New Roman"/>
        </w:rPr>
        <w:t>鸡舍尾部的多赛干燥机内直接干燥成有机肥</w:t>
      </w:r>
      <w:r>
        <w:rPr>
          <w:rFonts w:cs="Times New Roman"/>
        </w:rPr>
        <w:t>，经预测</w:t>
      </w:r>
      <w:r>
        <w:rPr>
          <w:rFonts w:cs="Times New Roman"/>
          <w:kern w:val="0"/>
          <w:szCs w:val="24"/>
        </w:rPr>
        <w:t>各污染物厂界浓度均可达标排放，对当地大气环境影响不大。</w:t>
      </w:r>
    </w:p>
    <w:p>
      <w:pPr>
        <w:pStyle w:val="3"/>
        <w:ind w:firstLine="480"/>
        <w:rPr>
          <w:rFonts w:cs="Times New Roman"/>
        </w:rPr>
      </w:pPr>
      <w:r>
        <w:rPr>
          <w:rFonts w:cs="Times New Roman"/>
        </w:rPr>
        <w:t>（3）噪声污染防治措施</w:t>
      </w:r>
    </w:p>
    <w:p>
      <w:pPr>
        <w:pStyle w:val="3"/>
        <w:ind w:firstLine="480"/>
        <w:rPr>
          <w:rFonts w:cs="Times New Roman"/>
        </w:rPr>
      </w:pPr>
      <w:r>
        <w:rPr>
          <w:rFonts w:cs="Times New Roman"/>
        </w:rPr>
        <w:t>生产过程中产生的噪声主要来源于鸡舍的鸡叫声</w:t>
      </w:r>
      <w:r>
        <w:rPr>
          <w:rFonts w:hint="eastAsia" w:cs="Times New Roman"/>
        </w:rPr>
        <w:t>、</w:t>
      </w:r>
      <w:r>
        <w:rPr>
          <w:rFonts w:cs="Times New Roman"/>
        </w:rPr>
        <w:t>风机</w:t>
      </w:r>
      <w:r>
        <w:rPr>
          <w:rFonts w:hint="eastAsia" w:cs="Times New Roman"/>
        </w:rPr>
        <w:t>、干燥机</w:t>
      </w:r>
      <w:r>
        <w:rPr>
          <w:rFonts w:cs="Times New Roman"/>
        </w:rPr>
        <w:t>等各类机械设备噪声，以及运输车辆噪声等。建设项目通过场内合理布局，尽可能满足鸡饮食需要，避免因饥饿或口渴而发出叫声，并对高噪声设备采用隔声、减振等措施进行处理，在办公区、生产区、道路两侧、场四周等设置绿化隔离带等，使场区边界的噪声达到《声环境质量标准》（GB3096-2008）2 类标准。</w:t>
      </w:r>
    </w:p>
    <w:p>
      <w:pPr>
        <w:pStyle w:val="3"/>
        <w:ind w:firstLine="480"/>
        <w:rPr>
          <w:rFonts w:cs="Times New Roman"/>
          <w:kern w:val="0"/>
          <w:szCs w:val="24"/>
        </w:rPr>
      </w:pPr>
      <w:r>
        <w:rPr>
          <w:rFonts w:cs="Times New Roman"/>
        </w:rPr>
        <w:t>（4）</w:t>
      </w:r>
      <w:r>
        <w:rPr>
          <w:rFonts w:cs="Times New Roman"/>
          <w:kern w:val="0"/>
          <w:szCs w:val="24"/>
        </w:rPr>
        <w:t>固废污染防治措施</w:t>
      </w:r>
    </w:p>
    <w:p>
      <w:pPr>
        <w:pStyle w:val="3"/>
        <w:ind w:firstLine="480"/>
        <w:rPr>
          <w:rFonts w:cs="Times New Roman"/>
        </w:rPr>
      </w:pPr>
      <w:r>
        <w:rPr>
          <w:rFonts w:hint="eastAsia" w:cs="Times New Roman"/>
        </w:rPr>
        <w:t>鸡粪</w:t>
      </w:r>
      <w:r>
        <w:rPr>
          <w:rFonts w:cs="Times New Roman"/>
        </w:rPr>
        <w:t>收集后经</w:t>
      </w:r>
      <w:r>
        <w:rPr>
          <w:rFonts w:hint="eastAsia" w:cs="Times New Roman"/>
        </w:rPr>
        <w:t>干燥机</w:t>
      </w:r>
      <w:r>
        <w:rPr>
          <w:rFonts w:cs="Times New Roman"/>
        </w:rPr>
        <w:t>直接生产</w:t>
      </w:r>
      <w:r>
        <w:rPr>
          <w:rFonts w:hint="eastAsia" w:cs="Times New Roman"/>
        </w:rPr>
        <w:t>成</w:t>
      </w:r>
      <w:r>
        <w:rPr>
          <w:rFonts w:cs="Times New Roman"/>
        </w:rPr>
        <w:t>有机肥；病死鸡</w:t>
      </w:r>
      <w:r>
        <w:rPr>
          <w:rFonts w:hint="eastAsia" w:ascii="宋体" w:hAnsi="宋体" w:cs="宋体"/>
          <w:kern w:val="0"/>
          <w:szCs w:val="24"/>
        </w:rPr>
        <w:t>委托</w:t>
      </w:r>
      <w:r>
        <w:rPr>
          <w:rFonts w:ascii="宋体" w:hAnsi="宋体" w:cs="宋体"/>
          <w:kern w:val="0"/>
          <w:szCs w:val="24"/>
        </w:rPr>
        <w:t>衡阳县畜牧水产局统一</w:t>
      </w:r>
      <w:r>
        <w:rPr>
          <w:rFonts w:hint="eastAsia" w:ascii="宋体" w:hAnsi="宋体" w:cs="宋体"/>
          <w:kern w:val="0"/>
          <w:szCs w:val="24"/>
        </w:rPr>
        <w:t>收集，再</w:t>
      </w:r>
      <w:r>
        <w:rPr>
          <w:rFonts w:ascii="宋体" w:hAnsi="宋体" w:cs="宋体"/>
          <w:kern w:val="0"/>
          <w:szCs w:val="24"/>
        </w:rPr>
        <w:t>运至衡阳</w:t>
      </w:r>
      <w:r>
        <w:rPr>
          <w:rFonts w:hint="eastAsia" w:ascii="宋体" w:hAnsi="宋体" w:cs="宋体"/>
          <w:kern w:val="0"/>
          <w:szCs w:val="24"/>
        </w:rPr>
        <w:t>市</w:t>
      </w:r>
      <w:r>
        <w:rPr>
          <w:rFonts w:ascii="宋体" w:hAnsi="宋体" w:cs="宋体"/>
          <w:kern w:val="0"/>
          <w:szCs w:val="24"/>
        </w:rPr>
        <w:t>禾和</w:t>
      </w:r>
      <w:r>
        <w:rPr>
          <w:rFonts w:hint="eastAsia" w:ascii="宋体" w:hAnsi="宋体" w:cs="宋体"/>
          <w:kern w:val="0"/>
          <w:szCs w:val="24"/>
        </w:rPr>
        <w:t>动物无害化处理有限</w:t>
      </w:r>
      <w:r>
        <w:rPr>
          <w:rFonts w:ascii="宋体" w:hAnsi="宋体" w:cs="宋体"/>
          <w:kern w:val="0"/>
          <w:szCs w:val="24"/>
        </w:rPr>
        <w:t>公司无害化处置</w:t>
      </w:r>
      <w:r>
        <w:rPr>
          <w:rFonts w:cs="Times New Roman"/>
        </w:rPr>
        <w:t>；废包装物料由生产商回收；医疗垃圾交由医疗垃圾处理资质的单位处置；</w:t>
      </w:r>
      <w:r>
        <w:rPr>
          <w:rFonts w:hint="eastAsia" w:cs="Times New Roman"/>
        </w:rPr>
        <w:t>锅灰渣及布袋除尘器颗粒物收集后用作农肥；</w:t>
      </w:r>
      <w:r>
        <w:rPr>
          <w:rFonts w:cs="Times New Roman"/>
        </w:rPr>
        <w:t>生活垃圾交由环卫部门统一收集处理。项目营运期固体废物均能得到合理处置，使废物达到减量化、资源化和无害化。</w:t>
      </w:r>
    </w:p>
    <w:p>
      <w:pPr>
        <w:pStyle w:val="3"/>
        <w:ind w:firstLine="480"/>
        <w:rPr>
          <w:rFonts w:cs="Times New Roman"/>
        </w:rPr>
      </w:pPr>
      <w:r>
        <w:rPr>
          <w:rFonts w:cs="Times New Roman"/>
        </w:rPr>
        <w:t>（5）地下水污染防治措施</w:t>
      </w:r>
    </w:p>
    <w:p>
      <w:pPr>
        <w:pStyle w:val="3"/>
        <w:ind w:firstLine="480"/>
      </w:pPr>
      <w:r>
        <w:rPr>
          <w:rFonts w:cs="Times New Roman"/>
        </w:rPr>
        <w:t>废水处理设施要做好防渗措施，污水通过管道收集和排放，管沟、污水池处落实防渗防漏处理；生活垃圾、医疗垃圾等分别储存于垃圾收集点、危废暂存间的专用收集桶内，垃圾收集点、危废暂存间落实防渗防漏处理。地下水污染途径基本切断。</w:t>
      </w:r>
    </w:p>
    <w:p>
      <w:pPr>
        <w:pStyle w:val="5"/>
      </w:pPr>
      <w:bookmarkStart w:id="4" w:name="_Toc80889065"/>
      <w:r>
        <w:rPr>
          <w:rFonts w:hint="eastAsia"/>
        </w:rPr>
        <w:t>环境</w:t>
      </w:r>
      <w:r>
        <w:t>影响评价工作过程</w:t>
      </w:r>
      <w:r>
        <w:rPr>
          <w:rFonts w:hint="eastAsia"/>
        </w:rPr>
        <w:t>概述</w:t>
      </w:r>
      <w:bookmarkEnd w:id="4"/>
    </w:p>
    <w:p>
      <w:pPr>
        <w:pStyle w:val="3"/>
        <w:ind w:firstLine="480"/>
        <w:rPr>
          <w:rFonts w:cs="Times New Roman"/>
        </w:rPr>
      </w:pPr>
      <w:r>
        <w:rPr>
          <w:rFonts w:cs="Times New Roman"/>
        </w:rPr>
        <w:t>评价单位接受委托后，对项目建设进行了多次的现场踏勘，详细调查了项目所在地及周围社会环境、自然环境状况，按照相关环境影响评价技术导则要求的工作程序开展了相应的工作，在进行现状监测、调查及相关资料的收集、整理，以及对该建设项目的工艺分析及主要污染情况分析的基础上，根据相关环保法律法规、技术导则及规范要求编制完成了本项目的环境影响报告书。环境影响评价工作程序见图1.3-1。</w:t>
      </w:r>
    </w:p>
    <w:p>
      <w:pPr>
        <w:jc w:val="center"/>
        <w:rPr>
          <w:rFonts w:ascii="Times New Roman" w:hAnsi="Times New Roman" w:cs="Times New Roman"/>
        </w:rPr>
      </w:pPr>
      <w:r>
        <w:rPr>
          <w:rFonts w:ascii="Times New Roman" w:hAnsi="Times New Roman" w:cs="Times New Roman"/>
        </w:rPr>
        <mc:AlternateContent>
          <mc:Choice Requires="wpg">
            <w:drawing>
              <wp:inline distT="0" distB="0" distL="0" distR="0">
                <wp:extent cx="5330825" cy="5004435"/>
                <wp:effectExtent l="0" t="0" r="22225" b="5715"/>
                <wp:docPr id="14" name="组合 1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330952" cy="5004753"/>
                          <a:chOff x="1732" y="1151"/>
                          <a:chExt cx="8816" cy="8423"/>
                        </a:xfrm>
                      </wpg:grpSpPr>
                      <pic:pic xmlns:pic="http://schemas.openxmlformats.org/drawingml/2006/picture">
                        <pic:nvPicPr>
                          <pic:cNvPr id="15"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1752" y="1171"/>
                            <a:ext cx="8777" cy="8383"/>
                          </a:xfrm>
                          <a:prstGeom prst="rect">
                            <a:avLst/>
                          </a:prstGeom>
                          <a:noFill/>
                          <a:ln>
                            <a:noFill/>
                          </a:ln>
                        </pic:spPr>
                      </pic:pic>
                      <wpg:grpSp>
                        <wpg:cNvPr id="16" name="Group 8"/>
                        <wpg:cNvGrpSpPr/>
                        <wpg:grpSpPr>
                          <a:xfrm>
                            <a:off x="1742" y="1161"/>
                            <a:ext cx="8796" cy="8403"/>
                            <a:chOff x="1742" y="1161"/>
                            <a:chExt cx="8796" cy="8403"/>
                          </a:xfrm>
                        </wpg:grpSpPr>
                        <wps:wsp>
                          <wps:cNvPr id="17" name="Freeform 9"/>
                          <wps:cNvSpPr/>
                          <wps:spPr bwMode="auto">
                            <a:xfrm>
                              <a:off x="1742" y="1161"/>
                              <a:ext cx="8796" cy="8403"/>
                            </a:xfrm>
                            <a:custGeom>
                              <a:avLst/>
                              <a:gdLst>
                                <a:gd name="T0" fmla="+- 0 1742 1742"/>
                                <a:gd name="T1" fmla="*/ T0 w 8796"/>
                                <a:gd name="T2" fmla="+- 0 9563 1161"/>
                                <a:gd name="T3" fmla="*/ 9563 h 8403"/>
                                <a:gd name="T4" fmla="+- 0 10538 1742"/>
                                <a:gd name="T5" fmla="*/ T4 w 8796"/>
                                <a:gd name="T6" fmla="+- 0 9563 1161"/>
                                <a:gd name="T7" fmla="*/ 9563 h 8403"/>
                                <a:gd name="T8" fmla="+- 0 10538 1742"/>
                                <a:gd name="T9" fmla="*/ T8 w 8796"/>
                                <a:gd name="T10" fmla="+- 0 1161 1161"/>
                                <a:gd name="T11" fmla="*/ 1161 h 8403"/>
                                <a:gd name="T12" fmla="+- 0 1742 1742"/>
                                <a:gd name="T13" fmla="*/ T12 w 8796"/>
                                <a:gd name="T14" fmla="+- 0 1161 1161"/>
                                <a:gd name="T15" fmla="*/ 1161 h 8403"/>
                                <a:gd name="T16" fmla="+- 0 1742 1742"/>
                                <a:gd name="T17" fmla="*/ T16 w 8796"/>
                                <a:gd name="T18" fmla="+- 0 9563 1161"/>
                                <a:gd name="T19" fmla="*/ 9563 h 8403"/>
                              </a:gdLst>
                              <a:ahLst/>
                              <a:cxnLst>
                                <a:cxn ang="0">
                                  <a:pos x="T1" y="T3"/>
                                </a:cxn>
                                <a:cxn ang="0">
                                  <a:pos x="T5" y="T7"/>
                                </a:cxn>
                                <a:cxn ang="0">
                                  <a:pos x="T9" y="T11"/>
                                </a:cxn>
                                <a:cxn ang="0">
                                  <a:pos x="T13" y="T15"/>
                                </a:cxn>
                                <a:cxn ang="0">
                                  <a:pos x="T17" y="T19"/>
                                </a:cxn>
                              </a:cxnLst>
                              <a:rect l="0" t="0" r="r" b="b"/>
                              <a:pathLst>
                                <a:path w="8796" h="8403">
                                  <a:moveTo>
                                    <a:pt x="0" y="8402"/>
                                  </a:moveTo>
                                  <a:lnTo>
                                    <a:pt x="8796" y="8402"/>
                                  </a:lnTo>
                                  <a:lnTo>
                                    <a:pt x="8796" y="0"/>
                                  </a:lnTo>
                                  <a:lnTo>
                                    <a:pt x="0" y="0"/>
                                  </a:lnTo>
                                  <a:lnTo>
                                    <a:pt x="0" y="8402"/>
                                  </a:lnTo>
                                  <a:close/>
                                </a:path>
                              </a:pathLst>
                            </a:custGeom>
                            <a:noFill/>
                            <a:ln w="12700">
                              <a:solidFill>
                                <a:srgbClr val="000000"/>
                              </a:solidFill>
                              <a:round/>
                            </a:ln>
                          </wps:spPr>
                          <wps:bodyPr rot="0" vert="horz" wrap="square" lIns="91440" tIns="45720" rIns="91440" bIns="45720" anchor="t" anchorCtr="0" upright="1">
                            <a:noAutofit/>
                          </wps:bodyPr>
                        </wps:wsp>
                      </wpg:grpSp>
                    </wpg:wgp>
                  </a:graphicData>
                </a:graphic>
              </wp:inline>
            </w:drawing>
          </mc:Choice>
          <mc:Fallback>
            <w:pict>
              <v:group id="_x0000_s1026" o:spid="_x0000_s1026" o:spt="203" style="height:394.05pt;width:419.75pt;" coordorigin="1732,1151" coordsize="8816,8423" o:gfxdata="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">
                <o:lock v:ext="edit" aspectratio="t"/>
                <v:shape id="Picture 7" o:spid="_x0000_s1026" o:spt="75" type="#_x0000_t75" style="position:absolute;left:1752;top:1171;height:8383;width:8777;" filled="f" o:preferrelative="t" stroked="f" coordsize="21600,21600" o:gfxdata="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cwgCugAAANsA&#10;AAAPAAAAAAAAAAEAIAAAACIAAABkcnMvZG93bnJldi54bWxQSwECFAAUAAAACACHTuJAMy8FnjsA&#10;AAA5AAAAEAAAAAAAAAABACAAAAAJAQAAZHJzL3NoYXBleG1sLnhtbFBLBQYAAAAABgAGAFsBAACz&#10;AwAAAAA=&#10;">
                  <v:fill on="f" focussize="0,0"/>
                  <v:stroke on="f"/>
                  <v:imagedata r:id="rId10" o:title=""/>
                  <o:lock v:ext="edit" aspectratio="t"/>
                </v:shape>
                <v:group id="Group 8" o:spid="_x0000_s1026" o:spt="203" style="position:absolute;left:1742;top:1161;height:8403;width:8796;" coordorigin="1742,1161" coordsize="8796,8403" o:gfxdata="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KrrPq7AAAA2wAAAA8AAAAAAAAAAQAgAAAAIgAAAGRycy9kb3ducmV2LnhtbFBL&#10;AQIUABQAAAAIAIdO4kAzLwWeOwAAADkAAAAVAAAAAAAAAAEAIAAAAAoBAABkcnMvZ3JvdXBzaGFw&#10;ZXhtbC54bWxQSwUGAAAAAAYABgBgAQAAxwMAAAAA&#10;">
                  <o:lock v:ext="edit" aspectratio="f"/>
                  <v:shape id="Freeform 9" o:spid="_x0000_s1026" o:spt="100" style="position:absolute;left:1742;top:1161;height:8403;width:8796;" filled="f" stroked="t" coordsize="8796,8403" o:gfxdata="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mPDJvQAA&#10;ANsAAAAPAAAAAAAAAAEAIAAAACIAAABkcnMvZG93bnJldi54bWxQSwECFAAUAAAACACHTuJAMy8F&#10;njsAAAA5AAAAEAAAAAAAAAABACAAAAAMAQAAZHJzL3NoYXBleG1sLnhtbFBLBQYAAAAABgAGAFsB&#10;AAC2AwAAAAA=&#10;" path="m0,8402l8796,8402,8796,0,0,0,0,8402xe">
                    <v:path o:connectlocs="0,9563;8796,9563;8796,1161;0,1161;0,9563" o:connectangles="0,0,0,0,0"/>
                    <v:fill on="f" focussize="0,0"/>
                    <v:stroke weight="1pt" color="#000000" joinstyle="round"/>
                    <v:imagedata o:title=""/>
                    <o:lock v:ext="edit" aspectratio="f"/>
                  </v:shape>
                </v:group>
                <w10:wrap type="none"/>
                <w10:anchorlock/>
              </v:group>
            </w:pict>
          </mc:Fallback>
        </mc:AlternateContent>
      </w:r>
    </w:p>
    <w:p>
      <w:pPr>
        <w:pStyle w:val="15"/>
      </w:pPr>
      <w:r>
        <w:t>图1.3-1   环境影响评价工作程序</w:t>
      </w:r>
    </w:p>
    <w:p>
      <w:pPr>
        <w:pStyle w:val="5"/>
      </w:pPr>
      <w:bookmarkStart w:id="5" w:name="_Toc80889066"/>
      <w:r>
        <w:rPr>
          <w:rFonts w:hint="eastAsia"/>
        </w:rPr>
        <w:t>关注</w:t>
      </w:r>
      <w:r>
        <w:t>的主要环境问题及环境影响</w:t>
      </w:r>
      <w:bookmarkEnd w:id="5"/>
    </w:p>
    <w:p>
      <w:pPr>
        <w:pStyle w:val="3"/>
        <w:ind w:firstLine="480"/>
        <w:rPr>
          <w:rFonts w:cs="Times New Roman"/>
        </w:rPr>
      </w:pPr>
      <w:r>
        <w:rPr>
          <w:rFonts w:cs="Times New Roman"/>
        </w:rPr>
        <w:t>项目主要关注的环境问题为施工过程产生的施工废水、废气、噪声及施工弃渣对环境的影响问题。</w:t>
      </w:r>
    </w:p>
    <w:p>
      <w:pPr>
        <w:pStyle w:val="3"/>
        <w:ind w:firstLine="480"/>
      </w:pPr>
      <w:r>
        <w:rPr>
          <w:rFonts w:cs="Times New Roman"/>
        </w:rPr>
        <w:t>本项目营运期重点关注饲养过程中鸡舍、鸡粪处理</w:t>
      </w:r>
      <w:r>
        <w:rPr>
          <w:rFonts w:hint="eastAsia" w:cs="Times New Roman"/>
        </w:rPr>
        <w:t>等</w:t>
      </w:r>
      <w:r>
        <w:rPr>
          <w:rFonts w:cs="Times New Roman"/>
        </w:rPr>
        <w:t>产生的恶臭对环境空气及周边敏感点的影响；项目废水对周边环境的影响；病死鸡、蛋壳等无害化处理措施；医疗垃圾的暂存及处置措施；疫情、事故排放等环境风险对环境的影响以及采取的风险防治措施和应急预案。废水、废气、固废、环境风险应采取的环境保护措施及可行性分析。</w:t>
      </w:r>
    </w:p>
    <w:p>
      <w:pPr>
        <w:pStyle w:val="5"/>
      </w:pPr>
      <w:bookmarkStart w:id="6" w:name="_Toc80889067"/>
      <w:r>
        <w:rPr>
          <w:rFonts w:hint="eastAsia"/>
        </w:rPr>
        <w:t>报告书</w:t>
      </w:r>
      <w:r>
        <w:t>主要结论</w:t>
      </w:r>
      <w:bookmarkEnd w:id="6"/>
    </w:p>
    <w:p>
      <w:pPr>
        <w:pStyle w:val="3"/>
        <w:ind w:firstLine="480"/>
        <w:rPr>
          <w:rFonts w:cs="Times New Roman"/>
        </w:rPr>
      </w:pPr>
      <w:r>
        <w:rPr>
          <w:rFonts w:hint="eastAsia" w:cs="Times New Roman"/>
        </w:rPr>
        <w:t>湖南安发</w:t>
      </w:r>
      <w:r>
        <w:rPr>
          <w:rFonts w:cs="Times New Roman"/>
        </w:rPr>
        <w:t>原生态农业旅游开发有限公司养鸡场项目选址于</w:t>
      </w:r>
      <w:r>
        <w:rPr>
          <w:rFonts w:hint="eastAsia" w:cs="Times New Roman"/>
        </w:rPr>
        <w:t>衡阳县台</w:t>
      </w:r>
      <w:r>
        <w:rPr>
          <w:rFonts w:cs="Times New Roman"/>
        </w:rPr>
        <w:t>源镇前进村财冲组和东湖寺村近丝塘组，本项目属于生态养殖业，营运过程中主要污染：恶臭对周围环境产生影响不大；鸡粪、污水不外排，鸡粪经</w:t>
      </w:r>
      <w:r>
        <w:rPr>
          <w:rFonts w:hint="eastAsia" w:cs="Times New Roman"/>
        </w:rPr>
        <w:t>干燥机</w:t>
      </w:r>
      <w:r>
        <w:rPr>
          <w:rFonts w:cs="Times New Roman"/>
        </w:rPr>
        <w:t>后制成有机肥综合利用，污水经</w:t>
      </w:r>
      <w:r>
        <w:rPr>
          <w:rFonts w:hint="eastAsia" w:cs="Times New Roman"/>
        </w:rPr>
        <w:t>化粪池</w:t>
      </w:r>
      <w:r>
        <w:rPr>
          <w:rFonts w:cs="Times New Roman"/>
        </w:rPr>
        <w:t>处理</w:t>
      </w:r>
      <w:r>
        <w:rPr>
          <w:rFonts w:hint="eastAsia" w:cs="Times New Roman"/>
        </w:rPr>
        <w:t>后用作</w:t>
      </w:r>
      <w:r>
        <w:rPr>
          <w:rFonts w:cs="Times New Roman"/>
        </w:rPr>
        <w:t>农肥；本项目在创造经济价值的同时能较好的减少对环境的影响，项目符合国家最新产业政策要求，符合相关法律法规的要求。在贯彻落实国家和地方制定的有关环保法律、法规和实现本评价提出的各项环境保护措施及建议的前提下，确保各种治理设施正常运转和废气、废水、噪声等污染物达标处理，贯彻执行国家规定的“清洁生产、达标排放、总量控制”的原则，制定应急计划和落实环境风险防范措施，从环境保护角度分析，本项目的建设是可行的。</w:t>
      </w:r>
    </w:p>
    <w:p>
      <w:pPr>
        <w:pStyle w:val="3"/>
        <w:ind w:firstLine="480"/>
      </w:pPr>
    </w:p>
    <w:p>
      <w:pPr>
        <w:pStyle w:val="3"/>
        <w:ind w:firstLine="480"/>
      </w:pPr>
      <w:r>
        <w:br w:type="page"/>
      </w:r>
    </w:p>
    <w:p>
      <w:pPr>
        <w:pStyle w:val="2"/>
      </w:pPr>
      <w:bookmarkStart w:id="7" w:name="_Toc80889068"/>
      <w:r>
        <w:rPr>
          <w:rFonts w:hint="eastAsia"/>
        </w:rPr>
        <w:t>总则</w:t>
      </w:r>
      <w:bookmarkEnd w:id="7"/>
    </w:p>
    <w:p>
      <w:pPr>
        <w:pStyle w:val="5"/>
      </w:pPr>
      <w:bookmarkStart w:id="8" w:name="_Toc80889069"/>
      <w:r>
        <w:rPr>
          <w:rFonts w:hint="eastAsia"/>
        </w:rPr>
        <w:t>编制</w:t>
      </w:r>
      <w:r>
        <w:t>依据</w:t>
      </w:r>
      <w:bookmarkEnd w:id="8"/>
    </w:p>
    <w:p>
      <w:pPr>
        <w:pStyle w:val="6"/>
        <w:rPr>
          <w:rFonts w:cs="Times New Roman"/>
        </w:rPr>
      </w:pPr>
      <w:r>
        <w:rPr>
          <w:rFonts w:cs="Times New Roman"/>
        </w:rPr>
        <w:t>国家法律、法规、政策及规划</w:t>
      </w:r>
    </w:p>
    <w:p>
      <w:pPr>
        <w:pStyle w:val="3"/>
        <w:ind w:firstLine="480"/>
        <w:rPr>
          <w:rFonts w:cs="Times New Roman"/>
        </w:rPr>
      </w:pPr>
      <w:r>
        <w:rPr>
          <w:rFonts w:cs="Times New Roman"/>
        </w:rPr>
        <w:t>（1）《中华人民共和国环境保护法》（2015年1月1日起修订施行）；</w:t>
      </w:r>
    </w:p>
    <w:p>
      <w:pPr>
        <w:pStyle w:val="3"/>
        <w:ind w:firstLine="480"/>
        <w:rPr>
          <w:rFonts w:cs="Times New Roman"/>
        </w:rPr>
      </w:pPr>
      <w:r>
        <w:rPr>
          <w:rFonts w:cs="Times New Roman"/>
        </w:rPr>
        <w:t>（2）《中华人民共和国环境影响评价法》（2018年12月29日实施）；</w:t>
      </w:r>
    </w:p>
    <w:p>
      <w:pPr>
        <w:pStyle w:val="3"/>
        <w:ind w:firstLine="480"/>
        <w:rPr>
          <w:rFonts w:cs="Times New Roman"/>
        </w:rPr>
      </w:pPr>
      <w:r>
        <w:rPr>
          <w:rFonts w:cs="Times New Roman"/>
        </w:rPr>
        <w:t>（3）《中华人民共和国水污染防治法》（2017年6月27日修订，2018年1月1日正式实施）；</w:t>
      </w:r>
    </w:p>
    <w:p>
      <w:pPr>
        <w:pStyle w:val="3"/>
        <w:ind w:firstLine="480"/>
        <w:rPr>
          <w:rFonts w:cs="Times New Roman"/>
        </w:rPr>
      </w:pPr>
      <w:r>
        <w:rPr>
          <w:rFonts w:cs="Times New Roman"/>
        </w:rPr>
        <w:t>（4）《中华人民共和国大气污染防治法》（2016年1月1日起施行）；</w:t>
      </w:r>
    </w:p>
    <w:p>
      <w:pPr>
        <w:pStyle w:val="3"/>
        <w:ind w:firstLine="480"/>
        <w:rPr>
          <w:rFonts w:cs="Times New Roman"/>
        </w:rPr>
      </w:pPr>
      <w:r>
        <w:rPr>
          <w:rFonts w:cs="Times New Roman"/>
        </w:rPr>
        <w:t>（5）《中华人民共和国固体废物污染环境防治法》（2020年修正）；</w:t>
      </w:r>
    </w:p>
    <w:p>
      <w:pPr>
        <w:pStyle w:val="3"/>
        <w:ind w:firstLine="480"/>
        <w:rPr>
          <w:rFonts w:cs="Times New Roman"/>
        </w:rPr>
      </w:pPr>
      <w:r>
        <w:rPr>
          <w:rFonts w:cs="Times New Roman"/>
        </w:rPr>
        <w:t>（6）《中华人民共和国环境噪声污染防治法》（2018年12月29日实施）；</w:t>
      </w:r>
    </w:p>
    <w:p>
      <w:pPr>
        <w:pStyle w:val="3"/>
        <w:ind w:firstLine="480"/>
        <w:rPr>
          <w:rFonts w:cs="Times New Roman"/>
        </w:rPr>
      </w:pPr>
      <w:r>
        <w:rPr>
          <w:rFonts w:cs="Times New Roman"/>
        </w:rPr>
        <w:t>（7）《中华人民共和国土壤污染防治法》，（2019年1月1日实施）；</w:t>
      </w:r>
    </w:p>
    <w:p>
      <w:pPr>
        <w:pStyle w:val="3"/>
        <w:ind w:firstLine="480"/>
        <w:rPr>
          <w:rFonts w:cs="Times New Roman"/>
        </w:rPr>
      </w:pPr>
      <w:r>
        <w:rPr>
          <w:rFonts w:cs="Times New Roman"/>
        </w:rPr>
        <w:t>（8）《中华人民共和国水土保持法》（2011年3月1日修订实施）；</w:t>
      </w:r>
    </w:p>
    <w:p>
      <w:pPr>
        <w:pStyle w:val="3"/>
        <w:ind w:firstLine="480"/>
        <w:rPr>
          <w:rFonts w:cs="Times New Roman"/>
        </w:rPr>
      </w:pPr>
      <w:r>
        <w:rPr>
          <w:rFonts w:cs="Times New Roman"/>
        </w:rPr>
        <w:t>（9）《中华人民共和国土地管理法》（2004年8月28日起实施）；</w:t>
      </w:r>
    </w:p>
    <w:p>
      <w:pPr>
        <w:pStyle w:val="3"/>
        <w:ind w:firstLine="480"/>
        <w:rPr>
          <w:rFonts w:cs="Times New Roman"/>
        </w:rPr>
      </w:pPr>
      <w:r>
        <w:rPr>
          <w:rFonts w:cs="Times New Roman"/>
        </w:rPr>
        <w:t>（10）《建设项目环境保护管理条例》（2017年10月1日施行）；</w:t>
      </w:r>
    </w:p>
    <w:p>
      <w:pPr>
        <w:pStyle w:val="3"/>
        <w:ind w:firstLine="480"/>
        <w:rPr>
          <w:rFonts w:cs="Times New Roman"/>
        </w:rPr>
      </w:pPr>
      <w:r>
        <w:rPr>
          <w:rFonts w:cs="Times New Roman"/>
        </w:rPr>
        <w:t>（11）《畜禽规模养殖污染防治条例》（中华人民共和国国务院令第643号）；</w:t>
      </w:r>
    </w:p>
    <w:p>
      <w:pPr>
        <w:pStyle w:val="3"/>
        <w:ind w:firstLine="480"/>
        <w:rPr>
          <w:rFonts w:cs="Times New Roman"/>
        </w:rPr>
      </w:pPr>
      <w:r>
        <w:rPr>
          <w:rFonts w:cs="Times New Roman"/>
        </w:rPr>
        <w:t>（12）《中华人民共和国畜牧法》（2015年4月24日修订）；</w:t>
      </w:r>
    </w:p>
    <w:p>
      <w:pPr>
        <w:pStyle w:val="3"/>
        <w:ind w:firstLine="480"/>
        <w:rPr>
          <w:rFonts w:cs="Times New Roman"/>
        </w:rPr>
      </w:pPr>
      <w:r>
        <w:rPr>
          <w:rFonts w:cs="Times New Roman"/>
        </w:rPr>
        <w:t>（13）《中华人民共和国动物防疫法》（2015年修订）；</w:t>
      </w:r>
    </w:p>
    <w:p>
      <w:pPr>
        <w:pStyle w:val="3"/>
        <w:ind w:firstLine="480"/>
        <w:rPr>
          <w:rFonts w:cs="Times New Roman"/>
        </w:rPr>
      </w:pPr>
      <w:r>
        <w:rPr>
          <w:rFonts w:cs="Times New Roman"/>
        </w:rPr>
        <w:t>（14）《中华人民共和国传染病防治法》（2013年6月29日第十二届全国人民代表大会常务委员会第三次会议修正）</w:t>
      </w:r>
    </w:p>
    <w:p>
      <w:pPr>
        <w:pStyle w:val="3"/>
        <w:ind w:firstLine="480"/>
        <w:rPr>
          <w:rFonts w:cs="Times New Roman"/>
        </w:rPr>
      </w:pPr>
      <w:r>
        <w:rPr>
          <w:rFonts w:cs="Times New Roman"/>
        </w:rPr>
        <w:t>（15）</w:t>
      </w:r>
      <w:r>
        <w:t>《</w:t>
      </w:r>
      <w:r>
        <w:rPr>
          <w:rFonts w:hint="eastAsia"/>
        </w:rPr>
        <w:t>建设项目环境影响评价分类管理名录（2021年版）</w:t>
      </w:r>
      <w:r>
        <w:t>》（</w:t>
      </w:r>
      <w:r>
        <w:rPr>
          <w:rFonts w:hint="eastAsia"/>
        </w:rPr>
        <w:t>2</w:t>
      </w:r>
      <w:r>
        <w:t>021</w:t>
      </w:r>
      <w:r>
        <w:rPr>
          <w:rFonts w:hint="eastAsia"/>
        </w:rPr>
        <w:t>年1月1日实施</w:t>
      </w:r>
      <w:r>
        <w:t>）</w:t>
      </w:r>
      <w:r>
        <w:rPr>
          <w:rFonts w:cs="Times New Roman"/>
        </w:rPr>
        <w:t>；</w:t>
      </w:r>
    </w:p>
    <w:p>
      <w:pPr>
        <w:pStyle w:val="3"/>
        <w:ind w:firstLine="480"/>
        <w:rPr>
          <w:rFonts w:cs="Times New Roman"/>
        </w:rPr>
      </w:pPr>
      <w:r>
        <w:rPr>
          <w:rFonts w:cs="Times New Roman"/>
        </w:rPr>
        <w:t>（16）《产业结构调整指导目录》（2019年本）；</w:t>
      </w:r>
    </w:p>
    <w:p>
      <w:pPr>
        <w:pStyle w:val="3"/>
        <w:ind w:firstLine="480"/>
        <w:rPr>
          <w:rFonts w:cs="Times New Roman"/>
        </w:rPr>
      </w:pPr>
      <w:r>
        <w:rPr>
          <w:rFonts w:cs="Times New Roman"/>
        </w:rPr>
        <w:t>（17）《环境保护公众参与暂行办法》（国家环境保护部第35号，2015年9月1日）；</w:t>
      </w:r>
    </w:p>
    <w:p>
      <w:pPr>
        <w:pStyle w:val="3"/>
        <w:ind w:firstLine="480"/>
        <w:rPr>
          <w:rFonts w:cs="Times New Roman"/>
        </w:rPr>
      </w:pPr>
      <w:r>
        <w:rPr>
          <w:rFonts w:cs="Times New Roman"/>
        </w:rPr>
        <w:t>（18）《建设项目环境影响评价信息公开机制方案》（环发[2015]162号）；</w:t>
      </w:r>
    </w:p>
    <w:p>
      <w:pPr>
        <w:pStyle w:val="3"/>
        <w:ind w:firstLine="480"/>
        <w:rPr>
          <w:rFonts w:cs="Times New Roman"/>
        </w:rPr>
      </w:pPr>
      <w:r>
        <w:rPr>
          <w:rFonts w:cs="Times New Roman"/>
        </w:rPr>
        <w:t>（19）《国务院关于环境保护若干问题的决定》(国发[1996]31号)；</w:t>
      </w:r>
    </w:p>
    <w:p>
      <w:pPr>
        <w:pStyle w:val="3"/>
        <w:ind w:firstLine="480"/>
        <w:rPr>
          <w:rFonts w:cs="Times New Roman"/>
        </w:rPr>
      </w:pPr>
      <w:r>
        <w:rPr>
          <w:rFonts w:cs="Times New Roman"/>
        </w:rPr>
        <w:t>（20）《畜禽养殖业污染防治技术政策》（环发[2010]151号）；</w:t>
      </w:r>
    </w:p>
    <w:p>
      <w:pPr>
        <w:pStyle w:val="3"/>
        <w:ind w:firstLine="480"/>
        <w:rPr>
          <w:rFonts w:cs="Times New Roman"/>
        </w:rPr>
      </w:pPr>
      <w:r>
        <w:rPr>
          <w:rFonts w:cs="Times New Roman"/>
        </w:rPr>
        <w:t>（21）《国务院关于促进畜牧业持续健康发展的意见》（国发[2007]4号）；</w:t>
      </w:r>
    </w:p>
    <w:p>
      <w:pPr>
        <w:pStyle w:val="3"/>
        <w:ind w:firstLine="480"/>
        <w:rPr>
          <w:rFonts w:cs="Times New Roman"/>
        </w:rPr>
      </w:pPr>
      <w:r>
        <w:rPr>
          <w:rFonts w:cs="Times New Roman"/>
        </w:rPr>
        <w:t>（22）《</w:t>
      </w:r>
      <w:bookmarkStart w:id="102" w:name="_GoBack"/>
      <w:bookmarkEnd w:id="102"/>
      <w:r>
        <w:rPr>
          <w:rFonts w:hint="eastAsia" w:cs="Times New Roman"/>
          <w:lang w:eastAsia="zh-CN"/>
        </w:rPr>
        <w:t>国务院办公厅</w:t>
      </w:r>
      <w:r>
        <w:rPr>
          <w:rFonts w:hint="eastAsia" w:cs="Times New Roman"/>
          <w:lang w:eastAsia="zh-CN"/>
        </w:rPr>
        <w:tab/>
      </w:r>
      <w:r>
        <w:rPr>
          <w:rFonts w:cs="Times New Roman"/>
        </w:rPr>
        <w:t>转发环保总局等部门关于加强农村环境保护工作意见的通知》（国办发[2007]63号）；</w:t>
      </w:r>
    </w:p>
    <w:p>
      <w:pPr>
        <w:pStyle w:val="3"/>
        <w:ind w:firstLine="480"/>
        <w:rPr>
          <w:rFonts w:cs="Times New Roman"/>
        </w:rPr>
      </w:pPr>
      <w:r>
        <w:rPr>
          <w:rFonts w:cs="Times New Roman"/>
        </w:rPr>
        <w:t>（23）《畜禽粪污土地承载力测算技术指南》（农办牧（2018）1号）；</w:t>
      </w:r>
    </w:p>
    <w:p>
      <w:pPr>
        <w:pStyle w:val="3"/>
        <w:ind w:firstLine="480"/>
        <w:rPr>
          <w:rFonts w:cs="Times New Roman"/>
        </w:rPr>
      </w:pPr>
      <w:r>
        <w:rPr>
          <w:rFonts w:cs="Times New Roman"/>
        </w:rPr>
        <w:t>（24）《畜禽规模养殖场粪污资源化利用设施建设规范（试行）》（农办牧[2018]2号）；</w:t>
      </w:r>
    </w:p>
    <w:p>
      <w:pPr>
        <w:pStyle w:val="3"/>
        <w:ind w:firstLine="480"/>
        <w:rPr>
          <w:rFonts w:cs="Times New Roman"/>
        </w:rPr>
      </w:pPr>
      <w:r>
        <w:rPr>
          <w:rFonts w:cs="Times New Roman"/>
        </w:rPr>
        <w:t>（25）《农业部关于加快推进畜禽标准化规模养殖的意见》（农牧发[2010]6号）；</w:t>
      </w:r>
    </w:p>
    <w:p>
      <w:pPr>
        <w:pStyle w:val="3"/>
        <w:ind w:firstLine="480"/>
        <w:rPr>
          <w:rFonts w:cs="Times New Roman"/>
        </w:rPr>
      </w:pPr>
      <w:r>
        <w:rPr>
          <w:rFonts w:cs="Times New Roman"/>
        </w:rPr>
        <w:t>（26）《畜禽粪污资源化利用行动方案（2017-2020年）》（农牧发[2017]11号）；</w:t>
      </w:r>
    </w:p>
    <w:p>
      <w:pPr>
        <w:pStyle w:val="3"/>
        <w:ind w:firstLine="480"/>
        <w:rPr>
          <w:rFonts w:cs="Times New Roman"/>
        </w:rPr>
      </w:pPr>
      <w:r>
        <w:rPr>
          <w:rFonts w:cs="Times New Roman"/>
        </w:rPr>
        <w:t>（27）《病死及死因不明动物处置办法（试行）》（农医发[2005]25号）；</w:t>
      </w:r>
    </w:p>
    <w:p>
      <w:pPr>
        <w:pStyle w:val="3"/>
        <w:ind w:firstLine="480"/>
        <w:rPr>
          <w:rFonts w:cs="Times New Roman"/>
        </w:rPr>
      </w:pPr>
      <w:r>
        <w:rPr>
          <w:rFonts w:cs="Times New Roman"/>
        </w:rPr>
        <w:t>（28）《病死及病害动物无害化处理技术规范》（农医发[2017]25号）；</w:t>
      </w:r>
    </w:p>
    <w:p>
      <w:pPr>
        <w:pStyle w:val="3"/>
        <w:ind w:firstLine="480"/>
        <w:rPr>
          <w:rFonts w:cs="Times New Roman"/>
        </w:rPr>
      </w:pPr>
      <w:r>
        <w:rPr>
          <w:rFonts w:cs="Times New Roman"/>
        </w:rPr>
        <w:t>（29）《关于病害动物无害化处理有关意见的复函》（环办函[2014]789号）；</w:t>
      </w:r>
    </w:p>
    <w:p>
      <w:pPr>
        <w:pStyle w:val="3"/>
        <w:ind w:firstLine="480"/>
        <w:rPr>
          <w:rFonts w:cs="Times New Roman"/>
        </w:rPr>
      </w:pPr>
      <w:r>
        <w:rPr>
          <w:rFonts w:cs="Times New Roman"/>
        </w:rPr>
        <w:t>（30）《关于加强畜禽养殖业环境监管、严防高致病性禽流感疫情扩散的紧急通知》（环发[2004]18号）</w:t>
      </w:r>
    </w:p>
    <w:p>
      <w:pPr>
        <w:pStyle w:val="3"/>
        <w:ind w:firstLine="480"/>
        <w:rPr>
          <w:rFonts w:cs="Times New Roman"/>
        </w:rPr>
      </w:pPr>
      <w:r>
        <w:rPr>
          <w:rFonts w:cs="Times New Roman"/>
        </w:rPr>
        <w:t>（31）《国务院办公厅关于加快推进畜禽养殖废弃物资源化利用的意见》（国办发[2017]48号）；</w:t>
      </w:r>
    </w:p>
    <w:p>
      <w:pPr>
        <w:pStyle w:val="6"/>
        <w:rPr>
          <w:rFonts w:cs="Times New Roman"/>
        </w:rPr>
      </w:pPr>
      <w:r>
        <w:rPr>
          <w:rFonts w:cs="Times New Roman"/>
        </w:rPr>
        <w:t>地方政策、法规、规划</w:t>
      </w:r>
    </w:p>
    <w:p>
      <w:pPr>
        <w:pStyle w:val="3"/>
        <w:ind w:firstLine="480"/>
        <w:rPr>
          <w:rStyle w:val="53"/>
          <w:rFonts w:cs="Times New Roman"/>
        </w:rPr>
      </w:pPr>
      <w:r>
        <w:rPr>
          <w:rStyle w:val="53"/>
          <w:rFonts w:cs="Times New Roman"/>
        </w:rPr>
        <w:t>（1）《湖南省环境保护条例》（2019年9月28日修正）；</w:t>
      </w:r>
    </w:p>
    <w:p>
      <w:pPr>
        <w:pStyle w:val="3"/>
        <w:ind w:firstLine="480"/>
        <w:rPr>
          <w:rStyle w:val="53"/>
          <w:rFonts w:cs="Times New Roman"/>
        </w:rPr>
      </w:pPr>
      <w:r>
        <w:rPr>
          <w:rStyle w:val="53"/>
          <w:rFonts w:cs="Times New Roman"/>
        </w:rPr>
        <w:t>（2）《湖南省建设项目环境保护管理办法》（2007年6月29日）；</w:t>
      </w:r>
    </w:p>
    <w:p>
      <w:pPr>
        <w:pStyle w:val="3"/>
        <w:ind w:firstLine="480"/>
        <w:rPr>
          <w:rStyle w:val="53"/>
          <w:rFonts w:cs="Times New Roman"/>
        </w:rPr>
      </w:pPr>
      <w:r>
        <w:rPr>
          <w:rStyle w:val="53"/>
          <w:rFonts w:cs="Times New Roman"/>
        </w:rPr>
        <w:t>（3）《湖南省环境保护“十</w:t>
      </w:r>
      <w:r>
        <w:rPr>
          <w:rStyle w:val="53"/>
          <w:rFonts w:hint="eastAsia" w:cs="Times New Roman"/>
        </w:rPr>
        <w:t>四</w:t>
      </w:r>
      <w:r>
        <w:rPr>
          <w:rStyle w:val="53"/>
          <w:rFonts w:cs="Times New Roman"/>
        </w:rPr>
        <w:t>五”规划》；</w:t>
      </w:r>
    </w:p>
    <w:p>
      <w:pPr>
        <w:pStyle w:val="3"/>
        <w:ind w:firstLine="480"/>
        <w:rPr>
          <w:rStyle w:val="53"/>
          <w:rFonts w:cs="Times New Roman"/>
        </w:rPr>
      </w:pPr>
      <w:r>
        <w:rPr>
          <w:rStyle w:val="53"/>
          <w:rFonts w:cs="Times New Roman"/>
        </w:rPr>
        <w:t>（4）《湖南省主体功能区规划》（2016）；</w:t>
      </w:r>
    </w:p>
    <w:p>
      <w:pPr>
        <w:pStyle w:val="3"/>
        <w:ind w:firstLine="480"/>
        <w:rPr>
          <w:rStyle w:val="53"/>
          <w:rFonts w:cs="Times New Roman"/>
        </w:rPr>
      </w:pPr>
      <w:r>
        <w:rPr>
          <w:rStyle w:val="53"/>
          <w:rFonts w:cs="Times New Roman"/>
        </w:rPr>
        <w:t>（5）《湖南省主要水系地表水环境功能区规划》（DB 43/023-2005）；</w:t>
      </w:r>
    </w:p>
    <w:p>
      <w:pPr>
        <w:pStyle w:val="3"/>
        <w:ind w:firstLine="480"/>
        <w:rPr>
          <w:rStyle w:val="53"/>
          <w:rFonts w:cs="Times New Roman"/>
        </w:rPr>
      </w:pPr>
      <w:r>
        <w:rPr>
          <w:rStyle w:val="53"/>
          <w:rFonts w:cs="Times New Roman"/>
        </w:rPr>
        <w:t>（6）湖南省人民政府关于印发《湖南省土壤污染防治工作方案》的通知，湘政发〔2017〕4号；</w:t>
      </w:r>
    </w:p>
    <w:p>
      <w:pPr>
        <w:pStyle w:val="3"/>
        <w:ind w:firstLine="480"/>
        <w:rPr>
          <w:rStyle w:val="53"/>
          <w:rFonts w:cs="Times New Roman"/>
        </w:rPr>
      </w:pPr>
      <w:r>
        <w:rPr>
          <w:rStyle w:val="53"/>
          <w:rFonts w:cs="Times New Roman"/>
        </w:rPr>
        <w:t>（7）《湖南省人民政府关于印发&lt;湖南湘江保护条例实施方案&gt;的通知》（湘政发[2014]9号）；</w:t>
      </w:r>
    </w:p>
    <w:p>
      <w:pPr>
        <w:pStyle w:val="3"/>
        <w:ind w:firstLine="480"/>
        <w:rPr>
          <w:rStyle w:val="53"/>
          <w:rFonts w:cs="Times New Roman"/>
        </w:rPr>
      </w:pPr>
      <w:r>
        <w:rPr>
          <w:rStyle w:val="53"/>
          <w:rFonts w:cs="Times New Roman"/>
        </w:rPr>
        <w:t>（8）《湖南省人民政府办公厅关于加快转型升级推进现代畜牧业发展的意见》（湘政发[2016]27号）；</w:t>
      </w:r>
    </w:p>
    <w:p>
      <w:pPr>
        <w:pStyle w:val="3"/>
        <w:ind w:firstLine="480"/>
        <w:rPr>
          <w:rStyle w:val="53"/>
          <w:rFonts w:cs="Times New Roman"/>
        </w:rPr>
      </w:pPr>
      <w:r>
        <w:rPr>
          <w:rStyle w:val="53"/>
          <w:rFonts w:cs="Times New Roman"/>
        </w:rPr>
        <w:t>（9）《湖南省畜禽规模养殖污染防治规定》（湘政办发[2017]29号）；</w:t>
      </w:r>
    </w:p>
    <w:p>
      <w:pPr>
        <w:pStyle w:val="3"/>
        <w:ind w:firstLine="480"/>
        <w:rPr>
          <w:rStyle w:val="53"/>
          <w:rFonts w:cs="Times New Roman"/>
        </w:rPr>
      </w:pPr>
      <w:r>
        <w:rPr>
          <w:rStyle w:val="53"/>
          <w:rFonts w:cs="Times New Roman"/>
        </w:rPr>
        <w:t>（10）《湖南省人民政府办公厅关于加快推进畜禽养殖废弃物资源化利用的实施意见》（湘政办发[2017]68号）。</w:t>
      </w:r>
    </w:p>
    <w:p>
      <w:pPr>
        <w:pStyle w:val="6"/>
        <w:rPr>
          <w:rFonts w:cs="Times New Roman"/>
        </w:rPr>
      </w:pPr>
      <w:r>
        <w:rPr>
          <w:rFonts w:cs="Times New Roman"/>
        </w:rPr>
        <w:t>技术依据</w:t>
      </w:r>
    </w:p>
    <w:p>
      <w:pPr>
        <w:pStyle w:val="3"/>
        <w:ind w:firstLine="480"/>
        <w:rPr>
          <w:rFonts w:cs="Times New Roman"/>
        </w:rPr>
      </w:pPr>
      <w:r>
        <w:rPr>
          <w:rStyle w:val="53"/>
          <w:rFonts w:cs="Times New Roman"/>
        </w:rPr>
        <w:t>（</w:t>
      </w:r>
      <w:r>
        <w:rPr>
          <w:rFonts w:cs="Times New Roman"/>
        </w:rPr>
        <w:t>1）《环境影响评价技术导则—总纲》（HJ 2.1-2016）；</w:t>
      </w:r>
    </w:p>
    <w:p>
      <w:pPr>
        <w:pStyle w:val="3"/>
        <w:ind w:firstLine="480"/>
        <w:rPr>
          <w:rFonts w:cs="Times New Roman"/>
        </w:rPr>
      </w:pPr>
      <w:r>
        <w:rPr>
          <w:rStyle w:val="53"/>
          <w:rFonts w:cs="Times New Roman"/>
        </w:rPr>
        <w:t>（</w:t>
      </w:r>
      <w:r>
        <w:rPr>
          <w:rFonts w:cs="Times New Roman"/>
        </w:rPr>
        <w:t>2）《环境影响评价技术导则—大气环境》（HJ 2.2-2018）；</w:t>
      </w:r>
    </w:p>
    <w:p>
      <w:pPr>
        <w:pStyle w:val="3"/>
        <w:ind w:firstLine="480"/>
        <w:rPr>
          <w:rFonts w:cs="Times New Roman"/>
        </w:rPr>
      </w:pPr>
      <w:r>
        <w:rPr>
          <w:rStyle w:val="53"/>
          <w:rFonts w:cs="Times New Roman"/>
        </w:rPr>
        <w:t>（</w:t>
      </w:r>
      <w:r>
        <w:rPr>
          <w:rFonts w:cs="Times New Roman"/>
        </w:rPr>
        <w:t>3）《环境影响评价技术导则—地表水环境》（HJ2.3-2018）；</w:t>
      </w:r>
    </w:p>
    <w:p>
      <w:pPr>
        <w:pStyle w:val="3"/>
        <w:ind w:firstLine="480"/>
        <w:rPr>
          <w:rFonts w:cs="Times New Roman"/>
        </w:rPr>
      </w:pPr>
      <w:r>
        <w:rPr>
          <w:rStyle w:val="53"/>
          <w:rFonts w:cs="Times New Roman"/>
        </w:rPr>
        <w:t>（</w:t>
      </w:r>
      <w:r>
        <w:rPr>
          <w:rFonts w:cs="Times New Roman"/>
        </w:rPr>
        <w:t>4）《环境影响评价技术导则—地下水环境》（HJ 610-2016）；</w:t>
      </w:r>
    </w:p>
    <w:p>
      <w:pPr>
        <w:pStyle w:val="3"/>
        <w:ind w:firstLine="480"/>
        <w:rPr>
          <w:rFonts w:cs="Times New Roman"/>
        </w:rPr>
      </w:pPr>
      <w:r>
        <w:rPr>
          <w:rStyle w:val="53"/>
          <w:rFonts w:cs="Times New Roman"/>
        </w:rPr>
        <w:t>（</w:t>
      </w:r>
      <w:r>
        <w:rPr>
          <w:rFonts w:cs="Times New Roman"/>
        </w:rPr>
        <w:t>5）《环境影响评价技术导则—声环境》（HJ 2.4-2009）；</w:t>
      </w:r>
    </w:p>
    <w:p>
      <w:pPr>
        <w:pStyle w:val="3"/>
        <w:ind w:firstLine="480"/>
        <w:rPr>
          <w:rFonts w:cs="Times New Roman"/>
        </w:rPr>
      </w:pPr>
      <w:r>
        <w:rPr>
          <w:rStyle w:val="53"/>
          <w:rFonts w:cs="Times New Roman"/>
        </w:rPr>
        <w:t>（</w:t>
      </w:r>
      <w:r>
        <w:rPr>
          <w:rFonts w:cs="Times New Roman"/>
        </w:rPr>
        <w:t>6）《环境影响评价技术导则—土壤环境（试行）》（HJ 964-2018）；</w:t>
      </w:r>
    </w:p>
    <w:p>
      <w:pPr>
        <w:pStyle w:val="3"/>
        <w:ind w:firstLine="480"/>
        <w:rPr>
          <w:rFonts w:cs="Times New Roman"/>
        </w:rPr>
      </w:pPr>
      <w:r>
        <w:rPr>
          <w:rStyle w:val="53"/>
          <w:rFonts w:cs="Times New Roman"/>
        </w:rPr>
        <w:t>（</w:t>
      </w:r>
      <w:r>
        <w:rPr>
          <w:rFonts w:cs="Times New Roman"/>
        </w:rPr>
        <w:t>7）《建设项目环境风险评价技术导则》（HJ 169-2018）；</w:t>
      </w:r>
    </w:p>
    <w:p>
      <w:pPr>
        <w:pStyle w:val="3"/>
        <w:ind w:firstLine="480"/>
        <w:rPr>
          <w:rFonts w:cs="Times New Roman"/>
        </w:rPr>
      </w:pPr>
      <w:r>
        <w:rPr>
          <w:rStyle w:val="53"/>
          <w:rFonts w:cs="Times New Roman"/>
        </w:rPr>
        <w:t>（</w:t>
      </w:r>
      <w:r>
        <w:rPr>
          <w:rFonts w:cs="Times New Roman"/>
        </w:rPr>
        <w:t>8）《企业突发环境事件风险分级方法》（HJ 941-2018）</w:t>
      </w:r>
    </w:p>
    <w:p>
      <w:pPr>
        <w:pStyle w:val="3"/>
        <w:ind w:firstLine="480"/>
        <w:rPr>
          <w:rFonts w:cs="Times New Roman"/>
        </w:rPr>
      </w:pPr>
      <w:r>
        <w:rPr>
          <w:rStyle w:val="53"/>
          <w:rFonts w:cs="Times New Roman"/>
        </w:rPr>
        <w:t>（</w:t>
      </w:r>
      <w:r>
        <w:rPr>
          <w:rFonts w:cs="Times New Roman"/>
        </w:rPr>
        <w:t>9）《环境影响评价技术导则-生态影响》（HJ 19-2011）；</w:t>
      </w:r>
    </w:p>
    <w:p>
      <w:pPr>
        <w:pStyle w:val="3"/>
        <w:ind w:firstLine="480"/>
        <w:rPr>
          <w:rFonts w:cs="Times New Roman"/>
        </w:rPr>
      </w:pPr>
      <w:r>
        <w:rPr>
          <w:rStyle w:val="53"/>
          <w:rFonts w:cs="Times New Roman"/>
        </w:rPr>
        <w:t>（</w:t>
      </w:r>
      <w:r>
        <w:rPr>
          <w:rFonts w:cs="Times New Roman"/>
        </w:rPr>
        <w:t>10）《畜禽养殖业污染防治技术规范》（HJ/T 81-2001）；</w:t>
      </w:r>
    </w:p>
    <w:p>
      <w:pPr>
        <w:pStyle w:val="3"/>
        <w:ind w:firstLine="480"/>
        <w:rPr>
          <w:rFonts w:cs="Times New Roman"/>
        </w:rPr>
      </w:pPr>
      <w:r>
        <w:rPr>
          <w:rStyle w:val="53"/>
          <w:rFonts w:cs="Times New Roman"/>
        </w:rPr>
        <w:t>（</w:t>
      </w:r>
      <w:r>
        <w:rPr>
          <w:rFonts w:cs="Times New Roman"/>
        </w:rPr>
        <w:t>11）《畜禽养殖业污染治理工程技术规范》（HJ 497-2009）；</w:t>
      </w:r>
    </w:p>
    <w:p>
      <w:pPr>
        <w:pStyle w:val="3"/>
        <w:ind w:firstLine="480"/>
        <w:rPr>
          <w:rFonts w:cs="Times New Roman"/>
        </w:rPr>
      </w:pPr>
      <w:r>
        <w:rPr>
          <w:rStyle w:val="53"/>
          <w:rFonts w:cs="Times New Roman"/>
        </w:rPr>
        <w:t>（</w:t>
      </w:r>
      <w:r>
        <w:rPr>
          <w:rFonts w:cs="Times New Roman"/>
        </w:rPr>
        <w:t>12）</w:t>
      </w:r>
      <w:r>
        <w:rPr>
          <w:rFonts w:cs="Times New Roman"/>
          <w:kern w:val="10"/>
          <w:lang w:val="zh-CN"/>
        </w:rPr>
        <w:t>《畜禽养殖产地环境评价规范》</w:t>
      </w:r>
      <w:r>
        <w:rPr>
          <w:rFonts w:cs="Times New Roman"/>
        </w:rPr>
        <w:t>（HJ 568-2010）；</w:t>
      </w:r>
    </w:p>
    <w:p>
      <w:pPr>
        <w:pStyle w:val="3"/>
        <w:ind w:firstLine="480"/>
        <w:rPr>
          <w:rFonts w:cs="Times New Roman"/>
        </w:rPr>
      </w:pPr>
      <w:r>
        <w:rPr>
          <w:rStyle w:val="53"/>
          <w:rFonts w:cs="Times New Roman"/>
        </w:rPr>
        <w:t>（</w:t>
      </w:r>
      <w:r>
        <w:rPr>
          <w:rFonts w:cs="Times New Roman"/>
        </w:rPr>
        <w:t>13）《畜禽粪便还田技术规范》（GB/T 25246-2012）；</w:t>
      </w:r>
    </w:p>
    <w:p>
      <w:pPr>
        <w:pStyle w:val="3"/>
        <w:ind w:firstLine="480"/>
        <w:rPr>
          <w:rFonts w:cs="Times New Roman"/>
        </w:rPr>
      </w:pPr>
      <w:r>
        <w:rPr>
          <w:rStyle w:val="53"/>
          <w:rFonts w:cs="Times New Roman"/>
        </w:rPr>
        <w:t>（</w:t>
      </w:r>
      <w:r>
        <w:rPr>
          <w:rFonts w:cs="Times New Roman"/>
        </w:rPr>
        <w:t>14）《村镇规划卫生规范》（GB18055-2012）。</w:t>
      </w:r>
    </w:p>
    <w:p>
      <w:pPr>
        <w:pStyle w:val="6"/>
        <w:rPr>
          <w:rFonts w:cs="Times New Roman"/>
        </w:rPr>
      </w:pPr>
      <w:r>
        <w:rPr>
          <w:rFonts w:cs="Times New Roman"/>
        </w:rPr>
        <w:t>技术性文件及相关资料</w:t>
      </w:r>
    </w:p>
    <w:p>
      <w:pPr>
        <w:pStyle w:val="3"/>
        <w:ind w:firstLine="480"/>
        <w:rPr>
          <w:rFonts w:cs="Times New Roman"/>
        </w:rPr>
      </w:pPr>
      <w:r>
        <w:rPr>
          <w:rStyle w:val="53"/>
          <w:rFonts w:cs="Times New Roman"/>
        </w:rPr>
        <w:t>（</w:t>
      </w:r>
      <w:r>
        <w:rPr>
          <w:rFonts w:cs="Times New Roman"/>
        </w:rPr>
        <w:t>1）</w:t>
      </w:r>
      <w:r>
        <w:rPr>
          <w:rFonts w:hint="eastAsia" w:cs="Times New Roman"/>
        </w:rPr>
        <w:t>湖南安发</w:t>
      </w:r>
      <w:r>
        <w:rPr>
          <w:rFonts w:cs="Times New Roman"/>
        </w:rPr>
        <w:t>原生态农业旅游开发有限公司养鸡场项目环评委托书；</w:t>
      </w:r>
    </w:p>
    <w:p>
      <w:pPr>
        <w:pStyle w:val="3"/>
        <w:ind w:firstLine="480"/>
        <w:rPr>
          <w:rFonts w:cs="Times New Roman"/>
        </w:rPr>
      </w:pPr>
      <w:r>
        <w:rPr>
          <w:rStyle w:val="53"/>
          <w:rFonts w:cs="Times New Roman"/>
        </w:rPr>
        <w:t>（</w:t>
      </w:r>
      <w:r>
        <w:rPr>
          <w:rFonts w:cs="Times New Roman"/>
        </w:rPr>
        <w:t>2）</w:t>
      </w:r>
      <w:r>
        <w:rPr>
          <w:rFonts w:hint="eastAsia" w:cs="Times New Roman"/>
        </w:rPr>
        <w:t>湖南中</w:t>
      </w:r>
      <w:r>
        <w:rPr>
          <w:rFonts w:cs="Times New Roman"/>
        </w:rPr>
        <w:t>额环保科技有限公司出具的检测报告及质保单；</w:t>
      </w:r>
    </w:p>
    <w:p>
      <w:pPr>
        <w:pStyle w:val="3"/>
        <w:ind w:firstLine="480"/>
        <w:rPr>
          <w:rFonts w:cs="Times New Roman"/>
        </w:rPr>
      </w:pPr>
      <w:r>
        <w:rPr>
          <w:rFonts w:cs="Times New Roman"/>
        </w:rPr>
        <w:t>（3）</w:t>
      </w:r>
      <w:r>
        <w:rPr>
          <w:rFonts w:hint="eastAsia" w:cs="Times New Roman"/>
        </w:rPr>
        <w:t>衡阳市生态环境</w:t>
      </w:r>
      <w:r>
        <w:rPr>
          <w:rFonts w:cs="Times New Roman"/>
        </w:rPr>
        <w:t>局衡阳县分局关于本项目环评执行标准函。</w:t>
      </w:r>
    </w:p>
    <w:p>
      <w:pPr>
        <w:pStyle w:val="5"/>
      </w:pPr>
      <w:bookmarkStart w:id="9" w:name="_Toc80889070"/>
      <w:r>
        <w:rPr>
          <w:rFonts w:hint="eastAsia"/>
        </w:rPr>
        <w:t>评价</w:t>
      </w:r>
      <w:r>
        <w:t>目的及评价原则</w:t>
      </w:r>
      <w:bookmarkEnd w:id="9"/>
    </w:p>
    <w:p>
      <w:pPr>
        <w:pStyle w:val="6"/>
        <w:rPr>
          <w:rFonts w:cs="Times New Roman"/>
        </w:rPr>
      </w:pPr>
      <w:r>
        <w:rPr>
          <w:rFonts w:cs="Times New Roman"/>
        </w:rPr>
        <w:t>评价目的</w:t>
      </w:r>
    </w:p>
    <w:p>
      <w:pPr>
        <w:pStyle w:val="3"/>
        <w:ind w:firstLine="480"/>
        <w:rPr>
          <w:rFonts w:cs="Times New Roman"/>
        </w:rPr>
      </w:pPr>
      <w:r>
        <w:rPr>
          <w:rFonts w:cs="Times New Roman"/>
        </w:rPr>
        <w:t>（1）通过收集资料、现状调查和现状监测，掌握工程所在区域的自然环境及环境质量现状。</w:t>
      </w:r>
    </w:p>
    <w:p>
      <w:pPr>
        <w:pStyle w:val="3"/>
        <w:ind w:firstLine="480"/>
        <w:rPr>
          <w:rFonts w:cs="Times New Roman"/>
        </w:rPr>
      </w:pPr>
      <w:r>
        <w:rPr>
          <w:rFonts w:cs="Times New Roman"/>
        </w:rPr>
        <w:t>（2）通过对本项目的工程建设内容的分析，查清主要污染源、污染物，核实各类污染物排放量及排放方式，确定工程主要污染因子及环境影响要素；预测本项目的建设对周围环境的影响；</w:t>
      </w:r>
    </w:p>
    <w:p>
      <w:pPr>
        <w:pStyle w:val="3"/>
        <w:ind w:firstLine="480"/>
        <w:rPr>
          <w:rFonts w:cs="Times New Roman"/>
        </w:rPr>
      </w:pPr>
      <w:r>
        <w:rPr>
          <w:rFonts w:cs="Times New Roman"/>
        </w:rPr>
        <w:t>（3）根据本项目的建设特点，从技术、经济角度对运营期的环境保护措施进行分析论证，为管理决策部门、设计部门优化设计及建设单位的环境管理提供科学依据；</w:t>
      </w:r>
    </w:p>
    <w:p>
      <w:pPr>
        <w:pStyle w:val="3"/>
        <w:ind w:firstLine="480"/>
        <w:rPr>
          <w:rFonts w:cs="Times New Roman"/>
        </w:rPr>
      </w:pPr>
      <w:r>
        <w:rPr>
          <w:rFonts w:cs="Times New Roman"/>
        </w:rPr>
        <w:t>（4）综合相关政策、当地社会经济发展规划、评价区域环境质量现状、工程选址可行性等的分析结论，从环保角度明确说明本项目的可行性，为本项目的建设审批、环境保护、工程设计、建设管理等提供科学的依据；</w:t>
      </w:r>
    </w:p>
    <w:p>
      <w:pPr>
        <w:pStyle w:val="3"/>
        <w:ind w:firstLine="480"/>
        <w:rPr>
          <w:rFonts w:cs="Times New Roman"/>
        </w:rPr>
      </w:pPr>
      <w:r>
        <w:rPr>
          <w:rFonts w:cs="Times New Roman"/>
        </w:rPr>
        <w:t>（5）在满足环评要求的基础上，本次环评工作应充分利用该地区已有的资料和成果，避免重复劳动，力求节省资金并提高工作效率；</w:t>
      </w:r>
    </w:p>
    <w:p>
      <w:pPr>
        <w:pStyle w:val="3"/>
        <w:ind w:firstLine="480"/>
        <w:rPr>
          <w:rFonts w:cs="Times New Roman"/>
        </w:rPr>
      </w:pPr>
      <w:r>
        <w:rPr>
          <w:rFonts w:cs="Times New Roman"/>
        </w:rPr>
        <w:t>（6）从环保法规、产业政策、城镇规划、环境功能区划、污染防治、环境容量、总量控制以及达标排放等诸方面对建设项目的可行性做出明确结论。</w:t>
      </w:r>
    </w:p>
    <w:p>
      <w:pPr>
        <w:pStyle w:val="6"/>
        <w:rPr>
          <w:rFonts w:cs="Times New Roman"/>
        </w:rPr>
      </w:pPr>
      <w:r>
        <w:rPr>
          <w:rFonts w:cs="Times New Roman"/>
        </w:rPr>
        <w:t>评价原则</w:t>
      </w:r>
    </w:p>
    <w:p>
      <w:pPr>
        <w:pStyle w:val="3"/>
        <w:ind w:firstLine="480"/>
        <w:rPr>
          <w:rFonts w:cs="Times New Roman"/>
        </w:rPr>
      </w:pPr>
      <w:r>
        <w:rPr>
          <w:rFonts w:cs="Times New Roman"/>
        </w:rPr>
        <w:t>（1）坚持环境影响评价工作为经济建设服务，为环境管理服务的原则，注重评价工作的实用性、针对性，为环境管理决策提供科学依据；</w:t>
      </w:r>
    </w:p>
    <w:p>
      <w:pPr>
        <w:pStyle w:val="3"/>
        <w:ind w:firstLine="480"/>
        <w:rPr>
          <w:rFonts w:cs="Times New Roman"/>
        </w:rPr>
      </w:pPr>
      <w:r>
        <w:rPr>
          <w:rFonts w:cs="Times New Roman"/>
        </w:rPr>
        <w:t>（2）坚持“预防为主、防治结合”原则，做好该工程的污染防治和环境影响评价工作；</w:t>
      </w:r>
    </w:p>
    <w:p>
      <w:pPr>
        <w:pStyle w:val="3"/>
        <w:ind w:firstLine="480"/>
        <w:rPr>
          <w:rFonts w:cs="Times New Roman"/>
        </w:rPr>
      </w:pPr>
      <w:r>
        <w:rPr>
          <w:rFonts w:cs="Times New Roman"/>
        </w:rPr>
        <w:t>（3）贯彻《国务院关于落实科学发展观加强环境保护的决定》（国发[2005]39号）的精神：贯彻“清洁生产”、“达标排放”、“节能减排”、“总量控制”的原则。</w:t>
      </w:r>
    </w:p>
    <w:p>
      <w:pPr>
        <w:pStyle w:val="3"/>
        <w:ind w:firstLine="480"/>
        <w:rPr>
          <w:rFonts w:cs="Times New Roman"/>
        </w:rPr>
      </w:pPr>
      <w:r>
        <w:rPr>
          <w:rFonts w:cs="Times New Roman"/>
        </w:rPr>
        <w:t>（4）以科学、客观、公正、务实的原则，开展环境影响评价工作，评价内容力求主次分明、重点突出、数据正确、结论可靠，环保对策建议可操作性、实用性强；</w:t>
      </w:r>
    </w:p>
    <w:p>
      <w:pPr>
        <w:pStyle w:val="3"/>
        <w:ind w:firstLine="480"/>
      </w:pPr>
      <w:r>
        <w:rPr>
          <w:rFonts w:cs="Times New Roman"/>
        </w:rPr>
        <w:t>（5）充分利用现有资料，满足工程需要并保证评价工作质量。</w:t>
      </w:r>
    </w:p>
    <w:p>
      <w:pPr>
        <w:pStyle w:val="5"/>
      </w:pPr>
      <w:bookmarkStart w:id="10" w:name="_Toc80889071"/>
      <w:r>
        <w:rPr>
          <w:rFonts w:hint="eastAsia"/>
        </w:rPr>
        <w:t>评价</w:t>
      </w:r>
      <w:r>
        <w:t>内容与</w:t>
      </w:r>
      <w:r>
        <w:rPr>
          <w:rFonts w:hint="eastAsia"/>
        </w:rPr>
        <w:t>重点</w:t>
      </w:r>
      <w:bookmarkEnd w:id="10"/>
    </w:p>
    <w:p>
      <w:pPr>
        <w:pStyle w:val="6"/>
        <w:rPr>
          <w:rFonts w:cs="Times New Roman"/>
        </w:rPr>
      </w:pPr>
      <w:r>
        <w:rPr>
          <w:rFonts w:cs="Times New Roman"/>
        </w:rPr>
        <w:t>评价工作内容</w:t>
      </w:r>
    </w:p>
    <w:p>
      <w:pPr>
        <w:pStyle w:val="3"/>
        <w:ind w:firstLine="480"/>
        <w:rPr>
          <w:rFonts w:cs="Times New Roman"/>
        </w:rPr>
      </w:pPr>
      <w:r>
        <w:rPr>
          <w:rFonts w:cs="Times New Roman"/>
        </w:rPr>
        <w:t>根据本项目工程特征、场址周围自然、社会环境概况，以及环境影响因子识别分析，本次评价的主要内容有：工程概况及工程分析、评价区域环境质量现状监测与评价、环境影响预测与评价、环境保护措施、产业政策、选址及平面布局合理性分析、环境风险评价、环境经济损益分析、环境管理与环境监测计划及结论与建议。</w:t>
      </w:r>
    </w:p>
    <w:p>
      <w:pPr>
        <w:pStyle w:val="6"/>
        <w:rPr>
          <w:rFonts w:cs="Times New Roman"/>
        </w:rPr>
      </w:pPr>
      <w:r>
        <w:rPr>
          <w:rFonts w:cs="Times New Roman"/>
        </w:rPr>
        <w:t>评价工作重点</w:t>
      </w:r>
    </w:p>
    <w:p>
      <w:pPr>
        <w:pStyle w:val="3"/>
        <w:ind w:firstLine="480"/>
      </w:pPr>
      <w:r>
        <w:rPr>
          <w:rFonts w:cs="Times New Roman"/>
          <w:szCs w:val="24"/>
        </w:rPr>
        <w:t>本项目评价工作重点：工程分析、选址合理性分析、水环境影响评价、大气环境影响评价（臭气浓度的污染影响分析）、固体废物环境影响评价、污染防治措施评述、污染防治措施及其经济技术论证等</w:t>
      </w:r>
      <w:r>
        <w:rPr>
          <w:rFonts w:cs="Times New Roman"/>
        </w:rPr>
        <w:t>。</w:t>
      </w:r>
    </w:p>
    <w:p>
      <w:pPr>
        <w:pStyle w:val="5"/>
      </w:pPr>
      <w:bookmarkStart w:id="11" w:name="_Toc80889072"/>
      <w:r>
        <w:rPr>
          <w:rFonts w:hint="eastAsia"/>
        </w:rPr>
        <w:t>环境</w:t>
      </w:r>
      <w:r>
        <w:t>影响识别及评价</w:t>
      </w:r>
      <w:r>
        <w:rPr>
          <w:rFonts w:hint="eastAsia"/>
        </w:rPr>
        <w:t>因子</w:t>
      </w:r>
      <w:r>
        <w:t>筛选</w:t>
      </w:r>
      <w:bookmarkEnd w:id="11"/>
    </w:p>
    <w:p>
      <w:pPr>
        <w:pStyle w:val="6"/>
        <w:rPr>
          <w:rFonts w:cs="Times New Roman"/>
        </w:rPr>
      </w:pPr>
      <w:r>
        <w:rPr>
          <w:rFonts w:cs="Times New Roman"/>
        </w:rPr>
        <w:t>环境影响识别</w:t>
      </w:r>
    </w:p>
    <w:p>
      <w:pPr>
        <w:pStyle w:val="3"/>
        <w:ind w:firstLine="480"/>
        <w:rPr>
          <w:rFonts w:cs="Times New Roman"/>
        </w:rPr>
      </w:pPr>
      <w:r>
        <w:rPr>
          <w:rFonts w:cs="Times New Roman"/>
        </w:rPr>
        <w:t>根据本项目的生产工艺和污染物排放特征以及项目周边地区环境状况，分析工程周边自然环境、生态环境、社会经济、生活质量等诸因素可能产生的影响，采用矩阵法对可能受该工程影响的环境要素进行识别筛选，其结果见表2.4-1。</w:t>
      </w:r>
    </w:p>
    <w:p>
      <w:pPr>
        <w:pStyle w:val="15"/>
        <w:rPr>
          <w:rFonts w:cs="Times New Roman"/>
        </w:rPr>
      </w:pPr>
      <w:r>
        <w:rPr>
          <w:rFonts w:cs="Times New Roman"/>
        </w:rPr>
        <w:t>表2.4-1  环境影响因素识别表</w:t>
      </w:r>
    </w:p>
    <w:tbl>
      <w:tblPr>
        <w:tblStyle w:val="26"/>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1092"/>
        <w:gridCol w:w="584"/>
        <w:gridCol w:w="584"/>
        <w:gridCol w:w="588"/>
        <w:gridCol w:w="588"/>
        <w:gridCol w:w="588"/>
        <w:gridCol w:w="588"/>
        <w:gridCol w:w="588"/>
        <w:gridCol w:w="592"/>
        <w:gridCol w:w="592"/>
        <w:gridCol w:w="590"/>
        <w:gridCol w:w="589"/>
        <w:gridCol w:w="591"/>
        <w:gridCol w:w="59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9" w:type="pct"/>
            <w:gridSpan w:val="2"/>
            <w:vMerge w:val="restart"/>
            <w:tcBorders>
              <w:top w:val="single" w:color="auto" w:sz="4" w:space="0"/>
              <w:left w:val="single" w:color="auto" w:sz="4" w:space="0"/>
              <w:bottom w:val="single" w:color="auto" w:sz="4" w:space="0"/>
              <w:tl2br w:val="single" w:color="auto" w:sz="4" w:space="0"/>
              <w:tr2bl w:val="nil"/>
            </w:tcBorders>
            <w:vAlign w:val="center"/>
          </w:tcPr>
          <w:p>
            <w:pPr>
              <w:pStyle w:val="39"/>
              <w:jc w:val="right"/>
              <w:rPr>
                <w:rFonts w:cs="Times New Roman"/>
                <w:snapToGrid w:val="0"/>
              </w:rPr>
            </w:pPr>
            <w:r>
              <w:rPr>
                <w:rFonts w:cs="Times New Roman"/>
                <w:snapToGrid w:val="0"/>
              </w:rPr>
              <w:t>环境资源</w:t>
            </w:r>
          </w:p>
          <w:p>
            <w:pPr>
              <w:pStyle w:val="39"/>
              <w:jc w:val="right"/>
              <w:rPr>
                <w:rFonts w:cs="Times New Roman"/>
                <w:snapToGrid w:val="0"/>
              </w:rPr>
            </w:pPr>
          </w:p>
          <w:p>
            <w:pPr>
              <w:pStyle w:val="39"/>
              <w:rPr>
                <w:rFonts w:cs="Times New Roman"/>
                <w:snapToGrid w:val="0"/>
              </w:rPr>
            </w:pPr>
            <w:r>
              <w:rPr>
                <w:rFonts w:cs="Times New Roman"/>
                <w:snapToGrid w:val="0"/>
              </w:rPr>
              <w:t>影响程度</w:t>
            </w:r>
          </w:p>
          <w:p>
            <w:pPr>
              <w:pStyle w:val="39"/>
              <w:rPr>
                <w:rFonts w:cs="Times New Roman"/>
                <w:snapToGrid w:val="0"/>
              </w:rPr>
            </w:pPr>
          </w:p>
          <w:p>
            <w:pPr>
              <w:pStyle w:val="39"/>
              <w:jc w:val="left"/>
              <w:rPr>
                <w:rFonts w:cs="Times New Roman"/>
                <w:snapToGrid w:val="0"/>
              </w:rPr>
            </w:pPr>
            <w:r>
              <w:rPr>
                <w:rFonts w:cs="Times New Roman"/>
                <w:snapToGrid w:val="0"/>
              </w:rPr>
              <w:t>开发活动</w:t>
            </w:r>
          </w:p>
        </w:tc>
        <w:tc>
          <w:tcPr>
            <w:tcW w:w="1280" w:type="pct"/>
            <w:gridSpan w:val="4"/>
            <w:tcBorders>
              <w:top w:val="single" w:color="auto" w:sz="4" w:space="0"/>
              <w:bottom w:val="single" w:color="auto" w:sz="4" w:space="0"/>
              <w:tl2br w:val="nil"/>
              <w:tr2bl w:val="nil"/>
            </w:tcBorders>
            <w:vAlign w:val="center"/>
          </w:tcPr>
          <w:p>
            <w:pPr>
              <w:pStyle w:val="39"/>
              <w:rPr>
                <w:rFonts w:cs="Times New Roman"/>
                <w:snapToGrid w:val="0"/>
              </w:rPr>
            </w:pPr>
            <w:r>
              <w:rPr>
                <w:rFonts w:cs="Times New Roman"/>
                <w:snapToGrid w:val="0"/>
              </w:rPr>
              <w:t>自然环境</w:t>
            </w:r>
          </w:p>
        </w:tc>
        <w:tc>
          <w:tcPr>
            <w:tcW w:w="963" w:type="pct"/>
            <w:gridSpan w:val="3"/>
            <w:tcBorders>
              <w:top w:val="single" w:color="auto" w:sz="4" w:space="0"/>
              <w:bottom w:val="single" w:color="auto" w:sz="4" w:space="0"/>
              <w:tl2br w:val="nil"/>
              <w:tr2bl w:val="nil"/>
            </w:tcBorders>
            <w:vAlign w:val="center"/>
          </w:tcPr>
          <w:p>
            <w:pPr>
              <w:pStyle w:val="39"/>
              <w:rPr>
                <w:rFonts w:cs="Times New Roman"/>
                <w:snapToGrid w:val="0"/>
              </w:rPr>
            </w:pPr>
            <w:r>
              <w:rPr>
                <w:rFonts w:cs="Times New Roman"/>
                <w:snapToGrid w:val="0"/>
              </w:rPr>
              <w:t>生态环境</w:t>
            </w:r>
          </w:p>
        </w:tc>
        <w:tc>
          <w:tcPr>
            <w:tcW w:w="965" w:type="pct"/>
            <w:gridSpan w:val="3"/>
            <w:tcBorders>
              <w:top w:val="single" w:color="auto" w:sz="4" w:space="0"/>
              <w:bottom w:val="single" w:color="auto" w:sz="4" w:space="0"/>
              <w:tl2br w:val="nil"/>
              <w:tr2bl w:val="nil"/>
            </w:tcBorders>
            <w:vAlign w:val="center"/>
          </w:tcPr>
          <w:p>
            <w:pPr>
              <w:pStyle w:val="39"/>
              <w:rPr>
                <w:rFonts w:cs="Times New Roman"/>
                <w:snapToGrid w:val="0"/>
              </w:rPr>
            </w:pPr>
            <w:r>
              <w:rPr>
                <w:rFonts w:cs="Times New Roman"/>
                <w:snapToGrid w:val="0"/>
              </w:rPr>
              <w:t>社会经济</w:t>
            </w:r>
          </w:p>
        </w:tc>
        <w:tc>
          <w:tcPr>
            <w:tcW w:w="963" w:type="pct"/>
            <w:gridSpan w:val="3"/>
            <w:tcBorders>
              <w:top w:val="single" w:color="auto" w:sz="4" w:space="0"/>
              <w:bottom w:val="single" w:color="auto" w:sz="4" w:space="0"/>
              <w:right w:val="single" w:color="auto" w:sz="4" w:space="0"/>
              <w:tl2br w:val="nil"/>
              <w:tr2bl w:val="nil"/>
            </w:tcBorders>
            <w:vAlign w:val="center"/>
          </w:tcPr>
          <w:p>
            <w:pPr>
              <w:pStyle w:val="39"/>
              <w:rPr>
                <w:rFonts w:cs="Times New Roman"/>
                <w:snapToGrid w:val="0"/>
              </w:rPr>
            </w:pPr>
            <w:r>
              <w:rPr>
                <w:rFonts w:cs="Times New Roman"/>
                <w:snapToGrid w:val="0"/>
              </w:rPr>
              <w:t>生活质量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9" w:type="pct"/>
            <w:gridSpan w:val="2"/>
            <w:vMerge w:val="continue"/>
            <w:tcBorders>
              <w:top w:val="single" w:color="auto" w:sz="4" w:space="0"/>
              <w:left w:val="single" w:color="auto" w:sz="4" w:space="0"/>
              <w:bottom w:val="single" w:color="auto" w:sz="4" w:space="0"/>
              <w:tl2br w:val="nil"/>
              <w:tr2bl w:val="nil"/>
            </w:tcBorders>
            <w:vAlign w:val="center"/>
          </w:tcPr>
          <w:p>
            <w:pPr>
              <w:pStyle w:val="39"/>
              <w:rPr>
                <w:rFonts w:cs="Times New Roman"/>
                <w:snapToGrid w:val="0"/>
              </w:rPr>
            </w:pPr>
          </w:p>
        </w:tc>
        <w:tc>
          <w:tcPr>
            <w:tcW w:w="319" w:type="pct"/>
            <w:tcBorders>
              <w:top w:val="single" w:color="auto" w:sz="4" w:space="0"/>
              <w:bottom w:val="single" w:color="auto" w:sz="4" w:space="0"/>
              <w:tl2br w:val="nil"/>
              <w:tr2bl w:val="nil"/>
            </w:tcBorders>
            <w:vAlign w:val="center"/>
          </w:tcPr>
          <w:p>
            <w:pPr>
              <w:pStyle w:val="39"/>
              <w:rPr>
                <w:rFonts w:cs="Times New Roman"/>
                <w:snapToGrid w:val="0"/>
              </w:rPr>
            </w:pPr>
            <w:r>
              <w:rPr>
                <w:rFonts w:cs="Times New Roman"/>
                <w:snapToGrid w:val="0"/>
              </w:rPr>
              <w:t>环境空气</w:t>
            </w:r>
          </w:p>
        </w:tc>
        <w:tc>
          <w:tcPr>
            <w:tcW w:w="319" w:type="pct"/>
            <w:tcBorders>
              <w:top w:val="single" w:color="auto" w:sz="4" w:space="0"/>
              <w:bottom w:val="single" w:color="auto" w:sz="4" w:space="0"/>
              <w:tl2br w:val="nil"/>
              <w:tr2bl w:val="nil"/>
            </w:tcBorders>
            <w:vAlign w:val="center"/>
          </w:tcPr>
          <w:p>
            <w:pPr>
              <w:pStyle w:val="39"/>
              <w:rPr>
                <w:rFonts w:cs="Times New Roman"/>
                <w:snapToGrid w:val="0"/>
              </w:rPr>
            </w:pPr>
            <w:r>
              <w:rPr>
                <w:rFonts w:cs="Times New Roman"/>
                <w:snapToGrid w:val="0"/>
              </w:rPr>
              <w:t>地表水体</w:t>
            </w:r>
          </w:p>
        </w:tc>
        <w:tc>
          <w:tcPr>
            <w:tcW w:w="321" w:type="pct"/>
            <w:tcBorders>
              <w:top w:val="single" w:color="auto" w:sz="4" w:space="0"/>
              <w:bottom w:val="single" w:color="auto" w:sz="4" w:space="0"/>
              <w:tl2br w:val="nil"/>
              <w:tr2bl w:val="nil"/>
            </w:tcBorders>
            <w:vAlign w:val="center"/>
          </w:tcPr>
          <w:p>
            <w:pPr>
              <w:pStyle w:val="39"/>
              <w:rPr>
                <w:rFonts w:cs="Times New Roman"/>
                <w:snapToGrid w:val="0"/>
              </w:rPr>
            </w:pPr>
            <w:r>
              <w:rPr>
                <w:rFonts w:cs="Times New Roman"/>
                <w:snapToGrid w:val="0"/>
              </w:rPr>
              <w:t>地下水体</w:t>
            </w:r>
          </w:p>
        </w:tc>
        <w:tc>
          <w:tcPr>
            <w:tcW w:w="321" w:type="pct"/>
            <w:tcBorders>
              <w:top w:val="single" w:color="auto" w:sz="4" w:space="0"/>
              <w:bottom w:val="single" w:color="auto" w:sz="4" w:space="0"/>
              <w:tl2br w:val="nil"/>
              <w:tr2bl w:val="nil"/>
            </w:tcBorders>
            <w:vAlign w:val="center"/>
          </w:tcPr>
          <w:p>
            <w:pPr>
              <w:pStyle w:val="39"/>
              <w:rPr>
                <w:rFonts w:cs="Times New Roman"/>
                <w:snapToGrid w:val="0"/>
              </w:rPr>
            </w:pPr>
            <w:r>
              <w:rPr>
                <w:rFonts w:cs="Times New Roman"/>
                <w:snapToGrid w:val="0"/>
              </w:rPr>
              <w:t>声环境</w:t>
            </w:r>
          </w:p>
        </w:tc>
        <w:tc>
          <w:tcPr>
            <w:tcW w:w="321" w:type="pct"/>
            <w:tcBorders>
              <w:top w:val="single" w:color="auto" w:sz="4" w:space="0"/>
              <w:bottom w:val="single" w:color="auto" w:sz="4" w:space="0"/>
              <w:tl2br w:val="nil"/>
              <w:tr2bl w:val="nil"/>
            </w:tcBorders>
            <w:vAlign w:val="center"/>
          </w:tcPr>
          <w:p>
            <w:pPr>
              <w:pStyle w:val="39"/>
              <w:rPr>
                <w:rFonts w:cs="Times New Roman"/>
                <w:snapToGrid w:val="0"/>
              </w:rPr>
            </w:pPr>
            <w:r>
              <w:rPr>
                <w:rFonts w:cs="Times New Roman"/>
                <w:snapToGrid w:val="0"/>
              </w:rPr>
              <w:t>陆域生物</w:t>
            </w:r>
          </w:p>
        </w:tc>
        <w:tc>
          <w:tcPr>
            <w:tcW w:w="321" w:type="pct"/>
            <w:tcBorders>
              <w:top w:val="single" w:color="auto" w:sz="4" w:space="0"/>
              <w:bottom w:val="single" w:color="auto" w:sz="4" w:space="0"/>
              <w:tl2br w:val="nil"/>
              <w:tr2bl w:val="nil"/>
            </w:tcBorders>
            <w:vAlign w:val="center"/>
          </w:tcPr>
          <w:p>
            <w:pPr>
              <w:pStyle w:val="39"/>
              <w:rPr>
                <w:rFonts w:cs="Times New Roman"/>
                <w:snapToGrid w:val="0"/>
              </w:rPr>
            </w:pPr>
            <w:r>
              <w:rPr>
                <w:rFonts w:cs="Times New Roman"/>
                <w:snapToGrid w:val="0"/>
              </w:rPr>
              <w:t>水生生物</w:t>
            </w:r>
          </w:p>
        </w:tc>
        <w:tc>
          <w:tcPr>
            <w:tcW w:w="321" w:type="pct"/>
            <w:tcBorders>
              <w:top w:val="single" w:color="auto" w:sz="4" w:space="0"/>
              <w:bottom w:val="single" w:color="auto" w:sz="4" w:space="0"/>
              <w:tl2br w:val="nil"/>
              <w:tr2bl w:val="nil"/>
            </w:tcBorders>
            <w:vAlign w:val="center"/>
          </w:tcPr>
          <w:p>
            <w:pPr>
              <w:pStyle w:val="39"/>
              <w:rPr>
                <w:rFonts w:cs="Times New Roman"/>
                <w:snapToGrid w:val="0"/>
              </w:rPr>
            </w:pPr>
            <w:r>
              <w:rPr>
                <w:rFonts w:cs="Times New Roman"/>
                <w:snapToGrid w:val="0"/>
              </w:rPr>
              <w:t>农业生产</w:t>
            </w:r>
          </w:p>
        </w:tc>
        <w:tc>
          <w:tcPr>
            <w:tcW w:w="321" w:type="pct"/>
            <w:tcBorders>
              <w:top w:val="single" w:color="auto" w:sz="4" w:space="0"/>
              <w:bottom w:val="single" w:color="auto" w:sz="4" w:space="0"/>
              <w:tl2br w:val="nil"/>
              <w:tr2bl w:val="nil"/>
            </w:tcBorders>
            <w:vAlign w:val="center"/>
          </w:tcPr>
          <w:p>
            <w:pPr>
              <w:pStyle w:val="39"/>
              <w:rPr>
                <w:rFonts w:cs="Times New Roman"/>
                <w:snapToGrid w:val="0"/>
              </w:rPr>
            </w:pPr>
            <w:r>
              <w:rPr>
                <w:rFonts w:cs="Times New Roman"/>
                <w:snapToGrid w:val="0"/>
              </w:rPr>
              <w:t>工业发展</w:t>
            </w:r>
          </w:p>
        </w:tc>
        <w:tc>
          <w:tcPr>
            <w:tcW w:w="322" w:type="pct"/>
            <w:tcBorders>
              <w:top w:val="single" w:color="auto" w:sz="4" w:space="0"/>
              <w:bottom w:val="single" w:color="auto" w:sz="4" w:space="0"/>
              <w:tl2br w:val="nil"/>
              <w:tr2bl w:val="nil"/>
            </w:tcBorders>
            <w:vAlign w:val="center"/>
          </w:tcPr>
          <w:p>
            <w:pPr>
              <w:pStyle w:val="39"/>
              <w:rPr>
                <w:rFonts w:cs="Times New Roman"/>
                <w:snapToGrid w:val="0"/>
              </w:rPr>
            </w:pPr>
            <w:r>
              <w:rPr>
                <w:rFonts w:cs="Times New Roman"/>
                <w:snapToGrid w:val="0"/>
              </w:rPr>
              <w:t>能源利用</w:t>
            </w:r>
          </w:p>
        </w:tc>
        <w:tc>
          <w:tcPr>
            <w:tcW w:w="322" w:type="pct"/>
            <w:tcBorders>
              <w:top w:val="single" w:color="auto" w:sz="4" w:space="0"/>
              <w:bottom w:val="single" w:color="auto" w:sz="4" w:space="0"/>
              <w:tl2br w:val="nil"/>
              <w:tr2bl w:val="nil"/>
            </w:tcBorders>
            <w:vAlign w:val="center"/>
          </w:tcPr>
          <w:p>
            <w:pPr>
              <w:pStyle w:val="39"/>
              <w:rPr>
                <w:rFonts w:cs="Times New Roman"/>
                <w:snapToGrid w:val="0"/>
              </w:rPr>
            </w:pPr>
            <w:r>
              <w:rPr>
                <w:rFonts w:cs="Times New Roman"/>
                <w:snapToGrid w:val="0"/>
              </w:rPr>
              <w:t>交通运输</w:t>
            </w:r>
          </w:p>
        </w:tc>
        <w:tc>
          <w:tcPr>
            <w:tcW w:w="321" w:type="pct"/>
            <w:tcBorders>
              <w:top w:val="single" w:color="auto" w:sz="4" w:space="0"/>
              <w:bottom w:val="single" w:color="auto" w:sz="4" w:space="0"/>
              <w:tl2br w:val="nil"/>
              <w:tr2bl w:val="nil"/>
            </w:tcBorders>
            <w:vAlign w:val="center"/>
          </w:tcPr>
          <w:p>
            <w:pPr>
              <w:pStyle w:val="39"/>
              <w:rPr>
                <w:rFonts w:cs="Times New Roman"/>
                <w:snapToGrid w:val="0"/>
              </w:rPr>
            </w:pPr>
            <w:r>
              <w:rPr>
                <w:rFonts w:cs="Times New Roman"/>
                <w:snapToGrid w:val="0"/>
              </w:rPr>
              <w:t>生活水平</w:t>
            </w:r>
          </w:p>
        </w:tc>
        <w:tc>
          <w:tcPr>
            <w:tcW w:w="322" w:type="pct"/>
            <w:tcBorders>
              <w:top w:val="single" w:color="auto" w:sz="4" w:space="0"/>
              <w:bottom w:val="single" w:color="auto" w:sz="4" w:space="0"/>
              <w:tl2br w:val="nil"/>
              <w:tr2bl w:val="nil"/>
            </w:tcBorders>
            <w:vAlign w:val="center"/>
          </w:tcPr>
          <w:p>
            <w:pPr>
              <w:pStyle w:val="39"/>
              <w:rPr>
                <w:rFonts w:cs="Times New Roman"/>
                <w:snapToGrid w:val="0"/>
              </w:rPr>
            </w:pPr>
            <w:r>
              <w:rPr>
                <w:rFonts w:cs="Times New Roman"/>
                <w:snapToGrid w:val="0"/>
              </w:rPr>
              <w:t>人群健康</w:t>
            </w:r>
          </w:p>
        </w:tc>
        <w:tc>
          <w:tcPr>
            <w:tcW w:w="320" w:type="pct"/>
            <w:tcBorders>
              <w:top w:val="single" w:color="auto" w:sz="4" w:space="0"/>
              <w:bottom w:val="single" w:color="auto" w:sz="4" w:space="0"/>
              <w:right w:val="single" w:color="auto" w:sz="4" w:space="0"/>
              <w:tl2br w:val="nil"/>
              <w:tr2bl w:val="nil"/>
            </w:tcBorders>
            <w:vAlign w:val="center"/>
          </w:tcPr>
          <w:p>
            <w:pPr>
              <w:pStyle w:val="39"/>
              <w:rPr>
                <w:rFonts w:cs="Times New Roman"/>
                <w:snapToGrid w:val="0"/>
              </w:rPr>
            </w:pPr>
            <w:r>
              <w:rPr>
                <w:rFonts w:cs="Times New Roman"/>
                <w:snapToGrid w:val="0"/>
              </w:rPr>
              <w:t>人口就业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 w:type="pct"/>
            <w:vMerge w:val="restart"/>
            <w:tcBorders>
              <w:top w:val="single" w:color="auto" w:sz="4" w:space="0"/>
              <w:left w:val="single" w:color="auto" w:sz="4" w:space="0"/>
              <w:bottom w:val="single" w:color="auto" w:sz="4" w:space="0"/>
              <w:tl2br w:val="nil"/>
              <w:tr2bl w:val="nil"/>
            </w:tcBorders>
            <w:vAlign w:val="center"/>
          </w:tcPr>
          <w:p>
            <w:pPr>
              <w:pStyle w:val="39"/>
              <w:rPr>
                <w:rFonts w:cs="Times New Roman"/>
                <w:snapToGrid w:val="0"/>
              </w:rPr>
            </w:pPr>
            <w:r>
              <w:rPr>
                <w:rFonts w:cs="Times New Roman"/>
                <w:snapToGrid w:val="0"/>
              </w:rPr>
              <w:t>施工期</w:t>
            </w:r>
          </w:p>
        </w:tc>
        <w:tc>
          <w:tcPr>
            <w:tcW w:w="596" w:type="pct"/>
            <w:tcBorders>
              <w:top w:val="single" w:color="auto" w:sz="4" w:space="0"/>
              <w:bottom w:val="single" w:color="auto" w:sz="4" w:space="0"/>
              <w:tl2br w:val="nil"/>
              <w:tr2bl w:val="nil"/>
            </w:tcBorders>
            <w:vAlign w:val="center"/>
          </w:tcPr>
          <w:p>
            <w:pPr>
              <w:pStyle w:val="39"/>
              <w:rPr>
                <w:rFonts w:cs="Times New Roman"/>
                <w:snapToGrid w:val="0"/>
              </w:rPr>
            </w:pPr>
            <w:r>
              <w:rPr>
                <w:rFonts w:cs="Times New Roman"/>
                <w:snapToGrid w:val="0"/>
              </w:rPr>
              <w:t>占地</w:t>
            </w:r>
          </w:p>
        </w:tc>
        <w:tc>
          <w:tcPr>
            <w:tcW w:w="319" w:type="pct"/>
            <w:tcBorders>
              <w:top w:val="single" w:color="auto" w:sz="4" w:space="0"/>
              <w:bottom w:val="single" w:color="auto" w:sz="4" w:space="0"/>
              <w:tl2br w:val="nil"/>
              <w:tr2bl w:val="nil"/>
            </w:tcBorders>
            <w:vAlign w:val="center"/>
          </w:tcPr>
          <w:p>
            <w:pPr>
              <w:pStyle w:val="39"/>
              <w:rPr>
                <w:rFonts w:cs="Times New Roman"/>
                <w:snapToGrid w:val="0"/>
              </w:rPr>
            </w:pPr>
          </w:p>
        </w:tc>
        <w:tc>
          <w:tcPr>
            <w:tcW w:w="319" w:type="pct"/>
            <w:tcBorders>
              <w:top w:val="single" w:color="auto" w:sz="4" w:space="0"/>
              <w:bottom w:val="single" w:color="auto" w:sz="4" w:space="0"/>
              <w:tl2br w:val="nil"/>
              <w:tr2bl w:val="nil"/>
            </w:tcBorders>
            <w:vAlign w:val="center"/>
          </w:tcPr>
          <w:p>
            <w:pPr>
              <w:pStyle w:val="39"/>
              <w:rPr>
                <w:rFonts w:cs="Times New Roman"/>
                <w:snapToGrid w:val="0"/>
              </w:rPr>
            </w:pPr>
          </w:p>
        </w:tc>
        <w:tc>
          <w:tcPr>
            <w:tcW w:w="321" w:type="pct"/>
            <w:tcBorders>
              <w:top w:val="single" w:color="auto" w:sz="4" w:space="0"/>
              <w:bottom w:val="single" w:color="auto" w:sz="4" w:space="0"/>
              <w:tl2br w:val="nil"/>
              <w:tr2bl w:val="nil"/>
            </w:tcBorders>
            <w:vAlign w:val="center"/>
          </w:tcPr>
          <w:p>
            <w:pPr>
              <w:pStyle w:val="39"/>
              <w:rPr>
                <w:rFonts w:cs="Times New Roman"/>
                <w:snapToGrid w:val="0"/>
              </w:rPr>
            </w:pPr>
          </w:p>
        </w:tc>
        <w:tc>
          <w:tcPr>
            <w:tcW w:w="321" w:type="pct"/>
            <w:tcBorders>
              <w:top w:val="single" w:color="auto" w:sz="4" w:space="0"/>
              <w:bottom w:val="single" w:color="auto" w:sz="4" w:space="0"/>
              <w:tl2br w:val="nil"/>
              <w:tr2bl w:val="nil"/>
            </w:tcBorders>
            <w:vAlign w:val="center"/>
          </w:tcPr>
          <w:p>
            <w:pPr>
              <w:pStyle w:val="39"/>
              <w:rPr>
                <w:rFonts w:cs="Times New Roman"/>
                <w:snapToGrid w:val="0"/>
              </w:rPr>
            </w:pPr>
          </w:p>
        </w:tc>
        <w:tc>
          <w:tcPr>
            <w:tcW w:w="321" w:type="pct"/>
            <w:tcBorders>
              <w:top w:val="single" w:color="auto" w:sz="4" w:space="0"/>
              <w:bottom w:val="single" w:color="auto" w:sz="4" w:space="0"/>
              <w:tl2br w:val="nil"/>
              <w:tr2bl w:val="nil"/>
            </w:tcBorders>
            <w:vAlign w:val="center"/>
          </w:tcPr>
          <w:p>
            <w:pPr>
              <w:pStyle w:val="39"/>
              <w:rPr>
                <w:rFonts w:cs="Times New Roman"/>
                <w:snapToGrid w:val="0"/>
              </w:rPr>
            </w:pPr>
            <w:r>
              <w:rPr>
                <w:rFonts w:cs="Times New Roman"/>
                <w:snapToGrid w:val="0"/>
              </w:rPr>
              <w:t>-1D</w:t>
            </w:r>
          </w:p>
        </w:tc>
        <w:tc>
          <w:tcPr>
            <w:tcW w:w="321" w:type="pct"/>
            <w:tcBorders>
              <w:top w:val="single" w:color="auto" w:sz="4" w:space="0"/>
              <w:bottom w:val="single" w:color="auto" w:sz="4" w:space="0"/>
              <w:tl2br w:val="nil"/>
              <w:tr2bl w:val="nil"/>
            </w:tcBorders>
            <w:vAlign w:val="center"/>
          </w:tcPr>
          <w:p>
            <w:pPr>
              <w:pStyle w:val="39"/>
              <w:rPr>
                <w:rFonts w:cs="Times New Roman"/>
                <w:snapToGrid w:val="0"/>
              </w:rPr>
            </w:pPr>
          </w:p>
        </w:tc>
        <w:tc>
          <w:tcPr>
            <w:tcW w:w="321" w:type="pct"/>
            <w:tcBorders>
              <w:top w:val="single" w:color="auto" w:sz="4" w:space="0"/>
              <w:bottom w:val="single" w:color="auto" w:sz="4" w:space="0"/>
              <w:tl2br w:val="nil"/>
              <w:tr2bl w:val="nil"/>
            </w:tcBorders>
            <w:vAlign w:val="center"/>
          </w:tcPr>
          <w:p>
            <w:pPr>
              <w:pStyle w:val="39"/>
              <w:rPr>
                <w:rFonts w:cs="Times New Roman"/>
                <w:snapToGrid w:val="0"/>
              </w:rPr>
            </w:pPr>
          </w:p>
        </w:tc>
        <w:tc>
          <w:tcPr>
            <w:tcW w:w="321" w:type="pct"/>
            <w:tcBorders>
              <w:top w:val="single" w:color="auto" w:sz="4" w:space="0"/>
              <w:bottom w:val="single" w:color="auto" w:sz="4" w:space="0"/>
              <w:tl2br w:val="nil"/>
              <w:tr2bl w:val="nil"/>
            </w:tcBorders>
            <w:vAlign w:val="center"/>
          </w:tcPr>
          <w:p>
            <w:pPr>
              <w:pStyle w:val="39"/>
              <w:rPr>
                <w:rFonts w:cs="Times New Roman"/>
                <w:snapToGrid w:val="0"/>
              </w:rPr>
            </w:pPr>
          </w:p>
        </w:tc>
        <w:tc>
          <w:tcPr>
            <w:tcW w:w="322" w:type="pct"/>
            <w:tcBorders>
              <w:top w:val="single" w:color="auto" w:sz="4" w:space="0"/>
              <w:bottom w:val="single" w:color="auto" w:sz="4" w:space="0"/>
              <w:tl2br w:val="nil"/>
              <w:tr2bl w:val="nil"/>
            </w:tcBorders>
            <w:vAlign w:val="center"/>
          </w:tcPr>
          <w:p>
            <w:pPr>
              <w:pStyle w:val="39"/>
              <w:rPr>
                <w:rFonts w:cs="Times New Roman"/>
                <w:snapToGrid w:val="0"/>
              </w:rPr>
            </w:pPr>
          </w:p>
        </w:tc>
        <w:tc>
          <w:tcPr>
            <w:tcW w:w="322" w:type="pct"/>
            <w:tcBorders>
              <w:top w:val="single" w:color="auto" w:sz="4" w:space="0"/>
              <w:bottom w:val="single" w:color="auto" w:sz="4" w:space="0"/>
              <w:tl2br w:val="nil"/>
              <w:tr2bl w:val="nil"/>
            </w:tcBorders>
            <w:vAlign w:val="center"/>
          </w:tcPr>
          <w:p>
            <w:pPr>
              <w:pStyle w:val="39"/>
              <w:rPr>
                <w:rFonts w:cs="Times New Roman"/>
                <w:snapToGrid w:val="0"/>
              </w:rPr>
            </w:pPr>
          </w:p>
        </w:tc>
        <w:tc>
          <w:tcPr>
            <w:tcW w:w="321" w:type="pct"/>
            <w:tcBorders>
              <w:top w:val="single" w:color="auto" w:sz="4" w:space="0"/>
              <w:bottom w:val="single" w:color="auto" w:sz="4" w:space="0"/>
              <w:tl2br w:val="nil"/>
              <w:tr2bl w:val="nil"/>
            </w:tcBorders>
            <w:vAlign w:val="center"/>
          </w:tcPr>
          <w:p>
            <w:pPr>
              <w:pStyle w:val="39"/>
              <w:rPr>
                <w:rFonts w:cs="Times New Roman"/>
                <w:snapToGrid w:val="0"/>
              </w:rPr>
            </w:pPr>
          </w:p>
        </w:tc>
        <w:tc>
          <w:tcPr>
            <w:tcW w:w="322" w:type="pct"/>
            <w:tcBorders>
              <w:top w:val="single" w:color="auto" w:sz="4" w:space="0"/>
              <w:bottom w:val="single" w:color="auto" w:sz="4" w:space="0"/>
              <w:tl2br w:val="nil"/>
              <w:tr2bl w:val="nil"/>
            </w:tcBorders>
            <w:vAlign w:val="center"/>
          </w:tcPr>
          <w:p>
            <w:pPr>
              <w:pStyle w:val="39"/>
              <w:rPr>
                <w:rFonts w:cs="Times New Roman"/>
                <w:snapToGrid w:val="0"/>
              </w:rPr>
            </w:pPr>
          </w:p>
        </w:tc>
        <w:tc>
          <w:tcPr>
            <w:tcW w:w="320" w:type="pct"/>
            <w:tcBorders>
              <w:top w:val="single" w:color="auto" w:sz="4" w:space="0"/>
              <w:bottom w:val="single" w:color="auto" w:sz="4" w:space="0"/>
              <w:right w:val="single" w:color="auto" w:sz="4" w:space="0"/>
              <w:tl2br w:val="nil"/>
              <w:tr2bl w:val="nil"/>
            </w:tcBorders>
            <w:vAlign w:val="center"/>
          </w:tcPr>
          <w:p>
            <w:pPr>
              <w:pStyle w:val="39"/>
              <w:rPr>
                <w:rFonts w:cs="Times New Roman"/>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 w:type="pct"/>
            <w:vMerge w:val="continue"/>
            <w:tcBorders>
              <w:top w:val="single" w:color="auto" w:sz="4" w:space="0"/>
              <w:left w:val="single" w:color="auto" w:sz="4" w:space="0"/>
              <w:bottom w:val="single" w:color="auto" w:sz="4" w:space="0"/>
              <w:tl2br w:val="nil"/>
              <w:tr2bl w:val="nil"/>
            </w:tcBorders>
            <w:vAlign w:val="center"/>
          </w:tcPr>
          <w:p>
            <w:pPr>
              <w:pStyle w:val="39"/>
              <w:rPr>
                <w:rFonts w:cs="Times New Roman"/>
                <w:snapToGrid w:val="0"/>
              </w:rPr>
            </w:pPr>
          </w:p>
        </w:tc>
        <w:tc>
          <w:tcPr>
            <w:tcW w:w="596" w:type="pct"/>
            <w:tcBorders>
              <w:top w:val="single" w:color="auto" w:sz="4" w:space="0"/>
              <w:bottom w:val="single" w:color="auto" w:sz="4" w:space="0"/>
              <w:tl2br w:val="nil"/>
              <w:tr2bl w:val="nil"/>
            </w:tcBorders>
            <w:vAlign w:val="center"/>
          </w:tcPr>
          <w:p>
            <w:pPr>
              <w:pStyle w:val="39"/>
              <w:rPr>
                <w:rFonts w:cs="Times New Roman"/>
                <w:snapToGrid w:val="0"/>
              </w:rPr>
            </w:pPr>
            <w:r>
              <w:rPr>
                <w:rFonts w:cs="Times New Roman"/>
                <w:snapToGrid w:val="0"/>
              </w:rPr>
              <w:t>基础工程</w:t>
            </w:r>
          </w:p>
        </w:tc>
        <w:tc>
          <w:tcPr>
            <w:tcW w:w="319" w:type="pct"/>
            <w:tcBorders>
              <w:top w:val="single" w:color="auto" w:sz="4" w:space="0"/>
              <w:bottom w:val="single" w:color="auto" w:sz="4" w:space="0"/>
              <w:tl2br w:val="nil"/>
              <w:tr2bl w:val="nil"/>
            </w:tcBorders>
            <w:vAlign w:val="center"/>
          </w:tcPr>
          <w:p>
            <w:pPr>
              <w:pStyle w:val="39"/>
              <w:rPr>
                <w:rFonts w:cs="Times New Roman"/>
                <w:snapToGrid w:val="0"/>
              </w:rPr>
            </w:pPr>
            <w:r>
              <w:rPr>
                <w:rFonts w:cs="Times New Roman"/>
                <w:snapToGrid w:val="0"/>
              </w:rPr>
              <w:t>-2D</w:t>
            </w:r>
          </w:p>
        </w:tc>
        <w:tc>
          <w:tcPr>
            <w:tcW w:w="319" w:type="pct"/>
            <w:tcBorders>
              <w:top w:val="single" w:color="auto" w:sz="4" w:space="0"/>
              <w:bottom w:val="single" w:color="auto" w:sz="4" w:space="0"/>
              <w:tl2br w:val="nil"/>
              <w:tr2bl w:val="nil"/>
            </w:tcBorders>
            <w:vAlign w:val="center"/>
          </w:tcPr>
          <w:p>
            <w:pPr>
              <w:pStyle w:val="39"/>
              <w:rPr>
                <w:rFonts w:cs="Times New Roman"/>
                <w:snapToGrid w:val="0"/>
              </w:rPr>
            </w:pPr>
            <w:r>
              <w:rPr>
                <w:rFonts w:cs="Times New Roman"/>
                <w:snapToGrid w:val="0"/>
              </w:rPr>
              <w:t>-1D</w:t>
            </w:r>
          </w:p>
        </w:tc>
        <w:tc>
          <w:tcPr>
            <w:tcW w:w="321" w:type="pct"/>
            <w:tcBorders>
              <w:top w:val="single" w:color="auto" w:sz="4" w:space="0"/>
              <w:bottom w:val="single" w:color="auto" w:sz="4" w:space="0"/>
              <w:tl2br w:val="nil"/>
              <w:tr2bl w:val="nil"/>
            </w:tcBorders>
            <w:vAlign w:val="center"/>
          </w:tcPr>
          <w:p>
            <w:pPr>
              <w:pStyle w:val="39"/>
              <w:rPr>
                <w:rFonts w:cs="Times New Roman"/>
                <w:snapToGrid w:val="0"/>
              </w:rPr>
            </w:pPr>
          </w:p>
        </w:tc>
        <w:tc>
          <w:tcPr>
            <w:tcW w:w="321" w:type="pct"/>
            <w:tcBorders>
              <w:top w:val="single" w:color="auto" w:sz="4" w:space="0"/>
              <w:bottom w:val="single" w:color="auto" w:sz="4" w:space="0"/>
              <w:tl2br w:val="nil"/>
              <w:tr2bl w:val="nil"/>
            </w:tcBorders>
            <w:vAlign w:val="center"/>
          </w:tcPr>
          <w:p>
            <w:pPr>
              <w:pStyle w:val="39"/>
              <w:rPr>
                <w:rFonts w:cs="Times New Roman"/>
                <w:snapToGrid w:val="0"/>
              </w:rPr>
            </w:pPr>
          </w:p>
        </w:tc>
        <w:tc>
          <w:tcPr>
            <w:tcW w:w="321" w:type="pct"/>
            <w:tcBorders>
              <w:top w:val="single" w:color="auto" w:sz="4" w:space="0"/>
              <w:bottom w:val="single" w:color="auto" w:sz="4" w:space="0"/>
              <w:tl2br w:val="nil"/>
              <w:tr2bl w:val="nil"/>
            </w:tcBorders>
            <w:vAlign w:val="center"/>
          </w:tcPr>
          <w:p>
            <w:pPr>
              <w:pStyle w:val="39"/>
              <w:rPr>
                <w:rFonts w:cs="Times New Roman"/>
                <w:snapToGrid w:val="0"/>
              </w:rPr>
            </w:pPr>
          </w:p>
        </w:tc>
        <w:tc>
          <w:tcPr>
            <w:tcW w:w="321" w:type="pct"/>
            <w:tcBorders>
              <w:top w:val="single" w:color="auto" w:sz="4" w:space="0"/>
              <w:bottom w:val="single" w:color="auto" w:sz="4" w:space="0"/>
              <w:tl2br w:val="nil"/>
              <w:tr2bl w:val="nil"/>
            </w:tcBorders>
            <w:vAlign w:val="center"/>
          </w:tcPr>
          <w:p>
            <w:pPr>
              <w:pStyle w:val="39"/>
              <w:rPr>
                <w:rFonts w:cs="Times New Roman"/>
                <w:snapToGrid w:val="0"/>
              </w:rPr>
            </w:pPr>
          </w:p>
        </w:tc>
        <w:tc>
          <w:tcPr>
            <w:tcW w:w="321" w:type="pct"/>
            <w:tcBorders>
              <w:top w:val="single" w:color="auto" w:sz="4" w:space="0"/>
              <w:bottom w:val="single" w:color="auto" w:sz="4" w:space="0"/>
              <w:tl2br w:val="nil"/>
              <w:tr2bl w:val="nil"/>
            </w:tcBorders>
            <w:vAlign w:val="center"/>
          </w:tcPr>
          <w:p>
            <w:pPr>
              <w:pStyle w:val="39"/>
              <w:rPr>
                <w:rFonts w:cs="Times New Roman"/>
                <w:snapToGrid w:val="0"/>
              </w:rPr>
            </w:pPr>
          </w:p>
        </w:tc>
        <w:tc>
          <w:tcPr>
            <w:tcW w:w="321" w:type="pct"/>
            <w:tcBorders>
              <w:top w:val="single" w:color="auto" w:sz="4" w:space="0"/>
              <w:bottom w:val="single" w:color="auto" w:sz="4" w:space="0"/>
              <w:tl2br w:val="nil"/>
              <w:tr2bl w:val="nil"/>
            </w:tcBorders>
            <w:vAlign w:val="center"/>
          </w:tcPr>
          <w:p>
            <w:pPr>
              <w:pStyle w:val="39"/>
              <w:rPr>
                <w:rFonts w:cs="Times New Roman"/>
                <w:snapToGrid w:val="0"/>
              </w:rPr>
            </w:pPr>
          </w:p>
        </w:tc>
        <w:tc>
          <w:tcPr>
            <w:tcW w:w="322" w:type="pct"/>
            <w:tcBorders>
              <w:top w:val="single" w:color="auto" w:sz="4" w:space="0"/>
              <w:bottom w:val="single" w:color="auto" w:sz="4" w:space="0"/>
              <w:tl2br w:val="nil"/>
              <w:tr2bl w:val="nil"/>
            </w:tcBorders>
            <w:vAlign w:val="center"/>
          </w:tcPr>
          <w:p>
            <w:pPr>
              <w:pStyle w:val="39"/>
              <w:rPr>
                <w:rFonts w:cs="Times New Roman"/>
                <w:snapToGrid w:val="0"/>
              </w:rPr>
            </w:pPr>
          </w:p>
        </w:tc>
        <w:tc>
          <w:tcPr>
            <w:tcW w:w="322" w:type="pct"/>
            <w:tcBorders>
              <w:top w:val="single" w:color="auto" w:sz="4" w:space="0"/>
              <w:bottom w:val="single" w:color="auto" w:sz="4" w:space="0"/>
              <w:tl2br w:val="nil"/>
              <w:tr2bl w:val="nil"/>
            </w:tcBorders>
            <w:vAlign w:val="center"/>
          </w:tcPr>
          <w:p>
            <w:pPr>
              <w:pStyle w:val="39"/>
              <w:rPr>
                <w:rFonts w:cs="Times New Roman"/>
                <w:snapToGrid w:val="0"/>
              </w:rPr>
            </w:pPr>
          </w:p>
        </w:tc>
        <w:tc>
          <w:tcPr>
            <w:tcW w:w="321" w:type="pct"/>
            <w:tcBorders>
              <w:top w:val="single" w:color="auto" w:sz="4" w:space="0"/>
              <w:bottom w:val="single" w:color="auto" w:sz="4" w:space="0"/>
              <w:tl2br w:val="nil"/>
              <w:tr2bl w:val="nil"/>
            </w:tcBorders>
            <w:vAlign w:val="center"/>
          </w:tcPr>
          <w:p>
            <w:pPr>
              <w:pStyle w:val="39"/>
              <w:rPr>
                <w:rFonts w:cs="Times New Roman"/>
                <w:snapToGrid w:val="0"/>
              </w:rPr>
            </w:pPr>
          </w:p>
        </w:tc>
        <w:tc>
          <w:tcPr>
            <w:tcW w:w="322" w:type="pct"/>
            <w:tcBorders>
              <w:top w:val="single" w:color="auto" w:sz="4" w:space="0"/>
              <w:bottom w:val="single" w:color="auto" w:sz="4" w:space="0"/>
              <w:tl2br w:val="nil"/>
              <w:tr2bl w:val="nil"/>
            </w:tcBorders>
            <w:vAlign w:val="center"/>
          </w:tcPr>
          <w:p>
            <w:pPr>
              <w:pStyle w:val="39"/>
              <w:rPr>
                <w:rFonts w:cs="Times New Roman"/>
                <w:snapToGrid w:val="0"/>
              </w:rPr>
            </w:pPr>
            <w:r>
              <w:rPr>
                <w:rFonts w:cs="Times New Roman"/>
                <w:snapToGrid w:val="0"/>
              </w:rPr>
              <w:t>-1D</w:t>
            </w:r>
          </w:p>
        </w:tc>
        <w:tc>
          <w:tcPr>
            <w:tcW w:w="320" w:type="pct"/>
            <w:tcBorders>
              <w:top w:val="single" w:color="auto" w:sz="4" w:space="0"/>
              <w:bottom w:val="single" w:color="auto" w:sz="4" w:space="0"/>
              <w:right w:val="single" w:color="auto" w:sz="4" w:space="0"/>
              <w:tl2br w:val="nil"/>
              <w:tr2bl w:val="nil"/>
            </w:tcBorders>
            <w:vAlign w:val="center"/>
          </w:tcPr>
          <w:p>
            <w:pPr>
              <w:pStyle w:val="39"/>
              <w:rPr>
                <w:rFonts w:cs="Times New Roman"/>
                <w:snapToGrid w:val="0"/>
              </w:rPr>
            </w:pPr>
            <w:r>
              <w:rPr>
                <w:rFonts w:cs="Times New Roman"/>
                <w:snapToGrid w:val="0"/>
              </w:rPr>
              <w:t>+2D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 w:type="pct"/>
            <w:vMerge w:val="continue"/>
            <w:tcBorders>
              <w:top w:val="single" w:color="auto" w:sz="4" w:space="0"/>
              <w:left w:val="single" w:color="auto" w:sz="4" w:space="0"/>
              <w:bottom w:val="single" w:color="auto" w:sz="4" w:space="0"/>
              <w:tl2br w:val="nil"/>
              <w:tr2bl w:val="nil"/>
            </w:tcBorders>
            <w:vAlign w:val="center"/>
          </w:tcPr>
          <w:p>
            <w:pPr>
              <w:pStyle w:val="39"/>
              <w:rPr>
                <w:rFonts w:cs="Times New Roman"/>
                <w:snapToGrid w:val="0"/>
              </w:rPr>
            </w:pPr>
          </w:p>
        </w:tc>
        <w:tc>
          <w:tcPr>
            <w:tcW w:w="596" w:type="pct"/>
            <w:tcBorders>
              <w:top w:val="single" w:color="auto" w:sz="4" w:space="0"/>
              <w:bottom w:val="single" w:color="auto" w:sz="4" w:space="0"/>
              <w:tl2br w:val="nil"/>
              <w:tr2bl w:val="nil"/>
            </w:tcBorders>
            <w:vAlign w:val="center"/>
          </w:tcPr>
          <w:p>
            <w:pPr>
              <w:pStyle w:val="39"/>
              <w:rPr>
                <w:rFonts w:cs="Times New Roman"/>
                <w:snapToGrid w:val="0"/>
              </w:rPr>
            </w:pPr>
            <w:r>
              <w:rPr>
                <w:rFonts w:cs="Times New Roman"/>
                <w:snapToGrid w:val="0"/>
              </w:rPr>
              <w:t>材料运输</w:t>
            </w:r>
          </w:p>
        </w:tc>
        <w:tc>
          <w:tcPr>
            <w:tcW w:w="319" w:type="pct"/>
            <w:tcBorders>
              <w:top w:val="single" w:color="auto" w:sz="4" w:space="0"/>
              <w:bottom w:val="single" w:color="auto" w:sz="4" w:space="0"/>
              <w:tl2br w:val="nil"/>
              <w:tr2bl w:val="nil"/>
            </w:tcBorders>
            <w:vAlign w:val="center"/>
          </w:tcPr>
          <w:p>
            <w:pPr>
              <w:pStyle w:val="39"/>
              <w:rPr>
                <w:rFonts w:cs="Times New Roman"/>
                <w:snapToGrid w:val="0"/>
              </w:rPr>
            </w:pPr>
            <w:r>
              <w:rPr>
                <w:rFonts w:cs="Times New Roman"/>
                <w:snapToGrid w:val="0"/>
              </w:rPr>
              <w:t>-1D</w:t>
            </w:r>
          </w:p>
        </w:tc>
        <w:tc>
          <w:tcPr>
            <w:tcW w:w="319" w:type="pct"/>
            <w:tcBorders>
              <w:top w:val="single" w:color="auto" w:sz="4" w:space="0"/>
              <w:bottom w:val="single" w:color="auto" w:sz="4" w:space="0"/>
              <w:tl2br w:val="nil"/>
              <w:tr2bl w:val="nil"/>
            </w:tcBorders>
            <w:vAlign w:val="center"/>
          </w:tcPr>
          <w:p>
            <w:pPr>
              <w:pStyle w:val="39"/>
              <w:rPr>
                <w:rFonts w:cs="Times New Roman"/>
                <w:snapToGrid w:val="0"/>
              </w:rPr>
            </w:pPr>
          </w:p>
        </w:tc>
        <w:tc>
          <w:tcPr>
            <w:tcW w:w="321" w:type="pct"/>
            <w:tcBorders>
              <w:top w:val="single" w:color="auto" w:sz="4" w:space="0"/>
              <w:bottom w:val="single" w:color="auto" w:sz="4" w:space="0"/>
              <w:tl2br w:val="nil"/>
              <w:tr2bl w:val="nil"/>
            </w:tcBorders>
            <w:vAlign w:val="center"/>
          </w:tcPr>
          <w:p>
            <w:pPr>
              <w:pStyle w:val="39"/>
              <w:rPr>
                <w:rFonts w:cs="Times New Roman"/>
                <w:snapToGrid w:val="0"/>
              </w:rPr>
            </w:pPr>
          </w:p>
        </w:tc>
        <w:tc>
          <w:tcPr>
            <w:tcW w:w="321" w:type="pct"/>
            <w:tcBorders>
              <w:top w:val="single" w:color="auto" w:sz="4" w:space="0"/>
              <w:bottom w:val="single" w:color="auto" w:sz="4" w:space="0"/>
              <w:tl2br w:val="nil"/>
              <w:tr2bl w:val="nil"/>
            </w:tcBorders>
            <w:vAlign w:val="center"/>
          </w:tcPr>
          <w:p>
            <w:pPr>
              <w:pStyle w:val="39"/>
              <w:rPr>
                <w:rFonts w:cs="Times New Roman"/>
                <w:snapToGrid w:val="0"/>
              </w:rPr>
            </w:pPr>
          </w:p>
        </w:tc>
        <w:tc>
          <w:tcPr>
            <w:tcW w:w="321" w:type="pct"/>
            <w:tcBorders>
              <w:top w:val="single" w:color="auto" w:sz="4" w:space="0"/>
              <w:bottom w:val="single" w:color="auto" w:sz="4" w:space="0"/>
              <w:tl2br w:val="nil"/>
              <w:tr2bl w:val="nil"/>
            </w:tcBorders>
            <w:vAlign w:val="center"/>
          </w:tcPr>
          <w:p>
            <w:pPr>
              <w:pStyle w:val="39"/>
              <w:rPr>
                <w:rFonts w:cs="Times New Roman"/>
                <w:snapToGrid w:val="0"/>
              </w:rPr>
            </w:pPr>
          </w:p>
        </w:tc>
        <w:tc>
          <w:tcPr>
            <w:tcW w:w="321" w:type="pct"/>
            <w:tcBorders>
              <w:top w:val="single" w:color="auto" w:sz="4" w:space="0"/>
              <w:bottom w:val="single" w:color="auto" w:sz="4" w:space="0"/>
              <w:tl2br w:val="nil"/>
              <w:tr2bl w:val="nil"/>
            </w:tcBorders>
            <w:vAlign w:val="center"/>
          </w:tcPr>
          <w:p>
            <w:pPr>
              <w:pStyle w:val="39"/>
              <w:rPr>
                <w:rFonts w:cs="Times New Roman"/>
                <w:snapToGrid w:val="0"/>
              </w:rPr>
            </w:pPr>
          </w:p>
        </w:tc>
        <w:tc>
          <w:tcPr>
            <w:tcW w:w="321" w:type="pct"/>
            <w:tcBorders>
              <w:top w:val="single" w:color="auto" w:sz="4" w:space="0"/>
              <w:bottom w:val="single" w:color="auto" w:sz="4" w:space="0"/>
              <w:tl2br w:val="nil"/>
              <w:tr2bl w:val="nil"/>
            </w:tcBorders>
            <w:vAlign w:val="center"/>
          </w:tcPr>
          <w:p>
            <w:pPr>
              <w:pStyle w:val="39"/>
              <w:rPr>
                <w:rFonts w:cs="Times New Roman"/>
                <w:snapToGrid w:val="0"/>
              </w:rPr>
            </w:pPr>
          </w:p>
        </w:tc>
        <w:tc>
          <w:tcPr>
            <w:tcW w:w="321" w:type="pct"/>
            <w:tcBorders>
              <w:top w:val="single" w:color="auto" w:sz="4" w:space="0"/>
              <w:bottom w:val="single" w:color="auto" w:sz="4" w:space="0"/>
              <w:tl2br w:val="nil"/>
              <w:tr2bl w:val="nil"/>
            </w:tcBorders>
            <w:vAlign w:val="center"/>
          </w:tcPr>
          <w:p>
            <w:pPr>
              <w:pStyle w:val="39"/>
              <w:rPr>
                <w:rFonts w:cs="Times New Roman"/>
                <w:snapToGrid w:val="0"/>
              </w:rPr>
            </w:pPr>
            <w:r>
              <w:rPr>
                <w:rFonts w:cs="Times New Roman"/>
                <w:snapToGrid w:val="0"/>
              </w:rPr>
              <w:t>+1D</w:t>
            </w:r>
          </w:p>
        </w:tc>
        <w:tc>
          <w:tcPr>
            <w:tcW w:w="322" w:type="pct"/>
            <w:tcBorders>
              <w:top w:val="single" w:color="auto" w:sz="4" w:space="0"/>
              <w:bottom w:val="single" w:color="auto" w:sz="4" w:space="0"/>
              <w:tl2br w:val="nil"/>
              <w:tr2bl w:val="nil"/>
            </w:tcBorders>
            <w:vAlign w:val="center"/>
          </w:tcPr>
          <w:p>
            <w:pPr>
              <w:pStyle w:val="39"/>
              <w:rPr>
                <w:rFonts w:cs="Times New Roman"/>
                <w:snapToGrid w:val="0"/>
              </w:rPr>
            </w:pPr>
            <w:r>
              <w:rPr>
                <w:rFonts w:cs="Times New Roman"/>
                <w:snapToGrid w:val="0"/>
              </w:rPr>
              <w:t>+1D</w:t>
            </w:r>
          </w:p>
        </w:tc>
        <w:tc>
          <w:tcPr>
            <w:tcW w:w="322" w:type="pct"/>
            <w:tcBorders>
              <w:top w:val="single" w:color="auto" w:sz="4" w:space="0"/>
              <w:bottom w:val="single" w:color="auto" w:sz="4" w:space="0"/>
              <w:tl2br w:val="nil"/>
              <w:tr2bl w:val="nil"/>
            </w:tcBorders>
            <w:vAlign w:val="center"/>
          </w:tcPr>
          <w:p>
            <w:pPr>
              <w:pStyle w:val="39"/>
              <w:rPr>
                <w:rFonts w:cs="Times New Roman"/>
                <w:snapToGrid w:val="0"/>
              </w:rPr>
            </w:pPr>
          </w:p>
        </w:tc>
        <w:tc>
          <w:tcPr>
            <w:tcW w:w="321" w:type="pct"/>
            <w:tcBorders>
              <w:top w:val="single" w:color="auto" w:sz="4" w:space="0"/>
              <w:bottom w:val="single" w:color="auto" w:sz="4" w:space="0"/>
              <w:tl2br w:val="nil"/>
              <w:tr2bl w:val="nil"/>
            </w:tcBorders>
            <w:vAlign w:val="center"/>
          </w:tcPr>
          <w:p>
            <w:pPr>
              <w:pStyle w:val="39"/>
              <w:rPr>
                <w:rFonts w:cs="Times New Roman"/>
                <w:snapToGrid w:val="0"/>
              </w:rPr>
            </w:pPr>
          </w:p>
        </w:tc>
        <w:tc>
          <w:tcPr>
            <w:tcW w:w="322" w:type="pct"/>
            <w:tcBorders>
              <w:top w:val="single" w:color="auto" w:sz="4" w:space="0"/>
              <w:bottom w:val="single" w:color="auto" w:sz="4" w:space="0"/>
              <w:tl2br w:val="nil"/>
              <w:tr2bl w:val="nil"/>
            </w:tcBorders>
            <w:vAlign w:val="center"/>
          </w:tcPr>
          <w:p>
            <w:pPr>
              <w:pStyle w:val="39"/>
              <w:rPr>
                <w:rFonts w:cs="Times New Roman"/>
                <w:snapToGrid w:val="0"/>
              </w:rPr>
            </w:pPr>
          </w:p>
        </w:tc>
        <w:tc>
          <w:tcPr>
            <w:tcW w:w="320" w:type="pct"/>
            <w:tcBorders>
              <w:top w:val="single" w:color="auto" w:sz="4" w:space="0"/>
              <w:bottom w:val="single" w:color="auto" w:sz="4" w:space="0"/>
              <w:right w:val="single" w:color="auto" w:sz="4" w:space="0"/>
              <w:tl2br w:val="nil"/>
              <w:tr2bl w:val="nil"/>
            </w:tcBorders>
            <w:vAlign w:val="center"/>
          </w:tcPr>
          <w:p>
            <w:pPr>
              <w:pStyle w:val="39"/>
              <w:rPr>
                <w:rFonts w:cs="Times New Roman"/>
                <w:snapToGrid w:val="0"/>
              </w:rPr>
            </w:pPr>
            <w:r>
              <w:rPr>
                <w:rFonts w:cs="Times New Roman"/>
                <w:snapToGrid w:val="0"/>
              </w:rPr>
              <w:t>+1D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 w:type="pct"/>
            <w:vMerge w:val="restart"/>
            <w:tcBorders>
              <w:top w:val="single" w:color="auto" w:sz="4" w:space="0"/>
              <w:left w:val="single" w:color="auto" w:sz="4" w:space="0"/>
              <w:bottom w:val="single" w:color="auto" w:sz="4" w:space="0"/>
              <w:tl2br w:val="nil"/>
              <w:tr2bl w:val="nil"/>
            </w:tcBorders>
            <w:vAlign w:val="center"/>
          </w:tcPr>
          <w:p>
            <w:pPr>
              <w:pStyle w:val="39"/>
              <w:rPr>
                <w:rFonts w:cs="Times New Roman"/>
                <w:snapToGrid w:val="0"/>
              </w:rPr>
            </w:pPr>
            <w:r>
              <w:rPr>
                <w:rFonts w:cs="Times New Roman"/>
                <w:snapToGrid w:val="0"/>
              </w:rPr>
              <w:t>运营期</w:t>
            </w:r>
          </w:p>
        </w:tc>
        <w:tc>
          <w:tcPr>
            <w:tcW w:w="596" w:type="pct"/>
            <w:tcBorders>
              <w:top w:val="single" w:color="auto" w:sz="4" w:space="0"/>
              <w:bottom w:val="single" w:color="auto" w:sz="4" w:space="0"/>
              <w:tl2br w:val="nil"/>
              <w:tr2bl w:val="nil"/>
            </w:tcBorders>
            <w:vAlign w:val="center"/>
          </w:tcPr>
          <w:p>
            <w:pPr>
              <w:pStyle w:val="39"/>
              <w:rPr>
                <w:rFonts w:cs="Times New Roman"/>
                <w:snapToGrid w:val="0"/>
              </w:rPr>
            </w:pPr>
            <w:r>
              <w:rPr>
                <w:rFonts w:cs="Times New Roman"/>
                <w:snapToGrid w:val="0"/>
              </w:rPr>
              <w:t>废水</w:t>
            </w:r>
          </w:p>
        </w:tc>
        <w:tc>
          <w:tcPr>
            <w:tcW w:w="319" w:type="pct"/>
            <w:tcBorders>
              <w:top w:val="single" w:color="auto" w:sz="4" w:space="0"/>
              <w:bottom w:val="single" w:color="auto" w:sz="4" w:space="0"/>
              <w:tl2br w:val="nil"/>
              <w:tr2bl w:val="nil"/>
            </w:tcBorders>
            <w:vAlign w:val="center"/>
          </w:tcPr>
          <w:p>
            <w:pPr>
              <w:pStyle w:val="39"/>
              <w:rPr>
                <w:rFonts w:cs="Times New Roman"/>
                <w:snapToGrid w:val="0"/>
              </w:rPr>
            </w:pPr>
          </w:p>
        </w:tc>
        <w:tc>
          <w:tcPr>
            <w:tcW w:w="319" w:type="pct"/>
            <w:tcBorders>
              <w:top w:val="single" w:color="auto" w:sz="4" w:space="0"/>
              <w:bottom w:val="single" w:color="auto" w:sz="4" w:space="0"/>
              <w:tl2br w:val="nil"/>
              <w:tr2bl w:val="nil"/>
            </w:tcBorders>
            <w:vAlign w:val="center"/>
          </w:tcPr>
          <w:p>
            <w:pPr>
              <w:pStyle w:val="39"/>
              <w:rPr>
                <w:rFonts w:cs="Times New Roman"/>
                <w:snapToGrid w:val="0"/>
              </w:rPr>
            </w:pPr>
            <w:r>
              <w:rPr>
                <w:rFonts w:cs="Times New Roman"/>
                <w:snapToGrid w:val="0"/>
              </w:rPr>
              <w:t>-1C</w:t>
            </w:r>
          </w:p>
        </w:tc>
        <w:tc>
          <w:tcPr>
            <w:tcW w:w="321" w:type="pct"/>
            <w:tcBorders>
              <w:top w:val="single" w:color="auto" w:sz="4" w:space="0"/>
              <w:bottom w:val="single" w:color="auto" w:sz="4" w:space="0"/>
              <w:tl2br w:val="nil"/>
              <w:tr2bl w:val="nil"/>
            </w:tcBorders>
            <w:vAlign w:val="center"/>
          </w:tcPr>
          <w:p>
            <w:pPr>
              <w:pStyle w:val="39"/>
              <w:rPr>
                <w:rFonts w:cs="Times New Roman"/>
                <w:snapToGrid w:val="0"/>
              </w:rPr>
            </w:pPr>
            <w:r>
              <w:rPr>
                <w:rFonts w:cs="Times New Roman"/>
                <w:snapToGrid w:val="0"/>
              </w:rPr>
              <w:t>-1C</w:t>
            </w:r>
          </w:p>
        </w:tc>
        <w:tc>
          <w:tcPr>
            <w:tcW w:w="321" w:type="pct"/>
            <w:tcBorders>
              <w:top w:val="single" w:color="auto" w:sz="4" w:space="0"/>
              <w:bottom w:val="single" w:color="auto" w:sz="4" w:space="0"/>
              <w:tl2br w:val="nil"/>
              <w:tr2bl w:val="nil"/>
            </w:tcBorders>
            <w:vAlign w:val="center"/>
          </w:tcPr>
          <w:p>
            <w:pPr>
              <w:pStyle w:val="39"/>
              <w:rPr>
                <w:rFonts w:cs="Times New Roman"/>
                <w:snapToGrid w:val="0"/>
              </w:rPr>
            </w:pPr>
          </w:p>
        </w:tc>
        <w:tc>
          <w:tcPr>
            <w:tcW w:w="321" w:type="pct"/>
            <w:tcBorders>
              <w:top w:val="single" w:color="auto" w:sz="4" w:space="0"/>
              <w:bottom w:val="single" w:color="auto" w:sz="4" w:space="0"/>
              <w:tl2br w:val="nil"/>
              <w:tr2bl w:val="nil"/>
            </w:tcBorders>
            <w:vAlign w:val="center"/>
          </w:tcPr>
          <w:p>
            <w:pPr>
              <w:pStyle w:val="39"/>
              <w:rPr>
                <w:rFonts w:cs="Times New Roman"/>
                <w:snapToGrid w:val="0"/>
              </w:rPr>
            </w:pPr>
          </w:p>
        </w:tc>
        <w:tc>
          <w:tcPr>
            <w:tcW w:w="321" w:type="pct"/>
            <w:tcBorders>
              <w:top w:val="single" w:color="auto" w:sz="4" w:space="0"/>
              <w:bottom w:val="single" w:color="auto" w:sz="4" w:space="0"/>
              <w:tl2br w:val="nil"/>
              <w:tr2bl w:val="nil"/>
            </w:tcBorders>
            <w:vAlign w:val="center"/>
          </w:tcPr>
          <w:p>
            <w:pPr>
              <w:pStyle w:val="39"/>
              <w:rPr>
                <w:rFonts w:cs="Times New Roman"/>
                <w:snapToGrid w:val="0"/>
              </w:rPr>
            </w:pPr>
            <w:r>
              <w:rPr>
                <w:rFonts w:cs="Times New Roman"/>
                <w:snapToGrid w:val="0"/>
              </w:rPr>
              <w:t>-2C</w:t>
            </w:r>
          </w:p>
        </w:tc>
        <w:tc>
          <w:tcPr>
            <w:tcW w:w="321" w:type="pct"/>
            <w:tcBorders>
              <w:top w:val="single" w:color="auto" w:sz="4" w:space="0"/>
              <w:bottom w:val="single" w:color="auto" w:sz="4" w:space="0"/>
              <w:tl2br w:val="nil"/>
              <w:tr2bl w:val="nil"/>
            </w:tcBorders>
            <w:vAlign w:val="center"/>
          </w:tcPr>
          <w:p>
            <w:pPr>
              <w:pStyle w:val="39"/>
              <w:rPr>
                <w:rFonts w:cs="Times New Roman"/>
                <w:snapToGrid w:val="0"/>
              </w:rPr>
            </w:pPr>
            <w:r>
              <w:rPr>
                <w:rFonts w:cs="Times New Roman"/>
                <w:snapToGrid w:val="0"/>
              </w:rPr>
              <w:t>-1C</w:t>
            </w:r>
          </w:p>
        </w:tc>
        <w:tc>
          <w:tcPr>
            <w:tcW w:w="321" w:type="pct"/>
            <w:tcBorders>
              <w:top w:val="single" w:color="auto" w:sz="4" w:space="0"/>
              <w:bottom w:val="single" w:color="auto" w:sz="4" w:space="0"/>
              <w:tl2br w:val="nil"/>
              <w:tr2bl w:val="nil"/>
            </w:tcBorders>
            <w:vAlign w:val="center"/>
          </w:tcPr>
          <w:p>
            <w:pPr>
              <w:pStyle w:val="39"/>
              <w:rPr>
                <w:rFonts w:cs="Times New Roman"/>
                <w:snapToGrid w:val="0"/>
              </w:rPr>
            </w:pPr>
          </w:p>
        </w:tc>
        <w:tc>
          <w:tcPr>
            <w:tcW w:w="322" w:type="pct"/>
            <w:tcBorders>
              <w:top w:val="single" w:color="auto" w:sz="4" w:space="0"/>
              <w:bottom w:val="single" w:color="auto" w:sz="4" w:space="0"/>
              <w:tl2br w:val="nil"/>
              <w:tr2bl w:val="nil"/>
            </w:tcBorders>
            <w:vAlign w:val="center"/>
          </w:tcPr>
          <w:p>
            <w:pPr>
              <w:pStyle w:val="39"/>
              <w:rPr>
                <w:rFonts w:cs="Times New Roman"/>
                <w:snapToGrid w:val="0"/>
              </w:rPr>
            </w:pPr>
          </w:p>
        </w:tc>
        <w:tc>
          <w:tcPr>
            <w:tcW w:w="322" w:type="pct"/>
            <w:tcBorders>
              <w:top w:val="single" w:color="auto" w:sz="4" w:space="0"/>
              <w:bottom w:val="single" w:color="auto" w:sz="4" w:space="0"/>
              <w:tl2br w:val="nil"/>
              <w:tr2bl w:val="nil"/>
            </w:tcBorders>
            <w:vAlign w:val="center"/>
          </w:tcPr>
          <w:p>
            <w:pPr>
              <w:pStyle w:val="39"/>
              <w:rPr>
                <w:rFonts w:cs="Times New Roman"/>
                <w:snapToGrid w:val="0"/>
              </w:rPr>
            </w:pPr>
            <w:r>
              <w:rPr>
                <w:rFonts w:cs="Times New Roman"/>
                <w:snapToGrid w:val="0"/>
              </w:rPr>
              <w:t>-1C</w:t>
            </w:r>
          </w:p>
        </w:tc>
        <w:tc>
          <w:tcPr>
            <w:tcW w:w="321" w:type="pct"/>
            <w:tcBorders>
              <w:top w:val="single" w:color="auto" w:sz="4" w:space="0"/>
              <w:bottom w:val="single" w:color="auto" w:sz="4" w:space="0"/>
              <w:tl2br w:val="nil"/>
              <w:tr2bl w:val="nil"/>
            </w:tcBorders>
            <w:vAlign w:val="center"/>
          </w:tcPr>
          <w:p>
            <w:pPr>
              <w:pStyle w:val="39"/>
              <w:rPr>
                <w:rFonts w:cs="Times New Roman"/>
                <w:snapToGrid w:val="0"/>
              </w:rPr>
            </w:pPr>
          </w:p>
        </w:tc>
        <w:tc>
          <w:tcPr>
            <w:tcW w:w="322" w:type="pct"/>
            <w:tcBorders>
              <w:top w:val="single" w:color="auto" w:sz="4" w:space="0"/>
              <w:bottom w:val="single" w:color="auto" w:sz="4" w:space="0"/>
              <w:tl2br w:val="nil"/>
              <w:tr2bl w:val="nil"/>
            </w:tcBorders>
            <w:vAlign w:val="center"/>
          </w:tcPr>
          <w:p>
            <w:pPr>
              <w:pStyle w:val="39"/>
              <w:rPr>
                <w:rFonts w:cs="Times New Roman"/>
                <w:snapToGrid w:val="0"/>
              </w:rPr>
            </w:pPr>
            <w:r>
              <w:rPr>
                <w:rFonts w:cs="Times New Roman"/>
                <w:snapToGrid w:val="0"/>
              </w:rPr>
              <w:t>-1C</w:t>
            </w:r>
          </w:p>
        </w:tc>
        <w:tc>
          <w:tcPr>
            <w:tcW w:w="320" w:type="pct"/>
            <w:tcBorders>
              <w:top w:val="single" w:color="auto" w:sz="4" w:space="0"/>
              <w:bottom w:val="single" w:color="auto" w:sz="4" w:space="0"/>
              <w:right w:val="single" w:color="auto" w:sz="4" w:space="0"/>
              <w:tl2br w:val="nil"/>
              <w:tr2bl w:val="nil"/>
            </w:tcBorders>
            <w:vAlign w:val="center"/>
          </w:tcPr>
          <w:p>
            <w:pPr>
              <w:pStyle w:val="39"/>
              <w:rPr>
                <w:rFonts w:cs="Times New Roman"/>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 w:type="pct"/>
            <w:vMerge w:val="continue"/>
            <w:tcBorders>
              <w:top w:val="single" w:color="auto" w:sz="4" w:space="0"/>
              <w:left w:val="single" w:color="auto" w:sz="4" w:space="0"/>
              <w:bottom w:val="single" w:color="auto" w:sz="4" w:space="0"/>
              <w:tl2br w:val="nil"/>
              <w:tr2bl w:val="nil"/>
            </w:tcBorders>
            <w:vAlign w:val="center"/>
          </w:tcPr>
          <w:p>
            <w:pPr>
              <w:pStyle w:val="39"/>
              <w:rPr>
                <w:rFonts w:cs="Times New Roman"/>
                <w:snapToGrid w:val="0"/>
              </w:rPr>
            </w:pPr>
          </w:p>
        </w:tc>
        <w:tc>
          <w:tcPr>
            <w:tcW w:w="596" w:type="pct"/>
            <w:tcBorders>
              <w:top w:val="single" w:color="auto" w:sz="4" w:space="0"/>
              <w:bottom w:val="single" w:color="auto" w:sz="4" w:space="0"/>
              <w:tl2br w:val="nil"/>
              <w:tr2bl w:val="nil"/>
            </w:tcBorders>
            <w:vAlign w:val="center"/>
          </w:tcPr>
          <w:p>
            <w:pPr>
              <w:pStyle w:val="39"/>
              <w:rPr>
                <w:rFonts w:cs="Times New Roman"/>
                <w:snapToGrid w:val="0"/>
              </w:rPr>
            </w:pPr>
            <w:r>
              <w:rPr>
                <w:rFonts w:cs="Times New Roman"/>
                <w:snapToGrid w:val="0"/>
              </w:rPr>
              <w:t>废气</w:t>
            </w:r>
          </w:p>
        </w:tc>
        <w:tc>
          <w:tcPr>
            <w:tcW w:w="319" w:type="pct"/>
            <w:tcBorders>
              <w:top w:val="single" w:color="auto" w:sz="4" w:space="0"/>
              <w:bottom w:val="single" w:color="auto" w:sz="4" w:space="0"/>
              <w:tl2br w:val="nil"/>
              <w:tr2bl w:val="nil"/>
            </w:tcBorders>
            <w:vAlign w:val="center"/>
          </w:tcPr>
          <w:p>
            <w:pPr>
              <w:pStyle w:val="39"/>
              <w:rPr>
                <w:rFonts w:cs="Times New Roman"/>
                <w:snapToGrid w:val="0"/>
              </w:rPr>
            </w:pPr>
            <w:r>
              <w:rPr>
                <w:rFonts w:cs="Times New Roman"/>
                <w:snapToGrid w:val="0"/>
              </w:rPr>
              <w:t>-2C</w:t>
            </w:r>
          </w:p>
        </w:tc>
        <w:tc>
          <w:tcPr>
            <w:tcW w:w="319" w:type="pct"/>
            <w:tcBorders>
              <w:top w:val="single" w:color="auto" w:sz="4" w:space="0"/>
              <w:bottom w:val="single" w:color="auto" w:sz="4" w:space="0"/>
              <w:tl2br w:val="nil"/>
              <w:tr2bl w:val="nil"/>
            </w:tcBorders>
            <w:vAlign w:val="center"/>
          </w:tcPr>
          <w:p>
            <w:pPr>
              <w:pStyle w:val="39"/>
              <w:rPr>
                <w:rFonts w:cs="Times New Roman"/>
                <w:snapToGrid w:val="0"/>
              </w:rPr>
            </w:pPr>
          </w:p>
        </w:tc>
        <w:tc>
          <w:tcPr>
            <w:tcW w:w="321" w:type="pct"/>
            <w:tcBorders>
              <w:top w:val="single" w:color="auto" w:sz="4" w:space="0"/>
              <w:bottom w:val="single" w:color="auto" w:sz="4" w:space="0"/>
              <w:tl2br w:val="nil"/>
              <w:tr2bl w:val="nil"/>
            </w:tcBorders>
            <w:vAlign w:val="center"/>
          </w:tcPr>
          <w:p>
            <w:pPr>
              <w:pStyle w:val="39"/>
              <w:rPr>
                <w:rFonts w:cs="Times New Roman"/>
                <w:snapToGrid w:val="0"/>
              </w:rPr>
            </w:pPr>
          </w:p>
        </w:tc>
        <w:tc>
          <w:tcPr>
            <w:tcW w:w="321" w:type="pct"/>
            <w:tcBorders>
              <w:top w:val="single" w:color="auto" w:sz="4" w:space="0"/>
              <w:bottom w:val="single" w:color="auto" w:sz="4" w:space="0"/>
              <w:tl2br w:val="nil"/>
              <w:tr2bl w:val="nil"/>
            </w:tcBorders>
            <w:vAlign w:val="center"/>
          </w:tcPr>
          <w:p>
            <w:pPr>
              <w:pStyle w:val="39"/>
              <w:rPr>
                <w:rFonts w:cs="Times New Roman"/>
                <w:snapToGrid w:val="0"/>
              </w:rPr>
            </w:pPr>
          </w:p>
        </w:tc>
        <w:tc>
          <w:tcPr>
            <w:tcW w:w="321" w:type="pct"/>
            <w:tcBorders>
              <w:top w:val="single" w:color="auto" w:sz="4" w:space="0"/>
              <w:bottom w:val="single" w:color="auto" w:sz="4" w:space="0"/>
              <w:tl2br w:val="nil"/>
              <w:tr2bl w:val="nil"/>
            </w:tcBorders>
            <w:vAlign w:val="center"/>
          </w:tcPr>
          <w:p>
            <w:pPr>
              <w:pStyle w:val="39"/>
              <w:rPr>
                <w:rFonts w:cs="Times New Roman"/>
                <w:snapToGrid w:val="0"/>
              </w:rPr>
            </w:pPr>
          </w:p>
        </w:tc>
        <w:tc>
          <w:tcPr>
            <w:tcW w:w="321" w:type="pct"/>
            <w:tcBorders>
              <w:top w:val="single" w:color="auto" w:sz="4" w:space="0"/>
              <w:bottom w:val="single" w:color="auto" w:sz="4" w:space="0"/>
              <w:tl2br w:val="nil"/>
              <w:tr2bl w:val="nil"/>
            </w:tcBorders>
            <w:vAlign w:val="center"/>
          </w:tcPr>
          <w:p>
            <w:pPr>
              <w:pStyle w:val="39"/>
              <w:rPr>
                <w:rFonts w:cs="Times New Roman"/>
                <w:snapToGrid w:val="0"/>
              </w:rPr>
            </w:pPr>
          </w:p>
        </w:tc>
        <w:tc>
          <w:tcPr>
            <w:tcW w:w="321" w:type="pct"/>
            <w:tcBorders>
              <w:top w:val="single" w:color="auto" w:sz="4" w:space="0"/>
              <w:bottom w:val="single" w:color="auto" w:sz="4" w:space="0"/>
              <w:tl2br w:val="nil"/>
              <w:tr2bl w:val="nil"/>
            </w:tcBorders>
            <w:vAlign w:val="center"/>
          </w:tcPr>
          <w:p>
            <w:pPr>
              <w:pStyle w:val="39"/>
              <w:rPr>
                <w:rFonts w:cs="Times New Roman"/>
                <w:snapToGrid w:val="0"/>
              </w:rPr>
            </w:pPr>
          </w:p>
        </w:tc>
        <w:tc>
          <w:tcPr>
            <w:tcW w:w="321" w:type="pct"/>
            <w:tcBorders>
              <w:top w:val="single" w:color="auto" w:sz="4" w:space="0"/>
              <w:bottom w:val="single" w:color="auto" w:sz="4" w:space="0"/>
              <w:tl2br w:val="nil"/>
              <w:tr2bl w:val="nil"/>
            </w:tcBorders>
            <w:vAlign w:val="center"/>
          </w:tcPr>
          <w:p>
            <w:pPr>
              <w:pStyle w:val="39"/>
              <w:rPr>
                <w:rFonts w:cs="Times New Roman"/>
                <w:snapToGrid w:val="0"/>
              </w:rPr>
            </w:pPr>
          </w:p>
        </w:tc>
        <w:tc>
          <w:tcPr>
            <w:tcW w:w="322" w:type="pct"/>
            <w:tcBorders>
              <w:top w:val="single" w:color="auto" w:sz="4" w:space="0"/>
              <w:bottom w:val="single" w:color="auto" w:sz="4" w:space="0"/>
              <w:tl2br w:val="nil"/>
              <w:tr2bl w:val="nil"/>
            </w:tcBorders>
            <w:vAlign w:val="center"/>
          </w:tcPr>
          <w:p>
            <w:pPr>
              <w:pStyle w:val="39"/>
              <w:rPr>
                <w:rFonts w:cs="Times New Roman"/>
                <w:snapToGrid w:val="0"/>
              </w:rPr>
            </w:pPr>
          </w:p>
        </w:tc>
        <w:tc>
          <w:tcPr>
            <w:tcW w:w="322" w:type="pct"/>
            <w:tcBorders>
              <w:top w:val="single" w:color="auto" w:sz="4" w:space="0"/>
              <w:bottom w:val="single" w:color="auto" w:sz="4" w:space="0"/>
              <w:tl2br w:val="nil"/>
              <w:tr2bl w:val="nil"/>
            </w:tcBorders>
            <w:vAlign w:val="center"/>
          </w:tcPr>
          <w:p>
            <w:pPr>
              <w:pStyle w:val="39"/>
              <w:rPr>
                <w:rFonts w:cs="Times New Roman"/>
                <w:snapToGrid w:val="0"/>
              </w:rPr>
            </w:pPr>
          </w:p>
        </w:tc>
        <w:tc>
          <w:tcPr>
            <w:tcW w:w="321" w:type="pct"/>
            <w:tcBorders>
              <w:top w:val="single" w:color="auto" w:sz="4" w:space="0"/>
              <w:bottom w:val="single" w:color="auto" w:sz="4" w:space="0"/>
              <w:tl2br w:val="nil"/>
              <w:tr2bl w:val="nil"/>
            </w:tcBorders>
            <w:vAlign w:val="center"/>
          </w:tcPr>
          <w:p>
            <w:pPr>
              <w:pStyle w:val="39"/>
              <w:rPr>
                <w:rFonts w:cs="Times New Roman"/>
                <w:snapToGrid w:val="0"/>
              </w:rPr>
            </w:pPr>
            <w:r>
              <w:rPr>
                <w:rFonts w:cs="Times New Roman"/>
                <w:snapToGrid w:val="0"/>
              </w:rPr>
              <w:t>-2C</w:t>
            </w:r>
          </w:p>
        </w:tc>
        <w:tc>
          <w:tcPr>
            <w:tcW w:w="322" w:type="pct"/>
            <w:tcBorders>
              <w:top w:val="single" w:color="auto" w:sz="4" w:space="0"/>
              <w:bottom w:val="single" w:color="auto" w:sz="4" w:space="0"/>
              <w:tl2br w:val="nil"/>
              <w:tr2bl w:val="nil"/>
            </w:tcBorders>
            <w:vAlign w:val="center"/>
          </w:tcPr>
          <w:p>
            <w:pPr>
              <w:pStyle w:val="39"/>
              <w:rPr>
                <w:rFonts w:cs="Times New Roman"/>
                <w:snapToGrid w:val="0"/>
              </w:rPr>
            </w:pPr>
            <w:r>
              <w:rPr>
                <w:rFonts w:cs="Times New Roman"/>
                <w:snapToGrid w:val="0"/>
              </w:rPr>
              <w:t>-1C</w:t>
            </w:r>
          </w:p>
        </w:tc>
        <w:tc>
          <w:tcPr>
            <w:tcW w:w="320" w:type="pct"/>
            <w:tcBorders>
              <w:top w:val="single" w:color="auto" w:sz="4" w:space="0"/>
              <w:bottom w:val="single" w:color="auto" w:sz="4" w:space="0"/>
              <w:right w:val="single" w:color="auto" w:sz="4" w:space="0"/>
              <w:tl2br w:val="nil"/>
              <w:tr2bl w:val="nil"/>
            </w:tcBorders>
            <w:vAlign w:val="center"/>
          </w:tcPr>
          <w:p>
            <w:pPr>
              <w:pStyle w:val="39"/>
              <w:rPr>
                <w:rFonts w:cs="Times New Roman"/>
                <w:snapToGrid w:val="0"/>
              </w:rPr>
            </w:pPr>
            <w:r>
              <w:rPr>
                <w:rFonts w:cs="Times New Roman"/>
                <w:snapToGrid w:val="0"/>
              </w:rPr>
              <w:t>+1C</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 w:type="pct"/>
            <w:vMerge w:val="continue"/>
            <w:tcBorders>
              <w:top w:val="single" w:color="auto" w:sz="4" w:space="0"/>
              <w:left w:val="single" w:color="auto" w:sz="4" w:space="0"/>
              <w:bottom w:val="single" w:color="auto" w:sz="4" w:space="0"/>
              <w:tl2br w:val="nil"/>
              <w:tr2bl w:val="nil"/>
            </w:tcBorders>
            <w:vAlign w:val="center"/>
          </w:tcPr>
          <w:p>
            <w:pPr>
              <w:pStyle w:val="39"/>
              <w:rPr>
                <w:rFonts w:cs="Times New Roman"/>
                <w:snapToGrid w:val="0"/>
              </w:rPr>
            </w:pPr>
          </w:p>
        </w:tc>
        <w:tc>
          <w:tcPr>
            <w:tcW w:w="596" w:type="pct"/>
            <w:tcBorders>
              <w:top w:val="single" w:color="auto" w:sz="4" w:space="0"/>
              <w:bottom w:val="single" w:color="auto" w:sz="4" w:space="0"/>
              <w:tl2br w:val="nil"/>
              <w:tr2bl w:val="nil"/>
            </w:tcBorders>
            <w:vAlign w:val="center"/>
          </w:tcPr>
          <w:p>
            <w:pPr>
              <w:pStyle w:val="39"/>
              <w:rPr>
                <w:rFonts w:cs="Times New Roman"/>
                <w:snapToGrid w:val="0"/>
              </w:rPr>
            </w:pPr>
            <w:r>
              <w:rPr>
                <w:rFonts w:cs="Times New Roman"/>
                <w:snapToGrid w:val="0"/>
              </w:rPr>
              <w:t>废渣</w:t>
            </w:r>
          </w:p>
        </w:tc>
        <w:tc>
          <w:tcPr>
            <w:tcW w:w="319" w:type="pct"/>
            <w:tcBorders>
              <w:top w:val="single" w:color="auto" w:sz="4" w:space="0"/>
              <w:bottom w:val="single" w:color="auto" w:sz="4" w:space="0"/>
              <w:tl2br w:val="nil"/>
              <w:tr2bl w:val="nil"/>
            </w:tcBorders>
            <w:vAlign w:val="center"/>
          </w:tcPr>
          <w:p>
            <w:pPr>
              <w:pStyle w:val="39"/>
              <w:rPr>
                <w:rFonts w:cs="Times New Roman"/>
                <w:snapToGrid w:val="0"/>
              </w:rPr>
            </w:pPr>
            <w:r>
              <w:rPr>
                <w:rFonts w:cs="Times New Roman"/>
                <w:snapToGrid w:val="0"/>
              </w:rPr>
              <w:t>-1C</w:t>
            </w:r>
          </w:p>
        </w:tc>
        <w:tc>
          <w:tcPr>
            <w:tcW w:w="319" w:type="pct"/>
            <w:tcBorders>
              <w:top w:val="single" w:color="auto" w:sz="4" w:space="0"/>
              <w:bottom w:val="single" w:color="auto" w:sz="4" w:space="0"/>
              <w:tl2br w:val="nil"/>
              <w:tr2bl w:val="nil"/>
            </w:tcBorders>
            <w:vAlign w:val="center"/>
          </w:tcPr>
          <w:p>
            <w:pPr>
              <w:pStyle w:val="39"/>
              <w:rPr>
                <w:rFonts w:cs="Times New Roman"/>
                <w:snapToGrid w:val="0"/>
              </w:rPr>
            </w:pPr>
          </w:p>
        </w:tc>
        <w:tc>
          <w:tcPr>
            <w:tcW w:w="321" w:type="pct"/>
            <w:tcBorders>
              <w:top w:val="single" w:color="auto" w:sz="4" w:space="0"/>
              <w:bottom w:val="single" w:color="auto" w:sz="4" w:space="0"/>
              <w:tl2br w:val="nil"/>
              <w:tr2bl w:val="nil"/>
            </w:tcBorders>
            <w:vAlign w:val="center"/>
          </w:tcPr>
          <w:p>
            <w:pPr>
              <w:pStyle w:val="39"/>
              <w:rPr>
                <w:rFonts w:cs="Times New Roman"/>
                <w:snapToGrid w:val="0"/>
              </w:rPr>
            </w:pPr>
          </w:p>
        </w:tc>
        <w:tc>
          <w:tcPr>
            <w:tcW w:w="321" w:type="pct"/>
            <w:tcBorders>
              <w:top w:val="single" w:color="auto" w:sz="4" w:space="0"/>
              <w:bottom w:val="single" w:color="auto" w:sz="4" w:space="0"/>
              <w:tl2br w:val="nil"/>
              <w:tr2bl w:val="nil"/>
            </w:tcBorders>
            <w:vAlign w:val="center"/>
          </w:tcPr>
          <w:p>
            <w:pPr>
              <w:pStyle w:val="39"/>
              <w:rPr>
                <w:rFonts w:cs="Times New Roman"/>
                <w:snapToGrid w:val="0"/>
              </w:rPr>
            </w:pPr>
          </w:p>
        </w:tc>
        <w:tc>
          <w:tcPr>
            <w:tcW w:w="321" w:type="pct"/>
            <w:tcBorders>
              <w:top w:val="single" w:color="auto" w:sz="4" w:space="0"/>
              <w:bottom w:val="single" w:color="auto" w:sz="4" w:space="0"/>
              <w:tl2br w:val="nil"/>
              <w:tr2bl w:val="nil"/>
            </w:tcBorders>
            <w:vAlign w:val="center"/>
          </w:tcPr>
          <w:p>
            <w:pPr>
              <w:pStyle w:val="39"/>
              <w:rPr>
                <w:rFonts w:cs="Times New Roman"/>
                <w:snapToGrid w:val="0"/>
              </w:rPr>
            </w:pPr>
            <w:r>
              <w:rPr>
                <w:rFonts w:cs="Times New Roman"/>
                <w:snapToGrid w:val="0"/>
              </w:rPr>
              <w:t>-1C</w:t>
            </w:r>
          </w:p>
        </w:tc>
        <w:tc>
          <w:tcPr>
            <w:tcW w:w="321" w:type="pct"/>
            <w:tcBorders>
              <w:top w:val="single" w:color="auto" w:sz="4" w:space="0"/>
              <w:bottom w:val="single" w:color="auto" w:sz="4" w:space="0"/>
              <w:tl2br w:val="nil"/>
              <w:tr2bl w:val="nil"/>
            </w:tcBorders>
            <w:vAlign w:val="center"/>
          </w:tcPr>
          <w:p>
            <w:pPr>
              <w:pStyle w:val="39"/>
              <w:rPr>
                <w:rFonts w:cs="Times New Roman"/>
                <w:snapToGrid w:val="0"/>
              </w:rPr>
            </w:pPr>
          </w:p>
        </w:tc>
        <w:tc>
          <w:tcPr>
            <w:tcW w:w="321" w:type="pct"/>
            <w:tcBorders>
              <w:top w:val="single" w:color="auto" w:sz="4" w:space="0"/>
              <w:bottom w:val="single" w:color="auto" w:sz="4" w:space="0"/>
              <w:tl2br w:val="nil"/>
              <w:tr2bl w:val="nil"/>
            </w:tcBorders>
            <w:vAlign w:val="center"/>
          </w:tcPr>
          <w:p>
            <w:pPr>
              <w:pStyle w:val="39"/>
              <w:rPr>
                <w:rFonts w:cs="Times New Roman"/>
                <w:snapToGrid w:val="0"/>
              </w:rPr>
            </w:pPr>
          </w:p>
        </w:tc>
        <w:tc>
          <w:tcPr>
            <w:tcW w:w="321" w:type="pct"/>
            <w:tcBorders>
              <w:top w:val="single" w:color="auto" w:sz="4" w:space="0"/>
              <w:bottom w:val="single" w:color="auto" w:sz="4" w:space="0"/>
              <w:tl2br w:val="nil"/>
              <w:tr2bl w:val="nil"/>
            </w:tcBorders>
            <w:vAlign w:val="center"/>
          </w:tcPr>
          <w:p>
            <w:pPr>
              <w:pStyle w:val="39"/>
              <w:rPr>
                <w:rFonts w:cs="Times New Roman"/>
                <w:snapToGrid w:val="0"/>
              </w:rPr>
            </w:pPr>
          </w:p>
        </w:tc>
        <w:tc>
          <w:tcPr>
            <w:tcW w:w="322" w:type="pct"/>
            <w:tcBorders>
              <w:top w:val="single" w:color="auto" w:sz="4" w:space="0"/>
              <w:bottom w:val="single" w:color="auto" w:sz="4" w:space="0"/>
              <w:tl2br w:val="nil"/>
              <w:tr2bl w:val="nil"/>
            </w:tcBorders>
            <w:vAlign w:val="center"/>
          </w:tcPr>
          <w:p>
            <w:pPr>
              <w:pStyle w:val="39"/>
              <w:rPr>
                <w:rFonts w:cs="Times New Roman"/>
                <w:snapToGrid w:val="0"/>
              </w:rPr>
            </w:pPr>
          </w:p>
        </w:tc>
        <w:tc>
          <w:tcPr>
            <w:tcW w:w="322" w:type="pct"/>
            <w:tcBorders>
              <w:top w:val="single" w:color="auto" w:sz="4" w:space="0"/>
              <w:bottom w:val="single" w:color="auto" w:sz="4" w:space="0"/>
              <w:tl2br w:val="nil"/>
              <w:tr2bl w:val="nil"/>
            </w:tcBorders>
            <w:vAlign w:val="center"/>
          </w:tcPr>
          <w:p>
            <w:pPr>
              <w:pStyle w:val="39"/>
              <w:rPr>
                <w:rFonts w:cs="Times New Roman"/>
                <w:snapToGrid w:val="0"/>
              </w:rPr>
            </w:pPr>
          </w:p>
        </w:tc>
        <w:tc>
          <w:tcPr>
            <w:tcW w:w="321" w:type="pct"/>
            <w:tcBorders>
              <w:top w:val="single" w:color="auto" w:sz="4" w:space="0"/>
              <w:bottom w:val="single" w:color="auto" w:sz="4" w:space="0"/>
              <w:tl2br w:val="nil"/>
              <w:tr2bl w:val="nil"/>
            </w:tcBorders>
            <w:vAlign w:val="center"/>
          </w:tcPr>
          <w:p>
            <w:pPr>
              <w:pStyle w:val="39"/>
              <w:rPr>
                <w:rFonts w:cs="Times New Roman"/>
                <w:snapToGrid w:val="0"/>
              </w:rPr>
            </w:pPr>
          </w:p>
        </w:tc>
        <w:tc>
          <w:tcPr>
            <w:tcW w:w="322" w:type="pct"/>
            <w:tcBorders>
              <w:top w:val="single" w:color="auto" w:sz="4" w:space="0"/>
              <w:bottom w:val="single" w:color="auto" w:sz="4" w:space="0"/>
              <w:tl2br w:val="nil"/>
              <w:tr2bl w:val="nil"/>
            </w:tcBorders>
            <w:vAlign w:val="center"/>
          </w:tcPr>
          <w:p>
            <w:pPr>
              <w:pStyle w:val="39"/>
              <w:rPr>
                <w:rFonts w:cs="Times New Roman"/>
                <w:snapToGrid w:val="0"/>
              </w:rPr>
            </w:pPr>
            <w:r>
              <w:rPr>
                <w:rFonts w:cs="Times New Roman"/>
                <w:snapToGrid w:val="0"/>
              </w:rPr>
              <w:t>-1C</w:t>
            </w:r>
          </w:p>
        </w:tc>
        <w:tc>
          <w:tcPr>
            <w:tcW w:w="320" w:type="pct"/>
            <w:tcBorders>
              <w:top w:val="single" w:color="auto" w:sz="4" w:space="0"/>
              <w:bottom w:val="single" w:color="auto" w:sz="4" w:space="0"/>
              <w:right w:val="single" w:color="auto" w:sz="4" w:space="0"/>
              <w:tl2br w:val="nil"/>
              <w:tr2bl w:val="nil"/>
            </w:tcBorders>
            <w:vAlign w:val="center"/>
          </w:tcPr>
          <w:p>
            <w:pPr>
              <w:pStyle w:val="39"/>
              <w:rPr>
                <w:rFonts w:cs="Times New Roman"/>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 w:type="pct"/>
            <w:vMerge w:val="continue"/>
            <w:tcBorders>
              <w:top w:val="single" w:color="auto" w:sz="4" w:space="0"/>
              <w:left w:val="single" w:color="auto" w:sz="4" w:space="0"/>
              <w:bottom w:val="single" w:color="auto" w:sz="4" w:space="0"/>
              <w:tl2br w:val="nil"/>
              <w:tr2bl w:val="nil"/>
            </w:tcBorders>
            <w:vAlign w:val="center"/>
          </w:tcPr>
          <w:p>
            <w:pPr>
              <w:pStyle w:val="39"/>
              <w:rPr>
                <w:rFonts w:cs="Times New Roman"/>
                <w:snapToGrid w:val="0"/>
              </w:rPr>
            </w:pPr>
          </w:p>
        </w:tc>
        <w:tc>
          <w:tcPr>
            <w:tcW w:w="596" w:type="pct"/>
            <w:tcBorders>
              <w:top w:val="single" w:color="auto" w:sz="4" w:space="0"/>
              <w:bottom w:val="single" w:color="auto" w:sz="4" w:space="0"/>
              <w:tl2br w:val="nil"/>
              <w:tr2bl w:val="nil"/>
            </w:tcBorders>
            <w:vAlign w:val="center"/>
          </w:tcPr>
          <w:p>
            <w:pPr>
              <w:pStyle w:val="39"/>
              <w:rPr>
                <w:rFonts w:cs="Times New Roman"/>
                <w:snapToGrid w:val="0"/>
              </w:rPr>
            </w:pPr>
            <w:r>
              <w:rPr>
                <w:rFonts w:cs="Times New Roman"/>
                <w:snapToGrid w:val="0"/>
              </w:rPr>
              <w:t>风险事故</w:t>
            </w:r>
          </w:p>
        </w:tc>
        <w:tc>
          <w:tcPr>
            <w:tcW w:w="319" w:type="pct"/>
            <w:tcBorders>
              <w:top w:val="single" w:color="auto" w:sz="4" w:space="0"/>
              <w:bottom w:val="single" w:color="auto" w:sz="4" w:space="0"/>
              <w:tl2br w:val="nil"/>
              <w:tr2bl w:val="nil"/>
            </w:tcBorders>
            <w:vAlign w:val="center"/>
          </w:tcPr>
          <w:p>
            <w:pPr>
              <w:pStyle w:val="39"/>
              <w:rPr>
                <w:rFonts w:cs="Times New Roman"/>
                <w:snapToGrid w:val="0"/>
              </w:rPr>
            </w:pPr>
          </w:p>
        </w:tc>
        <w:tc>
          <w:tcPr>
            <w:tcW w:w="319" w:type="pct"/>
            <w:tcBorders>
              <w:top w:val="single" w:color="auto" w:sz="4" w:space="0"/>
              <w:bottom w:val="single" w:color="auto" w:sz="4" w:space="0"/>
              <w:tl2br w:val="nil"/>
              <w:tr2bl w:val="nil"/>
            </w:tcBorders>
            <w:vAlign w:val="center"/>
          </w:tcPr>
          <w:p>
            <w:pPr>
              <w:pStyle w:val="39"/>
              <w:rPr>
                <w:rFonts w:cs="Times New Roman"/>
                <w:snapToGrid w:val="0"/>
              </w:rPr>
            </w:pPr>
            <w:r>
              <w:rPr>
                <w:rFonts w:cs="Times New Roman"/>
                <w:snapToGrid w:val="0"/>
              </w:rPr>
              <w:t>-1C</w:t>
            </w:r>
          </w:p>
        </w:tc>
        <w:tc>
          <w:tcPr>
            <w:tcW w:w="321" w:type="pct"/>
            <w:tcBorders>
              <w:top w:val="single" w:color="auto" w:sz="4" w:space="0"/>
              <w:bottom w:val="single" w:color="auto" w:sz="4" w:space="0"/>
              <w:tl2br w:val="nil"/>
              <w:tr2bl w:val="nil"/>
            </w:tcBorders>
            <w:vAlign w:val="center"/>
          </w:tcPr>
          <w:p>
            <w:pPr>
              <w:pStyle w:val="39"/>
              <w:rPr>
                <w:rFonts w:cs="Times New Roman"/>
                <w:snapToGrid w:val="0"/>
              </w:rPr>
            </w:pPr>
          </w:p>
        </w:tc>
        <w:tc>
          <w:tcPr>
            <w:tcW w:w="321" w:type="pct"/>
            <w:tcBorders>
              <w:top w:val="single" w:color="auto" w:sz="4" w:space="0"/>
              <w:bottom w:val="single" w:color="auto" w:sz="4" w:space="0"/>
              <w:tl2br w:val="nil"/>
              <w:tr2bl w:val="nil"/>
            </w:tcBorders>
            <w:vAlign w:val="center"/>
          </w:tcPr>
          <w:p>
            <w:pPr>
              <w:pStyle w:val="39"/>
              <w:rPr>
                <w:rFonts w:cs="Times New Roman"/>
                <w:snapToGrid w:val="0"/>
              </w:rPr>
            </w:pPr>
          </w:p>
        </w:tc>
        <w:tc>
          <w:tcPr>
            <w:tcW w:w="321" w:type="pct"/>
            <w:tcBorders>
              <w:top w:val="single" w:color="auto" w:sz="4" w:space="0"/>
              <w:bottom w:val="single" w:color="auto" w:sz="4" w:space="0"/>
              <w:tl2br w:val="nil"/>
              <w:tr2bl w:val="nil"/>
            </w:tcBorders>
            <w:vAlign w:val="center"/>
          </w:tcPr>
          <w:p>
            <w:pPr>
              <w:pStyle w:val="39"/>
              <w:rPr>
                <w:rFonts w:cs="Times New Roman"/>
                <w:snapToGrid w:val="0"/>
              </w:rPr>
            </w:pPr>
          </w:p>
        </w:tc>
        <w:tc>
          <w:tcPr>
            <w:tcW w:w="321" w:type="pct"/>
            <w:tcBorders>
              <w:top w:val="single" w:color="auto" w:sz="4" w:space="0"/>
              <w:bottom w:val="single" w:color="auto" w:sz="4" w:space="0"/>
              <w:tl2br w:val="nil"/>
              <w:tr2bl w:val="nil"/>
            </w:tcBorders>
            <w:vAlign w:val="center"/>
          </w:tcPr>
          <w:p>
            <w:pPr>
              <w:pStyle w:val="39"/>
              <w:rPr>
                <w:rFonts w:cs="Times New Roman"/>
                <w:snapToGrid w:val="0"/>
              </w:rPr>
            </w:pPr>
            <w:r>
              <w:rPr>
                <w:rFonts w:cs="Times New Roman"/>
                <w:snapToGrid w:val="0"/>
              </w:rPr>
              <w:t>-1C</w:t>
            </w:r>
          </w:p>
        </w:tc>
        <w:tc>
          <w:tcPr>
            <w:tcW w:w="321" w:type="pct"/>
            <w:tcBorders>
              <w:top w:val="single" w:color="auto" w:sz="4" w:space="0"/>
              <w:bottom w:val="single" w:color="auto" w:sz="4" w:space="0"/>
              <w:tl2br w:val="nil"/>
              <w:tr2bl w:val="nil"/>
            </w:tcBorders>
            <w:vAlign w:val="center"/>
          </w:tcPr>
          <w:p>
            <w:pPr>
              <w:pStyle w:val="39"/>
              <w:rPr>
                <w:rFonts w:cs="Times New Roman"/>
                <w:snapToGrid w:val="0"/>
              </w:rPr>
            </w:pPr>
          </w:p>
        </w:tc>
        <w:tc>
          <w:tcPr>
            <w:tcW w:w="321" w:type="pct"/>
            <w:tcBorders>
              <w:top w:val="single" w:color="auto" w:sz="4" w:space="0"/>
              <w:bottom w:val="single" w:color="auto" w:sz="4" w:space="0"/>
              <w:tl2br w:val="nil"/>
              <w:tr2bl w:val="nil"/>
            </w:tcBorders>
            <w:vAlign w:val="center"/>
          </w:tcPr>
          <w:p>
            <w:pPr>
              <w:pStyle w:val="39"/>
              <w:rPr>
                <w:rFonts w:cs="Times New Roman"/>
                <w:snapToGrid w:val="0"/>
              </w:rPr>
            </w:pPr>
          </w:p>
        </w:tc>
        <w:tc>
          <w:tcPr>
            <w:tcW w:w="322" w:type="pct"/>
            <w:tcBorders>
              <w:top w:val="single" w:color="auto" w:sz="4" w:space="0"/>
              <w:bottom w:val="single" w:color="auto" w:sz="4" w:space="0"/>
              <w:tl2br w:val="nil"/>
              <w:tr2bl w:val="nil"/>
            </w:tcBorders>
            <w:vAlign w:val="center"/>
          </w:tcPr>
          <w:p>
            <w:pPr>
              <w:pStyle w:val="39"/>
              <w:rPr>
                <w:rFonts w:cs="Times New Roman"/>
                <w:snapToGrid w:val="0"/>
              </w:rPr>
            </w:pPr>
          </w:p>
        </w:tc>
        <w:tc>
          <w:tcPr>
            <w:tcW w:w="322" w:type="pct"/>
            <w:tcBorders>
              <w:top w:val="single" w:color="auto" w:sz="4" w:space="0"/>
              <w:bottom w:val="single" w:color="auto" w:sz="4" w:space="0"/>
              <w:tl2br w:val="nil"/>
              <w:tr2bl w:val="nil"/>
            </w:tcBorders>
            <w:vAlign w:val="center"/>
          </w:tcPr>
          <w:p>
            <w:pPr>
              <w:pStyle w:val="39"/>
              <w:rPr>
                <w:rFonts w:cs="Times New Roman"/>
                <w:snapToGrid w:val="0"/>
              </w:rPr>
            </w:pPr>
          </w:p>
        </w:tc>
        <w:tc>
          <w:tcPr>
            <w:tcW w:w="321" w:type="pct"/>
            <w:tcBorders>
              <w:top w:val="single" w:color="auto" w:sz="4" w:space="0"/>
              <w:bottom w:val="single" w:color="auto" w:sz="4" w:space="0"/>
              <w:tl2br w:val="nil"/>
              <w:tr2bl w:val="nil"/>
            </w:tcBorders>
            <w:vAlign w:val="center"/>
          </w:tcPr>
          <w:p>
            <w:pPr>
              <w:pStyle w:val="39"/>
              <w:rPr>
                <w:rFonts w:cs="Times New Roman"/>
                <w:snapToGrid w:val="0"/>
              </w:rPr>
            </w:pPr>
          </w:p>
        </w:tc>
        <w:tc>
          <w:tcPr>
            <w:tcW w:w="322" w:type="pct"/>
            <w:tcBorders>
              <w:top w:val="single" w:color="auto" w:sz="4" w:space="0"/>
              <w:bottom w:val="single" w:color="auto" w:sz="4" w:space="0"/>
              <w:tl2br w:val="nil"/>
              <w:tr2bl w:val="nil"/>
            </w:tcBorders>
            <w:vAlign w:val="center"/>
          </w:tcPr>
          <w:p>
            <w:pPr>
              <w:pStyle w:val="39"/>
              <w:rPr>
                <w:rFonts w:cs="Times New Roman"/>
                <w:snapToGrid w:val="0"/>
              </w:rPr>
            </w:pPr>
            <w:r>
              <w:rPr>
                <w:rFonts w:cs="Times New Roman"/>
                <w:snapToGrid w:val="0"/>
              </w:rPr>
              <w:t>-1C</w:t>
            </w:r>
          </w:p>
        </w:tc>
        <w:tc>
          <w:tcPr>
            <w:tcW w:w="320" w:type="pct"/>
            <w:tcBorders>
              <w:top w:val="single" w:color="auto" w:sz="4" w:space="0"/>
              <w:bottom w:val="single" w:color="auto" w:sz="4" w:space="0"/>
              <w:right w:val="single" w:color="auto" w:sz="4" w:space="0"/>
              <w:tl2br w:val="nil"/>
              <w:tr2bl w:val="nil"/>
            </w:tcBorders>
            <w:vAlign w:val="center"/>
          </w:tcPr>
          <w:p>
            <w:pPr>
              <w:pStyle w:val="39"/>
              <w:rPr>
                <w:rFonts w:cs="Times New Roman"/>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 w:type="pct"/>
            <w:vMerge w:val="continue"/>
            <w:tcBorders>
              <w:top w:val="single" w:color="auto" w:sz="4" w:space="0"/>
              <w:left w:val="single" w:color="auto" w:sz="4" w:space="0"/>
              <w:bottom w:val="single" w:color="auto" w:sz="4" w:space="0"/>
              <w:tl2br w:val="nil"/>
              <w:tr2bl w:val="nil"/>
            </w:tcBorders>
            <w:vAlign w:val="center"/>
          </w:tcPr>
          <w:p>
            <w:pPr>
              <w:pStyle w:val="39"/>
              <w:rPr>
                <w:rFonts w:cs="Times New Roman"/>
                <w:snapToGrid w:val="0"/>
              </w:rPr>
            </w:pPr>
          </w:p>
        </w:tc>
        <w:tc>
          <w:tcPr>
            <w:tcW w:w="596" w:type="pct"/>
            <w:tcBorders>
              <w:top w:val="single" w:color="auto" w:sz="4" w:space="0"/>
              <w:bottom w:val="single" w:color="auto" w:sz="4" w:space="0"/>
              <w:tl2br w:val="nil"/>
              <w:tr2bl w:val="nil"/>
            </w:tcBorders>
            <w:vAlign w:val="center"/>
          </w:tcPr>
          <w:p>
            <w:pPr>
              <w:pStyle w:val="39"/>
              <w:rPr>
                <w:rFonts w:cs="Times New Roman"/>
                <w:snapToGrid w:val="0"/>
              </w:rPr>
            </w:pPr>
            <w:r>
              <w:rPr>
                <w:rFonts w:cs="Times New Roman"/>
                <w:snapToGrid w:val="0"/>
              </w:rPr>
              <w:t>原料运输</w:t>
            </w:r>
          </w:p>
        </w:tc>
        <w:tc>
          <w:tcPr>
            <w:tcW w:w="319" w:type="pct"/>
            <w:tcBorders>
              <w:top w:val="single" w:color="auto" w:sz="4" w:space="0"/>
              <w:bottom w:val="single" w:color="auto" w:sz="4" w:space="0"/>
              <w:tl2br w:val="nil"/>
              <w:tr2bl w:val="nil"/>
            </w:tcBorders>
            <w:vAlign w:val="center"/>
          </w:tcPr>
          <w:p>
            <w:pPr>
              <w:pStyle w:val="39"/>
              <w:rPr>
                <w:rFonts w:cs="Times New Roman"/>
                <w:snapToGrid w:val="0"/>
              </w:rPr>
            </w:pPr>
            <w:r>
              <w:rPr>
                <w:rFonts w:cs="Times New Roman"/>
                <w:snapToGrid w:val="0"/>
              </w:rPr>
              <w:t>-1C</w:t>
            </w:r>
          </w:p>
        </w:tc>
        <w:tc>
          <w:tcPr>
            <w:tcW w:w="319" w:type="pct"/>
            <w:tcBorders>
              <w:top w:val="single" w:color="auto" w:sz="4" w:space="0"/>
              <w:bottom w:val="single" w:color="auto" w:sz="4" w:space="0"/>
              <w:tl2br w:val="nil"/>
              <w:tr2bl w:val="nil"/>
            </w:tcBorders>
            <w:vAlign w:val="center"/>
          </w:tcPr>
          <w:p>
            <w:pPr>
              <w:pStyle w:val="39"/>
              <w:rPr>
                <w:rFonts w:cs="Times New Roman"/>
                <w:snapToGrid w:val="0"/>
              </w:rPr>
            </w:pPr>
          </w:p>
        </w:tc>
        <w:tc>
          <w:tcPr>
            <w:tcW w:w="321" w:type="pct"/>
            <w:tcBorders>
              <w:top w:val="single" w:color="auto" w:sz="4" w:space="0"/>
              <w:bottom w:val="single" w:color="auto" w:sz="4" w:space="0"/>
              <w:tl2br w:val="nil"/>
              <w:tr2bl w:val="nil"/>
            </w:tcBorders>
            <w:vAlign w:val="center"/>
          </w:tcPr>
          <w:p>
            <w:pPr>
              <w:pStyle w:val="39"/>
              <w:rPr>
                <w:rFonts w:cs="Times New Roman"/>
                <w:snapToGrid w:val="0"/>
              </w:rPr>
            </w:pPr>
          </w:p>
        </w:tc>
        <w:tc>
          <w:tcPr>
            <w:tcW w:w="321" w:type="pct"/>
            <w:tcBorders>
              <w:top w:val="single" w:color="auto" w:sz="4" w:space="0"/>
              <w:bottom w:val="single" w:color="auto" w:sz="4" w:space="0"/>
              <w:tl2br w:val="nil"/>
              <w:tr2bl w:val="nil"/>
            </w:tcBorders>
            <w:vAlign w:val="center"/>
          </w:tcPr>
          <w:p>
            <w:pPr>
              <w:pStyle w:val="39"/>
              <w:rPr>
                <w:rFonts w:cs="Times New Roman"/>
                <w:snapToGrid w:val="0"/>
              </w:rPr>
            </w:pPr>
            <w:r>
              <w:rPr>
                <w:rFonts w:cs="Times New Roman"/>
                <w:snapToGrid w:val="0"/>
              </w:rPr>
              <w:t>-1C</w:t>
            </w:r>
          </w:p>
        </w:tc>
        <w:tc>
          <w:tcPr>
            <w:tcW w:w="321" w:type="pct"/>
            <w:tcBorders>
              <w:top w:val="single" w:color="auto" w:sz="4" w:space="0"/>
              <w:bottom w:val="single" w:color="auto" w:sz="4" w:space="0"/>
              <w:tl2br w:val="nil"/>
              <w:tr2bl w:val="nil"/>
            </w:tcBorders>
            <w:vAlign w:val="center"/>
          </w:tcPr>
          <w:p>
            <w:pPr>
              <w:pStyle w:val="39"/>
              <w:rPr>
                <w:rFonts w:cs="Times New Roman"/>
                <w:snapToGrid w:val="0"/>
              </w:rPr>
            </w:pPr>
          </w:p>
        </w:tc>
        <w:tc>
          <w:tcPr>
            <w:tcW w:w="321" w:type="pct"/>
            <w:tcBorders>
              <w:top w:val="single" w:color="auto" w:sz="4" w:space="0"/>
              <w:bottom w:val="single" w:color="auto" w:sz="4" w:space="0"/>
              <w:tl2br w:val="nil"/>
              <w:tr2bl w:val="nil"/>
            </w:tcBorders>
            <w:vAlign w:val="center"/>
          </w:tcPr>
          <w:p>
            <w:pPr>
              <w:pStyle w:val="39"/>
              <w:rPr>
                <w:rFonts w:cs="Times New Roman"/>
                <w:snapToGrid w:val="0"/>
              </w:rPr>
            </w:pPr>
          </w:p>
        </w:tc>
        <w:tc>
          <w:tcPr>
            <w:tcW w:w="321" w:type="pct"/>
            <w:tcBorders>
              <w:top w:val="single" w:color="auto" w:sz="4" w:space="0"/>
              <w:bottom w:val="single" w:color="auto" w:sz="4" w:space="0"/>
              <w:tl2br w:val="nil"/>
              <w:tr2bl w:val="nil"/>
            </w:tcBorders>
            <w:vAlign w:val="center"/>
          </w:tcPr>
          <w:p>
            <w:pPr>
              <w:pStyle w:val="39"/>
              <w:rPr>
                <w:rFonts w:cs="Times New Roman"/>
                <w:snapToGrid w:val="0"/>
              </w:rPr>
            </w:pPr>
          </w:p>
        </w:tc>
        <w:tc>
          <w:tcPr>
            <w:tcW w:w="321" w:type="pct"/>
            <w:tcBorders>
              <w:top w:val="single" w:color="auto" w:sz="4" w:space="0"/>
              <w:bottom w:val="single" w:color="auto" w:sz="4" w:space="0"/>
              <w:tl2br w:val="nil"/>
              <w:tr2bl w:val="nil"/>
            </w:tcBorders>
            <w:vAlign w:val="center"/>
          </w:tcPr>
          <w:p>
            <w:pPr>
              <w:pStyle w:val="39"/>
              <w:rPr>
                <w:rFonts w:cs="Times New Roman"/>
                <w:snapToGrid w:val="0"/>
              </w:rPr>
            </w:pPr>
          </w:p>
        </w:tc>
        <w:tc>
          <w:tcPr>
            <w:tcW w:w="322" w:type="pct"/>
            <w:tcBorders>
              <w:top w:val="single" w:color="auto" w:sz="4" w:space="0"/>
              <w:bottom w:val="single" w:color="auto" w:sz="4" w:space="0"/>
              <w:tl2br w:val="nil"/>
              <w:tr2bl w:val="nil"/>
            </w:tcBorders>
            <w:vAlign w:val="center"/>
          </w:tcPr>
          <w:p>
            <w:pPr>
              <w:pStyle w:val="39"/>
              <w:rPr>
                <w:rFonts w:cs="Times New Roman"/>
                <w:snapToGrid w:val="0"/>
              </w:rPr>
            </w:pPr>
          </w:p>
        </w:tc>
        <w:tc>
          <w:tcPr>
            <w:tcW w:w="322" w:type="pct"/>
            <w:tcBorders>
              <w:top w:val="single" w:color="auto" w:sz="4" w:space="0"/>
              <w:bottom w:val="single" w:color="auto" w:sz="4" w:space="0"/>
              <w:tl2br w:val="nil"/>
              <w:tr2bl w:val="nil"/>
            </w:tcBorders>
            <w:vAlign w:val="center"/>
          </w:tcPr>
          <w:p>
            <w:pPr>
              <w:pStyle w:val="39"/>
              <w:rPr>
                <w:rFonts w:cs="Times New Roman"/>
                <w:snapToGrid w:val="0"/>
              </w:rPr>
            </w:pPr>
            <w:r>
              <w:rPr>
                <w:rFonts w:cs="Times New Roman"/>
                <w:snapToGrid w:val="0"/>
              </w:rPr>
              <w:t>+2C</w:t>
            </w:r>
          </w:p>
        </w:tc>
        <w:tc>
          <w:tcPr>
            <w:tcW w:w="321" w:type="pct"/>
            <w:tcBorders>
              <w:top w:val="single" w:color="auto" w:sz="4" w:space="0"/>
              <w:bottom w:val="single" w:color="auto" w:sz="4" w:space="0"/>
              <w:tl2br w:val="nil"/>
              <w:tr2bl w:val="nil"/>
            </w:tcBorders>
            <w:vAlign w:val="center"/>
          </w:tcPr>
          <w:p>
            <w:pPr>
              <w:pStyle w:val="39"/>
              <w:rPr>
                <w:rFonts w:cs="Times New Roman"/>
                <w:snapToGrid w:val="0"/>
              </w:rPr>
            </w:pPr>
          </w:p>
        </w:tc>
        <w:tc>
          <w:tcPr>
            <w:tcW w:w="322" w:type="pct"/>
            <w:tcBorders>
              <w:top w:val="single" w:color="auto" w:sz="4" w:space="0"/>
              <w:bottom w:val="single" w:color="auto" w:sz="4" w:space="0"/>
              <w:tl2br w:val="nil"/>
              <w:tr2bl w:val="nil"/>
            </w:tcBorders>
            <w:vAlign w:val="center"/>
          </w:tcPr>
          <w:p>
            <w:pPr>
              <w:pStyle w:val="39"/>
              <w:rPr>
                <w:rFonts w:cs="Times New Roman"/>
                <w:snapToGrid w:val="0"/>
              </w:rPr>
            </w:pPr>
          </w:p>
        </w:tc>
        <w:tc>
          <w:tcPr>
            <w:tcW w:w="320" w:type="pct"/>
            <w:tcBorders>
              <w:top w:val="single" w:color="auto" w:sz="4" w:space="0"/>
              <w:bottom w:val="single" w:color="auto" w:sz="4" w:space="0"/>
              <w:right w:val="single" w:color="auto" w:sz="4" w:space="0"/>
              <w:tl2br w:val="nil"/>
              <w:tr2bl w:val="nil"/>
            </w:tcBorders>
            <w:vAlign w:val="center"/>
          </w:tcPr>
          <w:p>
            <w:pPr>
              <w:pStyle w:val="39"/>
              <w:rPr>
                <w:rFonts w:cs="Times New Roman"/>
                <w:snapToGrid w:val="0"/>
              </w:rPr>
            </w:pPr>
            <w:r>
              <w:rPr>
                <w:rFonts w:cs="Times New Roman"/>
                <w:snapToGrid w:val="0"/>
              </w:rPr>
              <w:t>+1C</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 w:type="pct"/>
            <w:vMerge w:val="continue"/>
            <w:tcBorders>
              <w:top w:val="single" w:color="auto" w:sz="4" w:space="0"/>
              <w:left w:val="single" w:color="auto" w:sz="4" w:space="0"/>
              <w:bottom w:val="single" w:color="auto" w:sz="4" w:space="0"/>
              <w:tl2br w:val="nil"/>
              <w:tr2bl w:val="nil"/>
            </w:tcBorders>
            <w:vAlign w:val="center"/>
          </w:tcPr>
          <w:p>
            <w:pPr>
              <w:pStyle w:val="39"/>
              <w:rPr>
                <w:rFonts w:cs="Times New Roman"/>
                <w:snapToGrid w:val="0"/>
              </w:rPr>
            </w:pPr>
          </w:p>
        </w:tc>
        <w:tc>
          <w:tcPr>
            <w:tcW w:w="596" w:type="pct"/>
            <w:tcBorders>
              <w:top w:val="single" w:color="auto" w:sz="4" w:space="0"/>
              <w:bottom w:val="single" w:color="auto" w:sz="4" w:space="0"/>
              <w:tl2br w:val="nil"/>
              <w:tr2bl w:val="nil"/>
            </w:tcBorders>
            <w:vAlign w:val="center"/>
          </w:tcPr>
          <w:p>
            <w:pPr>
              <w:pStyle w:val="39"/>
              <w:rPr>
                <w:rFonts w:cs="Times New Roman"/>
                <w:snapToGrid w:val="0"/>
              </w:rPr>
            </w:pPr>
            <w:r>
              <w:rPr>
                <w:rFonts w:cs="Times New Roman"/>
              </w:rPr>
              <w:t>产品生产</w:t>
            </w:r>
          </w:p>
        </w:tc>
        <w:tc>
          <w:tcPr>
            <w:tcW w:w="319" w:type="pct"/>
            <w:tcBorders>
              <w:top w:val="single" w:color="auto" w:sz="4" w:space="0"/>
              <w:bottom w:val="single" w:color="auto" w:sz="4" w:space="0"/>
              <w:tl2br w:val="nil"/>
              <w:tr2bl w:val="nil"/>
            </w:tcBorders>
            <w:vAlign w:val="center"/>
          </w:tcPr>
          <w:p>
            <w:pPr>
              <w:pStyle w:val="39"/>
              <w:rPr>
                <w:rFonts w:cs="Times New Roman"/>
                <w:snapToGrid w:val="0"/>
              </w:rPr>
            </w:pPr>
          </w:p>
        </w:tc>
        <w:tc>
          <w:tcPr>
            <w:tcW w:w="319" w:type="pct"/>
            <w:tcBorders>
              <w:top w:val="single" w:color="auto" w:sz="4" w:space="0"/>
              <w:bottom w:val="single" w:color="auto" w:sz="4" w:space="0"/>
              <w:tl2br w:val="nil"/>
              <w:tr2bl w:val="nil"/>
            </w:tcBorders>
            <w:vAlign w:val="center"/>
          </w:tcPr>
          <w:p>
            <w:pPr>
              <w:pStyle w:val="39"/>
              <w:rPr>
                <w:rFonts w:cs="Times New Roman"/>
                <w:snapToGrid w:val="0"/>
              </w:rPr>
            </w:pPr>
          </w:p>
        </w:tc>
        <w:tc>
          <w:tcPr>
            <w:tcW w:w="321" w:type="pct"/>
            <w:tcBorders>
              <w:top w:val="single" w:color="auto" w:sz="4" w:space="0"/>
              <w:bottom w:val="single" w:color="auto" w:sz="4" w:space="0"/>
              <w:tl2br w:val="nil"/>
              <w:tr2bl w:val="nil"/>
            </w:tcBorders>
            <w:vAlign w:val="center"/>
          </w:tcPr>
          <w:p>
            <w:pPr>
              <w:pStyle w:val="39"/>
              <w:rPr>
                <w:rFonts w:cs="Times New Roman"/>
                <w:snapToGrid w:val="0"/>
              </w:rPr>
            </w:pPr>
          </w:p>
        </w:tc>
        <w:tc>
          <w:tcPr>
            <w:tcW w:w="321" w:type="pct"/>
            <w:tcBorders>
              <w:top w:val="single" w:color="auto" w:sz="4" w:space="0"/>
              <w:bottom w:val="single" w:color="auto" w:sz="4" w:space="0"/>
              <w:tl2br w:val="nil"/>
              <w:tr2bl w:val="nil"/>
            </w:tcBorders>
            <w:vAlign w:val="center"/>
          </w:tcPr>
          <w:p>
            <w:pPr>
              <w:pStyle w:val="39"/>
              <w:rPr>
                <w:rFonts w:cs="Times New Roman"/>
                <w:snapToGrid w:val="0"/>
              </w:rPr>
            </w:pPr>
            <w:r>
              <w:rPr>
                <w:rFonts w:cs="Times New Roman"/>
                <w:snapToGrid w:val="0"/>
              </w:rPr>
              <w:t>-1C</w:t>
            </w:r>
          </w:p>
        </w:tc>
        <w:tc>
          <w:tcPr>
            <w:tcW w:w="321" w:type="pct"/>
            <w:tcBorders>
              <w:top w:val="single" w:color="auto" w:sz="4" w:space="0"/>
              <w:bottom w:val="single" w:color="auto" w:sz="4" w:space="0"/>
              <w:tl2br w:val="nil"/>
              <w:tr2bl w:val="nil"/>
            </w:tcBorders>
            <w:vAlign w:val="center"/>
          </w:tcPr>
          <w:p>
            <w:pPr>
              <w:pStyle w:val="39"/>
              <w:rPr>
                <w:rFonts w:cs="Times New Roman"/>
                <w:snapToGrid w:val="0"/>
              </w:rPr>
            </w:pPr>
          </w:p>
        </w:tc>
        <w:tc>
          <w:tcPr>
            <w:tcW w:w="321" w:type="pct"/>
            <w:tcBorders>
              <w:top w:val="single" w:color="auto" w:sz="4" w:space="0"/>
              <w:bottom w:val="single" w:color="auto" w:sz="4" w:space="0"/>
              <w:tl2br w:val="nil"/>
              <w:tr2bl w:val="nil"/>
            </w:tcBorders>
            <w:vAlign w:val="center"/>
          </w:tcPr>
          <w:p>
            <w:pPr>
              <w:pStyle w:val="39"/>
              <w:rPr>
                <w:rFonts w:cs="Times New Roman"/>
                <w:snapToGrid w:val="0"/>
              </w:rPr>
            </w:pPr>
          </w:p>
        </w:tc>
        <w:tc>
          <w:tcPr>
            <w:tcW w:w="321" w:type="pct"/>
            <w:tcBorders>
              <w:top w:val="single" w:color="auto" w:sz="4" w:space="0"/>
              <w:bottom w:val="single" w:color="auto" w:sz="4" w:space="0"/>
              <w:tl2br w:val="nil"/>
              <w:tr2bl w:val="nil"/>
            </w:tcBorders>
            <w:vAlign w:val="center"/>
          </w:tcPr>
          <w:p>
            <w:pPr>
              <w:pStyle w:val="39"/>
              <w:rPr>
                <w:rFonts w:cs="Times New Roman"/>
                <w:snapToGrid w:val="0"/>
              </w:rPr>
            </w:pPr>
          </w:p>
        </w:tc>
        <w:tc>
          <w:tcPr>
            <w:tcW w:w="321" w:type="pct"/>
            <w:tcBorders>
              <w:top w:val="single" w:color="auto" w:sz="4" w:space="0"/>
              <w:bottom w:val="single" w:color="auto" w:sz="4" w:space="0"/>
              <w:tl2br w:val="nil"/>
              <w:tr2bl w:val="nil"/>
            </w:tcBorders>
            <w:vAlign w:val="center"/>
          </w:tcPr>
          <w:p>
            <w:pPr>
              <w:pStyle w:val="39"/>
              <w:rPr>
                <w:rFonts w:cs="Times New Roman"/>
                <w:snapToGrid w:val="0"/>
              </w:rPr>
            </w:pPr>
          </w:p>
        </w:tc>
        <w:tc>
          <w:tcPr>
            <w:tcW w:w="322" w:type="pct"/>
            <w:tcBorders>
              <w:top w:val="single" w:color="auto" w:sz="4" w:space="0"/>
              <w:bottom w:val="single" w:color="auto" w:sz="4" w:space="0"/>
              <w:tl2br w:val="nil"/>
              <w:tr2bl w:val="nil"/>
            </w:tcBorders>
            <w:vAlign w:val="center"/>
          </w:tcPr>
          <w:p>
            <w:pPr>
              <w:pStyle w:val="39"/>
              <w:rPr>
                <w:rFonts w:cs="Times New Roman"/>
                <w:snapToGrid w:val="0"/>
              </w:rPr>
            </w:pPr>
          </w:p>
        </w:tc>
        <w:tc>
          <w:tcPr>
            <w:tcW w:w="322" w:type="pct"/>
            <w:tcBorders>
              <w:top w:val="single" w:color="auto" w:sz="4" w:space="0"/>
              <w:bottom w:val="single" w:color="auto" w:sz="4" w:space="0"/>
              <w:tl2br w:val="nil"/>
              <w:tr2bl w:val="nil"/>
            </w:tcBorders>
            <w:vAlign w:val="center"/>
          </w:tcPr>
          <w:p>
            <w:pPr>
              <w:pStyle w:val="39"/>
              <w:rPr>
                <w:rFonts w:cs="Times New Roman"/>
                <w:snapToGrid w:val="0"/>
              </w:rPr>
            </w:pPr>
          </w:p>
        </w:tc>
        <w:tc>
          <w:tcPr>
            <w:tcW w:w="321" w:type="pct"/>
            <w:tcBorders>
              <w:top w:val="single" w:color="auto" w:sz="4" w:space="0"/>
              <w:bottom w:val="single" w:color="auto" w:sz="4" w:space="0"/>
              <w:tl2br w:val="nil"/>
              <w:tr2bl w:val="nil"/>
            </w:tcBorders>
            <w:vAlign w:val="center"/>
          </w:tcPr>
          <w:p>
            <w:pPr>
              <w:pStyle w:val="39"/>
              <w:rPr>
                <w:rFonts w:cs="Times New Roman"/>
                <w:snapToGrid w:val="0"/>
              </w:rPr>
            </w:pPr>
          </w:p>
        </w:tc>
        <w:tc>
          <w:tcPr>
            <w:tcW w:w="322" w:type="pct"/>
            <w:tcBorders>
              <w:top w:val="single" w:color="auto" w:sz="4" w:space="0"/>
              <w:bottom w:val="single" w:color="auto" w:sz="4" w:space="0"/>
              <w:tl2br w:val="nil"/>
              <w:tr2bl w:val="nil"/>
            </w:tcBorders>
            <w:vAlign w:val="center"/>
          </w:tcPr>
          <w:p>
            <w:pPr>
              <w:pStyle w:val="39"/>
              <w:rPr>
                <w:rFonts w:cs="Times New Roman"/>
                <w:snapToGrid w:val="0"/>
              </w:rPr>
            </w:pPr>
            <w:r>
              <w:rPr>
                <w:rFonts w:cs="Times New Roman"/>
                <w:snapToGrid w:val="0"/>
              </w:rPr>
              <w:t>-1C</w:t>
            </w:r>
          </w:p>
        </w:tc>
        <w:tc>
          <w:tcPr>
            <w:tcW w:w="320" w:type="pct"/>
            <w:tcBorders>
              <w:top w:val="single" w:color="auto" w:sz="4" w:space="0"/>
              <w:bottom w:val="single" w:color="auto" w:sz="4" w:space="0"/>
              <w:right w:val="single" w:color="auto" w:sz="4" w:space="0"/>
              <w:tl2br w:val="nil"/>
              <w:tr2bl w:val="nil"/>
            </w:tcBorders>
            <w:vAlign w:val="center"/>
          </w:tcPr>
          <w:p>
            <w:pPr>
              <w:pStyle w:val="39"/>
              <w:rPr>
                <w:rFonts w:cs="Times New Roman"/>
                <w:snapToGrid w:val="0"/>
              </w:rPr>
            </w:pPr>
            <w:r>
              <w:rPr>
                <w:rFonts w:cs="Times New Roman"/>
                <w:snapToGrid w:val="0"/>
              </w:rPr>
              <w:t>+1C</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 w:type="pct"/>
            <w:vMerge w:val="continue"/>
            <w:tcBorders>
              <w:top w:val="single" w:color="auto" w:sz="4" w:space="0"/>
              <w:left w:val="single" w:color="auto" w:sz="4" w:space="0"/>
              <w:bottom w:val="single" w:color="auto" w:sz="4" w:space="0"/>
              <w:tl2br w:val="nil"/>
              <w:tr2bl w:val="nil"/>
            </w:tcBorders>
            <w:vAlign w:val="center"/>
          </w:tcPr>
          <w:p>
            <w:pPr>
              <w:pStyle w:val="39"/>
              <w:rPr>
                <w:rFonts w:cs="Times New Roman"/>
                <w:snapToGrid w:val="0"/>
              </w:rPr>
            </w:pPr>
          </w:p>
        </w:tc>
        <w:tc>
          <w:tcPr>
            <w:tcW w:w="596" w:type="pct"/>
            <w:tcBorders>
              <w:top w:val="single" w:color="auto" w:sz="4" w:space="0"/>
              <w:bottom w:val="single" w:color="auto" w:sz="4" w:space="0"/>
              <w:tl2br w:val="nil"/>
              <w:tr2bl w:val="nil"/>
            </w:tcBorders>
            <w:vAlign w:val="center"/>
          </w:tcPr>
          <w:p>
            <w:pPr>
              <w:pStyle w:val="39"/>
              <w:rPr>
                <w:rFonts w:cs="Times New Roman"/>
                <w:snapToGrid w:val="0"/>
              </w:rPr>
            </w:pPr>
            <w:r>
              <w:rPr>
                <w:rFonts w:cs="Times New Roman"/>
              </w:rPr>
              <w:t>产品运输</w:t>
            </w:r>
          </w:p>
        </w:tc>
        <w:tc>
          <w:tcPr>
            <w:tcW w:w="319" w:type="pct"/>
            <w:tcBorders>
              <w:top w:val="single" w:color="auto" w:sz="4" w:space="0"/>
              <w:bottom w:val="single" w:color="auto" w:sz="4" w:space="0"/>
              <w:tl2br w:val="nil"/>
              <w:tr2bl w:val="nil"/>
            </w:tcBorders>
            <w:vAlign w:val="center"/>
          </w:tcPr>
          <w:p>
            <w:pPr>
              <w:pStyle w:val="39"/>
              <w:rPr>
                <w:rFonts w:cs="Times New Roman"/>
                <w:snapToGrid w:val="0"/>
              </w:rPr>
            </w:pPr>
            <w:r>
              <w:rPr>
                <w:rFonts w:cs="Times New Roman"/>
                <w:snapToGrid w:val="0"/>
              </w:rPr>
              <w:t>-1C</w:t>
            </w:r>
          </w:p>
        </w:tc>
        <w:tc>
          <w:tcPr>
            <w:tcW w:w="319" w:type="pct"/>
            <w:tcBorders>
              <w:top w:val="single" w:color="auto" w:sz="4" w:space="0"/>
              <w:bottom w:val="single" w:color="auto" w:sz="4" w:space="0"/>
              <w:tl2br w:val="nil"/>
              <w:tr2bl w:val="nil"/>
            </w:tcBorders>
            <w:vAlign w:val="center"/>
          </w:tcPr>
          <w:p>
            <w:pPr>
              <w:pStyle w:val="39"/>
              <w:rPr>
                <w:rFonts w:cs="Times New Roman"/>
                <w:snapToGrid w:val="0"/>
              </w:rPr>
            </w:pPr>
          </w:p>
        </w:tc>
        <w:tc>
          <w:tcPr>
            <w:tcW w:w="321" w:type="pct"/>
            <w:tcBorders>
              <w:top w:val="single" w:color="auto" w:sz="4" w:space="0"/>
              <w:bottom w:val="single" w:color="auto" w:sz="4" w:space="0"/>
              <w:tl2br w:val="nil"/>
              <w:tr2bl w:val="nil"/>
            </w:tcBorders>
            <w:vAlign w:val="center"/>
          </w:tcPr>
          <w:p>
            <w:pPr>
              <w:pStyle w:val="39"/>
              <w:rPr>
                <w:rFonts w:cs="Times New Roman"/>
                <w:snapToGrid w:val="0"/>
              </w:rPr>
            </w:pPr>
          </w:p>
        </w:tc>
        <w:tc>
          <w:tcPr>
            <w:tcW w:w="321" w:type="pct"/>
            <w:tcBorders>
              <w:top w:val="single" w:color="auto" w:sz="4" w:space="0"/>
              <w:bottom w:val="single" w:color="auto" w:sz="4" w:space="0"/>
              <w:tl2br w:val="nil"/>
              <w:tr2bl w:val="nil"/>
            </w:tcBorders>
            <w:vAlign w:val="center"/>
          </w:tcPr>
          <w:p>
            <w:pPr>
              <w:pStyle w:val="39"/>
              <w:rPr>
                <w:rFonts w:cs="Times New Roman"/>
                <w:snapToGrid w:val="0"/>
              </w:rPr>
            </w:pPr>
            <w:r>
              <w:rPr>
                <w:rFonts w:cs="Times New Roman"/>
                <w:snapToGrid w:val="0"/>
              </w:rPr>
              <w:t>-1C</w:t>
            </w:r>
          </w:p>
        </w:tc>
        <w:tc>
          <w:tcPr>
            <w:tcW w:w="321" w:type="pct"/>
            <w:tcBorders>
              <w:top w:val="single" w:color="auto" w:sz="4" w:space="0"/>
              <w:bottom w:val="single" w:color="auto" w:sz="4" w:space="0"/>
              <w:tl2br w:val="nil"/>
              <w:tr2bl w:val="nil"/>
            </w:tcBorders>
            <w:vAlign w:val="center"/>
          </w:tcPr>
          <w:p>
            <w:pPr>
              <w:pStyle w:val="39"/>
              <w:rPr>
                <w:rFonts w:cs="Times New Roman"/>
                <w:snapToGrid w:val="0"/>
              </w:rPr>
            </w:pPr>
          </w:p>
        </w:tc>
        <w:tc>
          <w:tcPr>
            <w:tcW w:w="321" w:type="pct"/>
            <w:tcBorders>
              <w:top w:val="single" w:color="auto" w:sz="4" w:space="0"/>
              <w:bottom w:val="single" w:color="auto" w:sz="4" w:space="0"/>
              <w:tl2br w:val="nil"/>
              <w:tr2bl w:val="nil"/>
            </w:tcBorders>
            <w:vAlign w:val="center"/>
          </w:tcPr>
          <w:p>
            <w:pPr>
              <w:pStyle w:val="39"/>
              <w:rPr>
                <w:rFonts w:cs="Times New Roman"/>
                <w:snapToGrid w:val="0"/>
              </w:rPr>
            </w:pPr>
          </w:p>
        </w:tc>
        <w:tc>
          <w:tcPr>
            <w:tcW w:w="321" w:type="pct"/>
            <w:tcBorders>
              <w:top w:val="single" w:color="auto" w:sz="4" w:space="0"/>
              <w:bottom w:val="single" w:color="auto" w:sz="4" w:space="0"/>
              <w:tl2br w:val="nil"/>
              <w:tr2bl w:val="nil"/>
            </w:tcBorders>
            <w:vAlign w:val="center"/>
          </w:tcPr>
          <w:p>
            <w:pPr>
              <w:pStyle w:val="39"/>
              <w:rPr>
                <w:rFonts w:cs="Times New Roman"/>
                <w:snapToGrid w:val="0"/>
              </w:rPr>
            </w:pPr>
          </w:p>
        </w:tc>
        <w:tc>
          <w:tcPr>
            <w:tcW w:w="321" w:type="pct"/>
            <w:tcBorders>
              <w:top w:val="single" w:color="auto" w:sz="4" w:space="0"/>
              <w:bottom w:val="single" w:color="auto" w:sz="4" w:space="0"/>
              <w:tl2br w:val="nil"/>
              <w:tr2bl w:val="nil"/>
            </w:tcBorders>
            <w:vAlign w:val="center"/>
          </w:tcPr>
          <w:p>
            <w:pPr>
              <w:pStyle w:val="39"/>
              <w:rPr>
                <w:rFonts w:cs="Times New Roman"/>
                <w:snapToGrid w:val="0"/>
              </w:rPr>
            </w:pPr>
          </w:p>
        </w:tc>
        <w:tc>
          <w:tcPr>
            <w:tcW w:w="322" w:type="pct"/>
            <w:tcBorders>
              <w:top w:val="single" w:color="auto" w:sz="4" w:space="0"/>
              <w:bottom w:val="single" w:color="auto" w:sz="4" w:space="0"/>
              <w:tl2br w:val="nil"/>
              <w:tr2bl w:val="nil"/>
            </w:tcBorders>
            <w:vAlign w:val="center"/>
          </w:tcPr>
          <w:p>
            <w:pPr>
              <w:pStyle w:val="39"/>
              <w:rPr>
                <w:rFonts w:cs="Times New Roman"/>
                <w:snapToGrid w:val="0"/>
              </w:rPr>
            </w:pPr>
          </w:p>
        </w:tc>
        <w:tc>
          <w:tcPr>
            <w:tcW w:w="322" w:type="pct"/>
            <w:tcBorders>
              <w:top w:val="single" w:color="auto" w:sz="4" w:space="0"/>
              <w:bottom w:val="single" w:color="auto" w:sz="4" w:space="0"/>
              <w:tl2br w:val="nil"/>
              <w:tr2bl w:val="nil"/>
            </w:tcBorders>
            <w:vAlign w:val="center"/>
          </w:tcPr>
          <w:p>
            <w:pPr>
              <w:pStyle w:val="39"/>
              <w:rPr>
                <w:rFonts w:cs="Times New Roman"/>
                <w:snapToGrid w:val="0"/>
              </w:rPr>
            </w:pPr>
            <w:r>
              <w:rPr>
                <w:rFonts w:cs="Times New Roman"/>
                <w:snapToGrid w:val="0"/>
              </w:rPr>
              <w:t>+2C</w:t>
            </w:r>
          </w:p>
        </w:tc>
        <w:tc>
          <w:tcPr>
            <w:tcW w:w="321" w:type="pct"/>
            <w:tcBorders>
              <w:top w:val="single" w:color="auto" w:sz="4" w:space="0"/>
              <w:bottom w:val="single" w:color="auto" w:sz="4" w:space="0"/>
              <w:tl2br w:val="nil"/>
              <w:tr2bl w:val="nil"/>
            </w:tcBorders>
            <w:vAlign w:val="center"/>
          </w:tcPr>
          <w:p>
            <w:pPr>
              <w:pStyle w:val="39"/>
              <w:rPr>
                <w:rFonts w:cs="Times New Roman"/>
                <w:snapToGrid w:val="0"/>
              </w:rPr>
            </w:pPr>
          </w:p>
        </w:tc>
        <w:tc>
          <w:tcPr>
            <w:tcW w:w="322" w:type="pct"/>
            <w:tcBorders>
              <w:top w:val="single" w:color="auto" w:sz="4" w:space="0"/>
              <w:bottom w:val="single" w:color="auto" w:sz="4" w:space="0"/>
              <w:tl2br w:val="nil"/>
              <w:tr2bl w:val="nil"/>
            </w:tcBorders>
            <w:vAlign w:val="center"/>
          </w:tcPr>
          <w:p>
            <w:pPr>
              <w:pStyle w:val="39"/>
              <w:rPr>
                <w:rFonts w:cs="Times New Roman"/>
                <w:snapToGrid w:val="0"/>
              </w:rPr>
            </w:pPr>
          </w:p>
        </w:tc>
        <w:tc>
          <w:tcPr>
            <w:tcW w:w="320" w:type="pct"/>
            <w:tcBorders>
              <w:top w:val="single" w:color="auto" w:sz="4" w:space="0"/>
              <w:bottom w:val="single" w:color="auto" w:sz="4" w:space="0"/>
              <w:right w:val="single" w:color="auto" w:sz="4" w:space="0"/>
              <w:tl2br w:val="nil"/>
              <w:tr2bl w:val="nil"/>
            </w:tcBorders>
            <w:vAlign w:val="center"/>
          </w:tcPr>
          <w:p>
            <w:pPr>
              <w:pStyle w:val="39"/>
              <w:rPr>
                <w:rFonts w:cs="Times New Roman"/>
                <w:snapToGrid w:val="0"/>
              </w:rPr>
            </w:pPr>
            <w:r>
              <w:rPr>
                <w:rFonts w:cs="Times New Roman"/>
                <w:snapToGrid w:val="0"/>
              </w:rPr>
              <w:t>+1C</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 w:type="pct"/>
            <w:vMerge w:val="continue"/>
            <w:tcBorders>
              <w:top w:val="single" w:color="auto" w:sz="4" w:space="0"/>
              <w:left w:val="single" w:color="auto" w:sz="4" w:space="0"/>
              <w:bottom w:val="single" w:color="auto" w:sz="4" w:space="0"/>
              <w:tl2br w:val="nil"/>
              <w:tr2bl w:val="nil"/>
            </w:tcBorders>
            <w:vAlign w:val="center"/>
          </w:tcPr>
          <w:p>
            <w:pPr>
              <w:pStyle w:val="39"/>
              <w:rPr>
                <w:rFonts w:cs="Times New Roman"/>
                <w:snapToGrid w:val="0"/>
              </w:rPr>
            </w:pPr>
          </w:p>
        </w:tc>
        <w:tc>
          <w:tcPr>
            <w:tcW w:w="596" w:type="pct"/>
            <w:tcBorders>
              <w:top w:val="single" w:color="auto" w:sz="4" w:space="0"/>
              <w:bottom w:val="single" w:color="auto" w:sz="4" w:space="0"/>
              <w:tl2br w:val="nil"/>
              <w:tr2bl w:val="nil"/>
            </w:tcBorders>
            <w:vAlign w:val="center"/>
          </w:tcPr>
          <w:p>
            <w:pPr>
              <w:pStyle w:val="39"/>
              <w:rPr>
                <w:rFonts w:cs="Times New Roman"/>
                <w:snapToGrid w:val="0"/>
              </w:rPr>
            </w:pPr>
            <w:r>
              <w:rPr>
                <w:rFonts w:cs="Times New Roman"/>
              </w:rPr>
              <w:t>补偿绿化</w:t>
            </w:r>
          </w:p>
        </w:tc>
        <w:tc>
          <w:tcPr>
            <w:tcW w:w="319" w:type="pct"/>
            <w:tcBorders>
              <w:top w:val="single" w:color="auto" w:sz="4" w:space="0"/>
              <w:bottom w:val="single" w:color="auto" w:sz="4" w:space="0"/>
              <w:tl2br w:val="nil"/>
              <w:tr2bl w:val="nil"/>
            </w:tcBorders>
            <w:vAlign w:val="center"/>
          </w:tcPr>
          <w:p>
            <w:pPr>
              <w:pStyle w:val="39"/>
              <w:rPr>
                <w:rFonts w:cs="Times New Roman"/>
                <w:snapToGrid w:val="0"/>
              </w:rPr>
            </w:pPr>
            <w:r>
              <w:rPr>
                <w:rFonts w:cs="Times New Roman"/>
                <w:snapToGrid w:val="0"/>
              </w:rPr>
              <w:t>+3C</w:t>
            </w:r>
          </w:p>
        </w:tc>
        <w:tc>
          <w:tcPr>
            <w:tcW w:w="319" w:type="pct"/>
            <w:tcBorders>
              <w:top w:val="single" w:color="auto" w:sz="4" w:space="0"/>
              <w:bottom w:val="single" w:color="auto" w:sz="4" w:space="0"/>
              <w:tl2br w:val="nil"/>
              <w:tr2bl w:val="nil"/>
            </w:tcBorders>
            <w:vAlign w:val="center"/>
          </w:tcPr>
          <w:p>
            <w:pPr>
              <w:pStyle w:val="39"/>
              <w:rPr>
                <w:rFonts w:cs="Times New Roman"/>
                <w:snapToGrid w:val="0"/>
              </w:rPr>
            </w:pPr>
            <w:r>
              <w:rPr>
                <w:rFonts w:cs="Times New Roman"/>
                <w:snapToGrid w:val="0"/>
              </w:rPr>
              <w:t>-1C</w:t>
            </w:r>
          </w:p>
        </w:tc>
        <w:tc>
          <w:tcPr>
            <w:tcW w:w="321" w:type="pct"/>
            <w:tcBorders>
              <w:top w:val="single" w:color="auto" w:sz="4" w:space="0"/>
              <w:bottom w:val="single" w:color="auto" w:sz="4" w:space="0"/>
              <w:tl2br w:val="nil"/>
              <w:tr2bl w:val="nil"/>
            </w:tcBorders>
            <w:vAlign w:val="center"/>
          </w:tcPr>
          <w:p>
            <w:pPr>
              <w:pStyle w:val="39"/>
              <w:rPr>
                <w:rFonts w:cs="Times New Roman"/>
                <w:snapToGrid w:val="0"/>
              </w:rPr>
            </w:pPr>
          </w:p>
        </w:tc>
        <w:tc>
          <w:tcPr>
            <w:tcW w:w="321" w:type="pct"/>
            <w:tcBorders>
              <w:top w:val="single" w:color="auto" w:sz="4" w:space="0"/>
              <w:bottom w:val="single" w:color="auto" w:sz="4" w:space="0"/>
              <w:tl2br w:val="nil"/>
              <w:tr2bl w:val="nil"/>
            </w:tcBorders>
            <w:vAlign w:val="center"/>
          </w:tcPr>
          <w:p>
            <w:pPr>
              <w:pStyle w:val="39"/>
              <w:rPr>
                <w:rFonts w:cs="Times New Roman"/>
                <w:snapToGrid w:val="0"/>
              </w:rPr>
            </w:pPr>
          </w:p>
        </w:tc>
        <w:tc>
          <w:tcPr>
            <w:tcW w:w="321" w:type="pct"/>
            <w:tcBorders>
              <w:top w:val="single" w:color="auto" w:sz="4" w:space="0"/>
              <w:bottom w:val="single" w:color="auto" w:sz="4" w:space="0"/>
              <w:tl2br w:val="nil"/>
              <w:tr2bl w:val="nil"/>
            </w:tcBorders>
            <w:vAlign w:val="center"/>
          </w:tcPr>
          <w:p>
            <w:pPr>
              <w:pStyle w:val="39"/>
              <w:rPr>
                <w:rFonts w:cs="Times New Roman"/>
                <w:snapToGrid w:val="0"/>
              </w:rPr>
            </w:pPr>
          </w:p>
        </w:tc>
        <w:tc>
          <w:tcPr>
            <w:tcW w:w="321" w:type="pct"/>
            <w:tcBorders>
              <w:top w:val="single" w:color="auto" w:sz="4" w:space="0"/>
              <w:bottom w:val="single" w:color="auto" w:sz="4" w:space="0"/>
              <w:tl2br w:val="nil"/>
              <w:tr2bl w:val="nil"/>
            </w:tcBorders>
            <w:vAlign w:val="center"/>
          </w:tcPr>
          <w:p>
            <w:pPr>
              <w:pStyle w:val="39"/>
              <w:rPr>
                <w:rFonts w:cs="Times New Roman"/>
                <w:snapToGrid w:val="0"/>
              </w:rPr>
            </w:pPr>
          </w:p>
        </w:tc>
        <w:tc>
          <w:tcPr>
            <w:tcW w:w="321" w:type="pct"/>
            <w:tcBorders>
              <w:top w:val="single" w:color="auto" w:sz="4" w:space="0"/>
              <w:bottom w:val="single" w:color="auto" w:sz="4" w:space="0"/>
              <w:tl2br w:val="nil"/>
              <w:tr2bl w:val="nil"/>
            </w:tcBorders>
            <w:vAlign w:val="center"/>
          </w:tcPr>
          <w:p>
            <w:pPr>
              <w:pStyle w:val="39"/>
              <w:rPr>
                <w:rFonts w:cs="Times New Roman"/>
                <w:snapToGrid w:val="0"/>
              </w:rPr>
            </w:pPr>
          </w:p>
        </w:tc>
        <w:tc>
          <w:tcPr>
            <w:tcW w:w="321" w:type="pct"/>
            <w:tcBorders>
              <w:top w:val="single" w:color="auto" w:sz="4" w:space="0"/>
              <w:bottom w:val="single" w:color="auto" w:sz="4" w:space="0"/>
              <w:tl2br w:val="nil"/>
              <w:tr2bl w:val="nil"/>
            </w:tcBorders>
            <w:vAlign w:val="center"/>
          </w:tcPr>
          <w:p>
            <w:pPr>
              <w:pStyle w:val="39"/>
              <w:rPr>
                <w:rFonts w:cs="Times New Roman"/>
                <w:snapToGrid w:val="0"/>
              </w:rPr>
            </w:pPr>
          </w:p>
        </w:tc>
        <w:tc>
          <w:tcPr>
            <w:tcW w:w="322" w:type="pct"/>
            <w:tcBorders>
              <w:top w:val="single" w:color="auto" w:sz="4" w:space="0"/>
              <w:bottom w:val="single" w:color="auto" w:sz="4" w:space="0"/>
              <w:tl2br w:val="nil"/>
              <w:tr2bl w:val="nil"/>
            </w:tcBorders>
            <w:vAlign w:val="center"/>
          </w:tcPr>
          <w:p>
            <w:pPr>
              <w:pStyle w:val="39"/>
              <w:rPr>
                <w:rFonts w:cs="Times New Roman"/>
                <w:snapToGrid w:val="0"/>
              </w:rPr>
            </w:pPr>
          </w:p>
        </w:tc>
        <w:tc>
          <w:tcPr>
            <w:tcW w:w="322" w:type="pct"/>
            <w:tcBorders>
              <w:top w:val="single" w:color="auto" w:sz="4" w:space="0"/>
              <w:bottom w:val="single" w:color="auto" w:sz="4" w:space="0"/>
              <w:tl2br w:val="nil"/>
              <w:tr2bl w:val="nil"/>
            </w:tcBorders>
            <w:vAlign w:val="center"/>
          </w:tcPr>
          <w:p>
            <w:pPr>
              <w:pStyle w:val="39"/>
              <w:rPr>
                <w:rFonts w:cs="Times New Roman"/>
                <w:snapToGrid w:val="0"/>
              </w:rPr>
            </w:pPr>
          </w:p>
        </w:tc>
        <w:tc>
          <w:tcPr>
            <w:tcW w:w="321" w:type="pct"/>
            <w:tcBorders>
              <w:top w:val="single" w:color="auto" w:sz="4" w:space="0"/>
              <w:bottom w:val="single" w:color="auto" w:sz="4" w:space="0"/>
              <w:tl2br w:val="nil"/>
              <w:tr2bl w:val="nil"/>
            </w:tcBorders>
            <w:vAlign w:val="center"/>
          </w:tcPr>
          <w:p>
            <w:pPr>
              <w:pStyle w:val="39"/>
              <w:rPr>
                <w:rFonts w:cs="Times New Roman"/>
                <w:snapToGrid w:val="0"/>
              </w:rPr>
            </w:pPr>
          </w:p>
        </w:tc>
        <w:tc>
          <w:tcPr>
            <w:tcW w:w="322" w:type="pct"/>
            <w:tcBorders>
              <w:top w:val="single" w:color="auto" w:sz="4" w:space="0"/>
              <w:bottom w:val="single" w:color="auto" w:sz="4" w:space="0"/>
              <w:tl2br w:val="nil"/>
              <w:tr2bl w:val="nil"/>
            </w:tcBorders>
            <w:vAlign w:val="center"/>
          </w:tcPr>
          <w:p>
            <w:pPr>
              <w:pStyle w:val="39"/>
              <w:rPr>
                <w:rFonts w:cs="Times New Roman"/>
                <w:snapToGrid w:val="0"/>
              </w:rPr>
            </w:pPr>
            <w:r>
              <w:rPr>
                <w:rFonts w:cs="Times New Roman"/>
                <w:snapToGrid w:val="0"/>
              </w:rPr>
              <w:t>-1C</w:t>
            </w:r>
          </w:p>
        </w:tc>
        <w:tc>
          <w:tcPr>
            <w:tcW w:w="320" w:type="pct"/>
            <w:tcBorders>
              <w:top w:val="single" w:color="auto" w:sz="4" w:space="0"/>
              <w:bottom w:val="single" w:color="auto" w:sz="4" w:space="0"/>
              <w:right w:val="single" w:color="auto" w:sz="4" w:space="0"/>
              <w:tl2br w:val="nil"/>
              <w:tr2bl w:val="nil"/>
            </w:tcBorders>
            <w:vAlign w:val="center"/>
          </w:tcPr>
          <w:p>
            <w:pPr>
              <w:pStyle w:val="39"/>
              <w:rPr>
                <w:rFonts w:cs="Times New Roman"/>
                <w:snapToGrid w:val="0"/>
              </w:rPr>
            </w:pPr>
          </w:p>
        </w:tc>
      </w:tr>
    </w:tbl>
    <w:p>
      <w:pPr>
        <w:spacing w:line="360" w:lineRule="auto"/>
        <w:rPr>
          <w:rFonts w:ascii="Times New Roman" w:hAnsi="Times New Roman" w:cs="Times New Roman"/>
          <w:snapToGrid w:val="0"/>
          <w:sz w:val="18"/>
        </w:rPr>
      </w:pPr>
      <w:r>
        <w:rPr>
          <w:rFonts w:ascii="Times New Roman" w:hAnsi="Times New Roman" w:cs="Times New Roman"/>
          <w:snapToGrid w:val="0"/>
          <w:sz w:val="18"/>
        </w:rPr>
        <w:t>注：1.表中“＋”表示正效益，“－”表示负效益；</w:t>
      </w:r>
    </w:p>
    <w:p>
      <w:pPr>
        <w:spacing w:line="360" w:lineRule="auto"/>
        <w:ind w:firstLine="360" w:firstLineChars="200"/>
        <w:rPr>
          <w:rFonts w:ascii="Times New Roman" w:hAnsi="Times New Roman" w:cs="Times New Roman"/>
          <w:snapToGrid w:val="0"/>
          <w:sz w:val="18"/>
        </w:rPr>
      </w:pPr>
      <w:r>
        <w:rPr>
          <w:rFonts w:ascii="Times New Roman" w:hAnsi="Times New Roman" w:cs="Times New Roman"/>
          <w:snapToGrid w:val="0"/>
          <w:sz w:val="18"/>
        </w:rPr>
        <w:t>2.表中数字表示影响的相对程度，“1”表示影响较小，“2”表示影响中等，“3”表示影响较大；</w:t>
      </w:r>
    </w:p>
    <w:p>
      <w:pPr>
        <w:pStyle w:val="3"/>
        <w:ind w:firstLine="360"/>
        <w:rPr>
          <w:rFonts w:cs="Times New Roman"/>
          <w:snapToGrid w:val="0"/>
          <w:sz w:val="18"/>
        </w:rPr>
      </w:pPr>
      <w:r>
        <w:rPr>
          <w:rFonts w:cs="Times New Roman"/>
          <w:snapToGrid w:val="0"/>
          <w:sz w:val="18"/>
        </w:rPr>
        <w:t>3.表中“D”表示短期影响，“C”表示长期影响。</w:t>
      </w:r>
    </w:p>
    <w:p>
      <w:pPr>
        <w:pStyle w:val="3"/>
        <w:ind w:firstLine="480"/>
        <w:rPr>
          <w:rFonts w:cs="Times New Roman"/>
        </w:rPr>
      </w:pPr>
      <w:r>
        <w:rPr>
          <w:rFonts w:cs="Times New Roman"/>
        </w:rPr>
        <w:t>由表2.4-1可见，工程建设对环境产生不利影响环境要素主要有：地表水、地下水、环境空气、声环境。但项目的建设对于提高</w:t>
      </w:r>
      <w:r>
        <w:rPr>
          <w:rFonts w:hint="eastAsia" w:cs="Times New Roman"/>
        </w:rPr>
        <w:t>新化</w:t>
      </w:r>
      <w:r>
        <w:rPr>
          <w:rFonts w:cs="Times New Roman"/>
        </w:rPr>
        <w:t>县社会经济及生活质量有着显著的社会效益。</w:t>
      </w:r>
    </w:p>
    <w:p>
      <w:pPr>
        <w:pStyle w:val="6"/>
        <w:rPr>
          <w:rFonts w:cs="Times New Roman"/>
        </w:rPr>
      </w:pPr>
      <w:r>
        <w:rPr>
          <w:rFonts w:cs="Times New Roman"/>
        </w:rPr>
        <w:t>评价因子筛选</w:t>
      </w:r>
    </w:p>
    <w:p>
      <w:pPr>
        <w:pStyle w:val="3"/>
        <w:ind w:firstLine="480"/>
        <w:rPr>
          <w:rFonts w:cs="Times New Roman"/>
        </w:rPr>
      </w:pPr>
      <w:r>
        <w:rPr>
          <w:rFonts w:cs="Times New Roman"/>
        </w:rPr>
        <w:t>（1）主要污染物</w:t>
      </w:r>
    </w:p>
    <w:p>
      <w:pPr>
        <w:pStyle w:val="3"/>
        <w:ind w:firstLine="480"/>
        <w:rPr>
          <w:rFonts w:cs="Times New Roman"/>
        </w:rPr>
      </w:pPr>
      <w:r>
        <w:rPr>
          <w:rFonts w:cs="Times New Roman"/>
        </w:rPr>
        <w:t>根据项目有关基础资料及项目所在地的现场踏勘，判定其在不同阶段对环境产生影响的因素和影响程度，并筛选出营运期可能产生的主要环境问题，明确评价因子，为评价重点提供依据，项目的主要污染物特征表见表2.4-2。</w:t>
      </w:r>
    </w:p>
    <w:p>
      <w:pPr>
        <w:pStyle w:val="3"/>
        <w:ind w:firstLine="480"/>
        <w:rPr>
          <w:rFonts w:cs="Times New Roman"/>
        </w:rPr>
      </w:pPr>
    </w:p>
    <w:p>
      <w:pPr>
        <w:pStyle w:val="15"/>
        <w:rPr>
          <w:rFonts w:cs="Times New Roman"/>
        </w:rPr>
      </w:pPr>
      <w:r>
        <w:rPr>
          <w:rFonts w:cs="Times New Roman"/>
        </w:rPr>
        <w:t>表2.4-2 项目营运期污染物特征表</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276"/>
        <w:gridCol w:w="1701"/>
        <w:gridCol w:w="2268"/>
        <w:gridCol w:w="2126"/>
        <w:gridCol w:w="1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675" w:type="dxa"/>
            <w:vAlign w:val="center"/>
          </w:tcPr>
          <w:p>
            <w:pPr>
              <w:pStyle w:val="39"/>
              <w:rPr>
                <w:rFonts w:cs="Times New Roman"/>
              </w:rPr>
            </w:pPr>
            <w:r>
              <w:rPr>
                <w:rFonts w:cs="Times New Roman"/>
              </w:rPr>
              <w:t>类别</w:t>
            </w:r>
          </w:p>
        </w:tc>
        <w:tc>
          <w:tcPr>
            <w:tcW w:w="1276" w:type="dxa"/>
            <w:vAlign w:val="center"/>
          </w:tcPr>
          <w:p>
            <w:pPr>
              <w:pStyle w:val="39"/>
              <w:rPr>
                <w:rFonts w:cs="Times New Roman"/>
              </w:rPr>
            </w:pPr>
            <w:r>
              <w:rPr>
                <w:rFonts w:cs="Times New Roman"/>
              </w:rPr>
              <w:t>所属单元</w:t>
            </w:r>
          </w:p>
        </w:tc>
        <w:tc>
          <w:tcPr>
            <w:tcW w:w="1701" w:type="dxa"/>
            <w:vAlign w:val="center"/>
          </w:tcPr>
          <w:p>
            <w:pPr>
              <w:pStyle w:val="39"/>
              <w:rPr>
                <w:rFonts w:cs="Times New Roman"/>
              </w:rPr>
            </w:pPr>
            <w:r>
              <w:rPr>
                <w:rFonts w:cs="Times New Roman"/>
              </w:rPr>
              <w:t>污染源类别</w:t>
            </w:r>
          </w:p>
        </w:tc>
        <w:tc>
          <w:tcPr>
            <w:tcW w:w="2268" w:type="dxa"/>
            <w:vAlign w:val="center"/>
          </w:tcPr>
          <w:p>
            <w:pPr>
              <w:pStyle w:val="39"/>
              <w:rPr>
                <w:rFonts w:cs="Times New Roman"/>
              </w:rPr>
            </w:pPr>
            <w:r>
              <w:rPr>
                <w:rFonts w:cs="Times New Roman"/>
              </w:rPr>
              <w:t>产生位置</w:t>
            </w:r>
          </w:p>
        </w:tc>
        <w:tc>
          <w:tcPr>
            <w:tcW w:w="2126" w:type="dxa"/>
            <w:vAlign w:val="center"/>
          </w:tcPr>
          <w:p>
            <w:pPr>
              <w:pStyle w:val="39"/>
              <w:rPr>
                <w:rFonts w:cs="Times New Roman"/>
              </w:rPr>
            </w:pPr>
            <w:r>
              <w:rPr>
                <w:rFonts w:cs="Times New Roman"/>
              </w:rPr>
              <w:t>污染物/主要成分</w:t>
            </w:r>
          </w:p>
        </w:tc>
        <w:tc>
          <w:tcPr>
            <w:tcW w:w="1127" w:type="dxa"/>
            <w:vAlign w:val="center"/>
          </w:tcPr>
          <w:p>
            <w:pPr>
              <w:pStyle w:val="39"/>
              <w:rPr>
                <w:rFonts w:cs="Times New Roman"/>
              </w:rPr>
            </w:pPr>
            <w:r>
              <w:rPr>
                <w:rFonts w:cs="Times New Roman"/>
              </w:rPr>
              <w:t>产生特征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5" w:type="dxa"/>
            <w:vMerge w:val="restart"/>
            <w:vAlign w:val="center"/>
          </w:tcPr>
          <w:p>
            <w:pPr>
              <w:pStyle w:val="39"/>
              <w:rPr>
                <w:rFonts w:cs="Times New Roman"/>
              </w:rPr>
            </w:pPr>
            <w:r>
              <w:rPr>
                <w:rFonts w:cs="Times New Roman"/>
              </w:rPr>
              <w:t>废水</w:t>
            </w:r>
          </w:p>
        </w:tc>
        <w:tc>
          <w:tcPr>
            <w:tcW w:w="1276" w:type="dxa"/>
            <w:vAlign w:val="center"/>
          </w:tcPr>
          <w:p>
            <w:pPr>
              <w:pStyle w:val="39"/>
              <w:rPr>
                <w:rFonts w:cs="Times New Roman"/>
              </w:rPr>
            </w:pPr>
            <w:r>
              <w:rPr>
                <w:rFonts w:cs="Times New Roman"/>
              </w:rPr>
              <w:t>生产区</w:t>
            </w:r>
          </w:p>
        </w:tc>
        <w:tc>
          <w:tcPr>
            <w:tcW w:w="1701" w:type="dxa"/>
            <w:vAlign w:val="center"/>
          </w:tcPr>
          <w:p>
            <w:pPr>
              <w:pStyle w:val="39"/>
              <w:rPr>
                <w:rFonts w:cs="Times New Roman"/>
              </w:rPr>
            </w:pPr>
            <w:r>
              <w:rPr>
                <w:rFonts w:hint="eastAsia" w:cs="Times New Roman"/>
              </w:rPr>
              <w:t>鸡舍</w:t>
            </w:r>
            <w:r>
              <w:rPr>
                <w:rFonts w:cs="Times New Roman"/>
              </w:rPr>
              <w:t>冲洗废水</w:t>
            </w:r>
          </w:p>
        </w:tc>
        <w:tc>
          <w:tcPr>
            <w:tcW w:w="2268" w:type="dxa"/>
            <w:vAlign w:val="center"/>
          </w:tcPr>
          <w:p>
            <w:pPr>
              <w:pStyle w:val="39"/>
              <w:rPr>
                <w:rFonts w:cs="Times New Roman"/>
              </w:rPr>
            </w:pPr>
            <w:r>
              <w:rPr>
                <w:rFonts w:hint="eastAsia" w:cs="Times New Roman"/>
              </w:rPr>
              <w:t>鸡</w:t>
            </w:r>
            <w:r>
              <w:rPr>
                <w:rFonts w:cs="Times New Roman"/>
              </w:rPr>
              <w:t>舍排放口</w:t>
            </w:r>
          </w:p>
        </w:tc>
        <w:tc>
          <w:tcPr>
            <w:tcW w:w="2126" w:type="dxa"/>
            <w:vAlign w:val="center"/>
          </w:tcPr>
          <w:p>
            <w:pPr>
              <w:pStyle w:val="39"/>
              <w:rPr>
                <w:rFonts w:cs="Times New Roman"/>
              </w:rPr>
            </w:pPr>
            <w:r>
              <w:rPr>
                <w:rFonts w:cs="Times New Roman"/>
              </w:rPr>
              <w:t>COD、BOD</w:t>
            </w:r>
            <w:r>
              <w:rPr>
                <w:rFonts w:cs="Times New Roman"/>
                <w:vertAlign w:val="subscript"/>
              </w:rPr>
              <w:t>5</w:t>
            </w:r>
            <w:r>
              <w:rPr>
                <w:rFonts w:cs="Times New Roman"/>
              </w:rPr>
              <w:t>、氨氮、总磷、粪大肠杆菌</w:t>
            </w:r>
          </w:p>
        </w:tc>
        <w:tc>
          <w:tcPr>
            <w:tcW w:w="1127" w:type="dxa"/>
            <w:vAlign w:val="center"/>
          </w:tcPr>
          <w:p>
            <w:pPr>
              <w:pStyle w:val="39"/>
              <w:rPr>
                <w:rFonts w:cs="Times New Roman"/>
              </w:rPr>
            </w:pPr>
            <w:r>
              <w:rPr>
                <w:rFonts w:cs="Times New Roman"/>
              </w:rPr>
              <w:t>间歇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5" w:type="dxa"/>
            <w:vMerge w:val="continue"/>
            <w:vAlign w:val="center"/>
          </w:tcPr>
          <w:p>
            <w:pPr>
              <w:pStyle w:val="39"/>
              <w:rPr>
                <w:rFonts w:cs="Times New Roman"/>
              </w:rPr>
            </w:pPr>
          </w:p>
        </w:tc>
        <w:tc>
          <w:tcPr>
            <w:tcW w:w="1276" w:type="dxa"/>
            <w:vAlign w:val="center"/>
          </w:tcPr>
          <w:p>
            <w:pPr>
              <w:pStyle w:val="39"/>
              <w:rPr>
                <w:rFonts w:cs="Times New Roman"/>
              </w:rPr>
            </w:pPr>
            <w:r>
              <w:rPr>
                <w:rFonts w:cs="Times New Roman"/>
              </w:rPr>
              <w:t>生活区</w:t>
            </w:r>
          </w:p>
        </w:tc>
        <w:tc>
          <w:tcPr>
            <w:tcW w:w="1701" w:type="dxa"/>
            <w:vAlign w:val="center"/>
          </w:tcPr>
          <w:p>
            <w:pPr>
              <w:pStyle w:val="39"/>
              <w:rPr>
                <w:rFonts w:cs="Times New Roman"/>
              </w:rPr>
            </w:pPr>
            <w:r>
              <w:rPr>
                <w:rFonts w:cs="Times New Roman"/>
              </w:rPr>
              <w:t>生活污水</w:t>
            </w:r>
          </w:p>
        </w:tc>
        <w:tc>
          <w:tcPr>
            <w:tcW w:w="2268" w:type="dxa"/>
            <w:vAlign w:val="center"/>
          </w:tcPr>
          <w:p>
            <w:pPr>
              <w:pStyle w:val="39"/>
              <w:rPr>
                <w:rFonts w:cs="Times New Roman"/>
              </w:rPr>
            </w:pPr>
            <w:r>
              <w:rPr>
                <w:rFonts w:hint="eastAsia" w:cs="Times New Roman"/>
              </w:rPr>
              <w:t>办公生活</w:t>
            </w:r>
            <w:r>
              <w:rPr>
                <w:rFonts w:cs="Times New Roman"/>
              </w:rPr>
              <w:t>区</w:t>
            </w:r>
          </w:p>
        </w:tc>
        <w:tc>
          <w:tcPr>
            <w:tcW w:w="2126" w:type="dxa"/>
            <w:vAlign w:val="center"/>
          </w:tcPr>
          <w:p>
            <w:pPr>
              <w:pStyle w:val="39"/>
              <w:rPr>
                <w:rFonts w:cs="Times New Roman"/>
              </w:rPr>
            </w:pPr>
            <w:r>
              <w:rPr>
                <w:rFonts w:cs="Times New Roman"/>
              </w:rPr>
              <w:t>COD、BOD</w:t>
            </w:r>
            <w:r>
              <w:rPr>
                <w:rFonts w:cs="Times New Roman"/>
                <w:vertAlign w:val="subscript"/>
              </w:rPr>
              <w:t>5</w:t>
            </w:r>
            <w:r>
              <w:rPr>
                <w:rFonts w:cs="Times New Roman"/>
              </w:rPr>
              <w:t>、SS、NH</w:t>
            </w:r>
            <w:r>
              <w:rPr>
                <w:rFonts w:cs="Times New Roman"/>
                <w:vertAlign w:val="subscript"/>
              </w:rPr>
              <w:t>3</w:t>
            </w:r>
            <w:r>
              <w:rPr>
                <w:rFonts w:cs="Times New Roman"/>
              </w:rPr>
              <w:t>-N和动植物油</w:t>
            </w:r>
          </w:p>
        </w:tc>
        <w:tc>
          <w:tcPr>
            <w:tcW w:w="1127" w:type="dxa"/>
            <w:vAlign w:val="center"/>
          </w:tcPr>
          <w:p>
            <w:pPr>
              <w:pStyle w:val="39"/>
              <w:rPr>
                <w:rFonts w:cs="Times New Roman"/>
              </w:rPr>
            </w:pPr>
            <w:r>
              <w:rPr>
                <w:rFonts w:cs="Times New Roman"/>
              </w:rPr>
              <w:t>间歇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5" w:type="dxa"/>
            <w:vMerge w:val="restart"/>
            <w:vAlign w:val="center"/>
          </w:tcPr>
          <w:p>
            <w:pPr>
              <w:pStyle w:val="39"/>
              <w:rPr>
                <w:rFonts w:cs="Times New Roman"/>
              </w:rPr>
            </w:pPr>
            <w:r>
              <w:rPr>
                <w:rFonts w:cs="Times New Roman"/>
              </w:rPr>
              <w:t>废气</w:t>
            </w:r>
          </w:p>
        </w:tc>
        <w:tc>
          <w:tcPr>
            <w:tcW w:w="1276" w:type="dxa"/>
            <w:vMerge w:val="restart"/>
            <w:vAlign w:val="center"/>
          </w:tcPr>
          <w:p>
            <w:pPr>
              <w:pStyle w:val="39"/>
              <w:rPr>
                <w:rFonts w:cs="Times New Roman"/>
              </w:rPr>
            </w:pPr>
            <w:r>
              <w:rPr>
                <w:rFonts w:cs="Times New Roman"/>
              </w:rPr>
              <w:t>生产区</w:t>
            </w:r>
          </w:p>
        </w:tc>
        <w:tc>
          <w:tcPr>
            <w:tcW w:w="1701" w:type="dxa"/>
            <w:vMerge w:val="restart"/>
            <w:vAlign w:val="center"/>
          </w:tcPr>
          <w:p>
            <w:pPr>
              <w:pStyle w:val="39"/>
              <w:rPr>
                <w:rFonts w:cs="Times New Roman"/>
              </w:rPr>
            </w:pPr>
            <w:r>
              <w:rPr>
                <w:rFonts w:cs="Times New Roman"/>
              </w:rPr>
              <w:t>恶臭</w:t>
            </w:r>
          </w:p>
        </w:tc>
        <w:tc>
          <w:tcPr>
            <w:tcW w:w="2268" w:type="dxa"/>
            <w:vAlign w:val="center"/>
          </w:tcPr>
          <w:p>
            <w:pPr>
              <w:pStyle w:val="39"/>
              <w:rPr>
                <w:rFonts w:cs="Times New Roman"/>
              </w:rPr>
            </w:pPr>
            <w:r>
              <w:rPr>
                <w:rFonts w:hint="eastAsia" w:cs="Times New Roman"/>
              </w:rPr>
              <w:t>鸡</w:t>
            </w:r>
            <w:r>
              <w:rPr>
                <w:rFonts w:cs="Times New Roman"/>
              </w:rPr>
              <w:t>舍</w:t>
            </w:r>
          </w:p>
        </w:tc>
        <w:tc>
          <w:tcPr>
            <w:tcW w:w="2126" w:type="dxa"/>
            <w:vMerge w:val="restart"/>
            <w:vAlign w:val="center"/>
          </w:tcPr>
          <w:p>
            <w:pPr>
              <w:pStyle w:val="39"/>
              <w:rPr>
                <w:rFonts w:cs="Times New Roman"/>
              </w:rPr>
            </w:pPr>
            <w:r>
              <w:rPr>
                <w:rFonts w:cs="Times New Roman"/>
              </w:rPr>
              <w:t>NH</w:t>
            </w:r>
            <w:r>
              <w:rPr>
                <w:rFonts w:cs="Times New Roman"/>
                <w:vertAlign w:val="subscript"/>
              </w:rPr>
              <w:t>3</w:t>
            </w:r>
            <w:r>
              <w:rPr>
                <w:rFonts w:cs="Times New Roman"/>
              </w:rPr>
              <w:t>、H</w:t>
            </w:r>
            <w:r>
              <w:rPr>
                <w:rFonts w:cs="Times New Roman"/>
                <w:vertAlign w:val="subscript"/>
              </w:rPr>
              <w:t>2</w:t>
            </w:r>
            <w:r>
              <w:rPr>
                <w:rFonts w:cs="Times New Roman"/>
              </w:rPr>
              <w:t>S</w:t>
            </w:r>
          </w:p>
        </w:tc>
        <w:tc>
          <w:tcPr>
            <w:tcW w:w="1127" w:type="dxa"/>
            <w:vMerge w:val="restart"/>
            <w:vAlign w:val="center"/>
          </w:tcPr>
          <w:p>
            <w:pPr>
              <w:pStyle w:val="39"/>
              <w:rPr>
                <w:rFonts w:cs="Times New Roman"/>
              </w:rPr>
            </w:pPr>
            <w:r>
              <w:rPr>
                <w:rFonts w:cs="Times New Roman"/>
              </w:rPr>
              <w:t>连续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5" w:type="dxa"/>
            <w:vMerge w:val="continue"/>
            <w:vAlign w:val="center"/>
          </w:tcPr>
          <w:p>
            <w:pPr>
              <w:pStyle w:val="39"/>
              <w:rPr>
                <w:rFonts w:cs="Times New Roman"/>
              </w:rPr>
            </w:pPr>
          </w:p>
        </w:tc>
        <w:tc>
          <w:tcPr>
            <w:tcW w:w="1276" w:type="dxa"/>
            <w:vMerge w:val="continue"/>
            <w:vAlign w:val="center"/>
          </w:tcPr>
          <w:p>
            <w:pPr>
              <w:pStyle w:val="39"/>
              <w:rPr>
                <w:rFonts w:cs="Times New Roman"/>
              </w:rPr>
            </w:pPr>
          </w:p>
        </w:tc>
        <w:tc>
          <w:tcPr>
            <w:tcW w:w="1701" w:type="dxa"/>
            <w:vMerge w:val="continue"/>
            <w:vAlign w:val="center"/>
          </w:tcPr>
          <w:p>
            <w:pPr>
              <w:pStyle w:val="39"/>
              <w:rPr>
                <w:rFonts w:cs="Times New Roman"/>
              </w:rPr>
            </w:pPr>
          </w:p>
        </w:tc>
        <w:tc>
          <w:tcPr>
            <w:tcW w:w="2268" w:type="dxa"/>
            <w:vAlign w:val="center"/>
          </w:tcPr>
          <w:p>
            <w:pPr>
              <w:pStyle w:val="39"/>
              <w:rPr>
                <w:rFonts w:cs="Times New Roman"/>
              </w:rPr>
            </w:pPr>
            <w:r>
              <w:rPr>
                <w:rFonts w:hint="eastAsia" w:cs="Times New Roman"/>
                <w:kern w:val="0"/>
              </w:rPr>
              <w:t>鸡</w:t>
            </w:r>
            <w:r>
              <w:rPr>
                <w:rFonts w:cs="Times New Roman"/>
                <w:kern w:val="0"/>
              </w:rPr>
              <w:t>粪处理区</w:t>
            </w:r>
          </w:p>
        </w:tc>
        <w:tc>
          <w:tcPr>
            <w:tcW w:w="2126" w:type="dxa"/>
            <w:vMerge w:val="continue"/>
            <w:vAlign w:val="center"/>
          </w:tcPr>
          <w:p>
            <w:pPr>
              <w:pStyle w:val="39"/>
              <w:rPr>
                <w:rFonts w:cs="Times New Roman"/>
              </w:rPr>
            </w:pPr>
          </w:p>
        </w:tc>
        <w:tc>
          <w:tcPr>
            <w:tcW w:w="1127" w:type="dxa"/>
            <w:vMerge w:val="continue"/>
            <w:vAlign w:val="center"/>
          </w:tcPr>
          <w:p>
            <w:pPr>
              <w:pStyle w:val="3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5" w:type="dxa"/>
            <w:vMerge w:val="continue"/>
            <w:vAlign w:val="center"/>
          </w:tcPr>
          <w:p>
            <w:pPr>
              <w:pStyle w:val="39"/>
              <w:rPr>
                <w:rFonts w:cs="Times New Roman"/>
              </w:rPr>
            </w:pPr>
          </w:p>
        </w:tc>
        <w:tc>
          <w:tcPr>
            <w:tcW w:w="1276" w:type="dxa"/>
            <w:vAlign w:val="center"/>
          </w:tcPr>
          <w:p>
            <w:pPr>
              <w:pStyle w:val="39"/>
              <w:rPr>
                <w:rFonts w:cs="Times New Roman"/>
              </w:rPr>
            </w:pPr>
            <w:r>
              <w:rPr>
                <w:rFonts w:cs="Times New Roman"/>
              </w:rPr>
              <w:t>配电房</w:t>
            </w:r>
          </w:p>
        </w:tc>
        <w:tc>
          <w:tcPr>
            <w:tcW w:w="1701" w:type="dxa"/>
            <w:vAlign w:val="center"/>
          </w:tcPr>
          <w:p>
            <w:pPr>
              <w:pStyle w:val="39"/>
              <w:rPr>
                <w:rFonts w:cs="Times New Roman"/>
              </w:rPr>
            </w:pPr>
            <w:r>
              <w:rPr>
                <w:rFonts w:cs="Times New Roman"/>
              </w:rPr>
              <w:t>柴油发电机烟气</w:t>
            </w:r>
          </w:p>
        </w:tc>
        <w:tc>
          <w:tcPr>
            <w:tcW w:w="2268" w:type="dxa"/>
            <w:vAlign w:val="center"/>
          </w:tcPr>
          <w:p>
            <w:pPr>
              <w:pStyle w:val="39"/>
              <w:rPr>
                <w:rFonts w:cs="Times New Roman"/>
              </w:rPr>
            </w:pPr>
            <w:r>
              <w:rPr>
                <w:rFonts w:cs="Times New Roman"/>
              </w:rPr>
              <w:t>柴油发电机</w:t>
            </w:r>
          </w:p>
        </w:tc>
        <w:tc>
          <w:tcPr>
            <w:tcW w:w="2126" w:type="dxa"/>
            <w:vAlign w:val="center"/>
          </w:tcPr>
          <w:p>
            <w:pPr>
              <w:pStyle w:val="39"/>
              <w:rPr>
                <w:rFonts w:cs="Times New Roman"/>
              </w:rPr>
            </w:pPr>
            <w:r>
              <w:rPr>
                <w:rFonts w:cs="Times New Roman"/>
              </w:rPr>
              <w:t>颗粒物、SO</w:t>
            </w:r>
            <w:r>
              <w:rPr>
                <w:rFonts w:cs="Times New Roman"/>
                <w:vertAlign w:val="subscript"/>
              </w:rPr>
              <w:t>2</w:t>
            </w:r>
            <w:r>
              <w:rPr>
                <w:rFonts w:cs="Times New Roman"/>
              </w:rPr>
              <w:t>、NO</w:t>
            </w:r>
            <w:r>
              <w:rPr>
                <w:rFonts w:cs="Times New Roman"/>
                <w:vertAlign w:val="subscript"/>
              </w:rPr>
              <w:t>X</w:t>
            </w:r>
          </w:p>
        </w:tc>
        <w:tc>
          <w:tcPr>
            <w:tcW w:w="1127" w:type="dxa"/>
            <w:vAlign w:val="center"/>
          </w:tcPr>
          <w:p>
            <w:pPr>
              <w:pStyle w:val="39"/>
              <w:rPr>
                <w:rFonts w:cs="Times New Roman"/>
              </w:rPr>
            </w:pPr>
            <w:r>
              <w:rPr>
                <w:rFonts w:cs="Times New Roman"/>
              </w:rPr>
              <w:t>间歇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5" w:type="dxa"/>
            <w:vMerge w:val="continue"/>
            <w:vAlign w:val="center"/>
          </w:tcPr>
          <w:p>
            <w:pPr>
              <w:pStyle w:val="39"/>
              <w:rPr>
                <w:rFonts w:cs="Times New Roman"/>
              </w:rPr>
            </w:pPr>
          </w:p>
        </w:tc>
        <w:tc>
          <w:tcPr>
            <w:tcW w:w="1276" w:type="dxa"/>
            <w:vAlign w:val="center"/>
          </w:tcPr>
          <w:p>
            <w:pPr>
              <w:pStyle w:val="39"/>
              <w:rPr>
                <w:rFonts w:cs="Times New Roman"/>
              </w:rPr>
            </w:pPr>
            <w:r>
              <w:rPr>
                <w:rFonts w:hint="eastAsia" w:cs="Times New Roman"/>
              </w:rPr>
              <w:t>锅炉房</w:t>
            </w:r>
          </w:p>
        </w:tc>
        <w:tc>
          <w:tcPr>
            <w:tcW w:w="1701" w:type="dxa"/>
            <w:vAlign w:val="center"/>
          </w:tcPr>
          <w:p>
            <w:pPr>
              <w:pStyle w:val="39"/>
              <w:rPr>
                <w:rFonts w:cs="Times New Roman"/>
              </w:rPr>
            </w:pPr>
            <w:r>
              <w:rPr>
                <w:rFonts w:hint="eastAsia" w:cs="Times New Roman"/>
              </w:rPr>
              <w:t>燃烧废气</w:t>
            </w:r>
          </w:p>
        </w:tc>
        <w:tc>
          <w:tcPr>
            <w:tcW w:w="2268" w:type="dxa"/>
            <w:vAlign w:val="center"/>
          </w:tcPr>
          <w:p>
            <w:pPr>
              <w:pStyle w:val="39"/>
              <w:rPr>
                <w:rFonts w:cs="Times New Roman"/>
              </w:rPr>
            </w:pPr>
            <w:r>
              <w:rPr>
                <w:rFonts w:hint="eastAsia" w:cs="Times New Roman"/>
              </w:rPr>
              <w:t>锅炉</w:t>
            </w:r>
          </w:p>
        </w:tc>
        <w:tc>
          <w:tcPr>
            <w:tcW w:w="2126" w:type="dxa"/>
            <w:vAlign w:val="center"/>
          </w:tcPr>
          <w:p>
            <w:pPr>
              <w:pStyle w:val="39"/>
              <w:rPr>
                <w:rFonts w:cs="Times New Roman"/>
              </w:rPr>
            </w:pPr>
            <w:r>
              <w:rPr>
                <w:rFonts w:cs="Times New Roman"/>
              </w:rPr>
              <w:t>SO</w:t>
            </w:r>
            <w:r>
              <w:rPr>
                <w:rFonts w:cs="Times New Roman"/>
                <w:vertAlign w:val="subscript"/>
              </w:rPr>
              <w:t>2</w:t>
            </w:r>
            <w:r>
              <w:rPr>
                <w:rFonts w:cs="Times New Roman"/>
              </w:rPr>
              <w:t>、NO</w:t>
            </w:r>
            <w:r>
              <w:rPr>
                <w:rFonts w:cs="Times New Roman"/>
                <w:vertAlign w:val="subscript"/>
              </w:rPr>
              <w:t>X</w:t>
            </w:r>
            <w:r>
              <w:rPr>
                <w:rFonts w:hint="eastAsia" w:cs="Times New Roman"/>
              </w:rPr>
              <w:t>、烟尘</w:t>
            </w:r>
          </w:p>
        </w:tc>
        <w:tc>
          <w:tcPr>
            <w:tcW w:w="1127" w:type="dxa"/>
            <w:vAlign w:val="center"/>
          </w:tcPr>
          <w:p>
            <w:pPr>
              <w:pStyle w:val="39"/>
              <w:rPr>
                <w:rFonts w:cs="Times New Roman"/>
              </w:rPr>
            </w:pPr>
            <w:r>
              <w:rPr>
                <w:rFonts w:cs="Times New Roman"/>
              </w:rPr>
              <w:t>间歇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5" w:type="dxa"/>
            <w:vMerge w:val="continue"/>
            <w:vAlign w:val="center"/>
          </w:tcPr>
          <w:p>
            <w:pPr>
              <w:pStyle w:val="39"/>
              <w:rPr>
                <w:rFonts w:cs="Times New Roman"/>
              </w:rPr>
            </w:pPr>
          </w:p>
        </w:tc>
        <w:tc>
          <w:tcPr>
            <w:tcW w:w="1276" w:type="dxa"/>
            <w:vAlign w:val="center"/>
          </w:tcPr>
          <w:p>
            <w:pPr>
              <w:pStyle w:val="39"/>
              <w:rPr>
                <w:rFonts w:cs="Times New Roman"/>
              </w:rPr>
            </w:pPr>
            <w:r>
              <w:rPr>
                <w:rFonts w:cs="Times New Roman"/>
              </w:rPr>
              <w:t>食堂</w:t>
            </w:r>
          </w:p>
        </w:tc>
        <w:tc>
          <w:tcPr>
            <w:tcW w:w="1701" w:type="dxa"/>
            <w:vAlign w:val="center"/>
          </w:tcPr>
          <w:p>
            <w:pPr>
              <w:pStyle w:val="39"/>
              <w:rPr>
                <w:rFonts w:cs="Times New Roman"/>
              </w:rPr>
            </w:pPr>
            <w:r>
              <w:rPr>
                <w:rFonts w:cs="Times New Roman"/>
              </w:rPr>
              <w:t>油烟废气</w:t>
            </w:r>
          </w:p>
        </w:tc>
        <w:tc>
          <w:tcPr>
            <w:tcW w:w="2268" w:type="dxa"/>
            <w:vAlign w:val="center"/>
          </w:tcPr>
          <w:p>
            <w:pPr>
              <w:pStyle w:val="39"/>
              <w:rPr>
                <w:rFonts w:cs="Times New Roman"/>
              </w:rPr>
            </w:pPr>
            <w:r>
              <w:rPr>
                <w:rFonts w:cs="Times New Roman"/>
              </w:rPr>
              <w:t>液化气燃烧</w:t>
            </w:r>
          </w:p>
        </w:tc>
        <w:tc>
          <w:tcPr>
            <w:tcW w:w="2126" w:type="dxa"/>
            <w:vAlign w:val="center"/>
          </w:tcPr>
          <w:p>
            <w:pPr>
              <w:pStyle w:val="39"/>
              <w:rPr>
                <w:rFonts w:cs="Times New Roman"/>
              </w:rPr>
            </w:pPr>
            <w:r>
              <w:rPr>
                <w:rFonts w:cs="Times New Roman"/>
              </w:rPr>
              <w:t>油烟</w:t>
            </w:r>
          </w:p>
        </w:tc>
        <w:tc>
          <w:tcPr>
            <w:tcW w:w="1127" w:type="dxa"/>
            <w:vAlign w:val="center"/>
          </w:tcPr>
          <w:p>
            <w:pPr>
              <w:pStyle w:val="39"/>
              <w:rPr>
                <w:rFonts w:cs="Times New Roman"/>
              </w:rPr>
            </w:pPr>
            <w:r>
              <w:rPr>
                <w:rFonts w:cs="Times New Roman"/>
              </w:rPr>
              <w:t>间歇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5" w:type="dxa"/>
            <w:vAlign w:val="center"/>
          </w:tcPr>
          <w:p>
            <w:pPr>
              <w:pStyle w:val="39"/>
              <w:rPr>
                <w:rFonts w:cs="Times New Roman"/>
              </w:rPr>
            </w:pPr>
            <w:r>
              <w:rPr>
                <w:rFonts w:cs="Times New Roman"/>
              </w:rPr>
              <w:t>噪声</w:t>
            </w:r>
          </w:p>
        </w:tc>
        <w:tc>
          <w:tcPr>
            <w:tcW w:w="1276" w:type="dxa"/>
            <w:vAlign w:val="center"/>
          </w:tcPr>
          <w:p>
            <w:pPr>
              <w:pStyle w:val="39"/>
              <w:rPr>
                <w:rFonts w:cs="Times New Roman"/>
              </w:rPr>
            </w:pPr>
            <w:r>
              <w:rPr>
                <w:rFonts w:cs="Times New Roman"/>
              </w:rPr>
              <w:t>生产区</w:t>
            </w:r>
          </w:p>
        </w:tc>
        <w:tc>
          <w:tcPr>
            <w:tcW w:w="1701" w:type="dxa"/>
            <w:vAlign w:val="center"/>
          </w:tcPr>
          <w:p>
            <w:pPr>
              <w:pStyle w:val="39"/>
              <w:rPr>
                <w:rFonts w:cs="Times New Roman"/>
              </w:rPr>
            </w:pPr>
            <w:r>
              <w:rPr>
                <w:rFonts w:cs="Times New Roman"/>
              </w:rPr>
              <w:t>生产噪声</w:t>
            </w:r>
          </w:p>
        </w:tc>
        <w:tc>
          <w:tcPr>
            <w:tcW w:w="2268" w:type="dxa"/>
            <w:vAlign w:val="center"/>
          </w:tcPr>
          <w:p>
            <w:pPr>
              <w:pStyle w:val="39"/>
              <w:rPr>
                <w:rFonts w:cs="Times New Roman"/>
              </w:rPr>
            </w:pPr>
            <w:r>
              <w:rPr>
                <w:rFonts w:hint="eastAsia" w:cs="Times New Roman"/>
              </w:rPr>
              <w:t>鸡</w:t>
            </w:r>
            <w:r>
              <w:rPr>
                <w:rFonts w:cs="Times New Roman"/>
              </w:rPr>
              <w:t>叫、生产设备、排风系统等</w:t>
            </w:r>
          </w:p>
        </w:tc>
        <w:tc>
          <w:tcPr>
            <w:tcW w:w="2126" w:type="dxa"/>
            <w:vAlign w:val="center"/>
          </w:tcPr>
          <w:p>
            <w:pPr>
              <w:pStyle w:val="39"/>
              <w:rPr>
                <w:rFonts w:cs="Times New Roman"/>
                <w:i/>
              </w:rPr>
            </w:pPr>
            <w:r>
              <w:rPr>
                <w:rFonts w:cs="Times New Roman"/>
              </w:rPr>
              <w:t>等效噪声级</w:t>
            </w:r>
            <w:r>
              <w:rPr>
                <w:rFonts w:cs="Times New Roman"/>
                <w:i/>
              </w:rPr>
              <w:t>L</w:t>
            </w:r>
            <w:r>
              <w:rPr>
                <w:rFonts w:cs="Times New Roman"/>
                <w:i/>
                <w:vertAlign w:val="subscript"/>
              </w:rPr>
              <w:t>eq</w:t>
            </w:r>
          </w:p>
        </w:tc>
        <w:tc>
          <w:tcPr>
            <w:tcW w:w="1127" w:type="dxa"/>
            <w:vAlign w:val="center"/>
          </w:tcPr>
          <w:p>
            <w:pPr>
              <w:pStyle w:val="39"/>
              <w:rPr>
                <w:rFonts w:cs="Times New Roman"/>
              </w:rPr>
            </w:pPr>
            <w:r>
              <w:rPr>
                <w:rFonts w:cs="Times New Roman"/>
              </w:rPr>
              <w:t>连续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5" w:type="dxa"/>
            <w:vMerge w:val="restart"/>
            <w:vAlign w:val="center"/>
          </w:tcPr>
          <w:p>
            <w:pPr>
              <w:pStyle w:val="39"/>
              <w:rPr>
                <w:rFonts w:cs="Times New Roman"/>
              </w:rPr>
            </w:pPr>
            <w:r>
              <w:rPr>
                <w:rFonts w:cs="Times New Roman"/>
              </w:rPr>
              <w:t>固废</w:t>
            </w:r>
          </w:p>
        </w:tc>
        <w:tc>
          <w:tcPr>
            <w:tcW w:w="1276" w:type="dxa"/>
            <w:vAlign w:val="center"/>
          </w:tcPr>
          <w:p>
            <w:pPr>
              <w:pStyle w:val="39"/>
              <w:rPr>
                <w:rFonts w:cs="Times New Roman"/>
              </w:rPr>
            </w:pPr>
            <w:r>
              <w:rPr>
                <w:rFonts w:cs="Times New Roman"/>
              </w:rPr>
              <w:t>生活区</w:t>
            </w:r>
          </w:p>
        </w:tc>
        <w:tc>
          <w:tcPr>
            <w:tcW w:w="1701" w:type="dxa"/>
            <w:vAlign w:val="center"/>
          </w:tcPr>
          <w:p>
            <w:pPr>
              <w:pStyle w:val="39"/>
              <w:rPr>
                <w:rFonts w:cs="Times New Roman"/>
              </w:rPr>
            </w:pPr>
            <w:r>
              <w:rPr>
                <w:rFonts w:cs="Times New Roman"/>
              </w:rPr>
              <w:t>生活垃圾</w:t>
            </w:r>
          </w:p>
        </w:tc>
        <w:tc>
          <w:tcPr>
            <w:tcW w:w="2268" w:type="dxa"/>
            <w:vAlign w:val="center"/>
          </w:tcPr>
          <w:p>
            <w:pPr>
              <w:pStyle w:val="39"/>
              <w:rPr>
                <w:rFonts w:cs="Times New Roman"/>
              </w:rPr>
            </w:pPr>
            <w:r>
              <w:rPr>
                <w:rFonts w:hint="eastAsia" w:cs="Times New Roman"/>
              </w:rPr>
              <w:t>办公生活区</w:t>
            </w:r>
          </w:p>
        </w:tc>
        <w:tc>
          <w:tcPr>
            <w:tcW w:w="2126" w:type="dxa"/>
            <w:vAlign w:val="center"/>
          </w:tcPr>
          <w:p>
            <w:pPr>
              <w:pStyle w:val="39"/>
              <w:rPr>
                <w:rFonts w:cs="Times New Roman"/>
              </w:rPr>
            </w:pPr>
            <w:r>
              <w:rPr>
                <w:rFonts w:cs="Times New Roman"/>
              </w:rPr>
              <w:t>生活垃圾</w:t>
            </w:r>
          </w:p>
        </w:tc>
        <w:tc>
          <w:tcPr>
            <w:tcW w:w="1127" w:type="dxa"/>
            <w:vAlign w:val="center"/>
          </w:tcPr>
          <w:p>
            <w:pPr>
              <w:pStyle w:val="39"/>
              <w:rPr>
                <w:rFonts w:cs="Times New Roman"/>
              </w:rPr>
            </w:pPr>
            <w:r>
              <w:rPr>
                <w:rFonts w:cs="Times New Roman"/>
              </w:rPr>
              <w:t>间歇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5" w:type="dxa"/>
            <w:vMerge w:val="continue"/>
            <w:vAlign w:val="center"/>
          </w:tcPr>
          <w:p>
            <w:pPr>
              <w:pStyle w:val="39"/>
              <w:rPr>
                <w:rFonts w:cs="Times New Roman"/>
              </w:rPr>
            </w:pPr>
          </w:p>
        </w:tc>
        <w:tc>
          <w:tcPr>
            <w:tcW w:w="1276" w:type="dxa"/>
            <w:vAlign w:val="center"/>
          </w:tcPr>
          <w:p>
            <w:pPr>
              <w:pStyle w:val="39"/>
              <w:rPr>
                <w:rFonts w:cs="Times New Roman"/>
              </w:rPr>
            </w:pPr>
            <w:r>
              <w:rPr>
                <w:rFonts w:cs="Times New Roman"/>
              </w:rPr>
              <w:t>生产区</w:t>
            </w:r>
          </w:p>
        </w:tc>
        <w:tc>
          <w:tcPr>
            <w:tcW w:w="1701" w:type="dxa"/>
            <w:vAlign w:val="center"/>
          </w:tcPr>
          <w:p>
            <w:pPr>
              <w:pStyle w:val="39"/>
              <w:rPr>
                <w:rFonts w:cs="Times New Roman"/>
              </w:rPr>
            </w:pPr>
            <w:r>
              <w:rPr>
                <w:rFonts w:hint="eastAsia" w:cs="Times New Roman"/>
              </w:rPr>
              <w:t>鸡</w:t>
            </w:r>
            <w:r>
              <w:rPr>
                <w:rFonts w:cs="Times New Roman"/>
              </w:rPr>
              <w:t>粪、</w:t>
            </w:r>
            <w:r>
              <w:rPr>
                <w:rFonts w:hint="eastAsia" w:cs="Times New Roman"/>
              </w:rPr>
              <w:t>病死鸡</w:t>
            </w:r>
            <w:r>
              <w:rPr>
                <w:rFonts w:cs="Times New Roman"/>
              </w:rPr>
              <w:t>、废弃包装袋、疾病防疫产生的医疗废物</w:t>
            </w:r>
          </w:p>
        </w:tc>
        <w:tc>
          <w:tcPr>
            <w:tcW w:w="2268" w:type="dxa"/>
            <w:vAlign w:val="center"/>
          </w:tcPr>
          <w:p>
            <w:pPr>
              <w:pStyle w:val="39"/>
              <w:rPr>
                <w:rFonts w:cs="Times New Roman"/>
              </w:rPr>
            </w:pPr>
            <w:r>
              <w:rPr>
                <w:rFonts w:hint="eastAsia" w:cs="Times New Roman"/>
              </w:rPr>
              <w:t>鸡</w:t>
            </w:r>
            <w:r>
              <w:rPr>
                <w:rFonts w:cs="Times New Roman"/>
              </w:rPr>
              <w:t>舍、仓库</w:t>
            </w:r>
          </w:p>
        </w:tc>
        <w:tc>
          <w:tcPr>
            <w:tcW w:w="2126" w:type="dxa"/>
            <w:vAlign w:val="center"/>
          </w:tcPr>
          <w:p>
            <w:pPr>
              <w:pStyle w:val="39"/>
              <w:rPr>
                <w:rFonts w:cs="Times New Roman"/>
              </w:rPr>
            </w:pPr>
            <w:r>
              <w:rPr>
                <w:rFonts w:hint="eastAsia" w:cs="Times New Roman"/>
              </w:rPr>
              <w:t>鸡</w:t>
            </w:r>
            <w:r>
              <w:rPr>
                <w:rFonts w:cs="Times New Roman"/>
              </w:rPr>
              <w:t>粪、病死</w:t>
            </w:r>
            <w:r>
              <w:rPr>
                <w:rFonts w:hint="eastAsia" w:cs="Times New Roman"/>
              </w:rPr>
              <w:t>鸡</w:t>
            </w:r>
            <w:r>
              <w:rPr>
                <w:rFonts w:cs="Times New Roman"/>
              </w:rPr>
              <w:t>、废弃包装袋、疾病防疫产生的医疗废物</w:t>
            </w:r>
          </w:p>
        </w:tc>
        <w:tc>
          <w:tcPr>
            <w:tcW w:w="1127" w:type="dxa"/>
            <w:vAlign w:val="center"/>
          </w:tcPr>
          <w:p>
            <w:pPr>
              <w:pStyle w:val="39"/>
              <w:rPr>
                <w:rFonts w:cs="Times New Roman"/>
              </w:rPr>
            </w:pPr>
            <w:r>
              <w:rPr>
                <w:rFonts w:cs="Times New Roman"/>
              </w:rPr>
              <w:t>间歇</w:t>
            </w:r>
          </w:p>
        </w:tc>
      </w:tr>
    </w:tbl>
    <w:p>
      <w:pPr>
        <w:pStyle w:val="3"/>
        <w:ind w:firstLine="480"/>
        <w:rPr>
          <w:rFonts w:cs="Times New Roman"/>
        </w:rPr>
      </w:pPr>
    </w:p>
    <w:p>
      <w:pPr>
        <w:pStyle w:val="3"/>
        <w:ind w:firstLine="480"/>
        <w:rPr>
          <w:rFonts w:cs="Times New Roman"/>
        </w:rPr>
      </w:pPr>
      <w:r>
        <w:rPr>
          <w:rFonts w:cs="Times New Roman"/>
        </w:rPr>
        <w:t>（2）筛选原则</w:t>
      </w:r>
    </w:p>
    <w:p>
      <w:pPr>
        <w:pStyle w:val="3"/>
        <w:ind w:firstLine="480"/>
        <w:rPr>
          <w:rFonts w:cs="Times New Roman"/>
        </w:rPr>
      </w:pPr>
      <w:r>
        <w:rPr>
          <w:rFonts w:cs="Times New Roman"/>
        </w:rPr>
        <w:t>能够反映工程污染物特征、污染物种类、数量，结合环境现状，为控制建设项目环境污染，制定防治对策及综合利用提供依据。</w:t>
      </w:r>
    </w:p>
    <w:p>
      <w:pPr>
        <w:pStyle w:val="3"/>
        <w:ind w:firstLine="480"/>
        <w:rPr>
          <w:rFonts w:cs="Times New Roman"/>
        </w:rPr>
      </w:pPr>
      <w:r>
        <w:rPr>
          <w:rFonts w:cs="Times New Roman"/>
        </w:rPr>
        <w:t>（3）评价因子筛选</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根据项目工艺特征和周围的环境现状，确定本次评价因子见下表所示。</w:t>
      </w:r>
    </w:p>
    <w:p>
      <w:pPr>
        <w:pStyle w:val="15"/>
        <w:rPr>
          <w:rFonts w:cs="Times New Roman"/>
        </w:rPr>
      </w:pPr>
      <w:r>
        <w:rPr>
          <w:rFonts w:cs="Times New Roman"/>
        </w:rPr>
        <w:t>表2.4-3  项目环境评价因子</w:t>
      </w:r>
    </w:p>
    <w:tbl>
      <w:tblPr>
        <w:tblStyle w:val="26"/>
        <w:tblW w:w="5000" w:type="pct"/>
        <w:jc w:val="center"/>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autofit"/>
        <w:tblCellMar>
          <w:top w:w="0" w:type="dxa"/>
          <w:left w:w="108" w:type="dxa"/>
          <w:bottom w:w="0" w:type="dxa"/>
          <w:right w:w="108" w:type="dxa"/>
        </w:tblCellMar>
      </w:tblPr>
      <w:tblGrid>
        <w:gridCol w:w="1139"/>
        <w:gridCol w:w="5632"/>
        <w:gridCol w:w="2402"/>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blHeader/>
          <w:jc w:val="center"/>
        </w:trPr>
        <w:tc>
          <w:tcPr>
            <w:tcW w:w="621" w:type="pct"/>
            <w:shd w:val="clear" w:color="auto" w:fill="auto"/>
            <w:vAlign w:val="center"/>
          </w:tcPr>
          <w:p>
            <w:pPr>
              <w:jc w:val="center"/>
              <w:rPr>
                <w:rFonts w:ascii="Times New Roman" w:hAnsi="Times New Roman" w:cs="Times New Roman"/>
                <w:bCs/>
              </w:rPr>
            </w:pPr>
            <w:r>
              <w:rPr>
                <w:rFonts w:ascii="Times New Roman" w:hAnsi="Times New Roman" w:cs="Times New Roman"/>
                <w:bCs/>
              </w:rPr>
              <w:t>环境要素</w:t>
            </w:r>
          </w:p>
        </w:tc>
        <w:tc>
          <w:tcPr>
            <w:tcW w:w="3070" w:type="pct"/>
            <w:shd w:val="clear" w:color="auto" w:fill="auto"/>
            <w:vAlign w:val="center"/>
          </w:tcPr>
          <w:p>
            <w:pPr>
              <w:jc w:val="center"/>
              <w:rPr>
                <w:rFonts w:ascii="Times New Roman" w:hAnsi="Times New Roman" w:cs="Times New Roman"/>
                <w:bCs/>
              </w:rPr>
            </w:pPr>
            <w:r>
              <w:rPr>
                <w:rFonts w:ascii="Times New Roman" w:hAnsi="Times New Roman" w:cs="Times New Roman"/>
                <w:bCs/>
              </w:rPr>
              <w:t>现状评价因子</w:t>
            </w:r>
          </w:p>
        </w:tc>
        <w:tc>
          <w:tcPr>
            <w:tcW w:w="1309" w:type="pct"/>
            <w:shd w:val="clear" w:color="auto" w:fill="auto"/>
            <w:vAlign w:val="center"/>
          </w:tcPr>
          <w:p>
            <w:pPr>
              <w:jc w:val="center"/>
              <w:rPr>
                <w:rFonts w:ascii="Times New Roman" w:hAnsi="Times New Roman" w:cs="Times New Roman"/>
                <w:bCs/>
              </w:rPr>
            </w:pPr>
            <w:r>
              <w:rPr>
                <w:rFonts w:hint="eastAsia" w:ascii="Times New Roman" w:hAnsi="Times New Roman" w:cs="Times New Roman"/>
                <w:bCs/>
              </w:rPr>
              <w:t>预测</w:t>
            </w:r>
            <w:r>
              <w:rPr>
                <w:rFonts w:ascii="Times New Roman" w:hAnsi="Times New Roman" w:cs="Times New Roman"/>
                <w:bCs/>
              </w:rPr>
              <w:t>评价因子</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621" w:type="pct"/>
            <w:shd w:val="clear" w:color="auto" w:fill="auto"/>
            <w:vAlign w:val="center"/>
          </w:tcPr>
          <w:p>
            <w:pPr>
              <w:jc w:val="center"/>
              <w:rPr>
                <w:rFonts w:ascii="Times New Roman" w:hAnsi="Times New Roman" w:cs="Times New Roman"/>
                <w:bCs/>
              </w:rPr>
            </w:pPr>
            <w:r>
              <w:rPr>
                <w:rFonts w:ascii="Times New Roman" w:hAnsi="Times New Roman" w:cs="Times New Roman"/>
                <w:bCs/>
              </w:rPr>
              <w:t>大气</w:t>
            </w:r>
          </w:p>
        </w:tc>
        <w:tc>
          <w:tcPr>
            <w:tcW w:w="3070" w:type="pct"/>
            <w:shd w:val="clear" w:color="auto" w:fill="auto"/>
            <w:vAlign w:val="center"/>
          </w:tcPr>
          <w:p>
            <w:pPr>
              <w:jc w:val="center"/>
              <w:rPr>
                <w:rFonts w:ascii="Times New Roman" w:hAnsi="Times New Roman" w:cs="Times New Roman"/>
                <w:bCs/>
              </w:rPr>
            </w:pPr>
            <w:r>
              <w:rPr>
                <w:rFonts w:ascii="Times New Roman" w:hAnsi="Times New Roman" w:cs="Times New Roman"/>
                <w:bCs/>
              </w:rPr>
              <w:t>SO</w:t>
            </w:r>
            <w:r>
              <w:rPr>
                <w:rFonts w:ascii="Times New Roman" w:hAnsi="Times New Roman" w:cs="Times New Roman"/>
                <w:bCs/>
                <w:vertAlign w:val="subscript"/>
              </w:rPr>
              <w:t>2</w:t>
            </w:r>
            <w:r>
              <w:rPr>
                <w:rFonts w:ascii="Times New Roman" w:hAnsi="Times New Roman" w:cs="Times New Roman"/>
                <w:bCs/>
              </w:rPr>
              <w:t>、NO</w:t>
            </w:r>
            <w:r>
              <w:rPr>
                <w:rFonts w:ascii="Times New Roman" w:hAnsi="Times New Roman" w:cs="Times New Roman"/>
                <w:bCs/>
                <w:vertAlign w:val="subscript"/>
              </w:rPr>
              <w:t>2</w:t>
            </w:r>
            <w:r>
              <w:rPr>
                <w:rFonts w:ascii="Times New Roman" w:hAnsi="Times New Roman" w:cs="Times New Roman"/>
                <w:bCs/>
              </w:rPr>
              <w:t>、PM</w:t>
            </w:r>
            <w:r>
              <w:rPr>
                <w:rFonts w:ascii="Times New Roman" w:hAnsi="Times New Roman" w:cs="Times New Roman"/>
                <w:bCs/>
                <w:vertAlign w:val="subscript"/>
              </w:rPr>
              <w:t>10</w:t>
            </w:r>
            <w:r>
              <w:rPr>
                <w:rFonts w:ascii="Times New Roman" w:hAnsi="Times New Roman" w:cs="Times New Roman"/>
                <w:bCs/>
              </w:rPr>
              <w:t>、PM</w:t>
            </w:r>
            <w:r>
              <w:rPr>
                <w:rFonts w:ascii="Times New Roman" w:hAnsi="Times New Roman" w:cs="Times New Roman"/>
                <w:bCs/>
                <w:vertAlign w:val="subscript"/>
              </w:rPr>
              <w:t>2.5</w:t>
            </w:r>
            <w:r>
              <w:rPr>
                <w:rFonts w:ascii="Times New Roman" w:hAnsi="Times New Roman" w:cs="Times New Roman"/>
                <w:bCs/>
              </w:rPr>
              <w:t>、NO</w:t>
            </w:r>
            <w:r>
              <w:rPr>
                <w:rFonts w:ascii="Times New Roman" w:hAnsi="Times New Roman" w:cs="Times New Roman"/>
                <w:bCs/>
                <w:vertAlign w:val="subscript"/>
              </w:rPr>
              <w:t>X</w:t>
            </w:r>
            <w:r>
              <w:rPr>
                <w:rFonts w:ascii="Times New Roman" w:hAnsi="Times New Roman" w:cs="Times New Roman"/>
                <w:bCs/>
              </w:rPr>
              <w:t>、CO、O</w:t>
            </w:r>
            <w:r>
              <w:rPr>
                <w:rFonts w:ascii="Times New Roman" w:hAnsi="Times New Roman" w:cs="Times New Roman"/>
                <w:bCs/>
                <w:vertAlign w:val="subscript"/>
              </w:rPr>
              <w:t>3</w:t>
            </w:r>
            <w:r>
              <w:rPr>
                <w:rFonts w:ascii="Times New Roman" w:hAnsi="Times New Roman" w:cs="Times New Roman"/>
                <w:bCs/>
              </w:rPr>
              <w:t>、H</w:t>
            </w:r>
            <w:r>
              <w:rPr>
                <w:rFonts w:ascii="Times New Roman" w:hAnsi="Times New Roman" w:cs="Times New Roman"/>
                <w:bCs/>
                <w:vertAlign w:val="subscript"/>
              </w:rPr>
              <w:t>2</w:t>
            </w:r>
            <w:r>
              <w:rPr>
                <w:rFonts w:ascii="Times New Roman" w:hAnsi="Times New Roman" w:cs="Times New Roman"/>
                <w:bCs/>
              </w:rPr>
              <w:t>S、NH</w:t>
            </w:r>
            <w:r>
              <w:rPr>
                <w:rFonts w:ascii="Times New Roman" w:hAnsi="Times New Roman" w:cs="Times New Roman"/>
                <w:bCs/>
                <w:vertAlign w:val="subscript"/>
              </w:rPr>
              <w:t>3</w:t>
            </w:r>
            <w:r>
              <w:rPr>
                <w:rFonts w:ascii="Times New Roman" w:hAnsi="Times New Roman" w:cs="Times New Roman"/>
                <w:bCs/>
              </w:rPr>
              <w:t>、臭气浓度</w:t>
            </w:r>
          </w:p>
        </w:tc>
        <w:tc>
          <w:tcPr>
            <w:tcW w:w="1309" w:type="pct"/>
            <w:shd w:val="clear" w:color="auto" w:fill="auto"/>
            <w:vAlign w:val="center"/>
          </w:tcPr>
          <w:p>
            <w:pPr>
              <w:jc w:val="center"/>
              <w:rPr>
                <w:rFonts w:ascii="Times New Roman" w:hAnsi="Times New Roman" w:cs="Times New Roman"/>
                <w:bCs/>
              </w:rPr>
            </w:pPr>
            <w:r>
              <w:rPr>
                <w:rFonts w:ascii="Times New Roman" w:hAnsi="Times New Roman" w:cs="Times New Roman"/>
                <w:bCs/>
              </w:rPr>
              <w:t>H</w:t>
            </w:r>
            <w:r>
              <w:rPr>
                <w:rFonts w:ascii="Times New Roman" w:hAnsi="Times New Roman" w:cs="Times New Roman"/>
                <w:bCs/>
                <w:vertAlign w:val="subscript"/>
              </w:rPr>
              <w:t>2</w:t>
            </w:r>
            <w:r>
              <w:rPr>
                <w:rFonts w:ascii="Times New Roman" w:hAnsi="Times New Roman" w:cs="Times New Roman"/>
                <w:bCs/>
              </w:rPr>
              <w:t>S、NH</w:t>
            </w:r>
            <w:r>
              <w:rPr>
                <w:rFonts w:ascii="Times New Roman" w:hAnsi="Times New Roman" w:cs="Times New Roman"/>
                <w:bCs/>
                <w:vertAlign w:val="subscript"/>
              </w:rPr>
              <w:t>3</w:t>
            </w:r>
            <w:r>
              <w:rPr>
                <w:rFonts w:hint="eastAsia" w:ascii="Times New Roman" w:hAnsi="Times New Roman" w:cs="Times New Roman"/>
                <w:bCs/>
              </w:rPr>
              <w:t>、</w:t>
            </w:r>
            <w:r>
              <w:rPr>
                <w:rFonts w:ascii="Times New Roman" w:hAnsi="Times New Roman" w:cs="Times New Roman"/>
                <w:bCs/>
              </w:rPr>
              <w:t>SO</w:t>
            </w:r>
            <w:r>
              <w:rPr>
                <w:rFonts w:ascii="Times New Roman" w:hAnsi="Times New Roman" w:cs="Times New Roman"/>
                <w:bCs/>
                <w:vertAlign w:val="subscript"/>
              </w:rPr>
              <w:t>2</w:t>
            </w:r>
            <w:r>
              <w:rPr>
                <w:rFonts w:ascii="Times New Roman" w:hAnsi="Times New Roman" w:cs="Times New Roman"/>
                <w:bCs/>
              </w:rPr>
              <w:t>、NO</w:t>
            </w:r>
            <w:r>
              <w:rPr>
                <w:rFonts w:hint="eastAsia" w:ascii="Times New Roman" w:hAnsi="Times New Roman" w:cs="Times New Roman"/>
                <w:bCs/>
                <w:vertAlign w:val="subscript"/>
              </w:rPr>
              <w:t>x</w:t>
            </w:r>
            <w:r>
              <w:rPr>
                <w:rFonts w:hint="eastAsia" w:ascii="Times New Roman" w:hAnsi="Times New Roman" w:cs="Times New Roman"/>
                <w:bCs/>
              </w:rPr>
              <w:t>、TSP</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621" w:type="pct"/>
            <w:shd w:val="clear" w:color="auto" w:fill="auto"/>
            <w:vAlign w:val="center"/>
          </w:tcPr>
          <w:p>
            <w:pPr>
              <w:jc w:val="center"/>
              <w:rPr>
                <w:rFonts w:ascii="Times New Roman" w:hAnsi="Times New Roman" w:cs="Times New Roman"/>
                <w:bCs/>
              </w:rPr>
            </w:pPr>
            <w:r>
              <w:rPr>
                <w:rFonts w:ascii="Times New Roman" w:hAnsi="Times New Roman" w:cs="Times New Roman"/>
                <w:bCs/>
              </w:rPr>
              <w:t>地表水</w:t>
            </w:r>
          </w:p>
        </w:tc>
        <w:tc>
          <w:tcPr>
            <w:tcW w:w="3070" w:type="pct"/>
            <w:shd w:val="clear" w:color="auto" w:fill="auto"/>
            <w:vAlign w:val="center"/>
          </w:tcPr>
          <w:p>
            <w:pPr>
              <w:jc w:val="center"/>
              <w:rPr>
                <w:rFonts w:ascii="Times New Roman" w:hAnsi="Times New Roman" w:cs="Times New Roman"/>
                <w:bCs/>
                <w:highlight w:val="yellow"/>
              </w:rPr>
            </w:pPr>
            <w:r>
              <w:rPr>
                <w:rFonts w:ascii="Times New Roman" w:hAnsi="Times New Roman" w:cs="Times New Roman"/>
              </w:rPr>
              <w:t>pH值、化学需氧量、生化需氧量、氨氮、总磷、总氮、粪大肠菌群、阴离子表面活性剂、动植物油</w:t>
            </w:r>
          </w:p>
        </w:tc>
        <w:tc>
          <w:tcPr>
            <w:tcW w:w="1309" w:type="pct"/>
            <w:shd w:val="clear" w:color="auto" w:fill="auto"/>
            <w:vAlign w:val="center"/>
          </w:tcPr>
          <w:p>
            <w:pPr>
              <w:jc w:val="center"/>
              <w:rPr>
                <w:rFonts w:ascii="Times New Roman" w:hAnsi="Times New Roman" w:cs="Times New Roman"/>
                <w:bCs/>
              </w:rPr>
            </w:pPr>
            <w:r>
              <w:rPr>
                <w:rFonts w:hint="eastAsia" w:ascii="Times New Roman" w:hAnsi="Times New Roman" w:cs="Times New Roman"/>
                <w:bCs/>
              </w:rPr>
              <w:t>/</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621" w:type="pct"/>
            <w:shd w:val="clear" w:color="auto" w:fill="auto"/>
            <w:vAlign w:val="center"/>
          </w:tcPr>
          <w:p>
            <w:pPr>
              <w:jc w:val="center"/>
              <w:rPr>
                <w:rFonts w:ascii="Times New Roman" w:hAnsi="Times New Roman" w:cs="Times New Roman"/>
                <w:bCs/>
              </w:rPr>
            </w:pPr>
            <w:r>
              <w:rPr>
                <w:rFonts w:ascii="Times New Roman" w:hAnsi="Times New Roman" w:cs="Times New Roman"/>
                <w:bCs/>
              </w:rPr>
              <w:t>地下水</w:t>
            </w:r>
          </w:p>
        </w:tc>
        <w:tc>
          <w:tcPr>
            <w:tcW w:w="3070" w:type="pct"/>
            <w:shd w:val="clear" w:color="auto" w:fill="auto"/>
            <w:vAlign w:val="center"/>
          </w:tcPr>
          <w:p>
            <w:pPr>
              <w:widowControl w:val="0"/>
              <w:autoSpaceDE w:val="0"/>
              <w:autoSpaceDN w:val="0"/>
              <w:snapToGrid/>
              <w:jc w:val="left"/>
              <w:rPr>
                <w:rFonts w:ascii="Times New Roman" w:hAnsi="Times New Roman" w:cs="Times New Roman"/>
                <w:bCs/>
                <w:highlight w:val="yellow"/>
              </w:rPr>
            </w:pPr>
            <w:r>
              <w:rPr>
                <w:rFonts w:ascii="Times New Roman" w:hAnsi="Times New Roman" w:cs="Times New Roman"/>
              </w:rPr>
              <w:t>pH值、总硬度、溶解性总固体、挥发酚、阴离子表面活性剂、耗氧量、氨氮、总大肠菌群</w:t>
            </w:r>
          </w:p>
        </w:tc>
        <w:tc>
          <w:tcPr>
            <w:tcW w:w="1309" w:type="pct"/>
            <w:shd w:val="clear" w:color="auto" w:fill="auto"/>
            <w:vAlign w:val="center"/>
          </w:tcPr>
          <w:p>
            <w:pPr>
              <w:jc w:val="center"/>
              <w:rPr>
                <w:rFonts w:ascii="Times New Roman" w:hAnsi="Times New Roman" w:cs="Times New Roman"/>
                <w:bCs/>
              </w:rPr>
            </w:pPr>
            <w:r>
              <w:rPr>
                <w:rFonts w:ascii="Times New Roman" w:hAnsi="Times New Roman" w:cs="Times New Roman"/>
                <w:bCs/>
              </w:rPr>
              <w:t>氨氮</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621" w:type="pct"/>
            <w:shd w:val="clear" w:color="auto" w:fill="auto"/>
            <w:vAlign w:val="center"/>
          </w:tcPr>
          <w:p>
            <w:pPr>
              <w:jc w:val="center"/>
              <w:rPr>
                <w:rFonts w:ascii="Times New Roman" w:hAnsi="Times New Roman" w:cs="Times New Roman"/>
                <w:bCs/>
              </w:rPr>
            </w:pPr>
            <w:r>
              <w:rPr>
                <w:rFonts w:ascii="Times New Roman" w:hAnsi="Times New Roman" w:cs="Times New Roman"/>
                <w:bCs/>
              </w:rPr>
              <w:t>土壤</w:t>
            </w:r>
          </w:p>
        </w:tc>
        <w:tc>
          <w:tcPr>
            <w:tcW w:w="3070" w:type="pct"/>
            <w:shd w:val="clear" w:color="auto" w:fill="auto"/>
            <w:vAlign w:val="center"/>
          </w:tcPr>
          <w:p>
            <w:pPr>
              <w:jc w:val="center"/>
              <w:rPr>
                <w:rFonts w:ascii="Times New Roman" w:hAnsi="Times New Roman" w:cs="Times New Roman"/>
                <w:bCs/>
                <w:highlight w:val="yellow"/>
              </w:rPr>
            </w:pPr>
            <w:r>
              <w:rPr>
                <w:rFonts w:ascii="Times New Roman" w:hAnsi="Times New Roman" w:cs="Times New Roman"/>
                <w:bCs/>
              </w:rPr>
              <w:t>pH、As、Cr、Cd、Cu、Pb、Hg、Ni及45项基本因子</w:t>
            </w:r>
          </w:p>
        </w:tc>
        <w:tc>
          <w:tcPr>
            <w:tcW w:w="1309" w:type="pct"/>
            <w:shd w:val="clear" w:color="auto" w:fill="auto"/>
            <w:vAlign w:val="center"/>
          </w:tcPr>
          <w:p>
            <w:pPr>
              <w:jc w:val="center"/>
              <w:rPr>
                <w:rFonts w:ascii="Times New Roman" w:hAnsi="Times New Roman" w:cs="Times New Roman"/>
                <w:bCs/>
              </w:rPr>
            </w:pPr>
            <w:r>
              <w:rPr>
                <w:rFonts w:ascii="Times New Roman" w:hAnsi="Times New Roman" w:cs="Times New Roman"/>
                <w:bCs/>
              </w:rPr>
              <w:t>/</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621" w:type="pct"/>
            <w:shd w:val="clear" w:color="auto" w:fill="auto"/>
            <w:vAlign w:val="center"/>
          </w:tcPr>
          <w:p>
            <w:pPr>
              <w:jc w:val="center"/>
              <w:rPr>
                <w:rFonts w:ascii="Times New Roman" w:hAnsi="Times New Roman" w:cs="Times New Roman"/>
                <w:bCs/>
              </w:rPr>
            </w:pPr>
            <w:r>
              <w:rPr>
                <w:rFonts w:ascii="Times New Roman" w:hAnsi="Times New Roman" w:cs="Times New Roman"/>
                <w:bCs/>
              </w:rPr>
              <w:t>声环境</w:t>
            </w:r>
          </w:p>
        </w:tc>
        <w:tc>
          <w:tcPr>
            <w:tcW w:w="3070" w:type="pct"/>
            <w:shd w:val="clear" w:color="auto" w:fill="auto"/>
            <w:vAlign w:val="center"/>
          </w:tcPr>
          <w:p>
            <w:pPr>
              <w:jc w:val="center"/>
              <w:rPr>
                <w:rFonts w:ascii="Times New Roman" w:hAnsi="Times New Roman" w:cs="Times New Roman"/>
                <w:bCs/>
              </w:rPr>
            </w:pPr>
            <w:r>
              <w:rPr>
                <w:rFonts w:ascii="Times New Roman" w:hAnsi="Times New Roman" w:cs="Times New Roman"/>
                <w:bCs/>
              </w:rPr>
              <w:t>等效连续A声级</w:t>
            </w:r>
          </w:p>
        </w:tc>
        <w:tc>
          <w:tcPr>
            <w:tcW w:w="1309" w:type="pct"/>
            <w:shd w:val="clear" w:color="auto" w:fill="auto"/>
            <w:vAlign w:val="center"/>
          </w:tcPr>
          <w:p>
            <w:pPr>
              <w:jc w:val="center"/>
              <w:rPr>
                <w:rFonts w:ascii="Times New Roman" w:hAnsi="Times New Roman" w:cs="Times New Roman"/>
                <w:bCs/>
              </w:rPr>
            </w:pPr>
            <w:r>
              <w:rPr>
                <w:rFonts w:ascii="Times New Roman" w:hAnsi="Times New Roman" w:cs="Times New Roman"/>
                <w:bCs/>
              </w:rPr>
              <w:t>等效连续A声级</w:t>
            </w:r>
          </w:p>
        </w:tc>
      </w:tr>
    </w:tbl>
    <w:p>
      <w:pPr>
        <w:pStyle w:val="3"/>
        <w:ind w:firstLine="480"/>
      </w:pPr>
    </w:p>
    <w:p>
      <w:pPr>
        <w:pStyle w:val="5"/>
      </w:pPr>
      <w:bookmarkStart w:id="12" w:name="_Toc80889073"/>
      <w:r>
        <w:rPr>
          <w:rFonts w:hint="eastAsia"/>
        </w:rPr>
        <w:t>环境</w:t>
      </w:r>
      <w:r>
        <w:t>功能区划及评价标准</w:t>
      </w:r>
      <w:bookmarkEnd w:id="12"/>
    </w:p>
    <w:p>
      <w:pPr>
        <w:pStyle w:val="3"/>
        <w:ind w:firstLine="480"/>
        <w:rPr>
          <w:rFonts w:cs="Times New Roman"/>
        </w:rPr>
      </w:pPr>
      <w:r>
        <w:rPr>
          <w:rFonts w:cs="Times New Roman"/>
        </w:rPr>
        <w:t>根据</w:t>
      </w:r>
      <w:r>
        <w:rPr>
          <w:rFonts w:hint="eastAsia" w:cs="Times New Roman"/>
        </w:rPr>
        <w:t>衡阳市</w:t>
      </w:r>
      <w:r>
        <w:rPr>
          <w:rFonts w:cs="Times New Roman"/>
        </w:rPr>
        <w:t>生态环境局</w:t>
      </w:r>
      <w:r>
        <w:rPr>
          <w:rFonts w:hint="eastAsia" w:cs="Times New Roman"/>
        </w:rPr>
        <w:t>衡阳县</w:t>
      </w:r>
      <w:r>
        <w:rPr>
          <w:rFonts w:cs="Times New Roman"/>
        </w:rPr>
        <w:t>分局出具的《关于</w:t>
      </w:r>
      <w:r>
        <w:rPr>
          <w:rFonts w:hint="eastAsia" w:cs="Times New Roman"/>
        </w:rPr>
        <w:t>湖南安发</w:t>
      </w:r>
      <w:r>
        <w:rPr>
          <w:rFonts w:cs="Times New Roman"/>
        </w:rPr>
        <w:t>原生态农业旅游开发有限公司养鸡场项目环境影响评价</w:t>
      </w:r>
      <w:r>
        <w:rPr>
          <w:rFonts w:hint="eastAsia" w:cs="Times New Roman"/>
        </w:rPr>
        <w:t>执行标准的函</w:t>
      </w:r>
      <w:r>
        <w:rPr>
          <w:rFonts w:cs="Times New Roman"/>
        </w:rPr>
        <w:t>》，本评价采用如下评价标准。</w:t>
      </w:r>
    </w:p>
    <w:p>
      <w:pPr>
        <w:pStyle w:val="6"/>
      </w:pPr>
      <w:r>
        <w:rPr>
          <w:rFonts w:hint="eastAsia"/>
        </w:rPr>
        <w:t>环境质量标准</w:t>
      </w:r>
    </w:p>
    <w:p>
      <w:pPr>
        <w:pStyle w:val="3"/>
        <w:ind w:firstLine="480"/>
        <w:rPr>
          <w:rFonts w:cs="Times New Roman"/>
        </w:rPr>
      </w:pPr>
      <w:r>
        <w:rPr>
          <w:rFonts w:cs="Times New Roman"/>
        </w:rPr>
        <w:t>（1）环境空气</w:t>
      </w:r>
      <w:r>
        <w:rPr>
          <w:rFonts w:hint="eastAsia" w:cs="Times New Roman"/>
        </w:rPr>
        <w:t>质量标准</w:t>
      </w:r>
    </w:p>
    <w:p>
      <w:pPr>
        <w:pStyle w:val="3"/>
        <w:ind w:firstLine="480"/>
        <w:rPr>
          <w:rFonts w:cs="Times New Roman"/>
        </w:rPr>
      </w:pPr>
      <w:r>
        <w:rPr>
          <w:rFonts w:cs="Times New Roman"/>
        </w:rPr>
        <w:t>环境空气：SO</w:t>
      </w:r>
      <w:r>
        <w:rPr>
          <w:rFonts w:cs="Times New Roman"/>
          <w:vertAlign w:val="subscript"/>
        </w:rPr>
        <w:t>2</w:t>
      </w:r>
      <w:r>
        <w:rPr>
          <w:rFonts w:cs="Times New Roman"/>
        </w:rPr>
        <w:t>、NO</w:t>
      </w:r>
      <w:r>
        <w:rPr>
          <w:rFonts w:cs="Times New Roman"/>
          <w:vertAlign w:val="subscript"/>
        </w:rPr>
        <w:t>2</w:t>
      </w:r>
      <w:r>
        <w:rPr>
          <w:rFonts w:cs="Times New Roman"/>
        </w:rPr>
        <w:t>、PM</w:t>
      </w:r>
      <w:r>
        <w:rPr>
          <w:rFonts w:cs="Times New Roman"/>
          <w:vertAlign w:val="subscript"/>
        </w:rPr>
        <w:t>10</w:t>
      </w:r>
      <w:r>
        <w:rPr>
          <w:rFonts w:cs="Times New Roman"/>
        </w:rPr>
        <w:t>、PM</w:t>
      </w:r>
      <w:r>
        <w:rPr>
          <w:rFonts w:cs="Times New Roman"/>
          <w:vertAlign w:val="subscript"/>
        </w:rPr>
        <w:t>2.5</w:t>
      </w:r>
      <w:r>
        <w:rPr>
          <w:rFonts w:cs="Times New Roman"/>
        </w:rPr>
        <w:t>、</w:t>
      </w:r>
      <w:r>
        <w:rPr>
          <w:rFonts w:hint="eastAsia" w:cs="Times New Roman"/>
        </w:rPr>
        <w:t>TSP、</w:t>
      </w:r>
      <w:r>
        <w:rPr>
          <w:rFonts w:cs="Times New Roman"/>
        </w:rPr>
        <w:t>CO、O</w:t>
      </w:r>
      <w:r>
        <w:rPr>
          <w:rFonts w:cs="Times New Roman"/>
          <w:vertAlign w:val="subscript"/>
        </w:rPr>
        <w:t>3</w:t>
      </w:r>
      <w:r>
        <w:rPr>
          <w:rFonts w:cs="Times New Roman"/>
        </w:rPr>
        <w:t>执行《环境空气质量标准》（GB3095-2012）中的二级标准；NH</w:t>
      </w:r>
      <w:r>
        <w:rPr>
          <w:rFonts w:cs="Times New Roman"/>
          <w:vertAlign w:val="subscript"/>
        </w:rPr>
        <w:t>3</w:t>
      </w:r>
      <w:r>
        <w:rPr>
          <w:rFonts w:cs="Times New Roman"/>
        </w:rPr>
        <w:t>、H</w:t>
      </w:r>
      <w:r>
        <w:rPr>
          <w:rFonts w:cs="Times New Roman"/>
          <w:vertAlign w:val="subscript"/>
        </w:rPr>
        <w:t>2</w:t>
      </w:r>
      <w:r>
        <w:rPr>
          <w:rFonts w:cs="Times New Roman"/>
        </w:rPr>
        <w:t>S参照执行《环境影响评价技术导则大气环境》（HJ2.2-2018）附录D浓度限值要求，养殖场内执行《畜禽养殖产地环境评价范围》（HJ568-2010）中环境空气质量评价指标限值。</w:t>
      </w:r>
    </w:p>
    <w:p>
      <w:pPr>
        <w:pStyle w:val="15"/>
        <w:rPr>
          <w:rFonts w:cs="Times New Roman"/>
          <w:vertAlign w:val="superscript"/>
        </w:rPr>
      </w:pPr>
      <w:r>
        <w:rPr>
          <w:rFonts w:cs="Times New Roman"/>
        </w:rPr>
        <w:t>表2.5-1  环境空气质量评价标准  单位：mg/m</w:t>
      </w:r>
      <w:r>
        <w:rPr>
          <w:rFonts w:cs="Times New Roman"/>
          <w:vertAlign w:val="superscript"/>
        </w:rPr>
        <w:t>3</w:t>
      </w:r>
    </w:p>
    <w:tbl>
      <w:tblPr>
        <w:tblStyle w:val="26"/>
        <w:tblW w:w="91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070"/>
        <w:gridCol w:w="2410"/>
        <w:gridCol w:w="1842"/>
        <w:gridCol w:w="2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tblHeader/>
          <w:jc w:val="center"/>
        </w:trPr>
        <w:tc>
          <w:tcPr>
            <w:tcW w:w="2070" w:type="dxa"/>
            <w:vAlign w:val="center"/>
          </w:tcPr>
          <w:p>
            <w:pPr>
              <w:pStyle w:val="39"/>
              <w:rPr>
                <w:rFonts w:cs="Times New Roman"/>
              </w:rPr>
            </w:pPr>
            <w:r>
              <w:rPr>
                <w:rFonts w:cs="Times New Roman"/>
              </w:rPr>
              <w:t>污染物名称</w:t>
            </w:r>
          </w:p>
        </w:tc>
        <w:tc>
          <w:tcPr>
            <w:tcW w:w="2410" w:type="dxa"/>
            <w:vAlign w:val="center"/>
          </w:tcPr>
          <w:p>
            <w:pPr>
              <w:pStyle w:val="39"/>
              <w:rPr>
                <w:rFonts w:cs="Times New Roman"/>
              </w:rPr>
            </w:pPr>
            <w:r>
              <w:rPr>
                <w:rFonts w:cs="Times New Roman"/>
              </w:rPr>
              <w:t>取值时间</w:t>
            </w:r>
          </w:p>
        </w:tc>
        <w:tc>
          <w:tcPr>
            <w:tcW w:w="1842" w:type="dxa"/>
            <w:vAlign w:val="center"/>
          </w:tcPr>
          <w:p>
            <w:pPr>
              <w:pStyle w:val="39"/>
              <w:rPr>
                <w:rFonts w:cs="Times New Roman"/>
              </w:rPr>
            </w:pPr>
            <w:r>
              <w:rPr>
                <w:rFonts w:cs="Times New Roman"/>
              </w:rPr>
              <w:t>浓度限值</w:t>
            </w:r>
          </w:p>
        </w:tc>
        <w:tc>
          <w:tcPr>
            <w:tcW w:w="2804" w:type="dxa"/>
            <w:vAlign w:val="center"/>
          </w:tcPr>
          <w:p>
            <w:pPr>
              <w:pStyle w:val="39"/>
              <w:rPr>
                <w:rFonts w:cs="Times New Roman"/>
              </w:rPr>
            </w:pPr>
            <w:r>
              <w:rPr>
                <w:rFonts w:cs="Times New Roman"/>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2070" w:type="dxa"/>
            <w:vMerge w:val="restart"/>
            <w:vAlign w:val="center"/>
          </w:tcPr>
          <w:p>
            <w:pPr>
              <w:pStyle w:val="39"/>
              <w:rPr>
                <w:rFonts w:cs="Times New Roman"/>
              </w:rPr>
            </w:pPr>
            <w:r>
              <w:rPr>
                <w:rFonts w:cs="Times New Roman"/>
              </w:rPr>
              <w:t>二氧化硫（SO</w:t>
            </w:r>
            <w:r>
              <w:rPr>
                <w:rFonts w:cs="Times New Roman"/>
                <w:vertAlign w:val="subscript"/>
              </w:rPr>
              <w:t>2</w:t>
            </w:r>
            <w:r>
              <w:rPr>
                <w:rFonts w:cs="Times New Roman"/>
              </w:rPr>
              <w:t>）</w:t>
            </w:r>
          </w:p>
        </w:tc>
        <w:tc>
          <w:tcPr>
            <w:tcW w:w="2410" w:type="dxa"/>
            <w:vAlign w:val="center"/>
          </w:tcPr>
          <w:p>
            <w:pPr>
              <w:pStyle w:val="39"/>
              <w:rPr>
                <w:rFonts w:cs="Times New Roman"/>
              </w:rPr>
            </w:pPr>
            <w:r>
              <w:rPr>
                <w:rFonts w:cs="Times New Roman"/>
              </w:rPr>
              <w:t>24小时平均</w:t>
            </w:r>
          </w:p>
        </w:tc>
        <w:tc>
          <w:tcPr>
            <w:tcW w:w="1842" w:type="dxa"/>
            <w:vAlign w:val="center"/>
          </w:tcPr>
          <w:p>
            <w:pPr>
              <w:pStyle w:val="39"/>
              <w:rPr>
                <w:rFonts w:cs="Times New Roman"/>
              </w:rPr>
            </w:pPr>
            <w:r>
              <w:rPr>
                <w:rFonts w:cs="Times New Roman"/>
              </w:rPr>
              <w:t>150μg/m</w:t>
            </w:r>
            <w:r>
              <w:rPr>
                <w:rFonts w:cs="Times New Roman"/>
                <w:vertAlign w:val="superscript"/>
              </w:rPr>
              <w:t>3</w:t>
            </w:r>
          </w:p>
        </w:tc>
        <w:tc>
          <w:tcPr>
            <w:tcW w:w="2804" w:type="dxa"/>
            <w:vMerge w:val="restart"/>
            <w:vAlign w:val="center"/>
          </w:tcPr>
          <w:p>
            <w:pPr>
              <w:pStyle w:val="39"/>
              <w:rPr>
                <w:rFonts w:cs="Times New Roman"/>
              </w:rPr>
            </w:pPr>
            <w:r>
              <w:rPr>
                <w:rFonts w:cs="Times New Roman"/>
              </w:rPr>
              <w:t>《环境空气质量标准》（GB3095-2012）二级标准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2070" w:type="dxa"/>
            <w:vMerge w:val="continue"/>
            <w:vAlign w:val="center"/>
          </w:tcPr>
          <w:p>
            <w:pPr>
              <w:pStyle w:val="39"/>
              <w:rPr>
                <w:rFonts w:cs="Times New Roman"/>
              </w:rPr>
            </w:pPr>
          </w:p>
        </w:tc>
        <w:tc>
          <w:tcPr>
            <w:tcW w:w="2410" w:type="dxa"/>
            <w:vAlign w:val="center"/>
          </w:tcPr>
          <w:p>
            <w:pPr>
              <w:pStyle w:val="39"/>
              <w:rPr>
                <w:rFonts w:cs="Times New Roman"/>
              </w:rPr>
            </w:pPr>
            <w:r>
              <w:rPr>
                <w:rFonts w:cs="Times New Roman"/>
              </w:rPr>
              <w:t>1小时平均</w:t>
            </w:r>
          </w:p>
        </w:tc>
        <w:tc>
          <w:tcPr>
            <w:tcW w:w="1842" w:type="dxa"/>
            <w:vAlign w:val="center"/>
          </w:tcPr>
          <w:p>
            <w:pPr>
              <w:pStyle w:val="39"/>
              <w:rPr>
                <w:rFonts w:cs="Times New Roman"/>
              </w:rPr>
            </w:pPr>
            <w:r>
              <w:rPr>
                <w:rFonts w:cs="Times New Roman"/>
              </w:rPr>
              <w:t>500μg/m</w:t>
            </w:r>
            <w:r>
              <w:rPr>
                <w:rFonts w:cs="Times New Roman"/>
                <w:vertAlign w:val="superscript"/>
              </w:rPr>
              <w:t>3</w:t>
            </w:r>
          </w:p>
        </w:tc>
        <w:tc>
          <w:tcPr>
            <w:tcW w:w="2804" w:type="dxa"/>
            <w:vMerge w:val="continue"/>
            <w:vAlign w:val="center"/>
          </w:tcPr>
          <w:p>
            <w:pPr>
              <w:pStyle w:val="3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2070" w:type="dxa"/>
            <w:vMerge w:val="restart"/>
            <w:vAlign w:val="center"/>
          </w:tcPr>
          <w:p>
            <w:pPr>
              <w:pStyle w:val="39"/>
              <w:rPr>
                <w:rFonts w:cs="Times New Roman"/>
              </w:rPr>
            </w:pPr>
            <w:r>
              <w:rPr>
                <w:rFonts w:cs="Times New Roman"/>
              </w:rPr>
              <w:t>二氧化氮（NO</w:t>
            </w:r>
            <w:r>
              <w:rPr>
                <w:rFonts w:cs="Times New Roman"/>
                <w:vertAlign w:val="subscript"/>
              </w:rPr>
              <w:t>2</w:t>
            </w:r>
            <w:r>
              <w:rPr>
                <w:rFonts w:cs="Times New Roman"/>
              </w:rPr>
              <w:t>）</w:t>
            </w:r>
          </w:p>
        </w:tc>
        <w:tc>
          <w:tcPr>
            <w:tcW w:w="2410" w:type="dxa"/>
            <w:vAlign w:val="center"/>
          </w:tcPr>
          <w:p>
            <w:pPr>
              <w:pStyle w:val="39"/>
              <w:rPr>
                <w:rFonts w:cs="Times New Roman"/>
              </w:rPr>
            </w:pPr>
            <w:r>
              <w:rPr>
                <w:rFonts w:cs="Times New Roman"/>
              </w:rPr>
              <w:t>24小时平均</w:t>
            </w:r>
          </w:p>
        </w:tc>
        <w:tc>
          <w:tcPr>
            <w:tcW w:w="1842" w:type="dxa"/>
            <w:vAlign w:val="center"/>
          </w:tcPr>
          <w:p>
            <w:pPr>
              <w:pStyle w:val="39"/>
              <w:rPr>
                <w:rFonts w:cs="Times New Roman"/>
              </w:rPr>
            </w:pPr>
            <w:r>
              <w:rPr>
                <w:rFonts w:cs="Times New Roman"/>
              </w:rPr>
              <w:t>80μg/m</w:t>
            </w:r>
            <w:r>
              <w:rPr>
                <w:rFonts w:cs="Times New Roman"/>
                <w:vertAlign w:val="superscript"/>
              </w:rPr>
              <w:t>3</w:t>
            </w:r>
          </w:p>
        </w:tc>
        <w:tc>
          <w:tcPr>
            <w:tcW w:w="2804" w:type="dxa"/>
            <w:vMerge w:val="continue"/>
            <w:vAlign w:val="center"/>
          </w:tcPr>
          <w:p>
            <w:pPr>
              <w:pStyle w:val="3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2070" w:type="dxa"/>
            <w:vMerge w:val="continue"/>
            <w:vAlign w:val="center"/>
          </w:tcPr>
          <w:p>
            <w:pPr>
              <w:pStyle w:val="39"/>
              <w:rPr>
                <w:rFonts w:cs="Times New Roman"/>
              </w:rPr>
            </w:pPr>
          </w:p>
        </w:tc>
        <w:tc>
          <w:tcPr>
            <w:tcW w:w="2410" w:type="dxa"/>
            <w:vAlign w:val="center"/>
          </w:tcPr>
          <w:p>
            <w:pPr>
              <w:pStyle w:val="39"/>
              <w:rPr>
                <w:rFonts w:cs="Times New Roman"/>
              </w:rPr>
            </w:pPr>
            <w:r>
              <w:rPr>
                <w:rFonts w:cs="Times New Roman"/>
              </w:rPr>
              <w:t>1小时平均</w:t>
            </w:r>
          </w:p>
        </w:tc>
        <w:tc>
          <w:tcPr>
            <w:tcW w:w="1842" w:type="dxa"/>
            <w:vAlign w:val="center"/>
          </w:tcPr>
          <w:p>
            <w:pPr>
              <w:pStyle w:val="39"/>
              <w:rPr>
                <w:rFonts w:cs="Times New Roman"/>
              </w:rPr>
            </w:pPr>
            <w:r>
              <w:rPr>
                <w:rFonts w:cs="Times New Roman"/>
              </w:rPr>
              <w:t>200μg/m</w:t>
            </w:r>
            <w:r>
              <w:rPr>
                <w:rFonts w:cs="Times New Roman"/>
                <w:vertAlign w:val="superscript"/>
              </w:rPr>
              <w:t>3</w:t>
            </w:r>
          </w:p>
        </w:tc>
        <w:tc>
          <w:tcPr>
            <w:tcW w:w="2804" w:type="dxa"/>
            <w:vMerge w:val="continue"/>
            <w:vAlign w:val="center"/>
          </w:tcPr>
          <w:p>
            <w:pPr>
              <w:pStyle w:val="3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2070" w:type="dxa"/>
            <w:vAlign w:val="center"/>
          </w:tcPr>
          <w:p>
            <w:pPr>
              <w:pStyle w:val="39"/>
              <w:rPr>
                <w:rFonts w:cs="Times New Roman"/>
              </w:rPr>
            </w:pPr>
            <w:r>
              <w:rPr>
                <w:rFonts w:cs="Times New Roman"/>
              </w:rPr>
              <w:t>PM</w:t>
            </w:r>
            <w:r>
              <w:rPr>
                <w:rFonts w:cs="Times New Roman"/>
                <w:vertAlign w:val="subscript"/>
              </w:rPr>
              <w:t>10</w:t>
            </w:r>
          </w:p>
        </w:tc>
        <w:tc>
          <w:tcPr>
            <w:tcW w:w="2410" w:type="dxa"/>
            <w:vAlign w:val="center"/>
          </w:tcPr>
          <w:p>
            <w:pPr>
              <w:pStyle w:val="39"/>
              <w:rPr>
                <w:rFonts w:cs="Times New Roman"/>
              </w:rPr>
            </w:pPr>
            <w:r>
              <w:rPr>
                <w:rFonts w:cs="Times New Roman"/>
              </w:rPr>
              <w:t>24小时平均</w:t>
            </w:r>
          </w:p>
        </w:tc>
        <w:tc>
          <w:tcPr>
            <w:tcW w:w="1842" w:type="dxa"/>
            <w:vAlign w:val="center"/>
          </w:tcPr>
          <w:p>
            <w:pPr>
              <w:pStyle w:val="39"/>
              <w:rPr>
                <w:rFonts w:cs="Times New Roman"/>
              </w:rPr>
            </w:pPr>
            <w:r>
              <w:rPr>
                <w:rFonts w:cs="Times New Roman"/>
              </w:rPr>
              <w:t>150μg/m</w:t>
            </w:r>
            <w:r>
              <w:rPr>
                <w:rFonts w:cs="Times New Roman"/>
                <w:vertAlign w:val="superscript"/>
              </w:rPr>
              <w:t>3</w:t>
            </w:r>
          </w:p>
        </w:tc>
        <w:tc>
          <w:tcPr>
            <w:tcW w:w="2804" w:type="dxa"/>
            <w:vMerge w:val="continue"/>
            <w:vAlign w:val="center"/>
          </w:tcPr>
          <w:p>
            <w:pPr>
              <w:pStyle w:val="3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2070" w:type="dxa"/>
            <w:vAlign w:val="center"/>
          </w:tcPr>
          <w:p>
            <w:pPr>
              <w:pStyle w:val="39"/>
              <w:rPr>
                <w:rFonts w:cs="Times New Roman"/>
              </w:rPr>
            </w:pPr>
            <w:r>
              <w:rPr>
                <w:rFonts w:cs="Times New Roman"/>
              </w:rPr>
              <w:t>PM</w:t>
            </w:r>
            <w:r>
              <w:rPr>
                <w:rFonts w:cs="Times New Roman"/>
                <w:vertAlign w:val="subscript"/>
              </w:rPr>
              <w:t>2.5</w:t>
            </w:r>
          </w:p>
        </w:tc>
        <w:tc>
          <w:tcPr>
            <w:tcW w:w="2410" w:type="dxa"/>
            <w:vAlign w:val="center"/>
          </w:tcPr>
          <w:p>
            <w:pPr>
              <w:pStyle w:val="39"/>
              <w:rPr>
                <w:rFonts w:cs="Times New Roman"/>
              </w:rPr>
            </w:pPr>
            <w:r>
              <w:rPr>
                <w:rFonts w:cs="Times New Roman"/>
              </w:rPr>
              <w:t>24小时平均</w:t>
            </w:r>
          </w:p>
        </w:tc>
        <w:tc>
          <w:tcPr>
            <w:tcW w:w="1842" w:type="dxa"/>
            <w:vAlign w:val="center"/>
          </w:tcPr>
          <w:p>
            <w:pPr>
              <w:pStyle w:val="39"/>
              <w:rPr>
                <w:rFonts w:cs="Times New Roman"/>
              </w:rPr>
            </w:pPr>
            <w:r>
              <w:rPr>
                <w:rFonts w:cs="Times New Roman"/>
              </w:rPr>
              <w:t>75μg/m</w:t>
            </w:r>
            <w:r>
              <w:rPr>
                <w:rFonts w:cs="Times New Roman"/>
                <w:vertAlign w:val="superscript"/>
              </w:rPr>
              <w:t>3</w:t>
            </w:r>
          </w:p>
        </w:tc>
        <w:tc>
          <w:tcPr>
            <w:tcW w:w="2804" w:type="dxa"/>
            <w:vMerge w:val="continue"/>
            <w:vAlign w:val="center"/>
          </w:tcPr>
          <w:p>
            <w:pPr>
              <w:pStyle w:val="3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2070" w:type="dxa"/>
            <w:vAlign w:val="center"/>
          </w:tcPr>
          <w:p>
            <w:pPr>
              <w:pStyle w:val="39"/>
              <w:rPr>
                <w:rFonts w:cs="Times New Roman"/>
              </w:rPr>
            </w:pPr>
            <w:r>
              <w:rPr>
                <w:rFonts w:cs="Times New Roman"/>
              </w:rPr>
              <w:t>CO</w:t>
            </w:r>
          </w:p>
        </w:tc>
        <w:tc>
          <w:tcPr>
            <w:tcW w:w="2410" w:type="dxa"/>
            <w:vAlign w:val="center"/>
          </w:tcPr>
          <w:p>
            <w:pPr>
              <w:pStyle w:val="39"/>
              <w:rPr>
                <w:rFonts w:cs="Times New Roman"/>
              </w:rPr>
            </w:pPr>
            <w:r>
              <w:rPr>
                <w:rFonts w:cs="Times New Roman"/>
              </w:rPr>
              <w:t>24小时平均</w:t>
            </w:r>
          </w:p>
        </w:tc>
        <w:tc>
          <w:tcPr>
            <w:tcW w:w="1842" w:type="dxa"/>
            <w:vAlign w:val="center"/>
          </w:tcPr>
          <w:p>
            <w:pPr>
              <w:pStyle w:val="39"/>
              <w:rPr>
                <w:rFonts w:cs="Times New Roman"/>
              </w:rPr>
            </w:pPr>
            <w:r>
              <w:rPr>
                <w:rFonts w:cs="Times New Roman"/>
              </w:rPr>
              <w:t>4000μg/m</w:t>
            </w:r>
            <w:r>
              <w:rPr>
                <w:rFonts w:cs="Times New Roman"/>
                <w:vertAlign w:val="superscript"/>
              </w:rPr>
              <w:t>3</w:t>
            </w:r>
          </w:p>
        </w:tc>
        <w:tc>
          <w:tcPr>
            <w:tcW w:w="2804" w:type="dxa"/>
            <w:vMerge w:val="continue"/>
            <w:vAlign w:val="center"/>
          </w:tcPr>
          <w:p>
            <w:pPr>
              <w:pStyle w:val="3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2070" w:type="dxa"/>
            <w:vAlign w:val="center"/>
          </w:tcPr>
          <w:p>
            <w:pPr>
              <w:pStyle w:val="39"/>
              <w:rPr>
                <w:rFonts w:cs="Times New Roman"/>
              </w:rPr>
            </w:pPr>
            <w:r>
              <w:rPr>
                <w:rFonts w:cs="Times New Roman"/>
              </w:rPr>
              <w:t>O</w:t>
            </w:r>
            <w:r>
              <w:rPr>
                <w:rFonts w:cs="Times New Roman"/>
                <w:vertAlign w:val="subscript"/>
              </w:rPr>
              <w:t>3</w:t>
            </w:r>
          </w:p>
        </w:tc>
        <w:tc>
          <w:tcPr>
            <w:tcW w:w="2410" w:type="dxa"/>
            <w:vAlign w:val="center"/>
          </w:tcPr>
          <w:p>
            <w:pPr>
              <w:pStyle w:val="39"/>
              <w:rPr>
                <w:rFonts w:cs="Times New Roman"/>
              </w:rPr>
            </w:pPr>
            <w:r>
              <w:rPr>
                <w:rFonts w:cs="Times New Roman"/>
              </w:rPr>
              <w:t>日最大8小时平均</w:t>
            </w:r>
          </w:p>
        </w:tc>
        <w:tc>
          <w:tcPr>
            <w:tcW w:w="1842" w:type="dxa"/>
            <w:vAlign w:val="center"/>
          </w:tcPr>
          <w:p>
            <w:pPr>
              <w:pStyle w:val="39"/>
              <w:rPr>
                <w:rFonts w:cs="Times New Roman"/>
              </w:rPr>
            </w:pPr>
            <w:r>
              <w:rPr>
                <w:rFonts w:cs="Times New Roman"/>
              </w:rPr>
              <w:t>160μg/m</w:t>
            </w:r>
            <w:r>
              <w:rPr>
                <w:rFonts w:cs="Times New Roman"/>
                <w:vertAlign w:val="superscript"/>
              </w:rPr>
              <w:t>3</w:t>
            </w:r>
          </w:p>
        </w:tc>
        <w:tc>
          <w:tcPr>
            <w:tcW w:w="2804" w:type="dxa"/>
            <w:vMerge w:val="continue"/>
            <w:vAlign w:val="center"/>
          </w:tcPr>
          <w:p>
            <w:pPr>
              <w:pStyle w:val="3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2070" w:type="dxa"/>
            <w:vAlign w:val="center"/>
          </w:tcPr>
          <w:p>
            <w:pPr>
              <w:pStyle w:val="39"/>
              <w:rPr>
                <w:rFonts w:cs="Times New Roman"/>
              </w:rPr>
            </w:pPr>
            <w:r>
              <w:rPr>
                <w:rFonts w:cs="Times New Roman"/>
              </w:rPr>
              <w:t>NH</w:t>
            </w:r>
            <w:r>
              <w:rPr>
                <w:rFonts w:cs="Times New Roman"/>
                <w:vertAlign w:val="subscript"/>
              </w:rPr>
              <w:t>3</w:t>
            </w:r>
          </w:p>
        </w:tc>
        <w:tc>
          <w:tcPr>
            <w:tcW w:w="2410" w:type="dxa"/>
            <w:vAlign w:val="center"/>
          </w:tcPr>
          <w:p>
            <w:pPr>
              <w:pStyle w:val="39"/>
              <w:rPr>
                <w:rFonts w:cs="Times New Roman"/>
              </w:rPr>
            </w:pPr>
            <w:r>
              <w:rPr>
                <w:rFonts w:cs="Times New Roman"/>
              </w:rPr>
              <w:t>1小时平均</w:t>
            </w:r>
          </w:p>
        </w:tc>
        <w:tc>
          <w:tcPr>
            <w:tcW w:w="1842" w:type="dxa"/>
            <w:vAlign w:val="center"/>
          </w:tcPr>
          <w:p>
            <w:pPr>
              <w:pStyle w:val="39"/>
              <w:rPr>
                <w:rFonts w:cs="Times New Roman"/>
              </w:rPr>
            </w:pPr>
            <w:r>
              <w:rPr>
                <w:rFonts w:cs="Times New Roman"/>
              </w:rPr>
              <w:t>200μg/m</w:t>
            </w:r>
            <w:r>
              <w:rPr>
                <w:rFonts w:cs="Times New Roman"/>
                <w:vertAlign w:val="superscript"/>
              </w:rPr>
              <w:t>3</w:t>
            </w:r>
          </w:p>
        </w:tc>
        <w:tc>
          <w:tcPr>
            <w:tcW w:w="2804" w:type="dxa"/>
            <w:vMerge w:val="restart"/>
            <w:vAlign w:val="center"/>
          </w:tcPr>
          <w:p>
            <w:pPr>
              <w:pStyle w:val="39"/>
              <w:rPr>
                <w:rFonts w:cs="Times New Roman"/>
              </w:rPr>
            </w:pPr>
            <w:r>
              <w:rPr>
                <w:rFonts w:cs="Times New Roman"/>
              </w:rPr>
              <w:t>《环境影响评价技术导则大气环境》（HJ2.2-2018）附录D浓度限值要求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2070" w:type="dxa"/>
            <w:vAlign w:val="center"/>
          </w:tcPr>
          <w:p>
            <w:pPr>
              <w:pStyle w:val="39"/>
              <w:rPr>
                <w:rFonts w:cs="Times New Roman"/>
              </w:rPr>
            </w:pPr>
            <w:r>
              <w:rPr>
                <w:rFonts w:cs="Times New Roman"/>
              </w:rPr>
              <w:t>H</w:t>
            </w:r>
            <w:r>
              <w:rPr>
                <w:rFonts w:cs="Times New Roman"/>
                <w:vertAlign w:val="subscript"/>
              </w:rPr>
              <w:t>2</w:t>
            </w:r>
            <w:r>
              <w:rPr>
                <w:rFonts w:cs="Times New Roman"/>
              </w:rPr>
              <w:t>S</w:t>
            </w:r>
          </w:p>
        </w:tc>
        <w:tc>
          <w:tcPr>
            <w:tcW w:w="2410" w:type="dxa"/>
            <w:vAlign w:val="center"/>
          </w:tcPr>
          <w:p>
            <w:pPr>
              <w:pStyle w:val="39"/>
              <w:rPr>
                <w:rFonts w:cs="Times New Roman"/>
              </w:rPr>
            </w:pPr>
            <w:r>
              <w:rPr>
                <w:rFonts w:cs="Times New Roman"/>
              </w:rPr>
              <w:t>1小时平均</w:t>
            </w:r>
          </w:p>
        </w:tc>
        <w:tc>
          <w:tcPr>
            <w:tcW w:w="1842" w:type="dxa"/>
            <w:vAlign w:val="center"/>
          </w:tcPr>
          <w:p>
            <w:pPr>
              <w:pStyle w:val="39"/>
              <w:rPr>
                <w:rFonts w:cs="Times New Roman"/>
              </w:rPr>
            </w:pPr>
            <w:r>
              <w:rPr>
                <w:rFonts w:cs="Times New Roman"/>
              </w:rPr>
              <w:t>10μg/m</w:t>
            </w:r>
            <w:r>
              <w:rPr>
                <w:rFonts w:cs="Times New Roman"/>
                <w:vertAlign w:val="superscript"/>
              </w:rPr>
              <w:t>3</w:t>
            </w:r>
          </w:p>
        </w:tc>
        <w:tc>
          <w:tcPr>
            <w:tcW w:w="2804" w:type="dxa"/>
            <w:vMerge w:val="continue"/>
            <w:vAlign w:val="center"/>
          </w:tcPr>
          <w:p>
            <w:pPr>
              <w:pStyle w:val="39"/>
              <w:rPr>
                <w:rFonts w:cs="Times New Roman"/>
              </w:rPr>
            </w:pPr>
          </w:p>
        </w:tc>
      </w:tr>
    </w:tbl>
    <w:p>
      <w:pPr>
        <w:pStyle w:val="3"/>
        <w:ind w:firstLine="480"/>
      </w:pPr>
    </w:p>
    <w:p>
      <w:pPr>
        <w:pStyle w:val="3"/>
        <w:ind w:firstLine="480"/>
        <w:rPr>
          <w:rFonts w:cs="Times New Roman"/>
        </w:rPr>
      </w:pPr>
      <w:r>
        <w:rPr>
          <w:rFonts w:cs="Times New Roman"/>
        </w:rPr>
        <w:t>（2）地表水环境质量标准</w:t>
      </w:r>
    </w:p>
    <w:p>
      <w:pPr>
        <w:pStyle w:val="3"/>
        <w:ind w:firstLine="480"/>
        <w:rPr>
          <w:rFonts w:cs="Times New Roman"/>
        </w:rPr>
      </w:pPr>
      <w:r>
        <w:rPr>
          <w:rFonts w:cs="Times New Roman"/>
        </w:rPr>
        <w:t>项目拟建地</w:t>
      </w:r>
      <w:r>
        <w:rPr>
          <w:rFonts w:hint="eastAsia" w:cs="Times New Roman"/>
        </w:rPr>
        <w:t>北侧水塘</w:t>
      </w:r>
      <w:r>
        <w:rPr>
          <w:rFonts w:cs="Times New Roman"/>
        </w:rPr>
        <w:t>为农业用水，执行《地表水环境质量标准》（GB3838-2002）</w:t>
      </w:r>
      <w:r>
        <w:rPr>
          <w:rFonts w:hint="eastAsia" w:ascii="宋体" w:hAnsi="宋体" w:cs="宋体"/>
        </w:rPr>
        <w:t>Ⅲ</w:t>
      </w:r>
      <w:r>
        <w:rPr>
          <w:rFonts w:cs="Times New Roman"/>
        </w:rPr>
        <w:t>类标准，详见表2.5-2。</w:t>
      </w:r>
    </w:p>
    <w:p>
      <w:pPr>
        <w:pStyle w:val="15"/>
        <w:rPr>
          <w:rFonts w:cs="Times New Roman"/>
        </w:rPr>
      </w:pPr>
      <w:r>
        <w:rPr>
          <w:rFonts w:cs="Times New Roman"/>
        </w:rPr>
        <w:t>表2.5-2  地表水环境质量评价标准限值   单位：mg/L（pH无量纲）</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709"/>
        <w:gridCol w:w="851"/>
        <w:gridCol w:w="850"/>
        <w:gridCol w:w="851"/>
        <w:gridCol w:w="708"/>
        <w:gridCol w:w="567"/>
        <w:gridCol w:w="993"/>
        <w:gridCol w:w="1134"/>
        <w:gridCol w:w="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09" w:type="dxa"/>
            <w:tcBorders>
              <w:tl2br w:val="single" w:color="auto" w:sz="4" w:space="0"/>
            </w:tcBorders>
            <w:shd w:val="clear" w:color="auto" w:fill="auto"/>
            <w:vAlign w:val="center"/>
          </w:tcPr>
          <w:p>
            <w:pPr>
              <w:adjustRightInd/>
              <w:snapToGrid/>
              <w:jc w:val="right"/>
              <w:rPr>
                <w:rFonts w:ascii="Times New Roman" w:hAnsi="Times New Roman" w:eastAsia="宋体" w:cs="Times New Roman"/>
                <w:kern w:val="0"/>
              </w:rPr>
            </w:pPr>
            <w:r>
              <w:rPr>
                <w:rFonts w:ascii="Times New Roman" w:hAnsi="Times New Roman" w:eastAsia="宋体" w:cs="Times New Roman"/>
                <w:kern w:val="0"/>
              </w:rPr>
              <w:t>污染物名称</w:t>
            </w:r>
          </w:p>
          <w:p>
            <w:pPr>
              <w:adjustRightInd/>
              <w:snapToGrid/>
              <w:rPr>
                <w:rFonts w:ascii="Times New Roman" w:hAnsi="Times New Roman" w:eastAsia="宋体" w:cs="Times New Roman"/>
                <w:kern w:val="0"/>
              </w:rPr>
            </w:pPr>
            <w:r>
              <w:rPr>
                <w:rFonts w:ascii="Times New Roman" w:hAnsi="Times New Roman" w:eastAsia="宋体" w:cs="Times New Roman"/>
                <w:kern w:val="0"/>
              </w:rPr>
              <w:t>标准</w:t>
            </w:r>
          </w:p>
        </w:tc>
        <w:tc>
          <w:tcPr>
            <w:tcW w:w="709" w:type="dxa"/>
            <w:shd w:val="clear" w:color="auto" w:fill="auto"/>
            <w:vAlign w:val="center"/>
          </w:tcPr>
          <w:p>
            <w:pPr>
              <w:adjustRightInd/>
              <w:snapToGrid/>
              <w:jc w:val="center"/>
              <w:rPr>
                <w:rFonts w:ascii="Times New Roman" w:hAnsi="Times New Roman" w:eastAsia="等线" w:cs="Times New Roman"/>
                <w:kern w:val="0"/>
              </w:rPr>
            </w:pPr>
            <w:r>
              <w:rPr>
                <w:rFonts w:ascii="Times New Roman" w:hAnsi="Times New Roman" w:eastAsia="等线" w:cs="Times New Roman"/>
                <w:kern w:val="0"/>
              </w:rPr>
              <w:t>pH</w:t>
            </w:r>
          </w:p>
        </w:tc>
        <w:tc>
          <w:tcPr>
            <w:tcW w:w="851" w:type="dxa"/>
            <w:shd w:val="clear" w:color="auto" w:fill="auto"/>
            <w:vAlign w:val="center"/>
          </w:tcPr>
          <w:p>
            <w:pPr>
              <w:adjustRightInd/>
              <w:snapToGrid/>
              <w:jc w:val="center"/>
              <w:rPr>
                <w:rFonts w:ascii="Times New Roman" w:hAnsi="Times New Roman" w:eastAsia="等线" w:cs="Times New Roman"/>
                <w:kern w:val="0"/>
              </w:rPr>
            </w:pPr>
            <w:r>
              <w:rPr>
                <w:rFonts w:ascii="Times New Roman" w:hAnsi="Times New Roman" w:eastAsia="等线" w:cs="Times New Roman"/>
                <w:kern w:val="0"/>
              </w:rPr>
              <w:t>CODcr</w:t>
            </w:r>
          </w:p>
        </w:tc>
        <w:tc>
          <w:tcPr>
            <w:tcW w:w="850" w:type="dxa"/>
            <w:shd w:val="clear" w:color="auto" w:fill="auto"/>
            <w:vAlign w:val="center"/>
          </w:tcPr>
          <w:p>
            <w:pPr>
              <w:adjustRightInd/>
              <w:snapToGrid/>
              <w:jc w:val="center"/>
              <w:rPr>
                <w:rFonts w:ascii="Times New Roman" w:hAnsi="Times New Roman" w:eastAsia="等线" w:cs="Times New Roman"/>
                <w:kern w:val="0"/>
              </w:rPr>
            </w:pPr>
            <w:r>
              <w:rPr>
                <w:rFonts w:ascii="Times New Roman" w:hAnsi="Times New Roman" w:eastAsia="等线" w:cs="Times New Roman"/>
                <w:kern w:val="0"/>
              </w:rPr>
              <w:t>BOD</w:t>
            </w:r>
            <w:r>
              <w:rPr>
                <w:rFonts w:ascii="Times New Roman" w:hAnsi="Times New Roman" w:eastAsia="等线" w:cs="Times New Roman"/>
                <w:kern w:val="0"/>
                <w:vertAlign w:val="subscript"/>
              </w:rPr>
              <w:t>5</w:t>
            </w:r>
          </w:p>
        </w:tc>
        <w:tc>
          <w:tcPr>
            <w:tcW w:w="851" w:type="dxa"/>
            <w:shd w:val="clear" w:color="auto" w:fill="auto"/>
            <w:vAlign w:val="center"/>
          </w:tcPr>
          <w:p>
            <w:pPr>
              <w:adjustRightInd/>
              <w:snapToGrid/>
              <w:jc w:val="center"/>
              <w:rPr>
                <w:rFonts w:ascii="Times New Roman" w:hAnsi="Times New Roman" w:eastAsia="宋体" w:cs="Times New Roman"/>
                <w:kern w:val="0"/>
              </w:rPr>
            </w:pPr>
            <w:r>
              <w:rPr>
                <w:rFonts w:ascii="Times New Roman" w:hAnsi="Times New Roman" w:eastAsia="宋体" w:cs="Times New Roman"/>
                <w:kern w:val="0"/>
              </w:rPr>
              <w:t>NH</w:t>
            </w:r>
            <w:r>
              <w:rPr>
                <w:rFonts w:ascii="Times New Roman" w:hAnsi="Times New Roman" w:eastAsia="宋体" w:cs="Times New Roman"/>
                <w:kern w:val="0"/>
                <w:vertAlign w:val="subscript"/>
              </w:rPr>
              <w:t>3</w:t>
            </w:r>
            <w:r>
              <w:rPr>
                <w:rFonts w:ascii="Times New Roman" w:hAnsi="Times New Roman" w:eastAsia="宋体" w:cs="Times New Roman"/>
                <w:kern w:val="0"/>
              </w:rPr>
              <w:t>-N</w:t>
            </w:r>
          </w:p>
        </w:tc>
        <w:tc>
          <w:tcPr>
            <w:tcW w:w="708" w:type="dxa"/>
            <w:shd w:val="clear" w:color="auto" w:fill="auto"/>
            <w:vAlign w:val="center"/>
          </w:tcPr>
          <w:p>
            <w:pPr>
              <w:adjustRightInd/>
              <w:snapToGrid/>
              <w:jc w:val="center"/>
              <w:rPr>
                <w:rFonts w:ascii="Times New Roman" w:hAnsi="Times New Roman" w:eastAsia="宋体" w:cs="Times New Roman"/>
                <w:kern w:val="0"/>
              </w:rPr>
            </w:pPr>
            <w:r>
              <w:rPr>
                <w:rFonts w:ascii="Times New Roman" w:hAnsi="Times New Roman" w:eastAsia="宋体" w:cs="Times New Roman"/>
                <w:kern w:val="0"/>
              </w:rPr>
              <w:t>TP</w:t>
            </w:r>
          </w:p>
        </w:tc>
        <w:tc>
          <w:tcPr>
            <w:tcW w:w="567" w:type="dxa"/>
            <w:shd w:val="clear" w:color="auto" w:fill="auto"/>
            <w:vAlign w:val="center"/>
          </w:tcPr>
          <w:p>
            <w:pPr>
              <w:adjustRightInd/>
              <w:snapToGrid/>
              <w:jc w:val="center"/>
              <w:rPr>
                <w:rFonts w:ascii="Times New Roman" w:hAnsi="Times New Roman" w:eastAsia="宋体" w:cs="Times New Roman"/>
                <w:kern w:val="0"/>
              </w:rPr>
            </w:pPr>
            <w:r>
              <w:rPr>
                <w:rFonts w:ascii="Times New Roman" w:hAnsi="Times New Roman" w:eastAsia="宋体" w:cs="Times New Roman"/>
                <w:kern w:val="0"/>
              </w:rPr>
              <w:t>TN</w:t>
            </w:r>
          </w:p>
        </w:tc>
        <w:tc>
          <w:tcPr>
            <w:tcW w:w="993" w:type="dxa"/>
            <w:shd w:val="clear" w:color="auto" w:fill="auto"/>
            <w:vAlign w:val="center"/>
          </w:tcPr>
          <w:p>
            <w:pPr>
              <w:adjustRightInd/>
              <w:snapToGrid/>
              <w:spacing w:line="240" w:lineRule="exact"/>
              <w:jc w:val="center"/>
              <w:rPr>
                <w:rFonts w:ascii="Times New Roman" w:hAnsi="Times New Roman" w:eastAsia="宋体" w:cs="Times New Roman"/>
                <w:kern w:val="0"/>
              </w:rPr>
            </w:pPr>
            <w:r>
              <w:rPr>
                <w:rFonts w:ascii="Times New Roman" w:hAnsi="Times New Roman" w:eastAsia="宋体" w:cs="Times New Roman"/>
                <w:kern w:val="0"/>
              </w:rPr>
              <w:t>粪大肠菌群</w:t>
            </w:r>
          </w:p>
        </w:tc>
        <w:tc>
          <w:tcPr>
            <w:tcW w:w="1134" w:type="dxa"/>
            <w:shd w:val="clear" w:color="auto" w:fill="auto"/>
            <w:vAlign w:val="center"/>
          </w:tcPr>
          <w:p>
            <w:pPr>
              <w:adjustRightInd/>
              <w:snapToGrid/>
              <w:spacing w:line="240" w:lineRule="exact"/>
              <w:jc w:val="center"/>
              <w:rPr>
                <w:rFonts w:ascii="Times New Roman" w:hAnsi="Times New Roman" w:eastAsia="宋体" w:cs="Times New Roman"/>
                <w:kern w:val="0"/>
              </w:rPr>
            </w:pPr>
            <w:r>
              <w:rPr>
                <w:rFonts w:ascii="Times New Roman" w:hAnsi="Times New Roman" w:eastAsia="宋体" w:cs="Times New Roman"/>
                <w:kern w:val="0"/>
              </w:rPr>
              <w:t>阴离子表面活性剂</w:t>
            </w:r>
          </w:p>
        </w:tc>
        <w:tc>
          <w:tcPr>
            <w:tcW w:w="701" w:type="dxa"/>
            <w:shd w:val="clear" w:color="auto" w:fill="auto"/>
            <w:vAlign w:val="center"/>
          </w:tcPr>
          <w:p>
            <w:pPr>
              <w:adjustRightInd/>
              <w:snapToGrid/>
              <w:spacing w:line="240" w:lineRule="exact"/>
              <w:jc w:val="center"/>
              <w:rPr>
                <w:rFonts w:ascii="Times New Roman" w:hAnsi="Times New Roman" w:eastAsia="宋体" w:cs="Times New Roman"/>
                <w:kern w:val="0"/>
              </w:rPr>
            </w:pPr>
            <w:r>
              <w:rPr>
                <w:rFonts w:ascii="Times New Roman" w:hAnsi="Times New Roman" w:eastAsia="宋体" w:cs="Times New Roman"/>
                <w:kern w:val="0"/>
              </w:rPr>
              <w:t>石油类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09" w:type="dxa"/>
            <w:shd w:val="clear" w:color="auto" w:fill="auto"/>
            <w:vAlign w:val="center"/>
          </w:tcPr>
          <w:p>
            <w:pPr>
              <w:adjustRightInd/>
              <w:snapToGrid/>
              <w:jc w:val="center"/>
              <w:rPr>
                <w:rFonts w:ascii="Times New Roman" w:hAnsi="Times New Roman" w:cs="Times New Roman"/>
              </w:rPr>
            </w:pPr>
            <w:r>
              <w:rPr>
                <w:rFonts w:ascii="Times New Roman" w:hAnsi="Times New Roman" w:cs="Times New Roman"/>
              </w:rPr>
              <w:t>（GB3838-2002）</w:t>
            </w:r>
          </w:p>
          <w:p>
            <w:pPr>
              <w:adjustRightInd/>
              <w:snapToGrid/>
              <w:jc w:val="center"/>
              <w:rPr>
                <w:rFonts w:ascii="Times New Roman" w:hAnsi="Times New Roman" w:eastAsia="宋体" w:cs="Times New Roman"/>
                <w:kern w:val="0"/>
              </w:rPr>
            </w:pPr>
            <w:r>
              <w:rPr>
                <w:rFonts w:hint="eastAsia" w:ascii="宋体" w:hAnsi="宋体" w:eastAsia="宋体" w:cs="宋体"/>
              </w:rPr>
              <w:t>Ⅲ</w:t>
            </w:r>
            <w:r>
              <w:rPr>
                <w:rFonts w:ascii="Times New Roman" w:hAnsi="Times New Roman" w:cs="Times New Roman"/>
              </w:rPr>
              <w:t>类标准</w:t>
            </w:r>
          </w:p>
        </w:tc>
        <w:tc>
          <w:tcPr>
            <w:tcW w:w="709" w:type="dxa"/>
            <w:shd w:val="clear" w:color="auto" w:fill="auto"/>
            <w:vAlign w:val="center"/>
          </w:tcPr>
          <w:p>
            <w:pPr>
              <w:adjustRightInd/>
              <w:snapToGrid/>
              <w:jc w:val="center"/>
              <w:rPr>
                <w:rFonts w:ascii="Times New Roman" w:hAnsi="Times New Roman" w:eastAsia="等线" w:cs="Times New Roman"/>
                <w:kern w:val="0"/>
              </w:rPr>
            </w:pPr>
            <w:r>
              <w:rPr>
                <w:rFonts w:ascii="Times New Roman" w:hAnsi="Times New Roman" w:eastAsia="等线" w:cs="Times New Roman"/>
                <w:kern w:val="0"/>
              </w:rPr>
              <w:t>6~9</w:t>
            </w:r>
          </w:p>
        </w:tc>
        <w:tc>
          <w:tcPr>
            <w:tcW w:w="851" w:type="dxa"/>
            <w:shd w:val="clear" w:color="auto" w:fill="auto"/>
            <w:vAlign w:val="center"/>
          </w:tcPr>
          <w:p>
            <w:pPr>
              <w:adjustRightInd/>
              <w:snapToGrid/>
              <w:jc w:val="center"/>
              <w:rPr>
                <w:rFonts w:ascii="Times New Roman" w:hAnsi="Times New Roman" w:eastAsia="等线" w:cs="Times New Roman"/>
                <w:kern w:val="0"/>
              </w:rPr>
            </w:pPr>
            <w:r>
              <w:rPr>
                <w:rFonts w:ascii="Times New Roman" w:hAnsi="Times New Roman" w:eastAsia="等线" w:cs="Times New Roman"/>
                <w:kern w:val="0"/>
              </w:rPr>
              <w:t>20</w:t>
            </w:r>
          </w:p>
        </w:tc>
        <w:tc>
          <w:tcPr>
            <w:tcW w:w="850" w:type="dxa"/>
            <w:shd w:val="clear" w:color="auto" w:fill="auto"/>
            <w:vAlign w:val="center"/>
          </w:tcPr>
          <w:p>
            <w:pPr>
              <w:adjustRightInd/>
              <w:snapToGrid/>
              <w:jc w:val="center"/>
              <w:rPr>
                <w:rFonts w:ascii="Times New Roman" w:hAnsi="Times New Roman" w:eastAsia="等线" w:cs="Times New Roman"/>
                <w:kern w:val="0"/>
              </w:rPr>
            </w:pPr>
            <w:r>
              <w:rPr>
                <w:rFonts w:ascii="Times New Roman" w:hAnsi="Times New Roman" w:eastAsia="等线" w:cs="Times New Roman"/>
                <w:kern w:val="0"/>
              </w:rPr>
              <w:t>4</w:t>
            </w:r>
          </w:p>
        </w:tc>
        <w:tc>
          <w:tcPr>
            <w:tcW w:w="851" w:type="dxa"/>
            <w:shd w:val="clear" w:color="auto" w:fill="auto"/>
            <w:vAlign w:val="center"/>
          </w:tcPr>
          <w:p>
            <w:pPr>
              <w:adjustRightInd/>
              <w:snapToGrid/>
              <w:jc w:val="center"/>
              <w:rPr>
                <w:rFonts w:ascii="Times New Roman" w:hAnsi="Times New Roman" w:eastAsia="等线" w:cs="Times New Roman"/>
                <w:kern w:val="0"/>
              </w:rPr>
            </w:pPr>
            <w:r>
              <w:rPr>
                <w:rFonts w:ascii="Times New Roman" w:hAnsi="Times New Roman" w:eastAsia="等线" w:cs="Times New Roman"/>
                <w:kern w:val="0"/>
              </w:rPr>
              <w:t>1.0</w:t>
            </w:r>
          </w:p>
        </w:tc>
        <w:tc>
          <w:tcPr>
            <w:tcW w:w="708" w:type="dxa"/>
            <w:shd w:val="clear" w:color="auto" w:fill="auto"/>
            <w:vAlign w:val="center"/>
          </w:tcPr>
          <w:p>
            <w:pPr>
              <w:adjustRightInd/>
              <w:snapToGrid/>
              <w:jc w:val="center"/>
              <w:rPr>
                <w:rFonts w:ascii="Times New Roman" w:hAnsi="Times New Roman" w:eastAsia="等线" w:cs="Times New Roman"/>
                <w:kern w:val="0"/>
              </w:rPr>
            </w:pPr>
            <w:r>
              <w:rPr>
                <w:rFonts w:ascii="Times New Roman" w:hAnsi="Times New Roman" w:eastAsia="等线" w:cs="Times New Roman"/>
                <w:kern w:val="0"/>
              </w:rPr>
              <w:t>0.05</w:t>
            </w:r>
          </w:p>
        </w:tc>
        <w:tc>
          <w:tcPr>
            <w:tcW w:w="567" w:type="dxa"/>
            <w:shd w:val="clear" w:color="auto" w:fill="auto"/>
            <w:vAlign w:val="center"/>
          </w:tcPr>
          <w:p>
            <w:pPr>
              <w:adjustRightInd/>
              <w:snapToGrid/>
              <w:jc w:val="center"/>
              <w:rPr>
                <w:rFonts w:ascii="Times New Roman" w:hAnsi="Times New Roman" w:eastAsia="等线" w:cs="Times New Roman"/>
                <w:kern w:val="0"/>
              </w:rPr>
            </w:pPr>
            <w:r>
              <w:rPr>
                <w:rFonts w:ascii="Times New Roman" w:hAnsi="Times New Roman" w:eastAsia="等线" w:cs="Times New Roman"/>
                <w:kern w:val="0"/>
              </w:rPr>
              <w:t>1.0</w:t>
            </w:r>
          </w:p>
        </w:tc>
        <w:tc>
          <w:tcPr>
            <w:tcW w:w="993" w:type="dxa"/>
            <w:shd w:val="clear" w:color="auto" w:fill="auto"/>
            <w:vAlign w:val="center"/>
          </w:tcPr>
          <w:p>
            <w:pPr>
              <w:adjustRightInd/>
              <w:snapToGrid/>
              <w:jc w:val="center"/>
              <w:rPr>
                <w:rFonts w:ascii="Times New Roman" w:hAnsi="Times New Roman" w:eastAsia="等线" w:cs="Times New Roman"/>
                <w:kern w:val="0"/>
              </w:rPr>
            </w:pPr>
            <w:r>
              <w:rPr>
                <w:rFonts w:ascii="Times New Roman" w:hAnsi="Times New Roman" w:eastAsia="等线" w:cs="Times New Roman"/>
                <w:kern w:val="0"/>
              </w:rPr>
              <w:t>10000</w:t>
            </w:r>
            <w:r>
              <w:rPr>
                <w:rFonts w:ascii="Times New Roman" w:hAnsi="Times New Roman" w:eastAsia="宋体" w:cs="Times New Roman"/>
                <w:kern w:val="0"/>
              </w:rPr>
              <w:t>个</w:t>
            </w:r>
            <w:r>
              <w:rPr>
                <w:rFonts w:ascii="Times New Roman" w:hAnsi="Times New Roman" w:eastAsia="等线" w:cs="Times New Roman"/>
                <w:kern w:val="0"/>
              </w:rPr>
              <w:t>/L</w:t>
            </w:r>
          </w:p>
        </w:tc>
        <w:tc>
          <w:tcPr>
            <w:tcW w:w="1134" w:type="dxa"/>
            <w:shd w:val="clear" w:color="auto" w:fill="auto"/>
            <w:vAlign w:val="center"/>
          </w:tcPr>
          <w:p>
            <w:pPr>
              <w:adjustRightInd/>
              <w:snapToGrid/>
              <w:jc w:val="center"/>
              <w:rPr>
                <w:rFonts w:ascii="Times New Roman" w:hAnsi="Times New Roman" w:eastAsia="等线" w:cs="Times New Roman"/>
                <w:kern w:val="0"/>
              </w:rPr>
            </w:pPr>
            <w:r>
              <w:rPr>
                <w:rFonts w:ascii="Times New Roman" w:hAnsi="Times New Roman" w:eastAsia="等线" w:cs="Times New Roman"/>
                <w:kern w:val="0"/>
              </w:rPr>
              <w:t>0.2</w:t>
            </w:r>
          </w:p>
        </w:tc>
        <w:tc>
          <w:tcPr>
            <w:tcW w:w="701" w:type="dxa"/>
            <w:shd w:val="clear" w:color="auto" w:fill="auto"/>
            <w:vAlign w:val="center"/>
          </w:tcPr>
          <w:p>
            <w:pPr>
              <w:adjustRightInd/>
              <w:snapToGrid/>
              <w:jc w:val="center"/>
              <w:rPr>
                <w:rFonts w:ascii="Times New Roman" w:hAnsi="Times New Roman" w:eastAsia="等线" w:cs="Times New Roman"/>
                <w:kern w:val="0"/>
              </w:rPr>
            </w:pPr>
            <w:r>
              <w:rPr>
                <w:rFonts w:ascii="Times New Roman" w:hAnsi="Times New Roman" w:eastAsia="等线" w:cs="Times New Roman"/>
                <w:kern w:val="0"/>
              </w:rPr>
              <w:t>0.05</w:t>
            </w:r>
          </w:p>
        </w:tc>
      </w:tr>
    </w:tbl>
    <w:p>
      <w:pPr>
        <w:pStyle w:val="3"/>
        <w:ind w:firstLine="480"/>
        <w:rPr>
          <w:rFonts w:cs="Times New Roman"/>
        </w:rPr>
      </w:pPr>
    </w:p>
    <w:p>
      <w:pPr>
        <w:pStyle w:val="3"/>
        <w:ind w:firstLine="480"/>
        <w:rPr>
          <w:rFonts w:cs="Times New Roman"/>
        </w:rPr>
      </w:pPr>
      <w:r>
        <w:rPr>
          <w:rFonts w:cs="Times New Roman"/>
        </w:rPr>
        <w:t>（3）地下水质量标准</w:t>
      </w:r>
    </w:p>
    <w:p>
      <w:pPr>
        <w:pStyle w:val="3"/>
        <w:ind w:firstLine="480"/>
        <w:rPr>
          <w:rFonts w:cs="Times New Roman"/>
        </w:rPr>
      </w:pPr>
      <w:r>
        <w:rPr>
          <w:rFonts w:cs="Times New Roman"/>
        </w:rPr>
        <w:t>项目所在区域地下水水质执行《地下水质量标准》（GB/T 14848—2017）</w:t>
      </w:r>
      <w:r>
        <w:rPr>
          <w:rFonts w:hint="eastAsia" w:ascii="宋体" w:hAnsi="宋体" w:cs="宋体"/>
        </w:rPr>
        <w:t>Ⅲ</w:t>
      </w:r>
      <w:r>
        <w:rPr>
          <w:rFonts w:cs="Times New Roman"/>
        </w:rPr>
        <w:t>类标准。</w:t>
      </w:r>
    </w:p>
    <w:p>
      <w:pPr>
        <w:pStyle w:val="15"/>
        <w:rPr>
          <w:rFonts w:cs="Times New Roman"/>
        </w:rPr>
      </w:pPr>
      <w:r>
        <w:rPr>
          <w:rFonts w:cs="Times New Roman"/>
        </w:rPr>
        <w:t>表2.5-3  地下水质量评价标准  单位：mg/L（pH除外）</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3"/>
        <w:gridCol w:w="2996"/>
        <w:gridCol w:w="4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jc w:val="center"/>
        </w:trPr>
        <w:tc>
          <w:tcPr>
            <w:tcW w:w="923" w:type="pct"/>
            <w:vAlign w:val="center"/>
          </w:tcPr>
          <w:p>
            <w:pPr>
              <w:pStyle w:val="39"/>
              <w:rPr>
                <w:rFonts w:cs="Times New Roman"/>
              </w:rPr>
            </w:pPr>
            <w:r>
              <w:rPr>
                <w:rFonts w:cs="Times New Roman"/>
              </w:rPr>
              <w:t>序号</w:t>
            </w:r>
          </w:p>
        </w:tc>
        <w:tc>
          <w:tcPr>
            <w:tcW w:w="1633" w:type="pct"/>
            <w:vAlign w:val="center"/>
          </w:tcPr>
          <w:p>
            <w:pPr>
              <w:pStyle w:val="39"/>
              <w:rPr>
                <w:rFonts w:cs="Times New Roman"/>
              </w:rPr>
            </w:pPr>
            <w:r>
              <w:rPr>
                <w:rFonts w:cs="Times New Roman"/>
              </w:rPr>
              <w:t>污染物</w:t>
            </w:r>
          </w:p>
        </w:tc>
        <w:tc>
          <w:tcPr>
            <w:tcW w:w="2444" w:type="pct"/>
            <w:vAlign w:val="center"/>
          </w:tcPr>
          <w:p>
            <w:pPr>
              <w:pStyle w:val="39"/>
              <w:rPr>
                <w:rFonts w:cs="Times New Roman"/>
              </w:rPr>
            </w:pPr>
            <w:r>
              <w:rPr>
                <w:rFonts w:cs="Times New Roman"/>
              </w:rPr>
              <w:t>（GB/T 14848-2017）中</w:t>
            </w:r>
            <w:r>
              <w:rPr>
                <w:rFonts w:hint="eastAsia" w:ascii="宋体" w:hAnsi="宋体" w:cs="宋体"/>
              </w:rPr>
              <w:t>Ⅲ</w:t>
            </w:r>
            <w:r>
              <w:rPr>
                <w:rFonts w:cs="Times New Roman"/>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23" w:type="pct"/>
            <w:vAlign w:val="center"/>
          </w:tcPr>
          <w:p>
            <w:pPr>
              <w:pStyle w:val="39"/>
              <w:rPr>
                <w:rFonts w:cs="Times New Roman"/>
              </w:rPr>
            </w:pPr>
            <w:r>
              <w:rPr>
                <w:rFonts w:cs="Times New Roman"/>
              </w:rPr>
              <w:t>1</w:t>
            </w:r>
          </w:p>
        </w:tc>
        <w:tc>
          <w:tcPr>
            <w:tcW w:w="1633" w:type="pct"/>
            <w:vAlign w:val="center"/>
          </w:tcPr>
          <w:p>
            <w:pPr>
              <w:pStyle w:val="39"/>
              <w:rPr>
                <w:rFonts w:cs="Times New Roman"/>
              </w:rPr>
            </w:pPr>
            <w:r>
              <w:rPr>
                <w:rFonts w:cs="Times New Roman"/>
              </w:rPr>
              <w:t>pH</w:t>
            </w:r>
          </w:p>
        </w:tc>
        <w:tc>
          <w:tcPr>
            <w:tcW w:w="2444" w:type="pct"/>
            <w:vAlign w:val="center"/>
          </w:tcPr>
          <w:p>
            <w:pPr>
              <w:pStyle w:val="39"/>
              <w:rPr>
                <w:rFonts w:cs="Times New Roman"/>
              </w:rPr>
            </w:pPr>
            <w:r>
              <w:rPr>
                <w:rFonts w:cs="Times New Roman"/>
              </w:rPr>
              <w:t>6.5~8.5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23" w:type="pct"/>
            <w:vAlign w:val="center"/>
          </w:tcPr>
          <w:p>
            <w:pPr>
              <w:pStyle w:val="39"/>
              <w:rPr>
                <w:rFonts w:cs="Times New Roman"/>
              </w:rPr>
            </w:pPr>
            <w:r>
              <w:rPr>
                <w:rFonts w:cs="Times New Roman"/>
              </w:rPr>
              <w:t>2</w:t>
            </w:r>
          </w:p>
        </w:tc>
        <w:tc>
          <w:tcPr>
            <w:tcW w:w="1633" w:type="pct"/>
            <w:vAlign w:val="center"/>
          </w:tcPr>
          <w:p>
            <w:pPr>
              <w:pStyle w:val="39"/>
              <w:rPr>
                <w:rFonts w:cs="Times New Roman"/>
              </w:rPr>
            </w:pPr>
            <w:r>
              <w:rPr>
                <w:rFonts w:cs="Times New Roman"/>
              </w:rPr>
              <w:t>总硬度</w:t>
            </w:r>
          </w:p>
        </w:tc>
        <w:tc>
          <w:tcPr>
            <w:tcW w:w="2444" w:type="pct"/>
            <w:vAlign w:val="center"/>
          </w:tcPr>
          <w:p>
            <w:pPr>
              <w:pStyle w:val="39"/>
              <w:rPr>
                <w:rFonts w:cs="Times New Roman"/>
              </w:rPr>
            </w:pPr>
            <w:r>
              <w:rPr>
                <w:rFonts w:cs="Times New Roman"/>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23" w:type="pct"/>
            <w:vAlign w:val="center"/>
          </w:tcPr>
          <w:p>
            <w:pPr>
              <w:pStyle w:val="39"/>
              <w:rPr>
                <w:rFonts w:cs="Times New Roman"/>
              </w:rPr>
            </w:pPr>
            <w:r>
              <w:rPr>
                <w:rFonts w:cs="Times New Roman"/>
              </w:rPr>
              <w:t>3</w:t>
            </w:r>
          </w:p>
        </w:tc>
        <w:tc>
          <w:tcPr>
            <w:tcW w:w="1633" w:type="pct"/>
            <w:vAlign w:val="center"/>
          </w:tcPr>
          <w:p>
            <w:pPr>
              <w:pStyle w:val="39"/>
              <w:rPr>
                <w:rFonts w:cs="Times New Roman"/>
              </w:rPr>
            </w:pPr>
            <w:r>
              <w:rPr>
                <w:rFonts w:cs="Times New Roman"/>
                <w:kern w:val="0"/>
              </w:rPr>
              <w:t>溶解性总固体</w:t>
            </w:r>
          </w:p>
        </w:tc>
        <w:tc>
          <w:tcPr>
            <w:tcW w:w="2444" w:type="pct"/>
            <w:vAlign w:val="center"/>
          </w:tcPr>
          <w:p>
            <w:pPr>
              <w:pStyle w:val="39"/>
              <w:rPr>
                <w:rFonts w:cs="Times New Roman"/>
              </w:rPr>
            </w:pPr>
            <w:r>
              <w:rPr>
                <w:rFonts w:cs="Times New Roma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23" w:type="pct"/>
            <w:vAlign w:val="center"/>
          </w:tcPr>
          <w:p>
            <w:pPr>
              <w:pStyle w:val="39"/>
              <w:rPr>
                <w:rFonts w:cs="Times New Roman"/>
              </w:rPr>
            </w:pPr>
            <w:r>
              <w:rPr>
                <w:rFonts w:cs="Times New Roman"/>
              </w:rPr>
              <w:t>4</w:t>
            </w:r>
          </w:p>
        </w:tc>
        <w:tc>
          <w:tcPr>
            <w:tcW w:w="1633" w:type="pct"/>
            <w:vAlign w:val="center"/>
          </w:tcPr>
          <w:p>
            <w:pPr>
              <w:pStyle w:val="39"/>
              <w:rPr>
                <w:rFonts w:cs="Times New Roman"/>
                <w:kern w:val="0"/>
              </w:rPr>
            </w:pPr>
            <w:r>
              <w:rPr>
                <w:rFonts w:cs="Times New Roman"/>
                <w:kern w:val="0"/>
              </w:rPr>
              <w:t>挥发酚</w:t>
            </w:r>
          </w:p>
        </w:tc>
        <w:tc>
          <w:tcPr>
            <w:tcW w:w="2444" w:type="pct"/>
            <w:vAlign w:val="center"/>
          </w:tcPr>
          <w:p>
            <w:pPr>
              <w:pStyle w:val="39"/>
              <w:rPr>
                <w:rFonts w:cs="Times New Roman"/>
              </w:rPr>
            </w:pPr>
            <w:r>
              <w:rPr>
                <w:rFonts w:cs="Times New Roman"/>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23" w:type="pct"/>
            <w:vAlign w:val="center"/>
          </w:tcPr>
          <w:p>
            <w:pPr>
              <w:pStyle w:val="39"/>
              <w:rPr>
                <w:rFonts w:cs="Times New Roman"/>
              </w:rPr>
            </w:pPr>
            <w:r>
              <w:rPr>
                <w:rFonts w:cs="Times New Roman"/>
              </w:rPr>
              <w:t>5</w:t>
            </w:r>
          </w:p>
        </w:tc>
        <w:tc>
          <w:tcPr>
            <w:tcW w:w="1633" w:type="pct"/>
            <w:vAlign w:val="center"/>
          </w:tcPr>
          <w:p>
            <w:pPr>
              <w:pStyle w:val="39"/>
              <w:rPr>
                <w:rFonts w:cs="Times New Roman"/>
                <w:kern w:val="0"/>
              </w:rPr>
            </w:pPr>
            <w:r>
              <w:rPr>
                <w:rFonts w:cs="Times New Roman"/>
                <w:kern w:val="0"/>
              </w:rPr>
              <w:t>阴离子表面活性剂</w:t>
            </w:r>
          </w:p>
        </w:tc>
        <w:tc>
          <w:tcPr>
            <w:tcW w:w="2444" w:type="pct"/>
            <w:vAlign w:val="center"/>
          </w:tcPr>
          <w:p>
            <w:pPr>
              <w:pStyle w:val="39"/>
              <w:rPr>
                <w:rFonts w:cs="Times New Roman"/>
              </w:rPr>
            </w:pPr>
            <w:r>
              <w:rPr>
                <w:rFonts w:cs="Times New Roma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23" w:type="pct"/>
            <w:vAlign w:val="center"/>
          </w:tcPr>
          <w:p>
            <w:pPr>
              <w:pStyle w:val="39"/>
              <w:rPr>
                <w:rFonts w:cs="Times New Roman"/>
              </w:rPr>
            </w:pPr>
            <w:r>
              <w:rPr>
                <w:rFonts w:cs="Times New Roman"/>
              </w:rPr>
              <w:t>6</w:t>
            </w:r>
          </w:p>
        </w:tc>
        <w:tc>
          <w:tcPr>
            <w:tcW w:w="1633" w:type="pct"/>
            <w:vAlign w:val="center"/>
          </w:tcPr>
          <w:p>
            <w:pPr>
              <w:pStyle w:val="39"/>
              <w:rPr>
                <w:rFonts w:cs="Times New Roman"/>
              </w:rPr>
            </w:pPr>
            <w:r>
              <w:rPr>
                <w:rFonts w:cs="Times New Roman"/>
              </w:rPr>
              <w:t>耗氧量</w:t>
            </w:r>
          </w:p>
        </w:tc>
        <w:tc>
          <w:tcPr>
            <w:tcW w:w="2444" w:type="pct"/>
            <w:vAlign w:val="center"/>
          </w:tcPr>
          <w:p>
            <w:pPr>
              <w:pStyle w:val="39"/>
              <w:rPr>
                <w:rFonts w:cs="Times New Roman"/>
              </w:rPr>
            </w:pPr>
            <w:r>
              <w:rPr>
                <w:rFonts w:cs="Times New Roma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23" w:type="pct"/>
            <w:vAlign w:val="center"/>
          </w:tcPr>
          <w:p>
            <w:pPr>
              <w:pStyle w:val="39"/>
              <w:rPr>
                <w:rFonts w:cs="Times New Roman"/>
              </w:rPr>
            </w:pPr>
            <w:r>
              <w:rPr>
                <w:rFonts w:cs="Times New Roman"/>
              </w:rPr>
              <w:t>7</w:t>
            </w:r>
          </w:p>
        </w:tc>
        <w:tc>
          <w:tcPr>
            <w:tcW w:w="1633" w:type="pct"/>
            <w:vAlign w:val="center"/>
          </w:tcPr>
          <w:p>
            <w:pPr>
              <w:pStyle w:val="39"/>
              <w:rPr>
                <w:rFonts w:cs="Times New Roman"/>
              </w:rPr>
            </w:pPr>
            <w:r>
              <w:rPr>
                <w:rFonts w:cs="Times New Roman"/>
              </w:rPr>
              <w:t>氨氮</w:t>
            </w:r>
          </w:p>
        </w:tc>
        <w:tc>
          <w:tcPr>
            <w:tcW w:w="2444" w:type="pct"/>
            <w:vAlign w:val="center"/>
          </w:tcPr>
          <w:p>
            <w:pPr>
              <w:pStyle w:val="39"/>
              <w:rPr>
                <w:rFonts w:cs="Times New Roman"/>
              </w:rPr>
            </w:pPr>
            <w:r>
              <w:rPr>
                <w:rFonts w:cs="Times New Roma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23" w:type="pct"/>
            <w:vAlign w:val="center"/>
          </w:tcPr>
          <w:p>
            <w:pPr>
              <w:pStyle w:val="39"/>
              <w:rPr>
                <w:rFonts w:cs="Times New Roman"/>
              </w:rPr>
            </w:pPr>
            <w:r>
              <w:rPr>
                <w:rFonts w:cs="Times New Roman"/>
              </w:rPr>
              <w:t>8</w:t>
            </w:r>
          </w:p>
        </w:tc>
        <w:tc>
          <w:tcPr>
            <w:tcW w:w="1633" w:type="pct"/>
            <w:vAlign w:val="center"/>
          </w:tcPr>
          <w:p>
            <w:pPr>
              <w:pStyle w:val="39"/>
              <w:rPr>
                <w:rFonts w:cs="Times New Roman"/>
              </w:rPr>
            </w:pPr>
            <w:r>
              <w:rPr>
                <w:rFonts w:cs="Times New Roman"/>
              </w:rPr>
              <w:t>总大肠菌群（MPN</w:t>
            </w:r>
            <w:r>
              <w:rPr>
                <w:rFonts w:cs="Times New Roman"/>
                <w:vertAlign w:val="superscript"/>
              </w:rPr>
              <w:t>b</w:t>
            </w:r>
            <w:r>
              <w:rPr>
                <w:rFonts w:cs="Times New Roman"/>
              </w:rPr>
              <w:t>/100mL）</w:t>
            </w:r>
          </w:p>
        </w:tc>
        <w:tc>
          <w:tcPr>
            <w:tcW w:w="2444" w:type="pct"/>
            <w:vAlign w:val="center"/>
          </w:tcPr>
          <w:p>
            <w:pPr>
              <w:pStyle w:val="39"/>
              <w:rPr>
                <w:rFonts w:cs="Times New Roman"/>
              </w:rPr>
            </w:pPr>
            <w:r>
              <w:rPr>
                <w:rFonts w:cs="Times New Roman"/>
              </w:rPr>
              <w:t>≤3.0</w:t>
            </w:r>
          </w:p>
        </w:tc>
      </w:tr>
    </w:tbl>
    <w:p>
      <w:pPr>
        <w:pStyle w:val="3"/>
        <w:ind w:firstLine="480"/>
        <w:rPr>
          <w:rFonts w:cs="Times New Roman"/>
        </w:rPr>
      </w:pPr>
    </w:p>
    <w:p>
      <w:pPr>
        <w:pStyle w:val="3"/>
        <w:ind w:firstLine="480"/>
        <w:rPr>
          <w:rFonts w:cs="Times New Roman"/>
        </w:rPr>
      </w:pPr>
      <w:r>
        <w:rPr>
          <w:rFonts w:cs="Times New Roman"/>
        </w:rPr>
        <w:t>（4）声环境</w:t>
      </w:r>
      <w:r>
        <w:rPr>
          <w:rFonts w:hint="eastAsia" w:cs="Times New Roman"/>
        </w:rPr>
        <w:t>质量标准</w:t>
      </w:r>
    </w:p>
    <w:p>
      <w:pPr>
        <w:pStyle w:val="3"/>
        <w:ind w:firstLine="480"/>
        <w:rPr>
          <w:rFonts w:cs="Times New Roman"/>
        </w:rPr>
      </w:pPr>
      <w:r>
        <w:rPr>
          <w:rFonts w:cs="Times New Roman"/>
        </w:rPr>
        <w:t>项目区域声环境质量执行《声环境质量标准》（GB3096-2008）中2类区标准具体限值详见表2.5-4。</w:t>
      </w:r>
    </w:p>
    <w:p>
      <w:pPr>
        <w:pStyle w:val="15"/>
        <w:rPr>
          <w:rFonts w:cs="Times New Roman"/>
        </w:rPr>
      </w:pPr>
      <w:r>
        <w:rPr>
          <w:rFonts w:cs="Times New Roman"/>
        </w:rPr>
        <w:t>表2.5-4  环境噪声评价标准  等效声级LAeq：dB（A）</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74"/>
        <w:gridCol w:w="2154"/>
        <w:gridCol w:w="1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75" w:type="pct"/>
            <w:vAlign w:val="center"/>
          </w:tcPr>
          <w:p>
            <w:pPr>
              <w:pStyle w:val="39"/>
              <w:rPr>
                <w:rFonts w:cs="Times New Roman"/>
              </w:rPr>
            </w:pPr>
            <w:r>
              <w:rPr>
                <w:rFonts w:cs="Times New Roman"/>
              </w:rPr>
              <w:t>类别</w:t>
            </w:r>
          </w:p>
        </w:tc>
        <w:tc>
          <w:tcPr>
            <w:tcW w:w="1174" w:type="pct"/>
            <w:vAlign w:val="center"/>
          </w:tcPr>
          <w:p>
            <w:pPr>
              <w:pStyle w:val="39"/>
              <w:rPr>
                <w:rFonts w:cs="Times New Roman"/>
              </w:rPr>
            </w:pPr>
            <w:r>
              <w:rPr>
                <w:rFonts w:cs="Times New Roman"/>
              </w:rPr>
              <w:t>昼间</w:t>
            </w:r>
          </w:p>
        </w:tc>
        <w:tc>
          <w:tcPr>
            <w:tcW w:w="951" w:type="pct"/>
            <w:vAlign w:val="center"/>
          </w:tcPr>
          <w:p>
            <w:pPr>
              <w:pStyle w:val="39"/>
              <w:rPr>
                <w:rFonts w:cs="Times New Roman"/>
              </w:rPr>
            </w:pPr>
            <w:r>
              <w:rPr>
                <w:rFonts w:cs="Times New Roman"/>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75" w:type="pct"/>
            <w:vAlign w:val="center"/>
          </w:tcPr>
          <w:p>
            <w:pPr>
              <w:pStyle w:val="39"/>
              <w:rPr>
                <w:rFonts w:cs="Times New Roman"/>
              </w:rPr>
            </w:pPr>
            <w:r>
              <w:rPr>
                <w:rFonts w:cs="Times New Roman"/>
              </w:rPr>
              <w:t>《声环境质量标准》（GB3096-2008）中2类标准</w:t>
            </w:r>
          </w:p>
        </w:tc>
        <w:tc>
          <w:tcPr>
            <w:tcW w:w="1174" w:type="pct"/>
            <w:vAlign w:val="center"/>
          </w:tcPr>
          <w:p>
            <w:pPr>
              <w:pStyle w:val="39"/>
              <w:rPr>
                <w:rFonts w:cs="Times New Roman"/>
              </w:rPr>
            </w:pPr>
            <w:r>
              <w:rPr>
                <w:rFonts w:cs="Times New Roman"/>
              </w:rPr>
              <w:t>≤60</w:t>
            </w:r>
          </w:p>
        </w:tc>
        <w:tc>
          <w:tcPr>
            <w:tcW w:w="951" w:type="pct"/>
            <w:vAlign w:val="center"/>
          </w:tcPr>
          <w:p>
            <w:pPr>
              <w:pStyle w:val="39"/>
              <w:rPr>
                <w:rFonts w:cs="Times New Roman"/>
              </w:rPr>
            </w:pPr>
            <w:r>
              <w:rPr>
                <w:rFonts w:cs="Times New Roman"/>
              </w:rPr>
              <w:t>≤50</w:t>
            </w:r>
          </w:p>
        </w:tc>
      </w:tr>
    </w:tbl>
    <w:p>
      <w:pPr>
        <w:pStyle w:val="3"/>
        <w:ind w:firstLine="480"/>
        <w:rPr>
          <w:rFonts w:cs="Times New Roman"/>
        </w:rPr>
      </w:pPr>
    </w:p>
    <w:p>
      <w:pPr>
        <w:pStyle w:val="3"/>
        <w:ind w:firstLine="480"/>
        <w:rPr>
          <w:rFonts w:cs="Times New Roman"/>
        </w:rPr>
      </w:pPr>
      <w:r>
        <w:rPr>
          <w:rFonts w:cs="Times New Roman"/>
        </w:rPr>
        <w:t>（5）土壤环境</w:t>
      </w:r>
    </w:p>
    <w:p>
      <w:pPr>
        <w:pStyle w:val="3"/>
        <w:ind w:firstLine="480"/>
        <w:rPr>
          <w:rFonts w:cs="Times New Roman"/>
        </w:rPr>
      </w:pPr>
      <w:r>
        <w:rPr>
          <w:rFonts w:hint="eastAsia" w:cs="Times New Roman"/>
        </w:rPr>
        <w:t>项目所在区域土壤环境中的砷、铬、镉、铜、铅、汞、镍执行《土壤环境质量农用地土壤污染风险管控标准（试行）》（GB15618-2018）风险筛选值中的其他的标准限值，其他指标参照执行《土壤环境质量建设用地土壤污染风险管控标准（试行）》（GB36600-2018）风险筛选值中的第二类用地的标准限值</w:t>
      </w:r>
      <w:r>
        <w:rPr>
          <w:rFonts w:cs="Times New Roman"/>
        </w:rPr>
        <w:t>，见表2.5-5。</w:t>
      </w:r>
    </w:p>
    <w:p>
      <w:pPr>
        <w:pStyle w:val="15"/>
        <w:rPr>
          <w:rFonts w:cs="Times New Roman"/>
        </w:rPr>
      </w:pPr>
      <w:r>
        <w:rPr>
          <w:rFonts w:cs="Times New Roman"/>
        </w:rPr>
        <w:t>表2.5-5  农用地土壤污染风险筛选值      单位mg/kg</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0"/>
        <w:gridCol w:w="937"/>
        <w:gridCol w:w="1723"/>
        <w:gridCol w:w="1959"/>
        <w:gridCol w:w="1950"/>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65" w:type="pct"/>
            <w:vMerge w:val="restart"/>
            <w:vAlign w:val="center"/>
          </w:tcPr>
          <w:p>
            <w:pPr>
              <w:pStyle w:val="39"/>
              <w:rPr>
                <w:rFonts w:cs="Times New Roman"/>
              </w:rPr>
            </w:pPr>
            <w:r>
              <w:rPr>
                <w:rFonts w:cs="Times New Roman"/>
              </w:rPr>
              <w:t>序号</w:t>
            </w:r>
          </w:p>
        </w:tc>
        <w:tc>
          <w:tcPr>
            <w:tcW w:w="511" w:type="pct"/>
            <w:vMerge w:val="restart"/>
            <w:vAlign w:val="center"/>
          </w:tcPr>
          <w:p>
            <w:pPr>
              <w:pStyle w:val="39"/>
              <w:rPr>
                <w:rFonts w:cs="Times New Roman"/>
              </w:rPr>
            </w:pPr>
            <w:r>
              <w:rPr>
                <w:rFonts w:cs="Times New Roman"/>
              </w:rPr>
              <w:t>污染物</w:t>
            </w:r>
          </w:p>
        </w:tc>
        <w:tc>
          <w:tcPr>
            <w:tcW w:w="4124" w:type="pct"/>
            <w:gridSpan w:val="4"/>
            <w:vAlign w:val="center"/>
          </w:tcPr>
          <w:p>
            <w:pPr>
              <w:pStyle w:val="39"/>
              <w:rPr>
                <w:rFonts w:cs="Times New Roman"/>
              </w:rPr>
            </w:pPr>
            <w:r>
              <w:rPr>
                <w:rFonts w:cs="Times New Roman"/>
              </w:rPr>
              <w:t>筛选值（其他）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65" w:type="pct"/>
            <w:vMerge w:val="continue"/>
            <w:vAlign w:val="center"/>
          </w:tcPr>
          <w:p>
            <w:pPr>
              <w:pStyle w:val="39"/>
              <w:rPr>
                <w:rFonts w:cs="Times New Roman"/>
              </w:rPr>
            </w:pPr>
          </w:p>
        </w:tc>
        <w:tc>
          <w:tcPr>
            <w:tcW w:w="511" w:type="pct"/>
            <w:vMerge w:val="continue"/>
            <w:vAlign w:val="center"/>
          </w:tcPr>
          <w:p>
            <w:pPr>
              <w:pStyle w:val="39"/>
              <w:rPr>
                <w:rFonts w:cs="Times New Roman"/>
              </w:rPr>
            </w:pPr>
          </w:p>
        </w:tc>
        <w:tc>
          <w:tcPr>
            <w:tcW w:w="939" w:type="pct"/>
            <w:vAlign w:val="center"/>
          </w:tcPr>
          <w:p>
            <w:pPr>
              <w:pStyle w:val="39"/>
              <w:rPr>
                <w:rFonts w:cs="Times New Roman"/>
              </w:rPr>
            </w:pPr>
            <w:r>
              <w:rPr>
                <w:rFonts w:cs="Times New Roman"/>
              </w:rPr>
              <w:t>pH≤5.5</w:t>
            </w:r>
          </w:p>
        </w:tc>
        <w:tc>
          <w:tcPr>
            <w:tcW w:w="1068" w:type="pct"/>
            <w:vAlign w:val="center"/>
          </w:tcPr>
          <w:p>
            <w:pPr>
              <w:pStyle w:val="39"/>
              <w:rPr>
                <w:rStyle w:val="31"/>
                <w:rFonts w:cs="Times New Roman"/>
                <w:u w:val="single"/>
              </w:rPr>
            </w:pPr>
            <w:r>
              <w:rPr>
                <w:rFonts w:cs="Times New Roman"/>
              </w:rPr>
              <w:t>5.5＜pH≤6.5</w:t>
            </w:r>
          </w:p>
        </w:tc>
        <w:tc>
          <w:tcPr>
            <w:tcW w:w="1063" w:type="pct"/>
            <w:vAlign w:val="center"/>
          </w:tcPr>
          <w:p>
            <w:pPr>
              <w:pStyle w:val="39"/>
              <w:rPr>
                <w:rStyle w:val="31"/>
                <w:rFonts w:cs="Times New Roman"/>
                <w:u w:val="single"/>
              </w:rPr>
            </w:pPr>
            <w:r>
              <w:rPr>
                <w:rFonts w:cs="Times New Roman"/>
              </w:rPr>
              <w:t>6.5＜pH≤7.5</w:t>
            </w:r>
          </w:p>
        </w:tc>
        <w:tc>
          <w:tcPr>
            <w:tcW w:w="1054" w:type="pct"/>
            <w:vAlign w:val="center"/>
          </w:tcPr>
          <w:p>
            <w:pPr>
              <w:pStyle w:val="39"/>
              <w:rPr>
                <w:rStyle w:val="31"/>
                <w:rFonts w:cs="Times New Roman"/>
                <w:u w:val="single"/>
              </w:rPr>
            </w:pPr>
            <w:r>
              <w:rPr>
                <w:rFonts w:cs="Times New Roman"/>
              </w:rPr>
              <w:t>pH＞7.5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65" w:type="pct"/>
            <w:vAlign w:val="center"/>
          </w:tcPr>
          <w:p>
            <w:pPr>
              <w:pStyle w:val="39"/>
              <w:rPr>
                <w:rFonts w:cs="Times New Roman"/>
              </w:rPr>
            </w:pPr>
            <w:r>
              <w:rPr>
                <w:rFonts w:cs="Times New Roman"/>
              </w:rPr>
              <w:t>1</w:t>
            </w:r>
          </w:p>
        </w:tc>
        <w:tc>
          <w:tcPr>
            <w:tcW w:w="511" w:type="pct"/>
            <w:vAlign w:val="center"/>
          </w:tcPr>
          <w:p>
            <w:pPr>
              <w:pStyle w:val="39"/>
              <w:rPr>
                <w:rFonts w:cs="Times New Roman"/>
              </w:rPr>
            </w:pPr>
            <w:r>
              <w:rPr>
                <w:rFonts w:cs="Times New Roman"/>
              </w:rPr>
              <w:t>镉</w:t>
            </w:r>
          </w:p>
        </w:tc>
        <w:tc>
          <w:tcPr>
            <w:tcW w:w="939" w:type="pct"/>
            <w:vAlign w:val="center"/>
          </w:tcPr>
          <w:p>
            <w:pPr>
              <w:pStyle w:val="39"/>
              <w:rPr>
                <w:rFonts w:cs="Times New Roman"/>
              </w:rPr>
            </w:pPr>
            <w:r>
              <w:rPr>
                <w:rFonts w:cs="Times New Roman"/>
              </w:rPr>
              <w:t>0.3</w:t>
            </w:r>
          </w:p>
        </w:tc>
        <w:tc>
          <w:tcPr>
            <w:tcW w:w="1068" w:type="pct"/>
            <w:vAlign w:val="center"/>
          </w:tcPr>
          <w:p>
            <w:pPr>
              <w:pStyle w:val="39"/>
              <w:rPr>
                <w:rFonts w:cs="Times New Roman"/>
              </w:rPr>
            </w:pPr>
            <w:r>
              <w:rPr>
                <w:rFonts w:cs="Times New Roman"/>
              </w:rPr>
              <w:t>0.3</w:t>
            </w:r>
          </w:p>
        </w:tc>
        <w:tc>
          <w:tcPr>
            <w:tcW w:w="1063" w:type="pct"/>
            <w:vAlign w:val="center"/>
          </w:tcPr>
          <w:p>
            <w:pPr>
              <w:pStyle w:val="39"/>
              <w:rPr>
                <w:rFonts w:cs="Times New Roman"/>
              </w:rPr>
            </w:pPr>
            <w:r>
              <w:rPr>
                <w:rFonts w:cs="Times New Roman"/>
              </w:rPr>
              <w:t>0.3</w:t>
            </w:r>
          </w:p>
        </w:tc>
        <w:tc>
          <w:tcPr>
            <w:tcW w:w="1054" w:type="pct"/>
            <w:vAlign w:val="center"/>
          </w:tcPr>
          <w:p>
            <w:pPr>
              <w:pStyle w:val="39"/>
              <w:rPr>
                <w:rFonts w:cs="Times New Roman"/>
              </w:rPr>
            </w:pPr>
            <w:r>
              <w:rPr>
                <w:rFonts w:cs="Times New Roman"/>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65" w:type="pct"/>
            <w:vAlign w:val="center"/>
          </w:tcPr>
          <w:p>
            <w:pPr>
              <w:pStyle w:val="39"/>
              <w:rPr>
                <w:rFonts w:cs="Times New Roman"/>
              </w:rPr>
            </w:pPr>
            <w:r>
              <w:rPr>
                <w:rFonts w:cs="Times New Roman"/>
              </w:rPr>
              <w:t>2</w:t>
            </w:r>
          </w:p>
        </w:tc>
        <w:tc>
          <w:tcPr>
            <w:tcW w:w="511" w:type="pct"/>
            <w:vAlign w:val="center"/>
          </w:tcPr>
          <w:p>
            <w:pPr>
              <w:pStyle w:val="39"/>
              <w:rPr>
                <w:rFonts w:cs="Times New Roman"/>
              </w:rPr>
            </w:pPr>
            <w:r>
              <w:rPr>
                <w:rFonts w:cs="Times New Roman"/>
              </w:rPr>
              <w:t>汞</w:t>
            </w:r>
          </w:p>
        </w:tc>
        <w:tc>
          <w:tcPr>
            <w:tcW w:w="939" w:type="pct"/>
            <w:vAlign w:val="center"/>
          </w:tcPr>
          <w:p>
            <w:pPr>
              <w:pStyle w:val="39"/>
              <w:rPr>
                <w:rFonts w:cs="Times New Roman"/>
              </w:rPr>
            </w:pPr>
            <w:r>
              <w:rPr>
                <w:rFonts w:cs="Times New Roman"/>
              </w:rPr>
              <w:t>1.3</w:t>
            </w:r>
          </w:p>
        </w:tc>
        <w:tc>
          <w:tcPr>
            <w:tcW w:w="1068" w:type="pct"/>
            <w:vAlign w:val="center"/>
          </w:tcPr>
          <w:p>
            <w:pPr>
              <w:pStyle w:val="39"/>
              <w:rPr>
                <w:rFonts w:cs="Times New Roman"/>
              </w:rPr>
            </w:pPr>
            <w:r>
              <w:rPr>
                <w:rFonts w:cs="Times New Roman"/>
              </w:rPr>
              <w:t>1.8</w:t>
            </w:r>
          </w:p>
        </w:tc>
        <w:tc>
          <w:tcPr>
            <w:tcW w:w="1063" w:type="pct"/>
            <w:vAlign w:val="center"/>
          </w:tcPr>
          <w:p>
            <w:pPr>
              <w:pStyle w:val="39"/>
              <w:rPr>
                <w:rFonts w:cs="Times New Roman"/>
              </w:rPr>
            </w:pPr>
            <w:r>
              <w:rPr>
                <w:rFonts w:cs="Times New Roman"/>
              </w:rPr>
              <w:t>0.6</w:t>
            </w:r>
          </w:p>
        </w:tc>
        <w:tc>
          <w:tcPr>
            <w:tcW w:w="1054" w:type="pct"/>
            <w:vAlign w:val="center"/>
          </w:tcPr>
          <w:p>
            <w:pPr>
              <w:pStyle w:val="39"/>
              <w:rPr>
                <w:rFonts w:cs="Times New Roman"/>
              </w:rPr>
            </w:pPr>
            <w:r>
              <w:rPr>
                <w:rFonts w:cs="Times New Roma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65" w:type="pct"/>
            <w:vAlign w:val="center"/>
          </w:tcPr>
          <w:p>
            <w:pPr>
              <w:pStyle w:val="39"/>
              <w:rPr>
                <w:rFonts w:cs="Times New Roman"/>
              </w:rPr>
            </w:pPr>
            <w:r>
              <w:rPr>
                <w:rFonts w:cs="Times New Roman"/>
              </w:rPr>
              <w:t>3</w:t>
            </w:r>
          </w:p>
        </w:tc>
        <w:tc>
          <w:tcPr>
            <w:tcW w:w="511" w:type="pct"/>
            <w:vAlign w:val="center"/>
          </w:tcPr>
          <w:p>
            <w:pPr>
              <w:pStyle w:val="39"/>
              <w:rPr>
                <w:rFonts w:cs="Times New Roman"/>
              </w:rPr>
            </w:pPr>
            <w:r>
              <w:rPr>
                <w:rFonts w:cs="Times New Roman"/>
              </w:rPr>
              <w:t>砷</w:t>
            </w:r>
          </w:p>
        </w:tc>
        <w:tc>
          <w:tcPr>
            <w:tcW w:w="939" w:type="pct"/>
            <w:vAlign w:val="center"/>
          </w:tcPr>
          <w:p>
            <w:pPr>
              <w:pStyle w:val="39"/>
              <w:rPr>
                <w:rFonts w:cs="Times New Roman"/>
              </w:rPr>
            </w:pPr>
            <w:r>
              <w:rPr>
                <w:rFonts w:cs="Times New Roman"/>
              </w:rPr>
              <w:t>40</w:t>
            </w:r>
          </w:p>
        </w:tc>
        <w:tc>
          <w:tcPr>
            <w:tcW w:w="1068" w:type="pct"/>
            <w:vAlign w:val="center"/>
          </w:tcPr>
          <w:p>
            <w:pPr>
              <w:pStyle w:val="39"/>
              <w:rPr>
                <w:rFonts w:cs="Times New Roman"/>
              </w:rPr>
            </w:pPr>
            <w:r>
              <w:rPr>
                <w:rFonts w:cs="Times New Roman"/>
              </w:rPr>
              <w:t>40</w:t>
            </w:r>
          </w:p>
        </w:tc>
        <w:tc>
          <w:tcPr>
            <w:tcW w:w="1063" w:type="pct"/>
            <w:vAlign w:val="center"/>
          </w:tcPr>
          <w:p>
            <w:pPr>
              <w:pStyle w:val="39"/>
              <w:rPr>
                <w:rFonts w:cs="Times New Roman"/>
              </w:rPr>
            </w:pPr>
            <w:r>
              <w:rPr>
                <w:rFonts w:cs="Times New Roman"/>
              </w:rPr>
              <w:t>30</w:t>
            </w:r>
          </w:p>
        </w:tc>
        <w:tc>
          <w:tcPr>
            <w:tcW w:w="1054" w:type="pct"/>
            <w:vAlign w:val="center"/>
          </w:tcPr>
          <w:p>
            <w:pPr>
              <w:pStyle w:val="39"/>
              <w:rPr>
                <w:rFonts w:cs="Times New Roman"/>
              </w:rPr>
            </w:pPr>
            <w:r>
              <w:rPr>
                <w:rFonts w:cs="Times New Roma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65" w:type="pct"/>
            <w:vAlign w:val="center"/>
          </w:tcPr>
          <w:p>
            <w:pPr>
              <w:pStyle w:val="39"/>
              <w:rPr>
                <w:rFonts w:cs="Times New Roman"/>
              </w:rPr>
            </w:pPr>
            <w:r>
              <w:rPr>
                <w:rFonts w:cs="Times New Roman"/>
              </w:rPr>
              <w:t>4</w:t>
            </w:r>
          </w:p>
        </w:tc>
        <w:tc>
          <w:tcPr>
            <w:tcW w:w="511" w:type="pct"/>
            <w:vAlign w:val="center"/>
          </w:tcPr>
          <w:p>
            <w:pPr>
              <w:pStyle w:val="39"/>
              <w:rPr>
                <w:rFonts w:cs="Times New Roman"/>
              </w:rPr>
            </w:pPr>
            <w:r>
              <w:rPr>
                <w:rFonts w:cs="Times New Roman"/>
              </w:rPr>
              <w:t>铅</w:t>
            </w:r>
          </w:p>
        </w:tc>
        <w:tc>
          <w:tcPr>
            <w:tcW w:w="939" w:type="pct"/>
            <w:vAlign w:val="center"/>
          </w:tcPr>
          <w:p>
            <w:pPr>
              <w:pStyle w:val="39"/>
              <w:rPr>
                <w:rFonts w:cs="Times New Roman"/>
              </w:rPr>
            </w:pPr>
            <w:r>
              <w:rPr>
                <w:rFonts w:cs="Times New Roman"/>
              </w:rPr>
              <w:t>70</w:t>
            </w:r>
          </w:p>
        </w:tc>
        <w:tc>
          <w:tcPr>
            <w:tcW w:w="1068" w:type="pct"/>
            <w:vAlign w:val="center"/>
          </w:tcPr>
          <w:p>
            <w:pPr>
              <w:pStyle w:val="39"/>
              <w:rPr>
                <w:rFonts w:cs="Times New Roman"/>
              </w:rPr>
            </w:pPr>
            <w:r>
              <w:rPr>
                <w:rFonts w:cs="Times New Roman"/>
              </w:rPr>
              <w:t>90</w:t>
            </w:r>
          </w:p>
        </w:tc>
        <w:tc>
          <w:tcPr>
            <w:tcW w:w="1063" w:type="pct"/>
            <w:vAlign w:val="center"/>
          </w:tcPr>
          <w:p>
            <w:pPr>
              <w:pStyle w:val="39"/>
              <w:rPr>
                <w:rFonts w:cs="Times New Roman"/>
              </w:rPr>
            </w:pPr>
            <w:r>
              <w:rPr>
                <w:rFonts w:cs="Times New Roman"/>
              </w:rPr>
              <w:t>120</w:t>
            </w:r>
          </w:p>
        </w:tc>
        <w:tc>
          <w:tcPr>
            <w:tcW w:w="1054" w:type="pct"/>
            <w:vAlign w:val="center"/>
          </w:tcPr>
          <w:p>
            <w:pPr>
              <w:pStyle w:val="39"/>
              <w:rPr>
                <w:rFonts w:cs="Times New Roman"/>
              </w:rPr>
            </w:pPr>
            <w:r>
              <w:rPr>
                <w:rFonts w:cs="Times New Roman"/>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65" w:type="pct"/>
            <w:vAlign w:val="center"/>
          </w:tcPr>
          <w:p>
            <w:pPr>
              <w:pStyle w:val="39"/>
              <w:rPr>
                <w:rFonts w:cs="Times New Roman"/>
              </w:rPr>
            </w:pPr>
            <w:r>
              <w:rPr>
                <w:rFonts w:cs="Times New Roman"/>
              </w:rPr>
              <w:t>5</w:t>
            </w:r>
          </w:p>
        </w:tc>
        <w:tc>
          <w:tcPr>
            <w:tcW w:w="511" w:type="pct"/>
            <w:vAlign w:val="center"/>
          </w:tcPr>
          <w:p>
            <w:pPr>
              <w:pStyle w:val="39"/>
              <w:rPr>
                <w:rFonts w:cs="Times New Roman"/>
              </w:rPr>
            </w:pPr>
            <w:r>
              <w:rPr>
                <w:rFonts w:cs="Times New Roman"/>
              </w:rPr>
              <w:t>铬</w:t>
            </w:r>
          </w:p>
        </w:tc>
        <w:tc>
          <w:tcPr>
            <w:tcW w:w="939" w:type="pct"/>
            <w:vAlign w:val="center"/>
          </w:tcPr>
          <w:p>
            <w:pPr>
              <w:pStyle w:val="39"/>
              <w:rPr>
                <w:rFonts w:cs="Times New Roman"/>
              </w:rPr>
            </w:pPr>
            <w:r>
              <w:rPr>
                <w:rFonts w:cs="Times New Roman"/>
              </w:rPr>
              <w:t>150</w:t>
            </w:r>
          </w:p>
        </w:tc>
        <w:tc>
          <w:tcPr>
            <w:tcW w:w="1068" w:type="pct"/>
            <w:vAlign w:val="center"/>
          </w:tcPr>
          <w:p>
            <w:pPr>
              <w:pStyle w:val="39"/>
              <w:rPr>
                <w:rFonts w:cs="Times New Roman"/>
              </w:rPr>
            </w:pPr>
            <w:r>
              <w:rPr>
                <w:rFonts w:cs="Times New Roman"/>
              </w:rPr>
              <w:t>150</w:t>
            </w:r>
          </w:p>
        </w:tc>
        <w:tc>
          <w:tcPr>
            <w:tcW w:w="1063" w:type="pct"/>
            <w:vAlign w:val="center"/>
          </w:tcPr>
          <w:p>
            <w:pPr>
              <w:pStyle w:val="39"/>
              <w:rPr>
                <w:rFonts w:cs="Times New Roman"/>
              </w:rPr>
            </w:pPr>
            <w:r>
              <w:rPr>
                <w:rFonts w:cs="Times New Roman"/>
              </w:rPr>
              <w:t>200</w:t>
            </w:r>
          </w:p>
        </w:tc>
        <w:tc>
          <w:tcPr>
            <w:tcW w:w="1054" w:type="pct"/>
            <w:vAlign w:val="center"/>
          </w:tcPr>
          <w:p>
            <w:pPr>
              <w:pStyle w:val="39"/>
              <w:rPr>
                <w:rFonts w:cs="Times New Roman"/>
              </w:rPr>
            </w:pPr>
            <w:r>
              <w:rPr>
                <w:rFonts w:cs="Times New Roma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65" w:type="pct"/>
            <w:vAlign w:val="center"/>
          </w:tcPr>
          <w:p>
            <w:pPr>
              <w:pStyle w:val="39"/>
              <w:rPr>
                <w:rFonts w:cs="Times New Roman"/>
              </w:rPr>
            </w:pPr>
            <w:r>
              <w:rPr>
                <w:rFonts w:cs="Times New Roman"/>
              </w:rPr>
              <w:t>6</w:t>
            </w:r>
          </w:p>
        </w:tc>
        <w:tc>
          <w:tcPr>
            <w:tcW w:w="511" w:type="pct"/>
            <w:vAlign w:val="center"/>
          </w:tcPr>
          <w:p>
            <w:pPr>
              <w:pStyle w:val="39"/>
              <w:rPr>
                <w:rFonts w:cs="Times New Roman"/>
              </w:rPr>
            </w:pPr>
            <w:r>
              <w:rPr>
                <w:rFonts w:cs="Times New Roman"/>
              </w:rPr>
              <w:t>铜</w:t>
            </w:r>
          </w:p>
        </w:tc>
        <w:tc>
          <w:tcPr>
            <w:tcW w:w="939" w:type="pct"/>
            <w:vAlign w:val="center"/>
          </w:tcPr>
          <w:p>
            <w:pPr>
              <w:pStyle w:val="39"/>
              <w:rPr>
                <w:rFonts w:cs="Times New Roman"/>
              </w:rPr>
            </w:pPr>
            <w:r>
              <w:rPr>
                <w:rFonts w:cs="Times New Roman"/>
              </w:rPr>
              <w:t>50</w:t>
            </w:r>
          </w:p>
        </w:tc>
        <w:tc>
          <w:tcPr>
            <w:tcW w:w="1068" w:type="pct"/>
            <w:vAlign w:val="center"/>
          </w:tcPr>
          <w:p>
            <w:pPr>
              <w:pStyle w:val="39"/>
              <w:rPr>
                <w:rFonts w:cs="Times New Roman"/>
              </w:rPr>
            </w:pPr>
            <w:r>
              <w:rPr>
                <w:rFonts w:cs="Times New Roman"/>
              </w:rPr>
              <w:t>50</w:t>
            </w:r>
          </w:p>
        </w:tc>
        <w:tc>
          <w:tcPr>
            <w:tcW w:w="1063" w:type="pct"/>
            <w:vAlign w:val="center"/>
          </w:tcPr>
          <w:p>
            <w:pPr>
              <w:pStyle w:val="39"/>
              <w:rPr>
                <w:rFonts w:cs="Times New Roman"/>
              </w:rPr>
            </w:pPr>
            <w:r>
              <w:rPr>
                <w:rFonts w:cs="Times New Roman"/>
              </w:rPr>
              <w:t>100</w:t>
            </w:r>
          </w:p>
        </w:tc>
        <w:tc>
          <w:tcPr>
            <w:tcW w:w="1054" w:type="pct"/>
            <w:vAlign w:val="center"/>
          </w:tcPr>
          <w:p>
            <w:pPr>
              <w:pStyle w:val="39"/>
              <w:rPr>
                <w:rFonts w:cs="Times New Roman"/>
              </w:rPr>
            </w:pPr>
            <w:r>
              <w:rPr>
                <w:rFonts w:cs="Times New Roma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65" w:type="pct"/>
            <w:vAlign w:val="center"/>
          </w:tcPr>
          <w:p>
            <w:pPr>
              <w:pStyle w:val="39"/>
              <w:rPr>
                <w:rFonts w:cs="Times New Roman"/>
              </w:rPr>
            </w:pPr>
            <w:r>
              <w:rPr>
                <w:rFonts w:cs="Times New Roman"/>
              </w:rPr>
              <w:t>7</w:t>
            </w:r>
          </w:p>
        </w:tc>
        <w:tc>
          <w:tcPr>
            <w:tcW w:w="511" w:type="pct"/>
            <w:vAlign w:val="center"/>
          </w:tcPr>
          <w:p>
            <w:pPr>
              <w:pStyle w:val="39"/>
              <w:rPr>
                <w:rFonts w:cs="Times New Roman"/>
              </w:rPr>
            </w:pPr>
            <w:r>
              <w:rPr>
                <w:rFonts w:cs="Times New Roman"/>
              </w:rPr>
              <w:t>镍</w:t>
            </w:r>
          </w:p>
        </w:tc>
        <w:tc>
          <w:tcPr>
            <w:tcW w:w="939" w:type="pct"/>
            <w:vAlign w:val="center"/>
          </w:tcPr>
          <w:p>
            <w:pPr>
              <w:pStyle w:val="39"/>
              <w:rPr>
                <w:rFonts w:cs="Times New Roman"/>
              </w:rPr>
            </w:pPr>
            <w:r>
              <w:rPr>
                <w:rFonts w:cs="Times New Roman"/>
              </w:rPr>
              <w:t>60</w:t>
            </w:r>
          </w:p>
        </w:tc>
        <w:tc>
          <w:tcPr>
            <w:tcW w:w="1068" w:type="pct"/>
            <w:vAlign w:val="center"/>
          </w:tcPr>
          <w:p>
            <w:pPr>
              <w:pStyle w:val="39"/>
              <w:rPr>
                <w:rFonts w:cs="Times New Roman"/>
              </w:rPr>
            </w:pPr>
            <w:r>
              <w:rPr>
                <w:rFonts w:cs="Times New Roman"/>
              </w:rPr>
              <w:t>70</w:t>
            </w:r>
          </w:p>
        </w:tc>
        <w:tc>
          <w:tcPr>
            <w:tcW w:w="1063" w:type="pct"/>
            <w:vAlign w:val="center"/>
          </w:tcPr>
          <w:p>
            <w:pPr>
              <w:pStyle w:val="39"/>
              <w:rPr>
                <w:rFonts w:cs="Times New Roman"/>
              </w:rPr>
            </w:pPr>
            <w:r>
              <w:rPr>
                <w:rFonts w:cs="Times New Roman"/>
              </w:rPr>
              <w:t>100</w:t>
            </w:r>
          </w:p>
        </w:tc>
        <w:tc>
          <w:tcPr>
            <w:tcW w:w="1054" w:type="pct"/>
            <w:vAlign w:val="center"/>
          </w:tcPr>
          <w:p>
            <w:pPr>
              <w:pStyle w:val="39"/>
              <w:rPr>
                <w:rFonts w:cs="Times New Roman"/>
              </w:rPr>
            </w:pPr>
            <w:r>
              <w:rPr>
                <w:rFonts w:cs="Times New Roman"/>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65" w:type="pct"/>
            <w:vAlign w:val="center"/>
          </w:tcPr>
          <w:p>
            <w:pPr>
              <w:pStyle w:val="39"/>
              <w:rPr>
                <w:rFonts w:cs="Times New Roman"/>
              </w:rPr>
            </w:pPr>
            <w:r>
              <w:rPr>
                <w:rFonts w:cs="Times New Roman"/>
              </w:rPr>
              <w:t>8</w:t>
            </w:r>
          </w:p>
        </w:tc>
        <w:tc>
          <w:tcPr>
            <w:tcW w:w="511" w:type="pct"/>
            <w:vAlign w:val="center"/>
          </w:tcPr>
          <w:p>
            <w:pPr>
              <w:pStyle w:val="39"/>
              <w:rPr>
                <w:rFonts w:cs="Times New Roman"/>
              </w:rPr>
            </w:pPr>
            <w:r>
              <w:rPr>
                <w:rFonts w:cs="Times New Roman"/>
              </w:rPr>
              <w:t>锌</w:t>
            </w:r>
          </w:p>
        </w:tc>
        <w:tc>
          <w:tcPr>
            <w:tcW w:w="939" w:type="pct"/>
            <w:vAlign w:val="center"/>
          </w:tcPr>
          <w:p>
            <w:pPr>
              <w:pStyle w:val="39"/>
              <w:rPr>
                <w:rFonts w:cs="Times New Roman"/>
              </w:rPr>
            </w:pPr>
            <w:r>
              <w:rPr>
                <w:rFonts w:cs="Times New Roman"/>
              </w:rPr>
              <w:t>200</w:t>
            </w:r>
          </w:p>
        </w:tc>
        <w:tc>
          <w:tcPr>
            <w:tcW w:w="1068" w:type="pct"/>
            <w:vAlign w:val="center"/>
          </w:tcPr>
          <w:p>
            <w:pPr>
              <w:pStyle w:val="39"/>
              <w:rPr>
                <w:rFonts w:cs="Times New Roman"/>
              </w:rPr>
            </w:pPr>
            <w:r>
              <w:rPr>
                <w:rFonts w:cs="Times New Roman"/>
              </w:rPr>
              <w:t>200</w:t>
            </w:r>
          </w:p>
        </w:tc>
        <w:tc>
          <w:tcPr>
            <w:tcW w:w="1063" w:type="pct"/>
            <w:vAlign w:val="center"/>
          </w:tcPr>
          <w:p>
            <w:pPr>
              <w:pStyle w:val="39"/>
              <w:rPr>
                <w:rFonts w:cs="Times New Roman"/>
              </w:rPr>
            </w:pPr>
            <w:r>
              <w:rPr>
                <w:rFonts w:cs="Times New Roman"/>
              </w:rPr>
              <w:t>250</w:t>
            </w:r>
          </w:p>
        </w:tc>
        <w:tc>
          <w:tcPr>
            <w:tcW w:w="1054" w:type="pct"/>
            <w:vAlign w:val="center"/>
          </w:tcPr>
          <w:p>
            <w:pPr>
              <w:pStyle w:val="39"/>
              <w:rPr>
                <w:rFonts w:cs="Times New Roman"/>
              </w:rPr>
            </w:pPr>
            <w:r>
              <w:rPr>
                <w:rFonts w:cs="Times New Roman"/>
              </w:rPr>
              <w:t>300</w:t>
            </w:r>
          </w:p>
        </w:tc>
      </w:tr>
    </w:tbl>
    <w:p>
      <w:pPr>
        <w:pStyle w:val="3"/>
        <w:ind w:firstLine="480"/>
      </w:pPr>
    </w:p>
    <w:p>
      <w:pPr>
        <w:pStyle w:val="6"/>
        <w:rPr>
          <w:rFonts w:cs="Times New Roman"/>
        </w:rPr>
      </w:pPr>
      <w:r>
        <w:rPr>
          <w:rFonts w:cs="Times New Roman"/>
        </w:rPr>
        <w:t>污染物排放标准</w:t>
      </w:r>
    </w:p>
    <w:p>
      <w:pPr>
        <w:pStyle w:val="3"/>
        <w:ind w:firstLine="480"/>
        <w:rPr>
          <w:rFonts w:cs="Times New Roman"/>
        </w:rPr>
      </w:pPr>
      <w:r>
        <w:rPr>
          <w:rFonts w:cs="Times New Roman"/>
        </w:rPr>
        <w:t>（1）大气污染物排放标准</w:t>
      </w:r>
    </w:p>
    <w:p>
      <w:pPr>
        <w:pStyle w:val="3"/>
        <w:ind w:firstLine="480"/>
        <w:rPr>
          <w:rFonts w:cs="Times New Roman"/>
        </w:rPr>
      </w:pPr>
      <w:r>
        <w:rPr>
          <w:rFonts w:cs="Times New Roman"/>
        </w:rPr>
        <w:t>施工期执行《大气污染物综合排放标准》（GB16297-1996）表2中无组织排放监控浓度限值；营运期恶臭排放标准执行《畜禽养殖业污染物排放标准》（GB18596-2001）中表7标准，H</w:t>
      </w:r>
      <w:r>
        <w:rPr>
          <w:rFonts w:cs="Times New Roman"/>
          <w:vertAlign w:val="subscript"/>
        </w:rPr>
        <w:t>2</w:t>
      </w:r>
      <w:r>
        <w:rPr>
          <w:rFonts w:cs="Times New Roman"/>
        </w:rPr>
        <w:t>S、NH</w:t>
      </w:r>
      <w:r>
        <w:rPr>
          <w:rFonts w:cs="Times New Roman"/>
          <w:vertAlign w:val="subscript"/>
        </w:rPr>
        <w:t>3</w:t>
      </w:r>
      <w:r>
        <w:rPr>
          <w:rFonts w:cs="Times New Roman"/>
        </w:rPr>
        <w:t>排放标准执行《恶臭污染物排放标准》（GB14554-93）中二级新改扩建标准；食堂油烟废气执行《饮食业油烟排放标准（试行）》（GB18483-2001）</w:t>
      </w:r>
      <w:r>
        <w:rPr>
          <w:rFonts w:hint="eastAsia" w:cs="Times New Roman"/>
        </w:rPr>
        <w:t>；柴油发电机燃料废气执行《大气污染物综合排放标准》（GB16297-1996）表2中大气污染物排放限值；生物质颗粒</w:t>
      </w:r>
      <w:r>
        <w:rPr>
          <w:rFonts w:cs="Times New Roman"/>
        </w:rPr>
        <w:t>锅炉燃烧废气</w:t>
      </w:r>
      <w:r>
        <w:rPr>
          <w:rFonts w:hint="eastAsia" w:cs="Times New Roman"/>
        </w:rPr>
        <w:t>中SO</w:t>
      </w:r>
      <w:r>
        <w:rPr>
          <w:rFonts w:hint="eastAsia" w:cs="Times New Roman"/>
          <w:vertAlign w:val="subscript"/>
        </w:rPr>
        <w:t>2</w:t>
      </w:r>
      <w:r>
        <w:rPr>
          <w:rFonts w:hint="eastAsia" w:cs="Times New Roman"/>
        </w:rPr>
        <w:t>、烟尘执行《工业炉窑大气污染物排放标准》（GB9078-1996）中的干燥窑炉二级排放标准的排放浓度限值要求；NOx参考《锅炉大气污染物排放标准》（GB13271-2014）中表2新建锅炉中燃煤锅炉排放控制要求，</w:t>
      </w:r>
      <w:r>
        <w:rPr>
          <w:rFonts w:cs="Times New Roman"/>
        </w:rPr>
        <w:t>具体见表2.5-</w:t>
      </w:r>
      <w:r>
        <w:rPr>
          <w:rFonts w:hint="eastAsia" w:cs="Times New Roman"/>
        </w:rPr>
        <w:t>6</w:t>
      </w:r>
      <w:r>
        <w:rPr>
          <w:rFonts w:cs="Times New Roman"/>
        </w:rPr>
        <w:t>、2.5-</w:t>
      </w:r>
      <w:r>
        <w:rPr>
          <w:rFonts w:hint="eastAsia" w:cs="Times New Roman"/>
        </w:rPr>
        <w:t>7、2.5-8、2.5-9</w:t>
      </w:r>
      <w:r>
        <w:rPr>
          <w:rFonts w:cs="Times New Roman"/>
        </w:rPr>
        <w:t>。</w:t>
      </w:r>
    </w:p>
    <w:p>
      <w:pPr>
        <w:pStyle w:val="15"/>
        <w:rPr>
          <w:rFonts w:cs="Times New Roman"/>
        </w:rPr>
      </w:pPr>
      <w:r>
        <w:rPr>
          <w:rFonts w:cs="Times New Roman"/>
        </w:rPr>
        <w:t>表2.5-</w:t>
      </w:r>
      <w:r>
        <w:rPr>
          <w:rFonts w:hint="eastAsia" w:cs="Times New Roman"/>
        </w:rPr>
        <w:t>6</w:t>
      </w:r>
      <w:r>
        <w:rPr>
          <w:rFonts w:cs="Times New Roman"/>
        </w:rPr>
        <w:t xml:space="preserve">   恶臭污染物排放标准  单位：mg/m</w:t>
      </w:r>
      <w:r>
        <w:rPr>
          <w:rFonts w:cs="Times New Roman"/>
          <w:vertAlign w:val="superscript"/>
        </w:rPr>
        <w:t>3</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3"/>
        <w:gridCol w:w="1576"/>
        <w:gridCol w:w="1835"/>
        <w:gridCol w:w="1126"/>
        <w:gridCol w:w="2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41" w:type="pct"/>
            <w:vMerge w:val="restart"/>
            <w:vAlign w:val="center"/>
          </w:tcPr>
          <w:p>
            <w:pPr>
              <w:pStyle w:val="39"/>
              <w:rPr>
                <w:rFonts w:cs="Times New Roman"/>
              </w:rPr>
            </w:pPr>
            <w:r>
              <w:rPr>
                <w:rFonts w:cs="Times New Roman"/>
              </w:rPr>
              <w:t>污染物</w:t>
            </w:r>
          </w:p>
        </w:tc>
        <w:tc>
          <w:tcPr>
            <w:tcW w:w="1859" w:type="pct"/>
            <w:gridSpan w:val="2"/>
            <w:vAlign w:val="center"/>
          </w:tcPr>
          <w:p>
            <w:pPr>
              <w:pStyle w:val="39"/>
              <w:rPr>
                <w:rFonts w:cs="Times New Roman"/>
              </w:rPr>
            </w:pPr>
            <w:r>
              <w:rPr>
                <w:rFonts w:cs="Times New Roman"/>
              </w:rPr>
              <w:t>最高允许排放速率</w:t>
            </w:r>
          </w:p>
        </w:tc>
        <w:tc>
          <w:tcPr>
            <w:tcW w:w="2000" w:type="pct"/>
            <w:gridSpan w:val="2"/>
            <w:vAlign w:val="center"/>
          </w:tcPr>
          <w:p>
            <w:pPr>
              <w:pStyle w:val="39"/>
              <w:rPr>
                <w:rFonts w:cs="Times New Roman"/>
              </w:rPr>
            </w:pPr>
            <w:r>
              <w:rPr>
                <w:rFonts w:cs="Times New Roman"/>
              </w:rPr>
              <w:t>无组织排放监控浓度限制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41" w:type="pct"/>
            <w:vMerge w:val="continue"/>
            <w:vAlign w:val="center"/>
          </w:tcPr>
          <w:p>
            <w:pPr>
              <w:pStyle w:val="39"/>
              <w:rPr>
                <w:rFonts w:cs="Times New Roman"/>
              </w:rPr>
            </w:pPr>
          </w:p>
        </w:tc>
        <w:tc>
          <w:tcPr>
            <w:tcW w:w="859" w:type="pct"/>
            <w:vAlign w:val="center"/>
          </w:tcPr>
          <w:p>
            <w:pPr>
              <w:pStyle w:val="39"/>
              <w:rPr>
                <w:rFonts w:cs="Times New Roman"/>
              </w:rPr>
            </w:pPr>
            <w:r>
              <w:rPr>
                <w:rFonts w:cs="Times New Roman"/>
              </w:rPr>
              <w:t>排气筒高度m</w:t>
            </w:r>
          </w:p>
        </w:tc>
        <w:tc>
          <w:tcPr>
            <w:tcW w:w="1000" w:type="pct"/>
            <w:vAlign w:val="center"/>
          </w:tcPr>
          <w:p>
            <w:pPr>
              <w:pStyle w:val="39"/>
              <w:rPr>
                <w:rFonts w:cs="Times New Roman"/>
              </w:rPr>
            </w:pPr>
            <w:r>
              <w:rPr>
                <w:rFonts w:cs="Times New Roman"/>
              </w:rPr>
              <w:t>二级kg/h</w:t>
            </w:r>
          </w:p>
        </w:tc>
        <w:tc>
          <w:tcPr>
            <w:tcW w:w="614" w:type="pct"/>
            <w:vAlign w:val="center"/>
          </w:tcPr>
          <w:p>
            <w:pPr>
              <w:pStyle w:val="39"/>
              <w:rPr>
                <w:rFonts w:cs="Times New Roman"/>
              </w:rPr>
            </w:pPr>
            <w:r>
              <w:rPr>
                <w:rFonts w:cs="Times New Roman"/>
              </w:rPr>
              <w:t>监控点</w:t>
            </w:r>
          </w:p>
        </w:tc>
        <w:tc>
          <w:tcPr>
            <w:tcW w:w="1386" w:type="pct"/>
            <w:vAlign w:val="center"/>
          </w:tcPr>
          <w:p>
            <w:pPr>
              <w:pStyle w:val="39"/>
              <w:rPr>
                <w:rFonts w:cs="Times New Roman"/>
              </w:rPr>
            </w:pPr>
            <w:r>
              <w:rPr>
                <w:rFonts w:cs="Times New Roman"/>
              </w:rPr>
              <w:t>厂界标准值（mg/m</w:t>
            </w:r>
            <w:r>
              <w:rPr>
                <w:rFonts w:cs="Times New Roman"/>
                <w:vertAlign w:val="superscript"/>
              </w:rPr>
              <w:t>3</w:t>
            </w:r>
            <w:r>
              <w:rPr>
                <w:rFonts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41" w:type="pct"/>
            <w:vAlign w:val="center"/>
          </w:tcPr>
          <w:p>
            <w:pPr>
              <w:pStyle w:val="39"/>
              <w:rPr>
                <w:rFonts w:cs="Times New Roman"/>
              </w:rPr>
            </w:pPr>
            <w:r>
              <w:rPr>
                <w:rFonts w:cs="Times New Roman"/>
              </w:rPr>
              <w:t>氨</w:t>
            </w:r>
          </w:p>
        </w:tc>
        <w:tc>
          <w:tcPr>
            <w:tcW w:w="859" w:type="pct"/>
            <w:vAlign w:val="center"/>
          </w:tcPr>
          <w:p>
            <w:pPr>
              <w:pStyle w:val="39"/>
              <w:rPr>
                <w:rFonts w:cs="Times New Roman"/>
              </w:rPr>
            </w:pPr>
            <w:r>
              <w:rPr>
                <w:rFonts w:cs="Times New Roman"/>
              </w:rPr>
              <w:t>15</w:t>
            </w:r>
          </w:p>
        </w:tc>
        <w:tc>
          <w:tcPr>
            <w:tcW w:w="1000" w:type="pct"/>
            <w:vAlign w:val="center"/>
          </w:tcPr>
          <w:p>
            <w:pPr>
              <w:pStyle w:val="39"/>
              <w:rPr>
                <w:rFonts w:cs="Times New Roman"/>
              </w:rPr>
            </w:pPr>
            <w:r>
              <w:rPr>
                <w:rFonts w:cs="Times New Roman"/>
              </w:rPr>
              <w:t>0.33</w:t>
            </w:r>
          </w:p>
        </w:tc>
        <w:tc>
          <w:tcPr>
            <w:tcW w:w="614" w:type="pct"/>
            <w:vMerge w:val="restart"/>
            <w:vAlign w:val="center"/>
          </w:tcPr>
          <w:p>
            <w:pPr>
              <w:pStyle w:val="39"/>
              <w:rPr>
                <w:rFonts w:cs="Times New Roman"/>
              </w:rPr>
            </w:pPr>
            <w:r>
              <w:rPr>
                <w:rFonts w:cs="Times New Roman"/>
              </w:rPr>
              <w:t>厂界外浓度最高点</w:t>
            </w:r>
          </w:p>
        </w:tc>
        <w:tc>
          <w:tcPr>
            <w:tcW w:w="1386" w:type="pct"/>
            <w:vAlign w:val="center"/>
          </w:tcPr>
          <w:p>
            <w:pPr>
              <w:pStyle w:val="39"/>
              <w:rPr>
                <w:rFonts w:cs="Times New Roman"/>
              </w:rPr>
            </w:pPr>
            <w:r>
              <w:rPr>
                <w:rFonts w:cs="Times New Roma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41" w:type="pct"/>
            <w:vAlign w:val="center"/>
          </w:tcPr>
          <w:p>
            <w:pPr>
              <w:pStyle w:val="39"/>
              <w:rPr>
                <w:rFonts w:cs="Times New Roman"/>
              </w:rPr>
            </w:pPr>
            <w:r>
              <w:rPr>
                <w:rFonts w:cs="Times New Roman"/>
              </w:rPr>
              <w:t>硫化氢</w:t>
            </w:r>
          </w:p>
        </w:tc>
        <w:tc>
          <w:tcPr>
            <w:tcW w:w="859" w:type="pct"/>
            <w:vAlign w:val="center"/>
          </w:tcPr>
          <w:p>
            <w:pPr>
              <w:pStyle w:val="39"/>
              <w:rPr>
                <w:rFonts w:cs="Times New Roman"/>
              </w:rPr>
            </w:pPr>
            <w:r>
              <w:rPr>
                <w:rFonts w:cs="Times New Roman"/>
              </w:rPr>
              <w:t>15</w:t>
            </w:r>
          </w:p>
        </w:tc>
        <w:tc>
          <w:tcPr>
            <w:tcW w:w="1000" w:type="pct"/>
            <w:vAlign w:val="center"/>
          </w:tcPr>
          <w:p>
            <w:pPr>
              <w:pStyle w:val="39"/>
              <w:rPr>
                <w:rFonts w:cs="Times New Roman"/>
              </w:rPr>
            </w:pPr>
            <w:r>
              <w:rPr>
                <w:rFonts w:cs="Times New Roman"/>
              </w:rPr>
              <w:t>4.9</w:t>
            </w:r>
          </w:p>
        </w:tc>
        <w:tc>
          <w:tcPr>
            <w:tcW w:w="614" w:type="pct"/>
            <w:vMerge w:val="continue"/>
            <w:vAlign w:val="center"/>
          </w:tcPr>
          <w:p>
            <w:pPr>
              <w:pStyle w:val="39"/>
              <w:rPr>
                <w:rFonts w:cs="Times New Roman"/>
              </w:rPr>
            </w:pPr>
          </w:p>
        </w:tc>
        <w:tc>
          <w:tcPr>
            <w:tcW w:w="1386" w:type="pct"/>
            <w:vAlign w:val="center"/>
          </w:tcPr>
          <w:p>
            <w:pPr>
              <w:pStyle w:val="39"/>
              <w:rPr>
                <w:rFonts w:cs="Times New Roman"/>
              </w:rPr>
            </w:pPr>
            <w:r>
              <w:rPr>
                <w:rFonts w:cs="Times New Roman"/>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41" w:type="pct"/>
            <w:vAlign w:val="center"/>
          </w:tcPr>
          <w:p>
            <w:pPr>
              <w:pStyle w:val="39"/>
              <w:rPr>
                <w:rFonts w:cs="Times New Roman"/>
              </w:rPr>
            </w:pPr>
            <w:r>
              <w:rPr>
                <w:rFonts w:cs="Times New Roman"/>
              </w:rPr>
              <w:t>臭气浓度（无量纲）</w:t>
            </w:r>
          </w:p>
        </w:tc>
        <w:tc>
          <w:tcPr>
            <w:tcW w:w="859" w:type="pct"/>
            <w:vAlign w:val="center"/>
          </w:tcPr>
          <w:p>
            <w:pPr>
              <w:pStyle w:val="39"/>
              <w:rPr>
                <w:rFonts w:cs="Times New Roman"/>
              </w:rPr>
            </w:pPr>
            <w:r>
              <w:rPr>
                <w:rFonts w:cs="Times New Roman"/>
              </w:rPr>
              <w:t>15</w:t>
            </w:r>
          </w:p>
        </w:tc>
        <w:tc>
          <w:tcPr>
            <w:tcW w:w="1000" w:type="pct"/>
            <w:vAlign w:val="center"/>
          </w:tcPr>
          <w:p>
            <w:pPr>
              <w:pStyle w:val="39"/>
              <w:rPr>
                <w:rFonts w:cs="Times New Roman"/>
              </w:rPr>
            </w:pPr>
            <w:r>
              <w:rPr>
                <w:rFonts w:cs="Times New Roman"/>
              </w:rPr>
              <w:t>2000</w:t>
            </w:r>
          </w:p>
        </w:tc>
        <w:tc>
          <w:tcPr>
            <w:tcW w:w="614" w:type="pct"/>
            <w:vMerge w:val="continue"/>
            <w:vAlign w:val="center"/>
          </w:tcPr>
          <w:p>
            <w:pPr>
              <w:pStyle w:val="39"/>
              <w:rPr>
                <w:rFonts w:cs="Times New Roman"/>
              </w:rPr>
            </w:pPr>
          </w:p>
        </w:tc>
        <w:tc>
          <w:tcPr>
            <w:tcW w:w="1386" w:type="pct"/>
            <w:vAlign w:val="center"/>
          </w:tcPr>
          <w:p>
            <w:pPr>
              <w:pStyle w:val="39"/>
              <w:rPr>
                <w:rFonts w:cs="Times New Roman"/>
              </w:rPr>
            </w:pPr>
            <w:r>
              <w:rPr>
                <w:rFonts w:cs="Times New Roman"/>
              </w:rPr>
              <w:t>20</w:t>
            </w:r>
          </w:p>
        </w:tc>
      </w:tr>
    </w:tbl>
    <w:p>
      <w:pPr>
        <w:pStyle w:val="15"/>
        <w:rPr>
          <w:rFonts w:cs="Times New Roman"/>
        </w:rPr>
      </w:pPr>
    </w:p>
    <w:p>
      <w:pPr>
        <w:pStyle w:val="15"/>
        <w:rPr>
          <w:rFonts w:cs="Times New Roman"/>
        </w:rPr>
      </w:pPr>
      <w:r>
        <w:rPr>
          <w:rFonts w:cs="Times New Roman"/>
        </w:rPr>
        <w:t>表2.5-</w:t>
      </w:r>
      <w:r>
        <w:rPr>
          <w:rFonts w:hint="eastAsia" w:cs="Times New Roman"/>
        </w:rPr>
        <w:t>7</w:t>
      </w:r>
      <w:r>
        <w:rPr>
          <w:rFonts w:cs="Times New Roman"/>
        </w:rPr>
        <w:t xml:space="preserve">   饮食业油烟排放标准</w:t>
      </w:r>
    </w:p>
    <w:tbl>
      <w:tblPr>
        <w:tblStyle w:val="26"/>
        <w:tblW w:w="9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2"/>
        <w:gridCol w:w="1913"/>
        <w:gridCol w:w="1913"/>
        <w:gridCol w:w="1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3432" w:type="dxa"/>
            <w:vAlign w:val="center"/>
          </w:tcPr>
          <w:p>
            <w:pPr>
              <w:jc w:val="center"/>
              <w:rPr>
                <w:rFonts w:ascii="Times New Roman" w:hAnsi="Times New Roman" w:cs="Times New Roman"/>
                <w:kern w:val="0"/>
              </w:rPr>
            </w:pPr>
            <w:r>
              <w:rPr>
                <w:rFonts w:ascii="Times New Roman" w:hAnsi="Times New Roman" w:cs="Times New Roman"/>
                <w:kern w:val="0"/>
              </w:rPr>
              <w:t>规 模</w:t>
            </w:r>
          </w:p>
        </w:tc>
        <w:tc>
          <w:tcPr>
            <w:tcW w:w="1913" w:type="dxa"/>
            <w:vAlign w:val="center"/>
          </w:tcPr>
          <w:p>
            <w:pPr>
              <w:jc w:val="center"/>
              <w:rPr>
                <w:rFonts w:ascii="Times New Roman" w:hAnsi="Times New Roman" w:cs="Times New Roman"/>
                <w:kern w:val="0"/>
              </w:rPr>
            </w:pPr>
            <w:r>
              <w:rPr>
                <w:rFonts w:ascii="Times New Roman" w:hAnsi="Times New Roman" w:cs="Times New Roman"/>
                <w:kern w:val="0"/>
              </w:rPr>
              <w:t>小型</w:t>
            </w:r>
          </w:p>
        </w:tc>
        <w:tc>
          <w:tcPr>
            <w:tcW w:w="1913" w:type="dxa"/>
            <w:vAlign w:val="center"/>
          </w:tcPr>
          <w:p>
            <w:pPr>
              <w:jc w:val="center"/>
              <w:rPr>
                <w:rFonts w:ascii="Times New Roman" w:hAnsi="Times New Roman" w:cs="Times New Roman"/>
                <w:kern w:val="0"/>
              </w:rPr>
            </w:pPr>
            <w:r>
              <w:rPr>
                <w:rFonts w:ascii="Times New Roman" w:hAnsi="Times New Roman" w:cs="Times New Roman"/>
                <w:kern w:val="0"/>
              </w:rPr>
              <w:t>中型</w:t>
            </w:r>
          </w:p>
        </w:tc>
        <w:tc>
          <w:tcPr>
            <w:tcW w:w="1915" w:type="dxa"/>
            <w:vAlign w:val="center"/>
          </w:tcPr>
          <w:p>
            <w:pPr>
              <w:jc w:val="center"/>
              <w:rPr>
                <w:rFonts w:ascii="Times New Roman" w:hAnsi="Times New Roman" w:cs="Times New Roman"/>
                <w:kern w:val="0"/>
              </w:rPr>
            </w:pPr>
            <w:r>
              <w:rPr>
                <w:rFonts w:ascii="Times New Roman" w:hAnsi="Times New Roman" w:cs="Times New Roman"/>
                <w:kern w:val="0"/>
              </w:rPr>
              <w:t>大型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3432" w:type="dxa"/>
            <w:vAlign w:val="center"/>
          </w:tcPr>
          <w:p>
            <w:pPr>
              <w:jc w:val="center"/>
              <w:rPr>
                <w:rFonts w:ascii="Times New Roman" w:hAnsi="Times New Roman" w:cs="Times New Roman"/>
                <w:kern w:val="0"/>
              </w:rPr>
            </w:pPr>
            <w:r>
              <w:rPr>
                <w:rFonts w:ascii="Times New Roman" w:hAnsi="Times New Roman" w:cs="Times New Roman"/>
                <w:kern w:val="0"/>
              </w:rPr>
              <w:t>最高允许排放浓度(mg/Nm</w:t>
            </w:r>
            <w:r>
              <w:rPr>
                <w:rFonts w:ascii="Times New Roman" w:hAnsi="Times New Roman" w:cs="Times New Roman"/>
                <w:kern w:val="0"/>
                <w:vertAlign w:val="superscript"/>
              </w:rPr>
              <w:t>3</w:t>
            </w:r>
            <w:r>
              <w:rPr>
                <w:rFonts w:ascii="Times New Roman" w:hAnsi="Times New Roman" w:cs="Times New Roman"/>
                <w:kern w:val="0"/>
              </w:rPr>
              <w:t>)</w:t>
            </w:r>
          </w:p>
        </w:tc>
        <w:tc>
          <w:tcPr>
            <w:tcW w:w="5741" w:type="dxa"/>
            <w:gridSpan w:val="3"/>
            <w:vAlign w:val="center"/>
          </w:tcPr>
          <w:p>
            <w:pPr>
              <w:jc w:val="center"/>
              <w:rPr>
                <w:rFonts w:ascii="Times New Roman" w:hAnsi="Times New Roman" w:cs="Times New Roman"/>
                <w:kern w:val="0"/>
              </w:rPr>
            </w:pPr>
            <w:r>
              <w:rPr>
                <w:rFonts w:ascii="Times New Roman" w:hAnsi="Times New Roman" w:cs="Times New Roman"/>
                <w:kern w:val="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3432" w:type="dxa"/>
            <w:vAlign w:val="center"/>
          </w:tcPr>
          <w:p>
            <w:pPr>
              <w:jc w:val="center"/>
              <w:rPr>
                <w:rFonts w:ascii="Times New Roman" w:hAnsi="Times New Roman" w:cs="Times New Roman"/>
                <w:kern w:val="0"/>
              </w:rPr>
            </w:pPr>
            <w:r>
              <w:rPr>
                <w:rFonts w:ascii="Times New Roman" w:hAnsi="Times New Roman" w:cs="Times New Roman"/>
                <w:kern w:val="0"/>
              </w:rPr>
              <w:t>净化设施最低去除效率(%)</w:t>
            </w:r>
          </w:p>
        </w:tc>
        <w:tc>
          <w:tcPr>
            <w:tcW w:w="1913" w:type="dxa"/>
            <w:vAlign w:val="center"/>
          </w:tcPr>
          <w:p>
            <w:pPr>
              <w:jc w:val="center"/>
              <w:rPr>
                <w:rFonts w:ascii="Times New Roman" w:hAnsi="Times New Roman" w:cs="Times New Roman"/>
                <w:kern w:val="0"/>
              </w:rPr>
            </w:pPr>
            <w:r>
              <w:rPr>
                <w:rFonts w:ascii="Times New Roman" w:hAnsi="Times New Roman" w:cs="Times New Roman"/>
                <w:kern w:val="0"/>
              </w:rPr>
              <w:t>60</w:t>
            </w:r>
          </w:p>
        </w:tc>
        <w:tc>
          <w:tcPr>
            <w:tcW w:w="1913" w:type="dxa"/>
            <w:vAlign w:val="center"/>
          </w:tcPr>
          <w:p>
            <w:pPr>
              <w:jc w:val="center"/>
              <w:rPr>
                <w:rFonts w:ascii="Times New Roman" w:hAnsi="Times New Roman" w:cs="Times New Roman"/>
                <w:kern w:val="0"/>
              </w:rPr>
            </w:pPr>
            <w:r>
              <w:rPr>
                <w:rFonts w:ascii="Times New Roman" w:hAnsi="Times New Roman" w:cs="Times New Roman"/>
                <w:kern w:val="0"/>
              </w:rPr>
              <w:t>75</w:t>
            </w:r>
          </w:p>
        </w:tc>
        <w:tc>
          <w:tcPr>
            <w:tcW w:w="1915" w:type="dxa"/>
            <w:vAlign w:val="center"/>
          </w:tcPr>
          <w:p>
            <w:pPr>
              <w:jc w:val="center"/>
              <w:rPr>
                <w:rFonts w:ascii="Times New Roman" w:hAnsi="Times New Roman" w:cs="Times New Roman"/>
                <w:kern w:val="0"/>
              </w:rPr>
            </w:pPr>
            <w:r>
              <w:rPr>
                <w:rFonts w:ascii="Times New Roman" w:hAnsi="Times New Roman" w:cs="Times New Roman"/>
                <w:kern w:val="0"/>
              </w:rPr>
              <w:t>85</w:t>
            </w:r>
          </w:p>
        </w:tc>
      </w:tr>
    </w:tbl>
    <w:p>
      <w:pPr>
        <w:pStyle w:val="15"/>
        <w:rPr>
          <w:rFonts w:cs="Times New Roman"/>
        </w:rPr>
      </w:pPr>
    </w:p>
    <w:p>
      <w:pPr>
        <w:pStyle w:val="15"/>
        <w:rPr>
          <w:rFonts w:cs="Times New Roman"/>
        </w:rPr>
      </w:pPr>
      <w:r>
        <w:rPr>
          <w:rFonts w:cs="Times New Roman"/>
        </w:rPr>
        <w:t>表2.5-</w:t>
      </w:r>
      <w:r>
        <w:rPr>
          <w:rFonts w:hint="eastAsia" w:cs="Times New Roman"/>
        </w:rPr>
        <w:t>8</w:t>
      </w:r>
      <w:r>
        <w:rPr>
          <w:rFonts w:cs="Times New Roman"/>
        </w:rPr>
        <w:t xml:space="preserve">   大气污染物综合排放标准</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61"/>
        <w:gridCol w:w="3306"/>
        <w:gridCol w:w="3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396" w:type="pct"/>
            <w:vMerge w:val="restart"/>
            <w:vAlign w:val="center"/>
          </w:tcPr>
          <w:p>
            <w:pPr>
              <w:pStyle w:val="39"/>
              <w:rPr>
                <w:rFonts w:cs="Times New Roman"/>
              </w:rPr>
            </w:pPr>
            <w:r>
              <w:rPr>
                <w:rFonts w:cs="Times New Roman"/>
              </w:rPr>
              <w:t>名称</w:t>
            </w:r>
          </w:p>
        </w:tc>
        <w:tc>
          <w:tcPr>
            <w:tcW w:w="3604" w:type="pct"/>
            <w:gridSpan w:val="2"/>
            <w:vAlign w:val="center"/>
          </w:tcPr>
          <w:p>
            <w:pPr>
              <w:pStyle w:val="39"/>
              <w:rPr>
                <w:rFonts w:cs="Times New Roman"/>
              </w:rPr>
            </w:pPr>
            <w:r>
              <w:rPr>
                <w:rFonts w:cs="Times New Roman"/>
              </w:rPr>
              <w:t>无组织排放监控浓度限制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396" w:type="pct"/>
            <w:vMerge w:val="continue"/>
            <w:vAlign w:val="center"/>
          </w:tcPr>
          <w:p>
            <w:pPr>
              <w:pStyle w:val="39"/>
              <w:rPr>
                <w:rFonts w:cs="Times New Roman"/>
              </w:rPr>
            </w:pPr>
          </w:p>
        </w:tc>
        <w:tc>
          <w:tcPr>
            <w:tcW w:w="1802" w:type="pct"/>
            <w:vAlign w:val="center"/>
          </w:tcPr>
          <w:p>
            <w:pPr>
              <w:pStyle w:val="39"/>
              <w:rPr>
                <w:rFonts w:cs="Times New Roman"/>
              </w:rPr>
            </w:pPr>
            <w:r>
              <w:rPr>
                <w:rFonts w:cs="Times New Roman"/>
              </w:rPr>
              <w:t>监控点</w:t>
            </w:r>
          </w:p>
        </w:tc>
        <w:tc>
          <w:tcPr>
            <w:tcW w:w="1802" w:type="pct"/>
            <w:vAlign w:val="center"/>
          </w:tcPr>
          <w:p>
            <w:pPr>
              <w:pStyle w:val="39"/>
              <w:rPr>
                <w:rFonts w:cs="Times New Roman"/>
              </w:rPr>
            </w:pPr>
            <w:r>
              <w:rPr>
                <w:rFonts w:cs="Times New Roman"/>
              </w:rPr>
              <w:t>浓度mg/m</w:t>
            </w:r>
            <w:r>
              <w:rPr>
                <w:rFonts w:cs="Times New Roman"/>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396" w:type="pct"/>
            <w:vAlign w:val="center"/>
          </w:tcPr>
          <w:p>
            <w:pPr>
              <w:pStyle w:val="39"/>
              <w:rPr>
                <w:rFonts w:cs="Times New Roman"/>
              </w:rPr>
            </w:pPr>
            <w:r>
              <w:rPr>
                <w:rFonts w:cs="Times New Roman"/>
              </w:rPr>
              <w:t>二氧化硫</w:t>
            </w:r>
          </w:p>
        </w:tc>
        <w:tc>
          <w:tcPr>
            <w:tcW w:w="1802" w:type="pct"/>
            <w:vMerge w:val="restart"/>
            <w:vAlign w:val="center"/>
          </w:tcPr>
          <w:p>
            <w:pPr>
              <w:pStyle w:val="39"/>
              <w:rPr>
                <w:rFonts w:cs="Times New Roman"/>
              </w:rPr>
            </w:pPr>
            <w:r>
              <w:rPr>
                <w:rFonts w:cs="Times New Roman"/>
              </w:rPr>
              <w:t>厂界外浓度最高点</w:t>
            </w:r>
          </w:p>
        </w:tc>
        <w:tc>
          <w:tcPr>
            <w:tcW w:w="1802" w:type="pct"/>
            <w:vAlign w:val="center"/>
          </w:tcPr>
          <w:p>
            <w:pPr>
              <w:pStyle w:val="39"/>
              <w:rPr>
                <w:rFonts w:cs="Times New Roman"/>
              </w:rPr>
            </w:pPr>
            <w:r>
              <w:rPr>
                <w:rFonts w:cs="Times New Roman"/>
              </w:rP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396" w:type="pct"/>
            <w:vAlign w:val="center"/>
          </w:tcPr>
          <w:p>
            <w:pPr>
              <w:pStyle w:val="39"/>
              <w:rPr>
                <w:rFonts w:cs="Times New Roman"/>
              </w:rPr>
            </w:pPr>
            <w:r>
              <w:rPr>
                <w:rFonts w:cs="Times New Roman"/>
              </w:rPr>
              <w:t>氮氧化物</w:t>
            </w:r>
          </w:p>
        </w:tc>
        <w:tc>
          <w:tcPr>
            <w:tcW w:w="1802" w:type="pct"/>
            <w:vMerge w:val="continue"/>
            <w:vAlign w:val="center"/>
          </w:tcPr>
          <w:p>
            <w:pPr>
              <w:pStyle w:val="39"/>
              <w:rPr>
                <w:rFonts w:cs="Times New Roman"/>
              </w:rPr>
            </w:pPr>
          </w:p>
        </w:tc>
        <w:tc>
          <w:tcPr>
            <w:tcW w:w="1802" w:type="pct"/>
            <w:vAlign w:val="center"/>
          </w:tcPr>
          <w:p>
            <w:pPr>
              <w:pStyle w:val="39"/>
              <w:rPr>
                <w:rFonts w:cs="Times New Roman"/>
              </w:rPr>
            </w:pPr>
            <w:r>
              <w:rPr>
                <w:rFonts w:cs="Times New Roman"/>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396" w:type="pct"/>
            <w:vAlign w:val="center"/>
          </w:tcPr>
          <w:p>
            <w:pPr>
              <w:pStyle w:val="39"/>
              <w:rPr>
                <w:rFonts w:cs="Times New Roman"/>
              </w:rPr>
            </w:pPr>
            <w:r>
              <w:rPr>
                <w:rFonts w:cs="Times New Roman"/>
              </w:rPr>
              <w:t>颗粒物</w:t>
            </w:r>
          </w:p>
        </w:tc>
        <w:tc>
          <w:tcPr>
            <w:tcW w:w="1802" w:type="pct"/>
            <w:vMerge w:val="continue"/>
            <w:vAlign w:val="center"/>
          </w:tcPr>
          <w:p>
            <w:pPr>
              <w:pStyle w:val="39"/>
              <w:rPr>
                <w:rFonts w:cs="Times New Roman"/>
              </w:rPr>
            </w:pPr>
          </w:p>
        </w:tc>
        <w:tc>
          <w:tcPr>
            <w:tcW w:w="1802" w:type="pct"/>
            <w:vAlign w:val="center"/>
          </w:tcPr>
          <w:p>
            <w:pPr>
              <w:pStyle w:val="39"/>
              <w:rPr>
                <w:rFonts w:cs="Times New Roman"/>
              </w:rPr>
            </w:pPr>
            <w:r>
              <w:rPr>
                <w:rFonts w:cs="Times New Roman"/>
              </w:rPr>
              <w:t>1.0</w:t>
            </w:r>
          </w:p>
        </w:tc>
      </w:tr>
    </w:tbl>
    <w:p>
      <w:pPr>
        <w:pStyle w:val="3"/>
        <w:ind w:firstLine="480"/>
      </w:pPr>
    </w:p>
    <w:p>
      <w:pPr>
        <w:pStyle w:val="15"/>
        <w:rPr>
          <w:rFonts w:cs="Times New Roman"/>
        </w:rPr>
      </w:pPr>
      <w:r>
        <w:rPr>
          <w:rFonts w:cs="Times New Roman"/>
        </w:rPr>
        <w:t xml:space="preserve">表2.5-9    </w:t>
      </w:r>
      <w:r>
        <w:rPr>
          <w:rFonts w:hint="eastAsia" w:cs="Times New Roman"/>
        </w:rPr>
        <w:t>生物质</w:t>
      </w:r>
      <w:r>
        <w:rPr>
          <w:rFonts w:cs="Times New Roman"/>
        </w:rPr>
        <w:t>颗粒锅炉大气污染物排放标准   单位：mg/m</w:t>
      </w:r>
      <w:r>
        <w:rPr>
          <w:rFonts w:cs="Times New Roman"/>
          <w:vertAlign w:val="superscript"/>
        </w:rPr>
        <w:t>3</w:t>
      </w:r>
    </w:p>
    <w:tbl>
      <w:tblPr>
        <w:tblStyle w:val="26"/>
        <w:tblW w:w="0" w:type="auto"/>
        <w:tblInd w:w="0" w:type="dxa"/>
        <w:tblLayout w:type="autofit"/>
        <w:tblCellMar>
          <w:top w:w="0" w:type="dxa"/>
          <w:left w:w="108" w:type="dxa"/>
          <w:bottom w:w="0" w:type="dxa"/>
          <w:right w:w="108" w:type="dxa"/>
        </w:tblCellMar>
      </w:tblPr>
      <w:tblGrid>
        <w:gridCol w:w="3227"/>
        <w:gridCol w:w="1982"/>
        <w:gridCol w:w="1982"/>
        <w:gridCol w:w="1982"/>
      </w:tblGrid>
      <w:tr>
        <w:tblPrEx>
          <w:tblCellMar>
            <w:top w:w="0" w:type="dxa"/>
            <w:left w:w="108" w:type="dxa"/>
            <w:bottom w:w="0" w:type="dxa"/>
            <w:right w:w="108" w:type="dxa"/>
          </w:tblCellMar>
        </w:tblPrEx>
        <w:trPr>
          <w:trHeight w:val="397" w:hRule="atLeast"/>
        </w:trPr>
        <w:tc>
          <w:tcPr>
            <w:tcW w:w="3227" w:type="dxa"/>
            <w:tcBorders>
              <w:top w:val="single" w:color="auto" w:sz="4" w:space="0"/>
              <w:left w:val="single" w:color="auto" w:sz="4" w:space="0"/>
              <w:bottom w:val="single" w:color="auto" w:sz="4" w:space="0"/>
              <w:right w:val="single" w:color="auto" w:sz="4" w:space="0"/>
              <w:tl2br w:val="single" w:color="auto" w:sz="4" w:space="0"/>
            </w:tcBorders>
            <w:vAlign w:val="center"/>
          </w:tcPr>
          <w:p>
            <w:pPr>
              <w:pStyle w:val="39"/>
              <w:jc w:val="right"/>
              <w:rPr>
                <w:rFonts w:cs="Times New Roman"/>
              </w:rPr>
            </w:pPr>
            <w:r>
              <w:rPr>
                <w:rFonts w:cs="Times New Roman"/>
              </w:rPr>
              <w:t>污染项目</w:t>
            </w:r>
          </w:p>
          <w:p>
            <w:pPr>
              <w:pStyle w:val="39"/>
              <w:jc w:val="left"/>
              <w:rPr>
                <w:rFonts w:cs="Times New Roman"/>
              </w:rPr>
            </w:pPr>
            <w:r>
              <w:rPr>
                <w:rFonts w:cs="Times New Roman"/>
              </w:rPr>
              <w:t>标准</w:t>
            </w:r>
          </w:p>
        </w:tc>
        <w:tc>
          <w:tcPr>
            <w:tcW w:w="1982" w:type="dxa"/>
            <w:tcBorders>
              <w:top w:val="single" w:color="auto" w:sz="4" w:space="0"/>
              <w:left w:val="single" w:color="auto" w:sz="4" w:space="0"/>
              <w:bottom w:val="single" w:color="auto" w:sz="4" w:space="0"/>
              <w:right w:val="single" w:color="auto" w:sz="4" w:space="0"/>
            </w:tcBorders>
            <w:vAlign w:val="center"/>
          </w:tcPr>
          <w:p>
            <w:pPr>
              <w:pStyle w:val="39"/>
              <w:rPr>
                <w:rFonts w:cs="Times New Roman"/>
              </w:rPr>
            </w:pPr>
            <w:r>
              <w:rPr>
                <w:rFonts w:cs="Times New Roman"/>
              </w:rPr>
              <w:t>二氧化硫</w:t>
            </w:r>
          </w:p>
        </w:tc>
        <w:tc>
          <w:tcPr>
            <w:tcW w:w="1982" w:type="dxa"/>
            <w:tcBorders>
              <w:top w:val="single" w:color="auto" w:sz="4" w:space="0"/>
              <w:left w:val="single" w:color="auto" w:sz="4" w:space="0"/>
              <w:bottom w:val="single" w:color="auto" w:sz="4" w:space="0"/>
              <w:right w:val="single" w:color="auto" w:sz="4" w:space="0"/>
            </w:tcBorders>
            <w:vAlign w:val="center"/>
          </w:tcPr>
          <w:p>
            <w:pPr>
              <w:pStyle w:val="39"/>
              <w:rPr>
                <w:rFonts w:cs="Times New Roman"/>
              </w:rPr>
            </w:pPr>
            <w:r>
              <w:rPr>
                <w:rFonts w:cs="Times New Roman"/>
              </w:rPr>
              <w:t>氮氧化物</w:t>
            </w:r>
          </w:p>
        </w:tc>
        <w:tc>
          <w:tcPr>
            <w:tcW w:w="1982" w:type="dxa"/>
            <w:tcBorders>
              <w:top w:val="single" w:color="auto" w:sz="4" w:space="0"/>
              <w:left w:val="single" w:color="auto" w:sz="4" w:space="0"/>
              <w:bottom w:val="single" w:color="auto" w:sz="4" w:space="0"/>
              <w:right w:val="single" w:color="auto" w:sz="4" w:space="0"/>
            </w:tcBorders>
            <w:vAlign w:val="center"/>
          </w:tcPr>
          <w:p>
            <w:pPr>
              <w:pStyle w:val="39"/>
              <w:rPr>
                <w:rFonts w:cs="Times New Roman"/>
              </w:rPr>
            </w:pPr>
            <w:r>
              <w:rPr>
                <w:rFonts w:cs="Times New Roman"/>
              </w:rPr>
              <w:t>颗粒物</w:t>
            </w:r>
          </w:p>
        </w:tc>
      </w:tr>
      <w:tr>
        <w:tblPrEx>
          <w:tblCellMar>
            <w:top w:w="0" w:type="dxa"/>
            <w:left w:w="108" w:type="dxa"/>
            <w:bottom w:w="0" w:type="dxa"/>
            <w:right w:w="108" w:type="dxa"/>
          </w:tblCellMar>
        </w:tblPrEx>
        <w:trPr>
          <w:trHeight w:val="397" w:hRule="atLeast"/>
        </w:trPr>
        <w:tc>
          <w:tcPr>
            <w:tcW w:w="3227" w:type="dxa"/>
            <w:tcBorders>
              <w:top w:val="single" w:color="auto" w:sz="4" w:space="0"/>
              <w:left w:val="single" w:color="auto" w:sz="4" w:space="0"/>
              <w:bottom w:val="single" w:color="auto" w:sz="4" w:space="0"/>
              <w:right w:val="single" w:color="auto" w:sz="4" w:space="0"/>
            </w:tcBorders>
            <w:vAlign w:val="center"/>
          </w:tcPr>
          <w:p>
            <w:pPr>
              <w:pStyle w:val="39"/>
              <w:rPr>
                <w:rFonts w:cs="Times New Roman"/>
              </w:rPr>
            </w:pPr>
            <w:r>
              <w:rPr>
                <w:rFonts w:hint="eastAsia" w:cs="Times New Roman"/>
              </w:rPr>
              <w:t>SO</w:t>
            </w:r>
            <w:r>
              <w:rPr>
                <w:rFonts w:hint="eastAsia" w:cs="Times New Roman"/>
                <w:vertAlign w:val="subscript"/>
              </w:rPr>
              <w:t>2</w:t>
            </w:r>
            <w:r>
              <w:rPr>
                <w:rFonts w:hint="eastAsia" w:cs="Times New Roman"/>
              </w:rPr>
              <w:t>、烟尘执行GB9078-1996中的干燥窑炉二级排放标准；NOx参考GB13271-2014燃煤</w:t>
            </w:r>
            <w:r>
              <w:rPr>
                <w:rFonts w:cs="Times New Roman"/>
              </w:rPr>
              <w:t>锅炉限值</w:t>
            </w:r>
          </w:p>
        </w:tc>
        <w:tc>
          <w:tcPr>
            <w:tcW w:w="1982" w:type="dxa"/>
            <w:tcBorders>
              <w:top w:val="single" w:color="auto" w:sz="4" w:space="0"/>
              <w:left w:val="single" w:color="auto" w:sz="4" w:space="0"/>
              <w:bottom w:val="single" w:color="auto" w:sz="4" w:space="0"/>
              <w:right w:val="single" w:color="auto" w:sz="4" w:space="0"/>
            </w:tcBorders>
            <w:vAlign w:val="center"/>
          </w:tcPr>
          <w:p>
            <w:pPr>
              <w:pStyle w:val="39"/>
              <w:rPr>
                <w:rFonts w:cs="Times New Roman"/>
              </w:rPr>
            </w:pPr>
            <w:r>
              <w:rPr>
                <w:rFonts w:cs="Times New Roman"/>
              </w:rPr>
              <w:t>850</w:t>
            </w:r>
          </w:p>
        </w:tc>
        <w:tc>
          <w:tcPr>
            <w:tcW w:w="1982" w:type="dxa"/>
            <w:tcBorders>
              <w:top w:val="single" w:color="auto" w:sz="4" w:space="0"/>
              <w:left w:val="single" w:color="auto" w:sz="4" w:space="0"/>
              <w:bottom w:val="single" w:color="auto" w:sz="4" w:space="0"/>
              <w:right w:val="single" w:color="auto" w:sz="4" w:space="0"/>
            </w:tcBorders>
            <w:vAlign w:val="center"/>
          </w:tcPr>
          <w:p>
            <w:pPr>
              <w:pStyle w:val="39"/>
              <w:rPr>
                <w:rFonts w:cs="Times New Roman"/>
              </w:rPr>
            </w:pPr>
            <w:r>
              <w:rPr>
                <w:rFonts w:hint="eastAsia" w:cs="Times New Roman"/>
              </w:rPr>
              <w:t>3</w:t>
            </w:r>
            <w:r>
              <w:rPr>
                <w:rFonts w:cs="Times New Roman"/>
              </w:rPr>
              <w:t>00</w:t>
            </w:r>
          </w:p>
        </w:tc>
        <w:tc>
          <w:tcPr>
            <w:tcW w:w="1982" w:type="dxa"/>
            <w:tcBorders>
              <w:top w:val="single" w:color="auto" w:sz="4" w:space="0"/>
              <w:left w:val="single" w:color="auto" w:sz="4" w:space="0"/>
              <w:bottom w:val="single" w:color="auto" w:sz="4" w:space="0"/>
              <w:right w:val="single" w:color="auto" w:sz="4" w:space="0"/>
            </w:tcBorders>
            <w:vAlign w:val="center"/>
          </w:tcPr>
          <w:p>
            <w:pPr>
              <w:pStyle w:val="39"/>
              <w:rPr>
                <w:rFonts w:cs="Times New Roman"/>
              </w:rPr>
            </w:pPr>
            <w:r>
              <w:rPr>
                <w:rFonts w:cs="Times New Roman"/>
              </w:rPr>
              <w:t>200</w:t>
            </w:r>
          </w:p>
        </w:tc>
      </w:tr>
    </w:tbl>
    <w:p>
      <w:pPr>
        <w:pStyle w:val="3"/>
        <w:ind w:firstLine="480"/>
      </w:pPr>
    </w:p>
    <w:p>
      <w:pPr>
        <w:pStyle w:val="3"/>
        <w:ind w:firstLine="480"/>
      </w:pPr>
      <w:r>
        <w:t>（2）水污染物排放标准</w:t>
      </w:r>
    </w:p>
    <w:p>
      <w:pPr>
        <w:pStyle w:val="3"/>
        <w:ind w:firstLine="480"/>
        <w:rPr>
          <w:rFonts w:cs="Times New Roman"/>
        </w:rPr>
      </w:pPr>
      <w:r>
        <w:rPr>
          <w:rFonts w:hint="eastAsia"/>
        </w:rPr>
        <w:t>鸡舍冲洗废水及</w:t>
      </w:r>
      <w:r>
        <w:t>生活污水</w:t>
      </w:r>
      <w:r>
        <w:rPr>
          <w:rFonts w:hint="eastAsia"/>
        </w:rPr>
        <w:t>经过三级</w:t>
      </w:r>
      <w:r>
        <w:t>化粪池</w:t>
      </w:r>
      <w:r>
        <w:rPr>
          <w:rFonts w:hint="eastAsia"/>
        </w:rPr>
        <w:t>处理后用作农肥，</w:t>
      </w:r>
      <w:r>
        <w:t>不外排。</w:t>
      </w:r>
    </w:p>
    <w:p>
      <w:pPr>
        <w:pStyle w:val="3"/>
        <w:ind w:firstLine="480"/>
        <w:rPr>
          <w:rFonts w:cs="Times New Roman"/>
        </w:rPr>
      </w:pPr>
      <w:r>
        <w:rPr>
          <w:rFonts w:cs="Times New Roman"/>
        </w:rPr>
        <w:t>（3）噪声排放标准</w:t>
      </w:r>
    </w:p>
    <w:p>
      <w:pPr>
        <w:pStyle w:val="3"/>
        <w:ind w:firstLine="480"/>
        <w:rPr>
          <w:rFonts w:cs="Times New Roman"/>
        </w:rPr>
      </w:pPr>
      <w:r>
        <w:rPr>
          <w:rFonts w:cs="Times New Roman"/>
        </w:rPr>
        <w:t>施工期场界环境噪声执行《建筑施工场界环境噪声排放标准》（GB12523-2011），详见表2.5-10；营运期项目厂界噪声执行《工业企业厂界环境噪声排放标准》（GB12348-2008）中的2类标准，详见表2.5-11。</w:t>
      </w:r>
    </w:p>
    <w:p>
      <w:pPr>
        <w:pStyle w:val="15"/>
        <w:rPr>
          <w:rFonts w:cs="Times New Roman"/>
        </w:rPr>
      </w:pPr>
      <w:r>
        <w:rPr>
          <w:rFonts w:cs="Times New Roman"/>
        </w:rPr>
        <w:t>表2.5-10   建筑施工场界环境噪声排放限值   单位：dB（A）</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03"/>
        <w:gridCol w:w="4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09" w:type="pct"/>
            <w:vAlign w:val="center"/>
          </w:tcPr>
          <w:p>
            <w:pPr>
              <w:pStyle w:val="39"/>
              <w:rPr>
                <w:rFonts w:cs="Times New Roman"/>
              </w:rPr>
            </w:pPr>
            <w:r>
              <w:rPr>
                <w:rFonts w:cs="Times New Roman"/>
              </w:rPr>
              <w:t>昼间</w:t>
            </w:r>
          </w:p>
        </w:tc>
        <w:tc>
          <w:tcPr>
            <w:tcW w:w="2491" w:type="pct"/>
            <w:vAlign w:val="center"/>
          </w:tcPr>
          <w:p>
            <w:pPr>
              <w:pStyle w:val="39"/>
              <w:rPr>
                <w:rFonts w:cs="Times New Roman"/>
              </w:rPr>
            </w:pPr>
            <w:r>
              <w:rPr>
                <w:rFonts w:cs="Times New Roman"/>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09" w:type="pct"/>
            <w:vAlign w:val="center"/>
          </w:tcPr>
          <w:p>
            <w:pPr>
              <w:pStyle w:val="39"/>
              <w:rPr>
                <w:rFonts w:cs="Times New Roman"/>
              </w:rPr>
            </w:pPr>
            <w:r>
              <w:rPr>
                <w:rFonts w:cs="Times New Roman"/>
              </w:rPr>
              <w:t>70</w:t>
            </w:r>
          </w:p>
        </w:tc>
        <w:tc>
          <w:tcPr>
            <w:tcW w:w="2491" w:type="pct"/>
            <w:vAlign w:val="center"/>
          </w:tcPr>
          <w:p>
            <w:pPr>
              <w:pStyle w:val="39"/>
              <w:rPr>
                <w:rFonts w:cs="Times New Roman"/>
              </w:rPr>
            </w:pPr>
            <w:r>
              <w:rPr>
                <w:rFonts w:cs="Times New Roman"/>
              </w:rPr>
              <w:t>55</w:t>
            </w:r>
          </w:p>
        </w:tc>
      </w:tr>
    </w:tbl>
    <w:p>
      <w:pPr>
        <w:pStyle w:val="15"/>
        <w:rPr>
          <w:rFonts w:cs="Times New Roman"/>
        </w:rPr>
      </w:pPr>
    </w:p>
    <w:p>
      <w:pPr>
        <w:pStyle w:val="15"/>
        <w:rPr>
          <w:rFonts w:cs="Times New Roman"/>
        </w:rPr>
      </w:pPr>
      <w:r>
        <w:rPr>
          <w:rFonts w:cs="Times New Roman"/>
        </w:rPr>
        <w:t>表2.5-11  工业企业厂界环境噪声排放标准  单位：dB（A）</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4"/>
        <w:gridCol w:w="3398"/>
        <w:gridCol w:w="1504"/>
        <w:gridCol w:w="1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50" w:type="pct"/>
            <w:vMerge w:val="restart"/>
            <w:vAlign w:val="center"/>
          </w:tcPr>
          <w:p>
            <w:pPr>
              <w:pStyle w:val="39"/>
              <w:rPr>
                <w:rFonts w:cs="Times New Roman"/>
              </w:rPr>
            </w:pPr>
            <w:r>
              <w:rPr>
                <w:rFonts w:cs="Times New Roman"/>
              </w:rPr>
              <w:t>厂界外声环境功能区类别</w:t>
            </w:r>
          </w:p>
        </w:tc>
        <w:tc>
          <w:tcPr>
            <w:tcW w:w="1852" w:type="pct"/>
            <w:vMerge w:val="restart"/>
            <w:vAlign w:val="center"/>
          </w:tcPr>
          <w:p>
            <w:pPr>
              <w:pStyle w:val="39"/>
              <w:rPr>
                <w:rFonts w:cs="Times New Roman"/>
              </w:rPr>
            </w:pPr>
            <w:r>
              <w:rPr>
                <w:rFonts w:cs="Times New Roman"/>
              </w:rPr>
              <w:t>执行标准和级别</w:t>
            </w:r>
          </w:p>
        </w:tc>
        <w:tc>
          <w:tcPr>
            <w:tcW w:w="1598" w:type="pct"/>
            <w:gridSpan w:val="2"/>
            <w:vAlign w:val="center"/>
          </w:tcPr>
          <w:p>
            <w:pPr>
              <w:pStyle w:val="39"/>
              <w:rPr>
                <w:rFonts w:cs="Times New Roman"/>
              </w:rPr>
            </w:pPr>
            <w:r>
              <w:rPr>
                <w:rFonts w:cs="Times New Roman"/>
              </w:rPr>
              <w:t>标准值dB（A）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50" w:type="pct"/>
            <w:vMerge w:val="continue"/>
            <w:vAlign w:val="center"/>
          </w:tcPr>
          <w:p>
            <w:pPr>
              <w:pStyle w:val="39"/>
              <w:rPr>
                <w:rFonts w:cs="Times New Roman"/>
              </w:rPr>
            </w:pPr>
          </w:p>
        </w:tc>
        <w:tc>
          <w:tcPr>
            <w:tcW w:w="1852" w:type="pct"/>
            <w:vMerge w:val="continue"/>
            <w:vAlign w:val="center"/>
          </w:tcPr>
          <w:p>
            <w:pPr>
              <w:pStyle w:val="39"/>
              <w:rPr>
                <w:rFonts w:cs="Times New Roman"/>
              </w:rPr>
            </w:pPr>
          </w:p>
        </w:tc>
        <w:tc>
          <w:tcPr>
            <w:tcW w:w="820" w:type="pct"/>
            <w:vAlign w:val="center"/>
          </w:tcPr>
          <w:p>
            <w:pPr>
              <w:pStyle w:val="39"/>
              <w:rPr>
                <w:rFonts w:cs="Times New Roman"/>
              </w:rPr>
            </w:pPr>
            <w:r>
              <w:rPr>
                <w:rFonts w:cs="Times New Roman"/>
              </w:rPr>
              <w:t>昼间</w:t>
            </w:r>
          </w:p>
        </w:tc>
        <w:tc>
          <w:tcPr>
            <w:tcW w:w="778" w:type="pct"/>
            <w:vAlign w:val="center"/>
          </w:tcPr>
          <w:p>
            <w:pPr>
              <w:pStyle w:val="39"/>
              <w:rPr>
                <w:rFonts w:cs="Times New Roman"/>
              </w:rPr>
            </w:pPr>
            <w:r>
              <w:rPr>
                <w:rFonts w:cs="Times New Roman"/>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50" w:type="pct"/>
            <w:vAlign w:val="center"/>
          </w:tcPr>
          <w:p>
            <w:pPr>
              <w:pStyle w:val="39"/>
              <w:rPr>
                <w:rFonts w:cs="Times New Roman"/>
              </w:rPr>
            </w:pPr>
            <w:r>
              <w:rPr>
                <w:rFonts w:cs="Times New Roman"/>
              </w:rPr>
              <w:t>2类</w:t>
            </w:r>
          </w:p>
        </w:tc>
        <w:tc>
          <w:tcPr>
            <w:tcW w:w="1852" w:type="pct"/>
            <w:vAlign w:val="center"/>
          </w:tcPr>
          <w:p>
            <w:pPr>
              <w:pStyle w:val="39"/>
              <w:rPr>
                <w:rFonts w:cs="Times New Roman"/>
              </w:rPr>
            </w:pPr>
            <w:r>
              <w:rPr>
                <w:rFonts w:cs="Times New Roman"/>
              </w:rPr>
              <w:t>GB12348-2008中2类标准</w:t>
            </w:r>
          </w:p>
        </w:tc>
        <w:tc>
          <w:tcPr>
            <w:tcW w:w="820" w:type="pct"/>
            <w:vAlign w:val="center"/>
          </w:tcPr>
          <w:p>
            <w:pPr>
              <w:pStyle w:val="39"/>
              <w:rPr>
                <w:rFonts w:cs="Times New Roman"/>
              </w:rPr>
            </w:pPr>
            <w:r>
              <w:rPr>
                <w:rFonts w:cs="Times New Roman"/>
              </w:rPr>
              <w:t>60</w:t>
            </w:r>
          </w:p>
        </w:tc>
        <w:tc>
          <w:tcPr>
            <w:tcW w:w="778" w:type="pct"/>
            <w:vAlign w:val="center"/>
          </w:tcPr>
          <w:p>
            <w:pPr>
              <w:pStyle w:val="39"/>
              <w:rPr>
                <w:rFonts w:cs="Times New Roman"/>
              </w:rPr>
            </w:pPr>
            <w:r>
              <w:rPr>
                <w:rFonts w:cs="Times New Roman"/>
              </w:rPr>
              <w:t>50</w:t>
            </w:r>
          </w:p>
        </w:tc>
      </w:tr>
    </w:tbl>
    <w:p>
      <w:pPr>
        <w:pStyle w:val="3"/>
        <w:ind w:firstLine="480"/>
        <w:rPr>
          <w:rFonts w:cs="Times New Roman"/>
        </w:rPr>
      </w:pPr>
    </w:p>
    <w:p>
      <w:pPr>
        <w:pStyle w:val="3"/>
        <w:ind w:firstLine="480"/>
        <w:rPr>
          <w:rFonts w:cs="Times New Roman"/>
        </w:rPr>
      </w:pPr>
      <w:r>
        <w:rPr>
          <w:rFonts w:cs="Times New Roman"/>
        </w:rPr>
        <w:t>（4）固体废物</w:t>
      </w:r>
    </w:p>
    <w:p>
      <w:pPr>
        <w:pStyle w:val="3"/>
        <w:ind w:firstLine="480"/>
        <w:rPr>
          <w:rFonts w:cs="Times New Roman"/>
        </w:rPr>
      </w:pPr>
      <w:r>
        <w:rPr>
          <w:rFonts w:hint="eastAsia" w:ascii="宋体" w:hAnsi="宋体" w:cs="宋体"/>
        </w:rPr>
        <w:t>①</w:t>
      </w:r>
      <w:r>
        <w:rPr>
          <w:rFonts w:cs="Times New Roman"/>
        </w:rPr>
        <w:t>畜禽废渣</w:t>
      </w:r>
    </w:p>
    <w:p>
      <w:pPr>
        <w:pStyle w:val="3"/>
        <w:ind w:firstLine="480"/>
        <w:rPr>
          <w:rFonts w:cs="Times New Roman"/>
        </w:rPr>
      </w:pPr>
      <w:r>
        <w:rPr>
          <w:rFonts w:cs="Times New Roman"/>
        </w:rPr>
        <w:t>本项目固体废物主要为畜禽废渣，根据《畜禽养殖污染管理办法》，畜禽废渣是指畜禽养殖的畜禽粪便、废饲料及散落的毛羽等固体废物，根据《畜禽养殖业污染物排放标准》（GB18596-2001），经无害化处理后畜禽废渣应达到的标准值如下表2.5-12所示；根据《畜禽养殖业污染防治技术规范》（HJ/T81-2001）中规定：畜禽粪便必须经过无害化处理，并且须符合《粪便无害化卫生要求》（GB7959-2012）后，才能进行土地利用，禁止未经处理的畜禽粪便直接施入农田，因此本项目畜禽粪便无害化处理后应达到的标准值如表2.5-13所示。</w:t>
      </w:r>
    </w:p>
    <w:p>
      <w:pPr>
        <w:pStyle w:val="15"/>
        <w:rPr>
          <w:rFonts w:cs="Times New Roman"/>
        </w:rPr>
      </w:pPr>
      <w:r>
        <w:rPr>
          <w:rFonts w:cs="Times New Roman"/>
        </w:rPr>
        <w:t>表2.5-12   畜禽养殖业废渣无害化环境标准</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86"/>
        <w:gridCol w:w="4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586" w:type="dxa"/>
            <w:vAlign w:val="center"/>
          </w:tcPr>
          <w:p>
            <w:pPr>
              <w:pStyle w:val="39"/>
              <w:rPr>
                <w:rFonts w:cs="Times New Roman"/>
              </w:rPr>
            </w:pPr>
            <w:r>
              <w:rPr>
                <w:rFonts w:cs="Times New Roman"/>
              </w:rPr>
              <w:t>控制项目</w:t>
            </w:r>
          </w:p>
        </w:tc>
        <w:tc>
          <w:tcPr>
            <w:tcW w:w="4587" w:type="dxa"/>
            <w:vAlign w:val="center"/>
          </w:tcPr>
          <w:p>
            <w:pPr>
              <w:pStyle w:val="39"/>
              <w:rPr>
                <w:rFonts w:cs="Times New Roman"/>
              </w:rPr>
            </w:pPr>
            <w:r>
              <w:rPr>
                <w:rFonts w:cs="Times New Roman"/>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586" w:type="dxa"/>
            <w:vAlign w:val="center"/>
          </w:tcPr>
          <w:p>
            <w:pPr>
              <w:pStyle w:val="39"/>
              <w:rPr>
                <w:rFonts w:cs="Times New Roman"/>
              </w:rPr>
            </w:pPr>
            <w:r>
              <w:rPr>
                <w:rFonts w:cs="Times New Roman"/>
              </w:rPr>
              <w:t>蛔虫卵</w:t>
            </w:r>
          </w:p>
        </w:tc>
        <w:tc>
          <w:tcPr>
            <w:tcW w:w="4587" w:type="dxa"/>
            <w:vAlign w:val="center"/>
          </w:tcPr>
          <w:p>
            <w:pPr>
              <w:pStyle w:val="39"/>
              <w:rPr>
                <w:rFonts w:cs="Times New Roman"/>
              </w:rPr>
            </w:pPr>
            <w:r>
              <w:rPr>
                <w:rFonts w:cs="Times New Roman"/>
              </w:rPr>
              <w:t>死亡率≥95%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586" w:type="dxa"/>
            <w:vAlign w:val="center"/>
          </w:tcPr>
          <w:p>
            <w:pPr>
              <w:pStyle w:val="39"/>
              <w:rPr>
                <w:rFonts w:cs="Times New Roman"/>
              </w:rPr>
            </w:pPr>
            <w:r>
              <w:rPr>
                <w:rFonts w:cs="Times New Roman"/>
              </w:rPr>
              <w:t>粪大肠菌群数</w:t>
            </w:r>
          </w:p>
        </w:tc>
        <w:tc>
          <w:tcPr>
            <w:tcW w:w="4587" w:type="dxa"/>
            <w:vAlign w:val="center"/>
          </w:tcPr>
          <w:p>
            <w:pPr>
              <w:pStyle w:val="39"/>
              <w:rPr>
                <w:rFonts w:cs="Times New Roman"/>
              </w:rPr>
            </w:pPr>
            <w:r>
              <w:rPr>
                <w:rFonts w:cs="Times New Roman"/>
              </w:rPr>
              <w:t>≤10</w:t>
            </w:r>
            <w:r>
              <w:rPr>
                <w:rFonts w:cs="Times New Roman"/>
                <w:vertAlign w:val="superscript"/>
              </w:rPr>
              <w:t>5</w:t>
            </w:r>
            <w:r>
              <w:rPr>
                <w:rFonts w:cs="Times New Roman"/>
              </w:rPr>
              <w:t>个/kg</w:t>
            </w:r>
          </w:p>
        </w:tc>
      </w:tr>
    </w:tbl>
    <w:p>
      <w:pPr>
        <w:pStyle w:val="3"/>
        <w:ind w:firstLine="480"/>
        <w:rPr>
          <w:rFonts w:cs="Times New Roman"/>
        </w:rPr>
      </w:pPr>
    </w:p>
    <w:p>
      <w:pPr>
        <w:pStyle w:val="15"/>
        <w:rPr>
          <w:rFonts w:cs="Times New Roman"/>
        </w:rPr>
      </w:pPr>
      <w:r>
        <w:rPr>
          <w:rFonts w:cs="Times New Roman"/>
        </w:rPr>
        <w:t xml:space="preserve">表2.5-13  </w:t>
      </w:r>
      <w:r>
        <w:rPr>
          <w:rFonts w:hint="eastAsia" w:cs="Times New Roman"/>
        </w:rPr>
        <w:t>脱水干燥粪便</w:t>
      </w:r>
      <w:r>
        <w:rPr>
          <w:rFonts w:cs="Times New Roman"/>
        </w:rPr>
        <w:t>的卫生标准</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2694"/>
        <w:gridCol w:w="5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5" w:type="dxa"/>
            <w:vAlign w:val="center"/>
          </w:tcPr>
          <w:p>
            <w:pPr>
              <w:pStyle w:val="39"/>
              <w:rPr>
                <w:rFonts w:cs="Times New Roman"/>
              </w:rPr>
            </w:pPr>
            <w:r>
              <w:rPr>
                <w:rFonts w:cs="Times New Roman"/>
              </w:rPr>
              <w:t>序号</w:t>
            </w:r>
          </w:p>
        </w:tc>
        <w:tc>
          <w:tcPr>
            <w:tcW w:w="2694" w:type="dxa"/>
            <w:vAlign w:val="center"/>
          </w:tcPr>
          <w:p>
            <w:pPr>
              <w:pStyle w:val="39"/>
              <w:rPr>
                <w:rFonts w:cs="Times New Roman"/>
              </w:rPr>
            </w:pPr>
            <w:r>
              <w:rPr>
                <w:rFonts w:cs="Times New Roman"/>
              </w:rPr>
              <w:t>项目</w:t>
            </w:r>
          </w:p>
        </w:tc>
        <w:tc>
          <w:tcPr>
            <w:tcW w:w="5804" w:type="dxa"/>
            <w:vAlign w:val="center"/>
          </w:tcPr>
          <w:p>
            <w:pPr>
              <w:pStyle w:val="39"/>
              <w:rPr>
                <w:rFonts w:cs="Times New Roman"/>
              </w:rPr>
            </w:pPr>
            <w:r>
              <w:rPr>
                <w:rFonts w:cs="Times New Roman"/>
              </w:rPr>
              <w:t>卫生标准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5" w:type="dxa"/>
            <w:vAlign w:val="center"/>
          </w:tcPr>
          <w:p>
            <w:pPr>
              <w:pStyle w:val="39"/>
              <w:rPr>
                <w:rFonts w:cs="Times New Roman"/>
              </w:rPr>
            </w:pPr>
            <w:r>
              <w:rPr>
                <w:rFonts w:cs="Times New Roman"/>
              </w:rPr>
              <w:t>1</w:t>
            </w:r>
          </w:p>
        </w:tc>
        <w:tc>
          <w:tcPr>
            <w:tcW w:w="2694" w:type="dxa"/>
            <w:vAlign w:val="center"/>
          </w:tcPr>
          <w:p>
            <w:pPr>
              <w:pStyle w:val="39"/>
              <w:rPr>
                <w:rFonts w:cs="Times New Roman"/>
              </w:rPr>
            </w:pPr>
            <w:r>
              <w:rPr>
                <w:rFonts w:hint="eastAsia" w:cs="Times New Roman"/>
              </w:rPr>
              <w:t>蛔虫卵</w:t>
            </w:r>
          </w:p>
        </w:tc>
        <w:tc>
          <w:tcPr>
            <w:tcW w:w="5804" w:type="dxa"/>
            <w:vAlign w:val="center"/>
          </w:tcPr>
          <w:p>
            <w:pPr>
              <w:pStyle w:val="39"/>
              <w:rPr>
                <w:rFonts w:cs="Times New Roman" w:eastAsiaTheme="minorEastAsia"/>
              </w:rPr>
            </w:pPr>
            <w:r>
              <w:rPr>
                <w:rFonts w:cs="Times New Roman"/>
              </w:rPr>
              <w:t>死亡率</w:t>
            </w:r>
            <w:r>
              <w:rPr>
                <w:rFonts w:hint="eastAsia" w:cs="Times New Roma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5" w:type="dxa"/>
            <w:vAlign w:val="center"/>
          </w:tcPr>
          <w:p>
            <w:pPr>
              <w:pStyle w:val="39"/>
              <w:rPr>
                <w:rFonts w:cs="Times New Roman"/>
              </w:rPr>
            </w:pPr>
            <w:r>
              <w:rPr>
                <w:rFonts w:cs="Times New Roman"/>
              </w:rPr>
              <w:t>2</w:t>
            </w:r>
          </w:p>
        </w:tc>
        <w:tc>
          <w:tcPr>
            <w:tcW w:w="2694" w:type="dxa"/>
            <w:vAlign w:val="center"/>
          </w:tcPr>
          <w:p>
            <w:pPr>
              <w:pStyle w:val="39"/>
              <w:rPr>
                <w:rFonts w:cs="Times New Roman"/>
              </w:rPr>
            </w:pPr>
            <w:r>
              <w:rPr>
                <w:rFonts w:hint="eastAsia" w:cs="Times New Roman"/>
              </w:rPr>
              <w:t>血吸虫卵和钩虫卵</w:t>
            </w:r>
          </w:p>
        </w:tc>
        <w:tc>
          <w:tcPr>
            <w:tcW w:w="5804" w:type="dxa"/>
            <w:vAlign w:val="center"/>
          </w:tcPr>
          <w:p>
            <w:pPr>
              <w:pStyle w:val="39"/>
              <w:rPr>
                <w:rFonts w:cs="Times New Roman"/>
              </w:rPr>
            </w:pPr>
            <w:r>
              <w:rPr>
                <w:rFonts w:hint="eastAsia" w:cs="Times New Roman"/>
              </w:rPr>
              <w:t>不得检出活卵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5" w:type="dxa"/>
            <w:vAlign w:val="center"/>
          </w:tcPr>
          <w:p>
            <w:pPr>
              <w:pStyle w:val="39"/>
              <w:rPr>
                <w:rFonts w:cs="Times New Roman"/>
              </w:rPr>
            </w:pPr>
            <w:r>
              <w:rPr>
                <w:rFonts w:cs="Times New Roman"/>
              </w:rPr>
              <w:t>3</w:t>
            </w:r>
          </w:p>
        </w:tc>
        <w:tc>
          <w:tcPr>
            <w:tcW w:w="2694" w:type="dxa"/>
            <w:vAlign w:val="center"/>
          </w:tcPr>
          <w:p>
            <w:pPr>
              <w:pStyle w:val="39"/>
              <w:rPr>
                <w:rFonts w:cs="Times New Roman"/>
              </w:rPr>
            </w:pPr>
            <w:r>
              <w:rPr>
                <w:rFonts w:cs="Times New Roman"/>
              </w:rPr>
              <w:t>粪大肠菌值</w:t>
            </w:r>
          </w:p>
        </w:tc>
        <w:tc>
          <w:tcPr>
            <w:tcW w:w="5804" w:type="dxa"/>
            <w:vAlign w:val="center"/>
          </w:tcPr>
          <w:p>
            <w:pPr>
              <w:pStyle w:val="39"/>
              <w:rPr>
                <w:rFonts w:cs="Times New Roman"/>
              </w:rPr>
            </w:pPr>
            <w:r>
              <w:rPr>
                <w:rFonts w:hint="eastAsia" w:cs="Times New Roman"/>
              </w:rPr>
              <w:t>≥10</w:t>
            </w:r>
            <w:r>
              <w:rPr>
                <w:rFonts w:hint="eastAsia" w:cs="Times New Roman"/>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5" w:type="dxa"/>
            <w:vAlign w:val="center"/>
          </w:tcPr>
          <w:p>
            <w:pPr>
              <w:pStyle w:val="39"/>
              <w:rPr>
                <w:rFonts w:cs="Times New Roman"/>
              </w:rPr>
            </w:pPr>
            <w:r>
              <w:rPr>
                <w:rFonts w:cs="Times New Roman"/>
              </w:rPr>
              <w:t>4</w:t>
            </w:r>
          </w:p>
        </w:tc>
        <w:tc>
          <w:tcPr>
            <w:tcW w:w="2694" w:type="dxa"/>
            <w:vAlign w:val="center"/>
          </w:tcPr>
          <w:p>
            <w:pPr>
              <w:pStyle w:val="39"/>
              <w:rPr>
                <w:rFonts w:cs="Times New Roman"/>
              </w:rPr>
            </w:pPr>
            <w:r>
              <w:rPr>
                <w:rFonts w:hint="eastAsia" w:cs="Times New Roman"/>
              </w:rPr>
              <w:t>沙门氏菌</w:t>
            </w:r>
          </w:p>
        </w:tc>
        <w:tc>
          <w:tcPr>
            <w:tcW w:w="5804" w:type="dxa"/>
            <w:vAlign w:val="center"/>
          </w:tcPr>
          <w:p>
            <w:pPr>
              <w:pStyle w:val="39"/>
              <w:rPr>
                <w:rFonts w:cs="Times New Roman"/>
              </w:rPr>
            </w:pPr>
            <w:r>
              <w:rPr>
                <w:rFonts w:hint="eastAsia" w:cs="Times New Roman"/>
              </w:rPr>
              <w:t>不得检出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5" w:type="dxa"/>
            <w:vAlign w:val="center"/>
          </w:tcPr>
          <w:p>
            <w:pPr>
              <w:pStyle w:val="39"/>
              <w:rPr>
                <w:rFonts w:cs="Times New Roman"/>
              </w:rPr>
            </w:pPr>
            <w:r>
              <w:rPr>
                <w:rFonts w:hint="eastAsia" w:cs="Times New Roman"/>
              </w:rPr>
              <w:t>5</w:t>
            </w:r>
          </w:p>
        </w:tc>
        <w:tc>
          <w:tcPr>
            <w:tcW w:w="2694" w:type="dxa"/>
            <w:vAlign w:val="center"/>
          </w:tcPr>
          <w:p>
            <w:pPr>
              <w:pStyle w:val="39"/>
              <w:rPr>
                <w:rFonts w:cs="Times New Roman"/>
              </w:rPr>
            </w:pPr>
            <w:r>
              <w:rPr>
                <w:rFonts w:hint="eastAsia" w:cs="Times New Roman"/>
              </w:rPr>
              <w:t>pH</w:t>
            </w:r>
          </w:p>
        </w:tc>
        <w:tc>
          <w:tcPr>
            <w:tcW w:w="5804" w:type="dxa"/>
            <w:vAlign w:val="center"/>
          </w:tcPr>
          <w:p>
            <w:pPr>
              <w:pStyle w:val="39"/>
              <w:rPr>
                <w:rFonts w:cs="Times New Roman"/>
              </w:rPr>
            </w:pPr>
            <w:r>
              <w:rPr>
                <w:rFonts w:hint="eastAsia" w:cs="Times New Roman"/>
              </w:rPr>
              <w:t>草木灰、粪混合后＞pH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5" w:type="dxa"/>
            <w:vAlign w:val="center"/>
          </w:tcPr>
          <w:p>
            <w:pPr>
              <w:pStyle w:val="39"/>
              <w:rPr>
                <w:rFonts w:cs="Times New Roman"/>
              </w:rPr>
            </w:pPr>
            <w:r>
              <w:rPr>
                <w:rFonts w:hint="eastAsia" w:cs="Times New Roman"/>
              </w:rPr>
              <w:t>6</w:t>
            </w:r>
          </w:p>
        </w:tc>
        <w:tc>
          <w:tcPr>
            <w:tcW w:w="2694" w:type="dxa"/>
            <w:vAlign w:val="center"/>
          </w:tcPr>
          <w:p>
            <w:pPr>
              <w:pStyle w:val="39"/>
              <w:rPr>
                <w:rFonts w:cs="Times New Roman"/>
              </w:rPr>
            </w:pPr>
            <w:r>
              <w:rPr>
                <w:rFonts w:hint="eastAsia" w:cs="Times New Roman"/>
              </w:rPr>
              <w:t>水分</w:t>
            </w:r>
          </w:p>
        </w:tc>
        <w:tc>
          <w:tcPr>
            <w:tcW w:w="5804" w:type="dxa"/>
            <w:vAlign w:val="center"/>
          </w:tcPr>
          <w:p>
            <w:pPr>
              <w:pStyle w:val="39"/>
              <w:rPr>
                <w:rFonts w:cs="Times New Roman"/>
              </w:rPr>
            </w:pPr>
            <w:r>
              <w:rPr>
                <w:rFonts w:hint="eastAsia" w:cs="Times New Roman"/>
              </w:rPr>
              <w:t>50%以下</w:t>
            </w:r>
          </w:p>
        </w:tc>
      </w:tr>
    </w:tbl>
    <w:p>
      <w:pPr>
        <w:pStyle w:val="3"/>
        <w:ind w:firstLine="480"/>
        <w:rPr>
          <w:rFonts w:cs="Times New Roman"/>
        </w:rPr>
      </w:pPr>
      <w:r>
        <w:rPr>
          <w:rFonts w:hint="eastAsia" w:ascii="宋体" w:hAnsi="宋体" w:cs="宋体"/>
        </w:rPr>
        <w:t>②</w:t>
      </w:r>
      <w:r>
        <w:rPr>
          <w:rFonts w:cs="Times New Roman"/>
        </w:rPr>
        <w:t>防疫医疗产生的危险废物暂存执行《危险废物贮存污染控制标准》（GB18597-2001）及其2013年修改单。</w:t>
      </w:r>
    </w:p>
    <w:p>
      <w:pPr>
        <w:pStyle w:val="3"/>
        <w:ind w:firstLine="480"/>
        <w:rPr>
          <w:rFonts w:eastAsia="MS Mincho" w:cs="Times New Roman"/>
          <w:lang w:eastAsia="ja-JP"/>
        </w:rPr>
      </w:pPr>
      <w:r>
        <w:rPr>
          <w:rFonts w:hint="eastAsia" w:ascii="宋体" w:hAnsi="宋体" w:cs="宋体"/>
          <w:lang w:eastAsia="ja-JP"/>
        </w:rPr>
        <w:t>③</w:t>
      </w:r>
      <w:r>
        <w:rPr>
          <w:rFonts w:cs="Times New Roman"/>
        </w:rPr>
        <w:t>病死鸡体处理执行《病害动物和病害动物产品生物安全处理规程》（GB16548-2006）和《病死动物无害化处理技术规范》（农医发[2017]25号）</w:t>
      </w:r>
    </w:p>
    <w:p>
      <w:pPr>
        <w:pStyle w:val="3"/>
        <w:ind w:firstLine="480"/>
        <w:rPr>
          <w:rFonts w:cs="Times New Roman"/>
        </w:rPr>
      </w:pPr>
      <w:r>
        <w:rPr>
          <w:rFonts w:hint="eastAsia" w:ascii="宋体" w:hAnsi="宋体" w:cs="宋体"/>
        </w:rPr>
        <w:t>④</w:t>
      </w:r>
      <w:r>
        <w:rPr>
          <w:rFonts w:cs="Times New Roman"/>
        </w:rPr>
        <w:t>一般固废执行《一般工业固体废物贮存</w:t>
      </w:r>
      <w:r>
        <w:rPr>
          <w:rFonts w:hint="eastAsia" w:cs="Times New Roman"/>
        </w:rPr>
        <w:t>和填埋</w:t>
      </w:r>
      <w:r>
        <w:rPr>
          <w:rFonts w:cs="Times New Roman"/>
        </w:rPr>
        <w:t>污染控制标准》（GB18599-202</w:t>
      </w:r>
      <w:r>
        <w:rPr>
          <w:rFonts w:hint="eastAsia" w:cs="Times New Roman"/>
        </w:rPr>
        <w:t>0</w:t>
      </w:r>
      <w:r>
        <w:rPr>
          <w:rFonts w:cs="Times New Roman"/>
        </w:rPr>
        <w:t>）。</w:t>
      </w:r>
    </w:p>
    <w:p>
      <w:pPr>
        <w:pStyle w:val="3"/>
        <w:ind w:firstLine="480"/>
      </w:pPr>
      <w:r>
        <w:rPr>
          <w:rFonts w:hint="eastAsia" w:ascii="宋体" w:hAnsi="宋体" w:cs="宋体"/>
        </w:rPr>
        <w:t>⑤</w:t>
      </w:r>
      <w:r>
        <w:rPr>
          <w:rFonts w:cs="Times New Roman"/>
        </w:rPr>
        <w:t>生活垃圾执行《生活垃圾填埋场污染控制标准》（GB16889-2008）。</w:t>
      </w:r>
    </w:p>
    <w:p>
      <w:pPr>
        <w:pStyle w:val="5"/>
      </w:pPr>
      <w:bookmarkStart w:id="13" w:name="_Toc80889074"/>
      <w:r>
        <w:rPr>
          <w:rFonts w:hint="eastAsia"/>
        </w:rPr>
        <w:t>评价</w:t>
      </w:r>
      <w:r>
        <w:t>工作等级及评价范围</w:t>
      </w:r>
      <w:bookmarkEnd w:id="13"/>
    </w:p>
    <w:p>
      <w:pPr>
        <w:pStyle w:val="6"/>
        <w:ind w:left="0" w:firstLine="0"/>
        <w:rPr>
          <w:rFonts w:cs="Times New Roman"/>
        </w:rPr>
      </w:pPr>
      <w:r>
        <w:rPr>
          <w:rFonts w:cs="Times New Roman"/>
        </w:rPr>
        <w:t>环境空气评价工作等级及评价范围</w:t>
      </w:r>
    </w:p>
    <w:p>
      <w:pPr>
        <w:pStyle w:val="7"/>
        <w:ind w:left="862" w:hanging="862"/>
        <w:rPr>
          <w:rFonts w:cs="Times New Roman"/>
        </w:rPr>
      </w:pPr>
      <w:r>
        <w:rPr>
          <w:rFonts w:cs="Times New Roman"/>
        </w:rPr>
        <w:t>评价工作等级确定</w:t>
      </w:r>
    </w:p>
    <w:p>
      <w:pPr>
        <w:pStyle w:val="3"/>
        <w:ind w:firstLine="480"/>
        <w:rPr>
          <w:rFonts w:cs="Times New Roman"/>
        </w:rPr>
      </w:pPr>
      <w:r>
        <w:rPr>
          <w:rFonts w:cs="Times New Roman"/>
        </w:rPr>
        <w:t>（1）评价工作等级依据</w:t>
      </w:r>
    </w:p>
    <w:p>
      <w:pPr>
        <w:pStyle w:val="3"/>
        <w:ind w:firstLine="480"/>
        <w:rPr>
          <w:rFonts w:cs="Times New Roman"/>
        </w:rPr>
      </w:pPr>
      <w:r>
        <w:rPr>
          <w:rFonts w:cs="Times New Roman"/>
        </w:rPr>
        <w:t>根据项目特点，本项目产生的废气主要为鸡舍、鸡粪处理区</w:t>
      </w:r>
      <w:r>
        <w:rPr>
          <w:rFonts w:hint="eastAsia" w:cs="Times New Roman"/>
        </w:rPr>
        <w:t>等</w:t>
      </w:r>
      <w:r>
        <w:rPr>
          <w:rFonts w:cs="Times New Roman"/>
        </w:rPr>
        <w:t>产生的恶臭，污染因子为H</w:t>
      </w:r>
      <w:r>
        <w:rPr>
          <w:rFonts w:cs="Times New Roman"/>
          <w:vertAlign w:val="subscript"/>
        </w:rPr>
        <w:t>2</w:t>
      </w:r>
      <w:r>
        <w:rPr>
          <w:rFonts w:cs="Times New Roman"/>
        </w:rPr>
        <w:t>S、NH</w:t>
      </w:r>
      <w:r>
        <w:rPr>
          <w:rFonts w:cs="Times New Roman"/>
          <w:vertAlign w:val="subscript"/>
        </w:rPr>
        <w:t>3</w:t>
      </w:r>
      <w:r>
        <w:rPr>
          <w:rFonts w:cs="Times New Roman"/>
        </w:rPr>
        <w:t>，呈无组织排放</w:t>
      </w:r>
      <w:r>
        <w:rPr>
          <w:rFonts w:hint="eastAsia" w:cs="Times New Roman"/>
        </w:rPr>
        <w:t>；</w:t>
      </w:r>
      <w:r>
        <w:rPr>
          <w:rFonts w:hint="eastAsia"/>
        </w:rPr>
        <w:t>锅炉燃烧生物质颗粒，燃烧废气通过布袋除尘器除尘后经</w:t>
      </w:r>
      <w:r>
        <w:t>20</w:t>
      </w:r>
      <w:r>
        <w:rPr>
          <w:rFonts w:hint="eastAsia"/>
        </w:rPr>
        <w:t>m高排气筒外排，</w:t>
      </w:r>
      <w:r>
        <w:rPr>
          <w:color w:val="000000"/>
          <w:u w:val="single"/>
        </w:rPr>
        <w:t>由于</w:t>
      </w:r>
      <w:r>
        <w:rPr>
          <w:rFonts w:hint="eastAsia"/>
          <w:color w:val="000000"/>
          <w:u w:val="single"/>
        </w:rPr>
        <w:t>三个</w:t>
      </w:r>
      <w:r>
        <w:rPr>
          <w:color w:val="000000"/>
          <w:u w:val="single"/>
        </w:rPr>
        <w:t>锅炉均设置在育雏鸡舍的</w:t>
      </w:r>
      <w:r>
        <w:rPr>
          <w:rFonts w:hint="eastAsia"/>
          <w:color w:val="000000"/>
          <w:u w:val="single"/>
        </w:rPr>
        <w:t>南端</w:t>
      </w:r>
      <w:r>
        <w:rPr>
          <w:color w:val="000000"/>
          <w:u w:val="single"/>
        </w:rPr>
        <w:t>，</w:t>
      </w:r>
      <w:r>
        <w:rPr>
          <w:rFonts w:hint="eastAsia"/>
          <w:color w:val="000000"/>
          <w:u w:val="single"/>
        </w:rPr>
        <w:t>排气筒</w:t>
      </w:r>
      <w:r>
        <w:rPr>
          <w:color w:val="000000"/>
          <w:u w:val="single"/>
        </w:rPr>
        <w:t>之间的距离</w:t>
      </w:r>
      <w:r>
        <w:rPr>
          <w:rFonts w:hint="eastAsia"/>
          <w:color w:val="000000"/>
          <w:u w:val="single"/>
        </w:rPr>
        <w:t>最远</w:t>
      </w:r>
      <w:r>
        <w:rPr>
          <w:color w:val="000000"/>
          <w:u w:val="single"/>
        </w:rPr>
        <w:t>为</w:t>
      </w:r>
      <w:r>
        <w:rPr>
          <w:rFonts w:hint="eastAsia"/>
          <w:color w:val="000000"/>
          <w:u w:val="single"/>
        </w:rPr>
        <w:t>30</w:t>
      </w:r>
      <w:r>
        <w:rPr>
          <w:color w:val="000000"/>
          <w:u w:val="single"/>
        </w:rPr>
        <w:t>m</w:t>
      </w:r>
      <w:r>
        <w:rPr>
          <w:rFonts w:hint="eastAsia"/>
          <w:color w:val="000000"/>
          <w:u w:val="single"/>
        </w:rPr>
        <w:t>小于</w:t>
      </w:r>
      <w:r>
        <w:rPr>
          <w:color w:val="000000"/>
          <w:u w:val="single"/>
        </w:rPr>
        <w:t>两两排气筒</w:t>
      </w:r>
      <w:r>
        <w:rPr>
          <w:rFonts w:hint="eastAsia"/>
          <w:color w:val="000000"/>
          <w:u w:val="single"/>
        </w:rPr>
        <w:t>高度</w:t>
      </w:r>
      <w:r>
        <w:rPr>
          <w:color w:val="000000"/>
          <w:u w:val="single"/>
        </w:rPr>
        <w:t>和</w:t>
      </w:r>
      <w:r>
        <w:rPr>
          <w:rFonts w:hint="eastAsia"/>
          <w:color w:val="000000"/>
          <w:u w:val="single"/>
        </w:rPr>
        <w:t>40</w:t>
      </w:r>
      <w:r>
        <w:rPr>
          <w:color w:val="000000"/>
          <w:u w:val="single"/>
        </w:rPr>
        <w:t>m</w:t>
      </w:r>
      <w:r>
        <w:rPr>
          <w:rFonts w:hint="eastAsia"/>
          <w:color w:val="000000"/>
          <w:u w:val="single"/>
        </w:rPr>
        <w:t>，</w:t>
      </w:r>
      <w:r>
        <w:rPr>
          <w:color w:val="000000"/>
          <w:u w:val="single"/>
        </w:rPr>
        <w:t>因此三根排气筒</w:t>
      </w:r>
      <w:r>
        <w:rPr>
          <w:rFonts w:hint="eastAsia"/>
          <w:color w:val="000000"/>
          <w:u w:val="single"/>
        </w:rPr>
        <w:t>等效</w:t>
      </w:r>
      <w:r>
        <w:rPr>
          <w:color w:val="000000"/>
          <w:u w:val="single"/>
        </w:rPr>
        <w:t>为一根排气筒</w:t>
      </w:r>
      <w:r>
        <w:rPr>
          <w:rFonts w:hint="eastAsia"/>
          <w:color w:val="000000"/>
          <w:u w:val="single"/>
        </w:rPr>
        <w:t>；</w:t>
      </w:r>
      <w:r>
        <w:t>污染因子为</w:t>
      </w:r>
      <w:r>
        <w:rPr>
          <w:rFonts w:hint="eastAsia"/>
        </w:rPr>
        <w:t>SO</w:t>
      </w:r>
      <w:r>
        <w:rPr>
          <w:rFonts w:hint="eastAsia"/>
          <w:vertAlign w:val="subscript"/>
        </w:rPr>
        <w:t>2</w:t>
      </w:r>
      <w:r>
        <w:rPr>
          <w:rFonts w:hint="eastAsia"/>
        </w:rPr>
        <w:t>、NO</w:t>
      </w:r>
      <w:r>
        <w:rPr>
          <w:rFonts w:hint="eastAsia"/>
          <w:vertAlign w:val="subscript"/>
        </w:rPr>
        <w:t>x</w:t>
      </w:r>
      <w:r>
        <w:rPr>
          <w:rFonts w:hint="eastAsia"/>
        </w:rPr>
        <w:t>、TSP；</w:t>
      </w:r>
      <w:r>
        <w:rPr>
          <w:rFonts w:cs="Times New Roman"/>
        </w:rPr>
        <w:t>因此</w:t>
      </w:r>
      <w:r>
        <w:t>本次</w:t>
      </w:r>
      <w:r>
        <w:rPr>
          <w:rFonts w:hint="eastAsia"/>
        </w:rPr>
        <w:t>评价将按有组织及无组织各污染源污染物排放</w:t>
      </w:r>
      <w:r>
        <w:t>情况</w:t>
      </w:r>
      <w:r>
        <w:rPr>
          <w:rFonts w:hint="eastAsia"/>
        </w:rPr>
        <w:t>估算</w:t>
      </w:r>
      <w:r>
        <w:t>本项目的大气环境影响评价工作等级</w:t>
      </w:r>
      <w:r>
        <w:rPr>
          <w:rFonts w:cs="Times New Roman"/>
        </w:rPr>
        <w:t>，根据《环境影响评价技</w:t>
      </w:r>
      <w:r>
        <w:rPr>
          <w:rStyle w:val="54"/>
          <w:rFonts w:cs="Times New Roman"/>
        </w:rPr>
        <w:t>术导则 大气环境》（HJ2.2-2018）</w:t>
      </w:r>
      <w:r>
        <w:rPr>
          <w:rFonts w:cs="Times New Roman"/>
        </w:rPr>
        <w:t>有关规定，选择附录A推荐模式中的估算模式对项目的环境空气评价工作进行分级。结合项目的工程分析结果，本次评价将对污染源中的污染物分别计算最大地面质量浓度占标率P</w:t>
      </w:r>
      <w:r>
        <w:rPr>
          <w:rFonts w:cs="Times New Roman"/>
          <w:vertAlign w:val="subscript"/>
        </w:rPr>
        <w:t>i</w:t>
      </w:r>
      <w:r>
        <w:rPr>
          <w:rFonts w:cs="Times New Roman"/>
        </w:rPr>
        <w:t>（第i个污染物），及第i个污染物的地面质量浓度达标准限值10%时所对应的最远距离D</w:t>
      </w:r>
      <w:r>
        <w:rPr>
          <w:rFonts w:cs="Times New Roman"/>
          <w:vertAlign w:val="subscript"/>
        </w:rPr>
        <w:t>10%</w:t>
      </w:r>
      <w:r>
        <w:rPr>
          <w:rFonts w:cs="Times New Roman"/>
        </w:rPr>
        <w:t>。其中P</w:t>
      </w:r>
      <w:r>
        <w:rPr>
          <w:rFonts w:cs="Times New Roman"/>
          <w:vertAlign w:val="subscript"/>
        </w:rPr>
        <w:t>i</w:t>
      </w:r>
      <w:r>
        <w:rPr>
          <w:rFonts w:cs="Times New Roman"/>
        </w:rPr>
        <w:t>定义为：</w:t>
      </w:r>
    </w:p>
    <w:p>
      <w:pPr>
        <w:spacing w:line="360" w:lineRule="auto"/>
        <w:jc w:val="center"/>
        <w:rPr>
          <w:rFonts w:ascii="Times New Roman" w:hAnsi="Times New Roman" w:cs="Times New Roman"/>
          <w:sz w:val="24"/>
        </w:rPr>
      </w:pPr>
      <w:r>
        <w:rPr>
          <w:rFonts w:ascii="Times New Roman" w:hAnsi="Times New Roman" w:cs="Times New Roman"/>
        </w:rPr>
        <w:drawing>
          <wp:inline distT="0" distB="0" distL="0" distR="0">
            <wp:extent cx="1405890" cy="551815"/>
            <wp:effectExtent l="0" t="0" r="3810" b="63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405890" cy="551815"/>
                    </a:xfrm>
                    <a:prstGeom prst="rect">
                      <a:avLst/>
                    </a:prstGeom>
                    <a:noFill/>
                    <a:ln>
                      <a:noFill/>
                    </a:ln>
                  </pic:spPr>
                </pic:pic>
              </a:graphicData>
            </a:graphic>
          </wp:inline>
        </w:drawing>
      </w:r>
    </w:p>
    <w:p>
      <w:pPr>
        <w:pStyle w:val="3"/>
        <w:ind w:firstLine="0" w:firstLineChars="0"/>
        <w:rPr>
          <w:rFonts w:cs="Times New Roman"/>
        </w:rPr>
      </w:pPr>
      <w:r>
        <w:rPr>
          <w:rFonts w:cs="Times New Roman"/>
        </w:rPr>
        <w:t>式中：</w:t>
      </w:r>
      <w:r>
        <w:rPr>
          <w:rFonts w:cs="Times New Roman"/>
          <w:i/>
        </w:rPr>
        <w:t>P</w:t>
      </w:r>
      <w:r>
        <w:rPr>
          <w:rFonts w:cs="Times New Roman"/>
          <w:i/>
          <w:vertAlign w:val="subscript"/>
        </w:rPr>
        <w:t>i</w:t>
      </w:r>
      <w:r>
        <w:rPr>
          <w:rFonts w:cs="Times New Roman"/>
        </w:rPr>
        <w:t>—第i个污染物的最大地面空气质量浓度占标率，%；</w:t>
      </w:r>
    </w:p>
    <w:p>
      <w:pPr>
        <w:pStyle w:val="3"/>
        <w:ind w:firstLine="480"/>
        <w:rPr>
          <w:rFonts w:cs="Times New Roman"/>
        </w:rPr>
      </w:pPr>
      <w:r>
        <w:rPr>
          <w:rFonts w:cs="Times New Roman"/>
        </w:rPr>
        <w:t xml:space="preserve"> </w:t>
      </w:r>
      <w:r>
        <w:rPr>
          <w:rFonts w:cs="Times New Roman"/>
          <w:i/>
        </w:rPr>
        <w:t>C</w:t>
      </w:r>
      <w:r>
        <w:rPr>
          <w:rFonts w:cs="Times New Roman"/>
          <w:i/>
          <w:vertAlign w:val="subscript"/>
        </w:rPr>
        <w:t>i</w:t>
      </w:r>
      <w:r>
        <w:rPr>
          <w:rFonts w:cs="Times New Roman"/>
        </w:rPr>
        <w:t>—采用估算模型计算出的第i个污染物的最大1h地面空气质量浓度，μg/m</w:t>
      </w:r>
      <w:r>
        <w:rPr>
          <w:rFonts w:cs="Times New Roman"/>
          <w:vertAlign w:val="superscript"/>
        </w:rPr>
        <w:t>3</w:t>
      </w:r>
      <w:r>
        <w:rPr>
          <w:rFonts w:cs="Times New Roman"/>
        </w:rPr>
        <w:t>；</w:t>
      </w:r>
    </w:p>
    <w:p>
      <w:pPr>
        <w:pStyle w:val="3"/>
        <w:ind w:firstLine="480"/>
        <w:rPr>
          <w:rFonts w:cs="Times New Roman"/>
        </w:rPr>
      </w:pPr>
      <w:r>
        <w:rPr>
          <w:rFonts w:cs="Times New Roman"/>
        </w:rPr>
        <w:t xml:space="preserve"> </w:t>
      </w:r>
      <w:r>
        <w:rPr>
          <w:rFonts w:cs="Times New Roman"/>
          <w:i/>
        </w:rPr>
        <w:t>C</w:t>
      </w:r>
      <w:r>
        <w:rPr>
          <w:rFonts w:cs="Times New Roman"/>
          <w:i/>
          <w:vertAlign w:val="subscript"/>
        </w:rPr>
        <w:t>0i</w:t>
      </w:r>
      <w:r>
        <w:rPr>
          <w:rFonts w:cs="Times New Roman"/>
        </w:rPr>
        <w:t>—第i个污染物的环境空气质量浓度标准，μg /m</w:t>
      </w:r>
      <w:r>
        <w:rPr>
          <w:rFonts w:cs="Times New Roman"/>
          <w:vertAlign w:val="superscript"/>
        </w:rPr>
        <w:t>3</w:t>
      </w:r>
      <w:r>
        <w:rPr>
          <w:rFonts w:cs="Times New Roman"/>
        </w:rPr>
        <w:t>。</w:t>
      </w:r>
    </w:p>
    <w:p>
      <w:pPr>
        <w:pStyle w:val="3"/>
        <w:ind w:firstLine="480"/>
        <w:rPr>
          <w:rFonts w:cs="Times New Roman"/>
        </w:rPr>
      </w:pPr>
      <w:r>
        <w:rPr>
          <w:rFonts w:cs="Times New Roman"/>
        </w:rPr>
        <w:t>评价工作等级按表2.6-1的分级数据进行划分，最大地面浓度占标率P</w:t>
      </w:r>
      <w:r>
        <w:rPr>
          <w:rFonts w:cs="Times New Roman"/>
          <w:vertAlign w:val="subscript"/>
        </w:rPr>
        <w:t>i</w:t>
      </w:r>
      <w:r>
        <w:rPr>
          <w:rFonts w:cs="Times New Roman"/>
        </w:rPr>
        <w:t>按上述公式计算，如污染物数量大于1，取P</w:t>
      </w:r>
      <w:r>
        <w:rPr>
          <w:rFonts w:cs="Times New Roman"/>
          <w:vertAlign w:val="subscript"/>
        </w:rPr>
        <w:t>i</w:t>
      </w:r>
      <w:r>
        <w:rPr>
          <w:rFonts w:cs="Times New Roman"/>
        </w:rPr>
        <w:t>中最大者（P</w:t>
      </w:r>
      <w:r>
        <w:rPr>
          <w:rFonts w:cs="Times New Roman"/>
          <w:vertAlign w:val="subscript"/>
        </w:rPr>
        <w:t>max</w:t>
      </w:r>
      <w:r>
        <w:rPr>
          <w:rFonts w:cs="Times New Roman"/>
        </w:rPr>
        <w:t>）和其对应的D</w:t>
      </w:r>
      <w:r>
        <w:rPr>
          <w:rFonts w:cs="Times New Roman"/>
          <w:vertAlign w:val="subscript"/>
        </w:rPr>
        <w:t>10%</w:t>
      </w:r>
      <w:r>
        <w:rPr>
          <w:rFonts w:cs="Times New Roman"/>
        </w:rPr>
        <w:t>。</w:t>
      </w:r>
    </w:p>
    <w:p>
      <w:pPr>
        <w:pStyle w:val="15"/>
        <w:rPr>
          <w:rFonts w:cs="Times New Roman"/>
          <w:sz w:val="21"/>
        </w:rPr>
      </w:pPr>
      <w:r>
        <w:rPr>
          <w:rFonts w:cs="Times New Roman"/>
        </w:rPr>
        <w:t>表2.6-1   评价工作等级表</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6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73" w:type="dxa"/>
            <w:vAlign w:val="center"/>
          </w:tcPr>
          <w:p>
            <w:pPr>
              <w:pStyle w:val="39"/>
              <w:rPr>
                <w:rFonts w:cs="Times New Roman"/>
              </w:rPr>
            </w:pPr>
            <w:r>
              <w:rPr>
                <w:rFonts w:cs="Times New Roman"/>
              </w:rPr>
              <w:t>评价工作等级</w:t>
            </w:r>
          </w:p>
        </w:tc>
        <w:tc>
          <w:tcPr>
            <w:tcW w:w="6835" w:type="dxa"/>
            <w:vAlign w:val="center"/>
          </w:tcPr>
          <w:p>
            <w:pPr>
              <w:pStyle w:val="39"/>
              <w:rPr>
                <w:rFonts w:cs="Times New Roman"/>
              </w:rPr>
            </w:pPr>
            <w:r>
              <w:rPr>
                <w:rFonts w:cs="Times New Roman"/>
              </w:rPr>
              <w:t>评价工作分级判据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73" w:type="dxa"/>
            <w:vAlign w:val="center"/>
          </w:tcPr>
          <w:p>
            <w:pPr>
              <w:pStyle w:val="39"/>
              <w:rPr>
                <w:rFonts w:cs="Times New Roman"/>
              </w:rPr>
            </w:pPr>
            <w:r>
              <w:rPr>
                <w:rFonts w:cs="Times New Roman"/>
              </w:rPr>
              <w:t>一级</w:t>
            </w:r>
          </w:p>
        </w:tc>
        <w:tc>
          <w:tcPr>
            <w:tcW w:w="6835" w:type="dxa"/>
            <w:vAlign w:val="center"/>
          </w:tcPr>
          <w:p>
            <w:pPr>
              <w:pStyle w:val="39"/>
              <w:rPr>
                <w:rFonts w:cs="Times New Roman"/>
              </w:rPr>
            </w:pPr>
            <w:r>
              <w:rPr>
                <w:rFonts w:cs="Times New Roman"/>
              </w:rPr>
              <w:t>P</w:t>
            </w:r>
            <w:r>
              <w:rPr>
                <w:rFonts w:cs="Times New Roman"/>
                <w:vertAlign w:val="subscript"/>
              </w:rPr>
              <w:t>max</w:t>
            </w:r>
            <w:r>
              <w:rPr>
                <w:rFonts w:cs="Times New Roma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73" w:type="dxa"/>
            <w:vAlign w:val="center"/>
          </w:tcPr>
          <w:p>
            <w:pPr>
              <w:pStyle w:val="39"/>
              <w:rPr>
                <w:rFonts w:cs="Times New Roman"/>
              </w:rPr>
            </w:pPr>
            <w:r>
              <w:rPr>
                <w:rFonts w:cs="Times New Roman"/>
              </w:rPr>
              <w:t>二级</w:t>
            </w:r>
          </w:p>
        </w:tc>
        <w:tc>
          <w:tcPr>
            <w:tcW w:w="6835" w:type="dxa"/>
            <w:vAlign w:val="center"/>
          </w:tcPr>
          <w:p>
            <w:pPr>
              <w:pStyle w:val="39"/>
              <w:rPr>
                <w:rFonts w:cs="Times New Roman"/>
              </w:rPr>
            </w:pPr>
            <w:r>
              <w:rPr>
                <w:rFonts w:cs="Times New Roman"/>
              </w:rPr>
              <w:t>1%≤P</w:t>
            </w:r>
            <w:r>
              <w:rPr>
                <w:rFonts w:cs="Times New Roman"/>
                <w:vertAlign w:val="subscript"/>
              </w:rPr>
              <w:t>max</w:t>
            </w:r>
            <w:r>
              <w:rPr>
                <w:rFonts w:cs="Times New Roma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73" w:type="dxa"/>
            <w:vAlign w:val="center"/>
          </w:tcPr>
          <w:p>
            <w:pPr>
              <w:pStyle w:val="39"/>
              <w:rPr>
                <w:rFonts w:cs="Times New Roman"/>
              </w:rPr>
            </w:pPr>
            <w:r>
              <w:rPr>
                <w:rFonts w:cs="Times New Roman"/>
              </w:rPr>
              <w:t>三级</w:t>
            </w:r>
          </w:p>
        </w:tc>
        <w:tc>
          <w:tcPr>
            <w:tcW w:w="6835" w:type="dxa"/>
            <w:vAlign w:val="center"/>
          </w:tcPr>
          <w:p>
            <w:pPr>
              <w:pStyle w:val="39"/>
              <w:rPr>
                <w:rFonts w:cs="Times New Roman"/>
              </w:rPr>
            </w:pPr>
            <w:r>
              <w:rPr>
                <w:rFonts w:cs="Times New Roman"/>
              </w:rPr>
              <w:t>P</w:t>
            </w:r>
            <w:r>
              <w:rPr>
                <w:rFonts w:cs="Times New Roman"/>
                <w:vertAlign w:val="subscript"/>
              </w:rPr>
              <w:t>max</w:t>
            </w:r>
            <w:r>
              <w:rPr>
                <w:rFonts w:cs="Times New Roman"/>
              </w:rPr>
              <w:t>&lt;1%</w:t>
            </w:r>
          </w:p>
        </w:tc>
      </w:tr>
    </w:tbl>
    <w:p>
      <w:pPr>
        <w:pStyle w:val="3"/>
        <w:ind w:firstLine="480"/>
        <w:rPr>
          <w:rFonts w:cs="Times New Roman"/>
        </w:rPr>
      </w:pPr>
    </w:p>
    <w:p>
      <w:pPr>
        <w:pStyle w:val="3"/>
        <w:ind w:firstLine="480"/>
        <w:rPr>
          <w:rFonts w:cs="Times New Roman"/>
        </w:rPr>
      </w:pPr>
      <w:r>
        <w:rPr>
          <w:rFonts w:cs="Times New Roman"/>
        </w:rPr>
        <w:t>（2）污染物评价标准</w:t>
      </w:r>
    </w:p>
    <w:p>
      <w:pPr>
        <w:pStyle w:val="3"/>
        <w:ind w:firstLine="480"/>
        <w:rPr>
          <w:rFonts w:cs="Times New Roman"/>
          <w:i/>
          <w:iCs/>
          <w:sz w:val="21"/>
        </w:rPr>
      </w:pPr>
      <w:r>
        <w:rPr>
          <w:rStyle w:val="38"/>
          <w:rFonts w:cs="Times New Roman"/>
        </w:rPr>
        <w:t>污染物评价标准和来源见下表</w:t>
      </w:r>
      <w:r>
        <w:rPr>
          <w:rFonts w:cs="Times New Roman"/>
          <w:i/>
          <w:iCs/>
          <w:sz w:val="21"/>
        </w:rPr>
        <w:t>。</w:t>
      </w:r>
    </w:p>
    <w:p>
      <w:pPr>
        <w:pStyle w:val="15"/>
        <w:rPr>
          <w:rFonts w:cs="Times New Roman"/>
        </w:rPr>
      </w:pPr>
      <w:r>
        <w:rPr>
          <w:rFonts w:cs="Times New Roman"/>
        </w:rPr>
        <w:t>表2.6-2  污染物评价标准</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134"/>
        <w:gridCol w:w="1418"/>
        <w:gridCol w:w="1701"/>
        <w:gridCol w:w="3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41" w:type="dxa"/>
            <w:shd w:val="clear" w:color="auto" w:fill="auto"/>
            <w:vAlign w:val="center"/>
          </w:tcPr>
          <w:p>
            <w:pPr>
              <w:pStyle w:val="39"/>
              <w:rPr>
                <w:rFonts w:cs="Times New Roman"/>
              </w:rPr>
            </w:pPr>
            <w:r>
              <w:rPr>
                <w:rFonts w:cs="Times New Roman"/>
              </w:rPr>
              <w:t>污染物名称</w:t>
            </w:r>
          </w:p>
        </w:tc>
        <w:tc>
          <w:tcPr>
            <w:tcW w:w="1134" w:type="dxa"/>
            <w:shd w:val="clear" w:color="auto" w:fill="auto"/>
            <w:vAlign w:val="center"/>
          </w:tcPr>
          <w:p>
            <w:pPr>
              <w:pStyle w:val="39"/>
              <w:rPr>
                <w:rFonts w:cs="Times New Roman"/>
              </w:rPr>
            </w:pPr>
            <w:r>
              <w:rPr>
                <w:rFonts w:cs="Times New Roman"/>
              </w:rPr>
              <w:t>功能区</w:t>
            </w:r>
          </w:p>
        </w:tc>
        <w:tc>
          <w:tcPr>
            <w:tcW w:w="1418" w:type="dxa"/>
            <w:shd w:val="clear" w:color="auto" w:fill="auto"/>
            <w:vAlign w:val="center"/>
          </w:tcPr>
          <w:p>
            <w:pPr>
              <w:pStyle w:val="39"/>
              <w:rPr>
                <w:rFonts w:cs="Times New Roman"/>
              </w:rPr>
            </w:pPr>
            <w:r>
              <w:rPr>
                <w:rFonts w:cs="Times New Roman"/>
              </w:rPr>
              <w:t>取值时间</w:t>
            </w:r>
          </w:p>
        </w:tc>
        <w:tc>
          <w:tcPr>
            <w:tcW w:w="1701" w:type="dxa"/>
            <w:shd w:val="clear" w:color="auto" w:fill="auto"/>
            <w:vAlign w:val="center"/>
          </w:tcPr>
          <w:p>
            <w:pPr>
              <w:pStyle w:val="39"/>
              <w:rPr>
                <w:rFonts w:cs="Times New Roman"/>
              </w:rPr>
            </w:pPr>
            <w:r>
              <w:rPr>
                <w:rFonts w:cs="Times New Roman"/>
              </w:rPr>
              <w:t>标准值(μg/m</w:t>
            </w:r>
            <w:r>
              <w:rPr>
                <w:rFonts w:cs="Times New Roman"/>
                <w:vertAlign w:val="superscript"/>
              </w:rPr>
              <w:t>3</w:t>
            </w:r>
            <w:r>
              <w:rPr>
                <w:rFonts w:cs="Times New Roman"/>
              </w:rPr>
              <w:t>)</w:t>
            </w:r>
          </w:p>
        </w:tc>
        <w:tc>
          <w:tcPr>
            <w:tcW w:w="3679" w:type="dxa"/>
            <w:shd w:val="clear" w:color="auto" w:fill="auto"/>
            <w:vAlign w:val="center"/>
          </w:tcPr>
          <w:p>
            <w:pPr>
              <w:pStyle w:val="39"/>
              <w:rPr>
                <w:rFonts w:cs="Times New Roman"/>
              </w:rPr>
            </w:pPr>
            <w:r>
              <w:rPr>
                <w:rFonts w:cs="Times New Roman"/>
              </w:rPr>
              <w:t>标准来源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41" w:type="dxa"/>
            <w:shd w:val="clear" w:color="auto" w:fill="auto"/>
            <w:vAlign w:val="center"/>
          </w:tcPr>
          <w:p>
            <w:pPr>
              <w:pStyle w:val="39"/>
              <w:rPr>
                <w:rFonts w:cs="Times New Roman"/>
              </w:rPr>
            </w:pPr>
            <w:r>
              <w:rPr>
                <w:rFonts w:cs="Times New Roman"/>
              </w:rPr>
              <w:t>H</w:t>
            </w:r>
            <w:r>
              <w:rPr>
                <w:rFonts w:cs="Times New Roman"/>
                <w:vertAlign w:val="subscript"/>
              </w:rPr>
              <w:t>2</w:t>
            </w:r>
            <w:r>
              <w:rPr>
                <w:rFonts w:cs="Times New Roman"/>
              </w:rPr>
              <w:t>S</w:t>
            </w:r>
          </w:p>
        </w:tc>
        <w:tc>
          <w:tcPr>
            <w:tcW w:w="1134" w:type="dxa"/>
            <w:shd w:val="clear" w:color="auto" w:fill="auto"/>
            <w:vAlign w:val="center"/>
          </w:tcPr>
          <w:p>
            <w:pPr>
              <w:pStyle w:val="39"/>
              <w:rPr>
                <w:rFonts w:cs="Times New Roman"/>
              </w:rPr>
            </w:pPr>
            <w:r>
              <w:rPr>
                <w:rFonts w:cs="Times New Roman"/>
              </w:rPr>
              <w:t>二类限区</w:t>
            </w:r>
          </w:p>
        </w:tc>
        <w:tc>
          <w:tcPr>
            <w:tcW w:w="1418" w:type="dxa"/>
            <w:shd w:val="clear" w:color="auto" w:fill="auto"/>
            <w:vAlign w:val="center"/>
          </w:tcPr>
          <w:p>
            <w:pPr>
              <w:pStyle w:val="39"/>
              <w:rPr>
                <w:rFonts w:cs="Times New Roman"/>
              </w:rPr>
            </w:pPr>
            <w:r>
              <w:rPr>
                <w:rFonts w:cs="Times New Roman"/>
              </w:rPr>
              <w:t>1小时</w:t>
            </w:r>
          </w:p>
        </w:tc>
        <w:tc>
          <w:tcPr>
            <w:tcW w:w="1701" w:type="dxa"/>
            <w:shd w:val="clear" w:color="auto" w:fill="auto"/>
            <w:vAlign w:val="center"/>
          </w:tcPr>
          <w:p>
            <w:pPr>
              <w:pStyle w:val="39"/>
              <w:rPr>
                <w:rFonts w:cs="Times New Roman"/>
              </w:rPr>
            </w:pPr>
            <w:r>
              <w:rPr>
                <w:rFonts w:cs="Times New Roman"/>
              </w:rPr>
              <w:t>10</w:t>
            </w:r>
          </w:p>
        </w:tc>
        <w:tc>
          <w:tcPr>
            <w:tcW w:w="3679" w:type="dxa"/>
            <w:vMerge w:val="restart"/>
            <w:shd w:val="clear" w:color="auto" w:fill="auto"/>
            <w:vAlign w:val="center"/>
          </w:tcPr>
          <w:p>
            <w:pPr>
              <w:pStyle w:val="39"/>
              <w:rPr>
                <w:rFonts w:cs="Times New Roman"/>
              </w:rPr>
            </w:pPr>
            <w:r>
              <w:rPr>
                <w:rFonts w:cs="Times New Roman"/>
              </w:rPr>
              <w:t>《环境影响评价技</w:t>
            </w:r>
            <w:r>
              <w:rPr>
                <w:rStyle w:val="54"/>
                <w:rFonts w:cs="Times New Roman"/>
              </w:rPr>
              <w:t>术导则 大气环境》（HJ2.2-2018）附录D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41" w:type="dxa"/>
            <w:shd w:val="clear" w:color="auto" w:fill="auto"/>
            <w:vAlign w:val="center"/>
          </w:tcPr>
          <w:p>
            <w:pPr>
              <w:pStyle w:val="39"/>
              <w:rPr>
                <w:rFonts w:cs="Times New Roman"/>
              </w:rPr>
            </w:pPr>
            <w:r>
              <w:rPr>
                <w:rFonts w:cs="Times New Roman"/>
              </w:rPr>
              <w:t>NH</w:t>
            </w:r>
            <w:r>
              <w:rPr>
                <w:rFonts w:cs="Times New Roman"/>
                <w:vertAlign w:val="subscript"/>
              </w:rPr>
              <w:t>3</w:t>
            </w:r>
          </w:p>
        </w:tc>
        <w:tc>
          <w:tcPr>
            <w:tcW w:w="1134" w:type="dxa"/>
            <w:shd w:val="clear" w:color="auto" w:fill="auto"/>
            <w:vAlign w:val="center"/>
          </w:tcPr>
          <w:p>
            <w:pPr>
              <w:pStyle w:val="39"/>
              <w:rPr>
                <w:rFonts w:cs="Times New Roman"/>
              </w:rPr>
            </w:pPr>
            <w:r>
              <w:rPr>
                <w:rFonts w:cs="Times New Roman"/>
              </w:rPr>
              <w:t>二类限区</w:t>
            </w:r>
          </w:p>
        </w:tc>
        <w:tc>
          <w:tcPr>
            <w:tcW w:w="1418" w:type="dxa"/>
            <w:shd w:val="clear" w:color="auto" w:fill="auto"/>
            <w:vAlign w:val="center"/>
          </w:tcPr>
          <w:p>
            <w:pPr>
              <w:pStyle w:val="39"/>
              <w:rPr>
                <w:rFonts w:cs="Times New Roman"/>
              </w:rPr>
            </w:pPr>
            <w:r>
              <w:rPr>
                <w:rFonts w:cs="Times New Roman"/>
              </w:rPr>
              <w:t>1小时</w:t>
            </w:r>
          </w:p>
        </w:tc>
        <w:tc>
          <w:tcPr>
            <w:tcW w:w="1701" w:type="dxa"/>
            <w:shd w:val="clear" w:color="auto" w:fill="auto"/>
            <w:vAlign w:val="center"/>
          </w:tcPr>
          <w:p>
            <w:pPr>
              <w:pStyle w:val="39"/>
              <w:rPr>
                <w:rFonts w:cs="Times New Roman"/>
              </w:rPr>
            </w:pPr>
            <w:r>
              <w:rPr>
                <w:rFonts w:cs="Times New Roman"/>
              </w:rPr>
              <w:t>200</w:t>
            </w:r>
          </w:p>
        </w:tc>
        <w:tc>
          <w:tcPr>
            <w:tcW w:w="3679" w:type="dxa"/>
            <w:vMerge w:val="continue"/>
            <w:shd w:val="clear" w:color="auto" w:fill="auto"/>
            <w:vAlign w:val="center"/>
          </w:tcPr>
          <w:p>
            <w:pPr>
              <w:pStyle w:val="3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41" w:type="dxa"/>
            <w:shd w:val="clear" w:color="auto" w:fill="auto"/>
            <w:vAlign w:val="center"/>
          </w:tcPr>
          <w:p>
            <w:pPr>
              <w:pStyle w:val="39"/>
            </w:pPr>
            <w:r>
              <w:rPr>
                <w:rFonts w:cs="Times New Roman"/>
              </w:rPr>
              <w:t>SO</w:t>
            </w:r>
            <w:r>
              <w:rPr>
                <w:rFonts w:cs="Times New Roman"/>
                <w:vertAlign w:val="subscript"/>
              </w:rPr>
              <w:t>2</w:t>
            </w:r>
          </w:p>
        </w:tc>
        <w:tc>
          <w:tcPr>
            <w:tcW w:w="1134" w:type="dxa"/>
            <w:shd w:val="clear" w:color="auto" w:fill="auto"/>
            <w:vAlign w:val="center"/>
          </w:tcPr>
          <w:p>
            <w:pPr>
              <w:pStyle w:val="39"/>
            </w:pPr>
            <w:r>
              <w:t>二类限区</w:t>
            </w:r>
          </w:p>
        </w:tc>
        <w:tc>
          <w:tcPr>
            <w:tcW w:w="1418" w:type="dxa"/>
            <w:shd w:val="clear" w:color="auto" w:fill="auto"/>
            <w:vAlign w:val="center"/>
          </w:tcPr>
          <w:p>
            <w:pPr>
              <w:pStyle w:val="39"/>
              <w:rPr>
                <w:rFonts w:cs="Times New Roman"/>
              </w:rPr>
            </w:pPr>
            <w:r>
              <w:rPr>
                <w:rFonts w:cs="Times New Roman"/>
              </w:rPr>
              <w:t>1小时</w:t>
            </w:r>
          </w:p>
        </w:tc>
        <w:tc>
          <w:tcPr>
            <w:tcW w:w="1701" w:type="dxa"/>
            <w:shd w:val="clear" w:color="auto" w:fill="auto"/>
            <w:vAlign w:val="center"/>
          </w:tcPr>
          <w:p>
            <w:pPr>
              <w:pStyle w:val="39"/>
              <w:rPr>
                <w:rFonts w:cs="Times New Roman"/>
              </w:rPr>
            </w:pPr>
            <w:r>
              <w:rPr>
                <w:rFonts w:cs="Times New Roman"/>
              </w:rPr>
              <w:t>500</w:t>
            </w:r>
          </w:p>
        </w:tc>
        <w:tc>
          <w:tcPr>
            <w:tcW w:w="3679" w:type="dxa"/>
            <w:vMerge w:val="restart"/>
            <w:shd w:val="clear" w:color="auto" w:fill="auto"/>
            <w:vAlign w:val="center"/>
          </w:tcPr>
          <w:p>
            <w:pPr>
              <w:pStyle w:val="39"/>
            </w:pPr>
            <w:r>
              <w:rPr>
                <w:rFonts w:cs="Times New Roman"/>
              </w:rPr>
              <w:t>《环境空气质量标准》</w:t>
            </w:r>
            <w:r>
              <w:t>（GB3095-2012）二</w:t>
            </w:r>
            <w:r>
              <w:rPr>
                <w:rFonts w:cs="Times New Roman"/>
              </w:rPr>
              <w:t>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41" w:type="dxa"/>
            <w:shd w:val="clear" w:color="auto" w:fill="auto"/>
            <w:vAlign w:val="center"/>
          </w:tcPr>
          <w:p>
            <w:pPr>
              <w:pStyle w:val="39"/>
            </w:pPr>
            <w:r>
              <w:rPr>
                <w:rFonts w:hint="eastAsia" w:cs="Times New Roman"/>
              </w:rPr>
              <w:t>NO</w:t>
            </w:r>
            <w:r>
              <w:rPr>
                <w:rFonts w:hint="eastAsia" w:cs="Times New Roman"/>
                <w:vertAlign w:val="subscript"/>
              </w:rPr>
              <w:t>X</w:t>
            </w:r>
          </w:p>
        </w:tc>
        <w:tc>
          <w:tcPr>
            <w:tcW w:w="1134" w:type="dxa"/>
            <w:shd w:val="clear" w:color="auto" w:fill="auto"/>
            <w:vAlign w:val="center"/>
          </w:tcPr>
          <w:p>
            <w:pPr>
              <w:pStyle w:val="39"/>
            </w:pPr>
            <w:r>
              <w:t>二类限区</w:t>
            </w:r>
          </w:p>
        </w:tc>
        <w:tc>
          <w:tcPr>
            <w:tcW w:w="1418" w:type="dxa"/>
            <w:shd w:val="clear" w:color="auto" w:fill="auto"/>
            <w:vAlign w:val="center"/>
          </w:tcPr>
          <w:p>
            <w:pPr>
              <w:pStyle w:val="39"/>
            </w:pPr>
            <w:r>
              <w:rPr>
                <w:rFonts w:hint="eastAsia"/>
              </w:rPr>
              <w:t>1</w:t>
            </w:r>
            <w:r>
              <w:t>小时</w:t>
            </w:r>
          </w:p>
        </w:tc>
        <w:tc>
          <w:tcPr>
            <w:tcW w:w="1701" w:type="dxa"/>
            <w:shd w:val="clear" w:color="auto" w:fill="auto"/>
            <w:vAlign w:val="center"/>
          </w:tcPr>
          <w:p>
            <w:pPr>
              <w:pStyle w:val="39"/>
            </w:pPr>
            <w:r>
              <w:rPr>
                <w:rFonts w:hint="eastAsia"/>
              </w:rPr>
              <w:t>250</w:t>
            </w:r>
          </w:p>
        </w:tc>
        <w:tc>
          <w:tcPr>
            <w:tcW w:w="3679" w:type="dxa"/>
            <w:vMerge w:val="continue"/>
            <w:shd w:val="clear" w:color="auto" w:fill="auto"/>
            <w:vAlign w:val="center"/>
          </w:tcPr>
          <w:p>
            <w:pPr>
              <w:pStyle w:val="3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41" w:type="dxa"/>
            <w:shd w:val="clear" w:color="auto" w:fill="auto"/>
            <w:vAlign w:val="center"/>
          </w:tcPr>
          <w:p>
            <w:pPr>
              <w:pStyle w:val="39"/>
              <w:rPr>
                <w:rFonts w:cs="Times New Roman"/>
              </w:rPr>
            </w:pPr>
            <w:r>
              <w:rPr>
                <w:rFonts w:hint="eastAsia" w:cs="Times New Roman"/>
              </w:rPr>
              <w:t>TSP</w:t>
            </w:r>
          </w:p>
        </w:tc>
        <w:tc>
          <w:tcPr>
            <w:tcW w:w="1134" w:type="dxa"/>
            <w:shd w:val="clear" w:color="auto" w:fill="auto"/>
            <w:vAlign w:val="center"/>
          </w:tcPr>
          <w:p>
            <w:pPr>
              <w:pStyle w:val="39"/>
            </w:pPr>
            <w:r>
              <w:t>二类限区</w:t>
            </w:r>
          </w:p>
        </w:tc>
        <w:tc>
          <w:tcPr>
            <w:tcW w:w="1418" w:type="dxa"/>
            <w:shd w:val="clear" w:color="auto" w:fill="auto"/>
            <w:vAlign w:val="center"/>
          </w:tcPr>
          <w:p>
            <w:pPr>
              <w:pStyle w:val="39"/>
            </w:pPr>
            <w:r>
              <w:rPr>
                <w:rFonts w:hint="eastAsia"/>
              </w:rPr>
              <w:t>1</w:t>
            </w:r>
            <w:r>
              <w:t>小时</w:t>
            </w:r>
          </w:p>
        </w:tc>
        <w:tc>
          <w:tcPr>
            <w:tcW w:w="1701" w:type="dxa"/>
            <w:shd w:val="clear" w:color="auto" w:fill="auto"/>
            <w:vAlign w:val="center"/>
          </w:tcPr>
          <w:p>
            <w:pPr>
              <w:pStyle w:val="39"/>
            </w:pPr>
            <w:r>
              <w:rPr>
                <w:rFonts w:hint="eastAsia"/>
              </w:rPr>
              <w:t>900</w:t>
            </w:r>
          </w:p>
        </w:tc>
        <w:tc>
          <w:tcPr>
            <w:tcW w:w="3679" w:type="dxa"/>
            <w:vMerge w:val="continue"/>
            <w:shd w:val="clear" w:color="auto" w:fill="auto"/>
            <w:vAlign w:val="center"/>
          </w:tcPr>
          <w:p>
            <w:pPr>
              <w:pStyle w:val="39"/>
            </w:pPr>
          </w:p>
        </w:tc>
      </w:tr>
    </w:tbl>
    <w:p>
      <w:pPr>
        <w:pStyle w:val="3"/>
        <w:ind w:firstLine="480"/>
        <w:rPr>
          <w:rFonts w:cs="Times New Roman"/>
        </w:rPr>
      </w:pPr>
    </w:p>
    <w:p>
      <w:pPr>
        <w:pStyle w:val="3"/>
        <w:ind w:firstLine="480"/>
        <w:rPr>
          <w:rFonts w:cs="Times New Roman"/>
        </w:rPr>
      </w:pPr>
      <w:r>
        <w:rPr>
          <w:rFonts w:cs="Times New Roman"/>
        </w:rPr>
        <w:t>（3）评级工作等级确定</w:t>
      </w:r>
    </w:p>
    <w:p>
      <w:pPr>
        <w:pStyle w:val="3"/>
        <w:ind w:firstLine="480"/>
        <w:rPr>
          <w:rFonts w:cs="Times New Roman"/>
        </w:rPr>
      </w:pPr>
      <w:r>
        <w:rPr>
          <w:rFonts w:cs="Times New Roman"/>
        </w:rPr>
        <w:t>按照《环境影响评价技术导则 大气环境》（HJ2.2-2018）要求，采用大气估算模式分别计算H</w:t>
      </w:r>
      <w:r>
        <w:rPr>
          <w:rFonts w:cs="Times New Roman"/>
          <w:vertAlign w:val="subscript"/>
        </w:rPr>
        <w:t>2</w:t>
      </w:r>
      <w:r>
        <w:rPr>
          <w:rFonts w:cs="Times New Roman"/>
        </w:rPr>
        <w:t>S、NH</w:t>
      </w:r>
      <w:r>
        <w:rPr>
          <w:rFonts w:cs="Times New Roman"/>
          <w:vertAlign w:val="subscript"/>
        </w:rPr>
        <w:t>3</w:t>
      </w:r>
      <w:r>
        <w:rPr>
          <w:rFonts w:cs="Times New Roman"/>
        </w:rPr>
        <w:t>最大地面质量浓度。计算结果见表2.6-4及2.6-5，确定拟建工程大气环境评价等级为二级。</w:t>
      </w:r>
    </w:p>
    <w:p>
      <w:pPr>
        <w:pStyle w:val="15"/>
        <w:rPr>
          <w:rFonts w:cs="Times New Roman"/>
        </w:rPr>
      </w:pPr>
      <w:r>
        <w:rPr>
          <w:rFonts w:cs="Times New Roman"/>
        </w:rPr>
        <w:t>表2.6-3  估算模型参数表</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6"/>
        <w:gridCol w:w="2473"/>
        <w:gridCol w:w="4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94" w:type="pct"/>
            <w:gridSpan w:val="2"/>
            <w:tcBorders>
              <w:top w:val="single" w:color="auto" w:sz="4" w:space="0"/>
              <w:left w:val="single" w:color="auto" w:sz="4" w:space="0"/>
              <w:bottom w:val="single" w:color="auto" w:sz="4" w:space="0"/>
              <w:right w:val="single" w:color="auto" w:sz="4" w:space="0"/>
            </w:tcBorders>
            <w:vAlign w:val="center"/>
          </w:tcPr>
          <w:p>
            <w:pPr>
              <w:pStyle w:val="39"/>
              <w:rPr>
                <w:rFonts w:cs="Times New Roman"/>
              </w:rPr>
            </w:pPr>
            <w:r>
              <w:rPr>
                <w:rFonts w:cs="Times New Roman"/>
              </w:rPr>
              <w:t>参数</w:t>
            </w:r>
          </w:p>
        </w:tc>
        <w:tc>
          <w:tcPr>
            <w:tcW w:w="2406" w:type="pct"/>
            <w:tcBorders>
              <w:top w:val="single" w:color="auto" w:sz="4" w:space="0"/>
              <w:left w:val="nil"/>
              <w:bottom w:val="single" w:color="auto" w:sz="4" w:space="0"/>
              <w:right w:val="single" w:color="auto" w:sz="4" w:space="0"/>
            </w:tcBorders>
            <w:vAlign w:val="center"/>
          </w:tcPr>
          <w:p>
            <w:pPr>
              <w:pStyle w:val="39"/>
              <w:rPr>
                <w:rFonts w:cs="Times New Roman"/>
              </w:rPr>
            </w:pPr>
            <w:r>
              <w:rPr>
                <w:rFonts w:cs="Times New Roman"/>
              </w:rPr>
              <w:t>取值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46" w:type="pct"/>
            <w:vMerge w:val="restart"/>
            <w:tcBorders>
              <w:top w:val="nil"/>
              <w:left w:val="single" w:color="auto" w:sz="4" w:space="0"/>
              <w:bottom w:val="single" w:color="auto" w:sz="4" w:space="0"/>
              <w:right w:val="single" w:color="auto" w:sz="4" w:space="0"/>
            </w:tcBorders>
            <w:vAlign w:val="center"/>
          </w:tcPr>
          <w:p>
            <w:pPr>
              <w:pStyle w:val="39"/>
              <w:rPr>
                <w:rFonts w:cs="Times New Roman"/>
              </w:rPr>
            </w:pPr>
            <w:r>
              <w:rPr>
                <w:rFonts w:cs="Times New Roman"/>
              </w:rPr>
              <w:t>城市农村/选项</w:t>
            </w:r>
          </w:p>
        </w:tc>
        <w:tc>
          <w:tcPr>
            <w:tcW w:w="1348" w:type="pct"/>
            <w:tcBorders>
              <w:top w:val="single" w:color="auto" w:sz="4" w:space="0"/>
              <w:left w:val="nil"/>
              <w:bottom w:val="single" w:color="auto" w:sz="4" w:space="0"/>
              <w:right w:val="single" w:color="auto" w:sz="4" w:space="0"/>
            </w:tcBorders>
            <w:vAlign w:val="center"/>
          </w:tcPr>
          <w:p>
            <w:pPr>
              <w:pStyle w:val="39"/>
              <w:rPr>
                <w:rFonts w:cs="Times New Roman"/>
              </w:rPr>
            </w:pPr>
            <w:r>
              <w:rPr>
                <w:rFonts w:cs="Times New Roman"/>
              </w:rPr>
              <w:t>城市/农村</w:t>
            </w:r>
          </w:p>
        </w:tc>
        <w:tc>
          <w:tcPr>
            <w:tcW w:w="2406" w:type="pct"/>
            <w:tcBorders>
              <w:top w:val="single" w:color="auto" w:sz="4" w:space="0"/>
              <w:left w:val="nil"/>
              <w:bottom w:val="single" w:color="auto" w:sz="4" w:space="0"/>
              <w:right w:val="single" w:color="auto" w:sz="4" w:space="0"/>
            </w:tcBorders>
            <w:vAlign w:val="center"/>
          </w:tcPr>
          <w:p>
            <w:pPr>
              <w:pStyle w:val="39"/>
              <w:rPr>
                <w:rFonts w:cs="Times New Roman"/>
              </w:rPr>
            </w:pPr>
            <w:r>
              <w:rPr>
                <w:rFonts w:cs="Times New Roman"/>
              </w:rPr>
              <w:t>农村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46" w:type="pct"/>
            <w:vMerge w:val="continue"/>
            <w:tcBorders>
              <w:top w:val="nil"/>
              <w:left w:val="single" w:color="auto" w:sz="4" w:space="0"/>
              <w:bottom w:val="single" w:color="auto" w:sz="4" w:space="0"/>
              <w:right w:val="single" w:color="auto" w:sz="4" w:space="0"/>
            </w:tcBorders>
            <w:vAlign w:val="center"/>
          </w:tcPr>
          <w:p>
            <w:pPr>
              <w:pStyle w:val="39"/>
              <w:rPr>
                <w:rFonts w:cs="Times New Roman"/>
              </w:rPr>
            </w:pPr>
          </w:p>
        </w:tc>
        <w:tc>
          <w:tcPr>
            <w:tcW w:w="1348" w:type="pct"/>
            <w:tcBorders>
              <w:top w:val="single" w:color="auto" w:sz="4" w:space="0"/>
              <w:left w:val="nil"/>
              <w:bottom w:val="single" w:color="auto" w:sz="4" w:space="0"/>
              <w:right w:val="single" w:color="auto" w:sz="4" w:space="0"/>
            </w:tcBorders>
            <w:vAlign w:val="center"/>
          </w:tcPr>
          <w:p>
            <w:pPr>
              <w:pStyle w:val="39"/>
              <w:rPr>
                <w:rFonts w:cs="Times New Roman"/>
              </w:rPr>
            </w:pPr>
            <w:r>
              <w:rPr>
                <w:rFonts w:cs="Times New Roman"/>
              </w:rPr>
              <w:t>人口数(城市人口数)</w:t>
            </w:r>
          </w:p>
        </w:tc>
        <w:tc>
          <w:tcPr>
            <w:tcW w:w="2406" w:type="pct"/>
            <w:tcBorders>
              <w:top w:val="single" w:color="auto" w:sz="4" w:space="0"/>
              <w:left w:val="nil"/>
              <w:bottom w:val="single" w:color="auto" w:sz="4" w:space="0"/>
              <w:right w:val="single" w:color="auto" w:sz="4" w:space="0"/>
            </w:tcBorders>
            <w:vAlign w:val="center"/>
          </w:tcPr>
          <w:p>
            <w:pPr>
              <w:pStyle w:val="39"/>
              <w:rPr>
                <w:rFonts w:cs="Times New Roman"/>
              </w:rPr>
            </w:pPr>
            <w:r>
              <w:rPr>
                <w:rFonts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94" w:type="pct"/>
            <w:gridSpan w:val="2"/>
            <w:tcBorders>
              <w:top w:val="single" w:color="auto" w:sz="4" w:space="0"/>
              <w:left w:val="single" w:color="auto" w:sz="4" w:space="0"/>
              <w:bottom w:val="single" w:color="auto" w:sz="4" w:space="0"/>
              <w:right w:val="single" w:color="auto" w:sz="4" w:space="0"/>
            </w:tcBorders>
            <w:vAlign w:val="center"/>
          </w:tcPr>
          <w:p>
            <w:pPr>
              <w:pStyle w:val="39"/>
              <w:rPr>
                <w:rFonts w:cs="Times New Roman"/>
              </w:rPr>
            </w:pPr>
            <w:r>
              <w:rPr>
                <w:rFonts w:cs="Times New Roman"/>
              </w:rPr>
              <w:t>最高环境温度</w:t>
            </w:r>
          </w:p>
        </w:tc>
        <w:tc>
          <w:tcPr>
            <w:tcW w:w="2406" w:type="pct"/>
            <w:tcBorders>
              <w:top w:val="single" w:color="auto" w:sz="4" w:space="0"/>
              <w:left w:val="nil"/>
              <w:bottom w:val="single" w:color="auto" w:sz="4" w:space="0"/>
              <w:right w:val="single" w:color="auto" w:sz="4" w:space="0"/>
            </w:tcBorders>
            <w:vAlign w:val="center"/>
          </w:tcPr>
          <w:p>
            <w:pPr>
              <w:pStyle w:val="39"/>
              <w:rPr>
                <w:rFonts w:cs="Times New Roman"/>
              </w:rPr>
            </w:pPr>
            <w:r>
              <w:rPr>
                <w:rFonts w:cs="Times New Roman"/>
              </w:rPr>
              <w:t>39°C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94" w:type="pct"/>
            <w:gridSpan w:val="2"/>
            <w:tcBorders>
              <w:top w:val="single" w:color="auto" w:sz="4" w:space="0"/>
              <w:left w:val="single" w:color="auto" w:sz="4" w:space="0"/>
              <w:bottom w:val="single" w:color="auto" w:sz="4" w:space="0"/>
              <w:right w:val="single" w:color="auto" w:sz="4" w:space="0"/>
            </w:tcBorders>
            <w:vAlign w:val="center"/>
          </w:tcPr>
          <w:p>
            <w:pPr>
              <w:pStyle w:val="39"/>
              <w:rPr>
                <w:rFonts w:cs="Times New Roman"/>
              </w:rPr>
            </w:pPr>
            <w:r>
              <w:rPr>
                <w:rFonts w:cs="Times New Roman"/>
              </w:rPr>
              <w:t>最低环境温度</w:t>
            </w:r>
          </w:p>
        </w:tc>
        <w:tc>
          <w:tcPr>
            <w:tcW w:w="2406" w:type="pct"/>
            <w:tcBorders>
              <w:top w:val="single" w:color="auto" w:sz="4" w:space="0"/>
              <w:left w:val="nil"/>
              <w:bottom w:val="single" w:color="auto" w:sz="4" w:space="0"/>
              <w:right w:val="single" w:color="auto" w:sz="4" w:space="0"/>
            </w:tcBorders>
            <w:vAlign w:val="center"/>
          </w:tcPr>
          <w:p>
            <w:pPr>
              <w:pStyle w:val="39"/>
              <w:rPr>
                <w:rFonts w:cs="Times New Roman"/>
              </w:rPr>
            </w:pPr>
            <w:r>
              <w:rPr>
                <w:rFonts w:cs="Times New Roman"/>
              </w:rPr>
              <w:t>-10°C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94" w:type="pct"/>
            <w:gridSpan w:val="2"/>
            <w:tcBorders>
              <w:top w:val="single" w:color="auto" w:sz="4" w:space="0"/>
              <w:left w:val="single" w:color="auto" w:sz="4" w:space="0"/>
              <w:bottom w:val="single" w:color="auto" w:sz="4" w:space="0"/>
              <w:right w:val="single" w:color="auto" w:sz="4" w:space="0"/>
            </w:tcBorders>
            <w:vAlign w:val="center"/>
          </w:tcPr>
          <w:p>
            <w:pPr>
              <w:pStyle w:val="39"/>
              <w:rPr>
                <w:rFonts w:cs="Times New Roman"/>
              </w:rPr>
            </w:pPr>
            <w:r>
              <w:rPr>
                <w:rFonts w:cs="Times New Roman"/>
              </w:rPr>
              <w:t>土地利用类型</w:t>
            </w:r>
          </w:p>
        </w:tc>
        <w:tc>
          <w:tcPr>
            <w:tcW w:w="2406" w:type="pct"/>
            <w:tcBorders>
              <w:top w:val="single" w:color="auto" w:sz="4" w:space="0"/>
              <w:left w:val="nil"/>
              <w:bottom w:val="single" w:color="auto" w:sz="4" w:space="0"/>
              <w:right w:val="single" w:color="auto" w:sz="4" w:space="0"/>
            </w:tcBorders>
            <w:vAlign w:val="center"/>
          </w:tcPr>
          <w:p>
            <w:pPr>
              <w:pStyle w:val="39"/>
              <w:rPr>
                <w:rFonts w:cs="Times New Roman"/>
              </w:rPr>
            </w:pPr>
            <w:r>
              <w:rPr>
                <w:rFonts w:cs="Times New Roman"/>
              </w:rPr>
              <w:t>农作地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94" w:type="pct"/>
            <w:gridSpan w:val="2"/>
            <w:tcBorders>
              <w:top w:val="single" w:color="auto" w:sz="4" w:space="0"/>
              <w:left w:val="single" w:color="auto" w:sz="4" w:space="0"/>
              <w:bottom w:val="single" w:color="auto" w:sz="4" w:space="0"/>
              <w:right w:val="single" w:color="auto" w:sz="4" w:space="0"/>
            </w:tcBorders>
            <w:vAlign w:val="center"/>
          </w:tcPr>
          <w:p>
            <w:pPr>
              <w:pStyle w:val="39"/>
              <w:rPr>
                <w:rFonts w:cs="Times New Roman"/>
              </w:rPr>
            </w:pPr>
            <w:r>
              <w:rPr>
                <w:rFonts w:cs="Times New Roman"/>
              </w:rPr>
              <w:t>区域湿度条件</w:t>
            </w:r>
          </w:p>
        </w:tc>
        <w:tc>
          <w:tcPr>
            <w:tcW w:w="2406" w:type="pct"/>
            <w:tcBorders>
              <w:top w:val="single" w:color="auto" w:sz="4" w:space="0"/>
              <w:left w:val="nil"/>
              <w:bottom w:val="single" w:color="auto" w:sz="4" w:space="0"/>
              <w:right w:val="single" w:color="auto" w:sz="4" w:space="0"/>
            </w:tcBorders>
            <w:vAlign w:val="center"/>
          </w:tcPr>
          <w:p>
            <w:pPr>
              <w:pStyle w:val="39"/>
              <w:rPr>
                <w:rFonts w:cs="Times New Roman"/>
              </w:rPr>
            </w:pPr>
            <w:r>
              <w:rPr>
                <w:rFonts w:cs="Times New Roman"/>
              </w:rPr>
              <w:t>一般湿润气候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46" w:type="pct"/>
            <w:vMerge w:val="restart"/>
            <w:tcBorders>
              <w:top w:val="nil"/>
              <w:left w:val="single" w:color="auto" w:sz="4" w:space="0"/>
              <w:bottom w:val="single" w:color="auto" w:sz="4" w:space="0"/>
              <w:right w:val="single" w:color="auto" w:sz="4" w:space="0"/>
            </w:tcBorders>
            <w:vAlign w:val="center"/>
          </w:tcPr>
          <w:p>
            <w:pPr>
              <w:pStyle w:val="39"/>
              <w:rPr>
                <w:rFonts w:cs="Times New Roman"/>
              </w:rPr>
            </w:pPr>
            <w:r>
              <w:rPr>
                <w:rFonts w:cs="Times New Roman"/>
              </w:rPr>
              <w:t>是否考虑地形</w:t>
            </w:r>
          </w:p>
        </w:tc>
        <w:tc>
          <w:tcPr>
            <w:tcW w:w="1348" w:type="pct"/>
            <w:tcBorders>
              <w:top w:val="single" w:color="auto" w:sz="4" w:space="0"/>
              <w:left w:val="nil"/>
              <w:bottom w:val="single" w:color="auto" w:sz="4" w:space="0"/>
              <w:right w:val="single" w:color="auto" w:sz="4" w:space="0"/>
            </w:tcBorders>
            <w:vAlign w:val="center"/>
          </w:tcPr>
          <w:p>
            <w:pPr>
              <w:pStyle w:val="39"/>
              <w:rPr>
                <w:rFonts w:cs="Times New Roman"/>
              </w:rPr>
            </w:pPr>
            <w:r>
              <w:rPr>
                <w:rFonts w:cs="Times New Roman"/>
              </w:rPr>
              <w:t>考虑地形</w:t>
            </w:r>
          </w:p>
        </w:tc>
        <w:tc>
          <w:tcPr>
            <w:tcW w:w="2406" w:type="pct"/>
            <w:tcBorders>
              <w:top w:val="single" w:color="auto" w:sz="4" w:space="0"/>
              <w:left w:val="nil"/>
              <w:bottom w:val="single" w:color="auto" w:sz="4" w:space="0"/>
              <w:right w:val="single" w:color="auto" w:sz="4" w:space="0"/>
            </w:tcBorders>
            <w:vAlign w:val="center"/>
          </w:tcPr>
          <w:p>
            <w:pPr>
              <w:pStyle w:val="39"/>
              <w:rPr>
                <w:rFonts w:cs="Times New Roman"/>
              </w:rPr>
            </w:pPr>
            <w:r>
              <w:rPr>
                <w:rFonts w:ascii="Segoe UI Symbol" w:hAnsi="Segoe UI Symbol" w:eastAsia="MS Mincho" w:cs="Segoe UI Symbol"/>
                <w:sz w:val="18"/>
                <w:szCs w:val="18"/>
              </w:rPr>
              <w:t>☑</w:t>
            </w:r>
            <w:r>
              <w:rPr>
                <w:rFonts w:cs="Times New Roman"/>
              </w:rPr>
              <w:t xml:space="preserve">是  </w:t>
            </w:r>
            <w:r>
              <w:rPr>
                <w:rFonts w:cs="Times New Roman"/>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46" w:type="pct"/>
            <w:vMerge w:val="continue"/>
            <w:tcBorders>
              <w:top w:val="nil"/>
              <w:left w:val="single" w:color="auto" w:sz="4" w:space="0"/>
              <w:bottom w:val="single" w:color="auto" w:sz="4" w:space="0"/>
              <w:right w:val="single" w:color="auto" w:sz="4" w:space="0"/>
            </w:tcBorders>
            <w:vAlign w:val="center"/>
          </w:tcPr>
          <w:p>
            <w:pPr>
              <w:pStyle w:val="39"/>
              <w:rPr>
                <w:rFonts w:cs="Times New Roman"/>
              </w:rPr>
            </w:pPr>
          </w:p>
        </w:tc>
        <w:tc>
          <w:tcPr>
            <w:tcW w:w="1348" w:type="pct"/>
            <w:tcBorders>
              <w:top w:val="single" w:color="auto" w:sz="4" w:space="0"/>
              <w:left w:val="nil"/>
              <w:bottom w:val="single" w:color="auto" w:sz="4" w:space="0"/>
              <w:right w:val="single" w:color="auto" w:sz="4" w:space="0"/>
            </w:tcBorders>
            <w:vAlign w:val="center"/>
          </w:tcPr>
          <w:p>
            <w:pPr>
              <w:pStyle w:val="39"/>
              <w:rPr>
                <w:rFonts w:cs="Times New Roman"/>
              </w:rPr>
            </w:pPr>
            <w:r>
              <w:rPr>
                <w:rFonts w:cs="Times New Roman"/>
              </w:rPr>
              <w:t>地形数据分辨率(m)</w:t>
            </w:r>
          </w:p>
        </w:tc>
        <w:tc>
          <w:tcPr>
            <w:tcW w:w="2406" w:type="pct"/>
            <w:tcBorders>
              <w:top w:val="single" w:color="auto" w:sz="4" w:space="0"/>
              <w:left w:val="nil"/>
              <w:bottom w:val="single" w:color="auto" w:sz="4" w:space="0"/>
              <w:right w:val="single" w:color="auto" w:sz="4" w:space="0"/>
            </w:tcBorders>
            <w:vAlign w:val="center"/>
          </w:tcPr>
          <w:p>
            <w:pPr>
              <w:pStyle w:val="39"/>
              <w:rPr>
                <w:rFonts w:cs="Times New Roman"/>
              </w:rPr>
            </w:pPr>
            <w:r>
              <w:rPr>
                <w:rFonts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46" w:type="pct"/>
            <w:vMerge w:val="restart"/>
            <w:tcBorders>
              <w:top w:val="nil"/>
              <w:left w:val="single" w:color="auto" w:sz="4" w:space="0"/>
              <w:bottom w:val="single" w:color="auto" w:sz="4" w:space="0"/>
              <w:right w:val="single" w:color="auto" w:sz="4" w:space="0"/>
            </w:tcBorders>
            <w:vAlign w:val="center"/>
          </w:tcPr>
          <w:p>
            <w:pPr>
              <w:pStyle w:val="39"/>
              <w:rPr>
                <w:rFonts w:cs="Times New Roman"/>
              </w:rPr>
            </w:pPr>
            <w:r>
              <w:rPr>
                <w:rFonts w:cs="Times New Roman"/>
              </w:rPr>
              <w:t>是否考虑海岸线熏烟</w:t>
            </w:r>
          </w:p>
        </w:tc>
        <w:tc>
          <w:tcPr>
            <w:tcW w:w="1348" w:type="pct"/>
            <w:tcBorders>
              <w:top w:val="single" w:color="auto" w:sz="4" w:space="0"/>
              <w:left w:val="nil"/>
              <w:bottom w:val="single" w:color="auto" w:sz="4" w:space="0"/>
              <w:right w:val="single" w:color="auto" w:sz="4" w:space="0"/>
            </w:tcBorders>
            <w:vAlign w:val="center"/>
          </w:tcPr>
          <w:p>
            <w:pPr>
              <w:pStyle w:val="39"/>
              <w:rPr>
                <w:rFonts w:cs="Times New Roman"/>
              </w:rPr>
            </w:pPr>
            <w:r>
              <w:rPr>
                <w:rFonts w:cs="Times New Roman"/>
              </w:rPr>
              <w:t>考虑海岸线熏烟</w:t>
            </w:r>
          </w:p>
        </w:tc>
        <w:tc>
          <w:tcPr>
            <w:tcW w:w="2406" w:type="pct"/>
            <w:tcBorders>
              <w:top w:val="single" w:color="auto" w:sz="4" w:space="0"/>
              <w:left w:val="nil"/>
              <w:bottom w:val="single" w:color="auto" w:sz="4" w:space="0"/>
              <w:right w:val="single" w:color="auto" w:sz="4" w:space="0"/>
            </w:tcBorders>
            <w:vAlign w:val="center"/>
          </w:tcPr>
          <w:p>
            <w:pPr>
              <w:pStyle w:val="39"/>
              <w:rPr>
                <w:rFonts w:cs="Times New Roman"/>
              </w:rPr>
            </w:pPr>
            <w:r>
              <w:rPr>
                <w:rFonts w:cs="Times New Roman"/>
                <w:sz w:val="18"/>
                <w:szCs w:val="18"/>
              </w:rPr>
              <w:t>□</w:t>
            </w:r>
            <w:r>
              <w:rPr>
                <w:rFonts w:cs="Times New Roman"/>
              </w:rPr>
              <w:t xml:space="preserve">是  </w:t>
            </w:r>
            <w:r>
              <w:rPr>
                <w:rFonts w:ascii="Segoe UI Symbol" w:hAnsi="Segoe UI Symbol" w:eastAsia="MS Mincho" w:cs="Segoe UI Symbol"/>
                <w:sz w:val="18"/>
                <w:szCs w:val="18"/>
              </w:rPr>
              <w:t>☑</w:t>
            </w:r>
            <w:r>
              <w:rPr>
                <w:rFonts w:cs="Times New Roman"/>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46" w:type="pct"/>
            <w:vMerge w:val="continue"/>
            <w:tcBorders>
              <w:top w:val="nil"/>
              <w:left w:val="single" w:color="auto" w:sz="4" w:space="0"/>
              <w:bottom w:val="single" w:color="auto" w:sz="4" w:space="0"/>
              <w:right w:val="single" w:color="auto" w:sz="4" w:space="0"/>
            </w:tcBorders>
            <w:vAlign w:val="center"/>
          </w:tcPr>
          <w:p>
            <w:pPr>
              <w:pStyle w:val="39"/>
              <w:rPr>
                <w:rFonts w:cs="Times New Roman"/>
              </w:rPr>
            </w:pPr>
          </w:p>
        </w:tc>
        <w:tc>
          <w:tcPr>
            <w:tcW w:w="1348" w:type="pct"/>
            <w:tcBorders>
              <w:top w:val="single" w:color="auto" w:sz="4" w:space="0"/>
              <w:left w:val="nil"/>
              <w:bottom w:val="single" w:color="auto" w:sz="4" w:space="0"/>
              <w:right w:val="single" w:color="auto" w:sz="4" w:space="0"/>
            </w:tcBorders>
            <w:vAlign w:val="center"/>
          </w:tcPr>
          <w:p>
            <w:pPr>
              <w:pStyle w:val="39"/>
              <w:rPr>
                <w:rFonts w:cs="Times New Roman"/>
              </w:rPr>
            </w:pPr>
            <w:r>
              <w:rPr>
                <w:rFonts w:cs="Times New Roman"/>
              </w:rPr>
              <w:t>海岸线距离/m</w:t>
            </w:r>
          </w:p>
        </w:tc>
        <w:tc>
          <w:tcPr>
            <w:tcW w:w="2406" w:type="pct"/>
            <w:tcBorders>
              <w:top w:val="single" w:color="auto" w:sz="4" w:space="0"/>
              <w:left w:val="nil"/>
              <w:bottom w:val="single" w:color="auto" w:sz="4" w:space="0"/>
              <w:right w:val="single" w:color="auto" w:sz="4" w:space="0"/>
            </w:tcBorders>
            <w:vAlign w:val="center"/>
          </w:tcPr>
          <w:p>
            <w:pPr>
              <w:pStyle w:val="39"/>
              <w:rPr>
                <w:rFonts w:cs="Times New Roman"/>
              </w:rPr>
            </w:pPr>
            <w:r>
              <w:rPr>
                <w:rFonts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46" w:type="pct"/>
            <w:vMerge w:val="continue"/>
            <w:tcBorders>
              <w:top w:val="nil"/>
              <w:left w:val="single" w:color="auto" w:sz="4" w:space="0"/>
              <w:bottom w:val="single" w:color="auto" w:sz="4" w:space="0"/>
              <w:right w:val="single" w:color="auto" w:sz="4" w:space="0"/>
            </w:tcBorders>
            <w:vAlign w:val="center"/>
          </w:tcPr>
          <w:p>
            <w:pPr>
              <w:pStyle w:val="39"/>
              <w:rPr>
                <w:rFonts w:cs="Times New Roman"/>
              </w:rPr>
            </w:pPr>
          </w:p>
        </w:tc>
        <w:tc>
          <w:tcPr>
            <w:tcW w:w="1348" w:type="pct"/>
            <w:tcBorders>
              <w:top w:val="single" w:color="auto" w:sz="4" w:space="0"/>
              <w:left w:val="nil"/>
              <w:bottom w:val="single" w:color="auto" w:sz="4" w:space="0"/>
              <w:right w:val="single" w:color="auto" w:sz="4" w:space="0"/>
            </w:tcBorders>
            <w:vAlign w:val="center"/>
          </w:tcPr>
          <w:p>
            <w:pPr>
              <w:pStyle w:val="39"/>
              <w:rPr>
                <w:rFonts w:cs="Times New Roman"/>
              </w:rPr>
            </w:pPr>
            <w:r>
              <w:rPr>
                <w:rFonts w:cs="Times New Roman"/>
              </w:rPr>
              <w:t>海岸线方向/</w:t>
            </w:r>
            <w:r>
              <w:rPr>
                <w:rFonts w:cs="Times New Roman"/>
                <w:vertAlign w:val="superscript"/>
              </w:rPr>
              <w:t>o</w:t>
            </w:r>
          </w:p>
        </w:tc>
        <w:tc>
          <w:tcPr>
            <w:tcW w:w="2406" w:type="pct"/>
            <w:tcBorders>
              <w:top w:val="single" w:color="auto" w:sz="4" w:space="0"/>
              <w:left w:val="nil"/>
              <w:bottom w:val="single" w:color="auto" w:sz="4" w:space="0"/>
              <w:right w:val="single" w:color="auto" w:sz="4" w:space="0"/>
            </w:tcBorders>
            <w:vAlign w:val="center"/>
          </w:tcPr>
          <w:p>
            <w:pPr>
              <w:pStyle w:val="39"/>
              <w:rPr>
                <w:rFonts w:cs="Times New Roman"/>
              </w:rPr>
            </w:pPr>
            <w:r>
              <w:rPr>
                <w:rFonts w:cs="Times New Roman"/>
              </w:rPr>
              <w:t>/</w:t>
            </w:r>
          </w:p>
        </w:tc>
      </w:tr>
    </w:tbl>
    <w:p>
      <w:pPr>
        <w:pStyle w:val="15"/>
        <w:rPr>
          <w:rFonts w:cs="Times New Roman"/>
          <w:u w:val="single"/>
        </w:rPr>
      </w:pPr>
    </w:p>
    <w:p>
      <w:pPr>
        <w:pStyle w:val="15"/>
        <w:rPr>
          <w:rFonts w:cs="Times New Roman"/>
          <w:u w:val="single"/>
        </w:rPr>
      </w:pPr>
      <w:r>
        <w:rPr>
          <w:rFonts w:cs="Times New Roman"/>
          <w:u w:val="single"/>
        </w:rPr>
        <w:t>表2.6-4  大气点源评价等级参数及判别一览表</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6"/>
        <w:gridCol w:w="727"/>
        <w:gridCol w:w="708"/>
        <w:gridCol w:w="708"/>
        <w:gridCol w:w="567"/>
        <w:gridCol w:w="569"/>
        <w:gridCol w:w="734"/>
        <w:gridCol w:w="591"/>
        <w:gridCol w:w="539"/>
        <w:gridCol w:w="574"/>
        <w:gridCol w:w="505"/>
        <w:gridCol w:w="704"/>
        <w:gridCol w:w="1115"/>
        <w:gridCol w:w="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1" w:type="pct"/>
            <w:vMerge w:val="restart"/>
            <w:shd w:val="clear" w:color="auto" w:fill="auto"/>
            <w:vAlign w:val="center"/>
          </w:tcPr>
          <w:p>
            <w:pPr>
              <w:pStyle w:val="39"/>
              <w:rPr>
                <w:rFonts w:cs="Times New Roman"/>
                <w:sz w:val="15"/>
                <w:szCs w:val="15"/>
                <w:u w:val="single"/>
              </w:rPr>
            </w:pPr>
            <w:r>
              <w:rPr>
                <w:rFonts w:cs="Times New Roman"/>
                <w:sz w:val="15"/>
                <w:szCs w:val="15"/>
                <w:u w:val="single"/>
              </w:rPr>
              <w:t>编号</w:t>
            </w:r>
          </w:p>
        </w:tc>
        <w:tc>
          <w:tcPr>
            <w:tcW w:w="396" w:type="pct"/>
            <w:vMerge w:val="restart"/>
            <w:shd w:val="clear" w:color="auto" w:fill="auto"/>
            <w:vAlign w:val="center"/>
          </w:tcPr>
          <w:p>
            <w:pPr>
              <w:pStyle w:val="39"/>
              <w:rPr>
                <w:rFonts w:cs="Times New Roman"/>
                <w:sz w:val="15"/>
                <w:szCs w:val="15"/>
                <w:u w:val="single"/>
              </w:rPr>
            </w:pPr>
            <w:r>
              <w:rPr>
                <w:rFonts w:cs="Times New Roman"/>
                <w:sz w:val="15"/>
                <w:szCs w:val="15"/>
                <w:u w:val="single"/>
              </w:rPr>
              <w:t>名称</w:t>
            </w:r>
          </w:p>
        </w:tc>
        <w:tc>
          <w:tcPr>
            <w:tcW w:w="772" w:type="pct"/>
            <w:gridSpan w:val="2"/>
            <w:vAlign w:val="center"/>
          </w:tcPr>
          <w:p>
            <w:pPr>
              <w:pStyle w:val="39"/>
              <w:rPr>
                <w:rFonts w:cs="Times New Roman"/>
                <w:sz w:val="15"/>
                <w:szCs w:val="15"/>
                <w:u w:val="single"/>
              </w:rPr>
            </w:pPr>
            <w:r>
              <w:rPr>
                <w:rFonts w:cs="Times New Roman"/>
                <w:sz w:val="15"/>
                <w:szCs w:val="15"/>
                <w:u w:val="single"/>
              </w:rPr>
              <w:t>底部中心坐标</w:t>
            </w:r>
          </w:p>
        </w:tc>
        <w:tc>
          <w:tcPr>
            <w:tcW w:w="309" w:type="pct"/>
            <w:vMerge w:val="restart"/>
            <w:shd w:val="clear" w:color="auto" w:fill="auto"/>
            <w:vAlign w:val="center"/>
          </w:tcPr>
          <w:p>
            <w:pPr>
              <w:pStyle w:val="39"/>
              <w:rPr>
                <w:rFonts w:cs="Times New Roman"/>
                <w:sz w:val="15"/>
                <w:szCs w:val="15"/>
                <w:u w:val="single"/>
              </w:rPr>
            </w:pPr>
            <w:r>
              <w:rPr>
                <w:rFonts w:cs="Times New Roman"/>
                <w:sz w:val="15"/>
                <w:szCs w:val="15"/>
                <w:u w:val="single"/>
              </w:rPr>
              <w:t>排气筒高度/m</w:t>
            </w:r>
          </w:p>
        </w:tc>
        <w:tc>
          <w:tcPr>
            <w:tcW w:w="310" w:type="pct"/>
            <w:vMerge w:val="restart"/>
            <w:shd w:val="clear" w:color="auto" w:fill="auto"/>
            <w:vAlign w:val="center"/>
          </w:tcPr>
          <w:p>
            <w:pPr>
              <w:pStyle w:val="39"/>
              <w:rPr>
                <w:rFonts w:cs="Times New Roman"/>
                <w:sz w:val="15"/>
                <w:szCs w:val="15"/>
                <w:u w:val="single"/>
              </w:rPr>
            </w:pPr>
            <w:r>
              <w:rPr>
                <w:rFonts w:cs="Times New Roman"/>
                <w:sz w:val="15"/>
                <w:szCs w:val="15"/>
                <w:u w:val="single"/>
              </w:rPr>
              <w:t>排气筒出口</w:t>
            </w:r>
            <w:r>
              <w:rPr>
                <w:rFonts w:hint="eastAsia" w:cs="Times New Roman"/>
                <w:sz w:val="15"/>
                <w:szCs w:val="15"/>
                <w:u w:val="single"/>
              </w:rPr>
              <w:t>内径</w:t>
            </w:r>
            <w:r>
              <w:rPr>
                <w:rFonts w:cs="Times New Roman"/>
                <w:sz w:val="15"/>
                <w:szCs w:val="15"/>
                <w:u w:val="single"/>
              </w:rPr>
              <w:t>/m</w:t>
            </w:r>
          </w:p>
        </w:tc>
        <w:tc>
          <w:tcPr>
            <w:tcW w:w="400" w:type="pct"/>
            <w:vMerge w:val="restart"/>
            <w:shd w:val="clear" w:color="auto" w:fill="auto"/>
            <w:vAlign w:val="center"/>
          </w:tcPr>
          <w:p>
            <w:pPr>
              <w:pStyle w:val="39"/>
              <w:rPr>
                <w:rFonts w:cs="Times New Roman"/>
                <w:sz w:val="15"/>
                <w:szCs w:val="15"/>
                <w:u w:val="single"/>
              </w:rPr>
            </w:pPr>
            <w:r>
              <w:rPr>
                <w:rFonts w:cs="Times New Roman"/>
                <w:sz w:val="15"/>
                <w:szCs w:val="15"/>
                <w:u w:val="single"/>
              </w:rPr>
              <w:t>烟气</w:t>
            </w:r>
          </w:p>
          <w:p>
            <w:pPr>
              <w:pStyle w:val="39"/>
              <w:rPr>
                <w:rFonts w:cs="Times New Roman"/>
                <w:sz w:val="15"/>
                <w:szCs w:val="15"/>
                <w:u w:val="single"/>
              </w:rPr>
            </w:pPr>
            <w:r>
              <w:rPr>
                <w:rFonts w:cs="Times New Roman"/>
                <w:sz w:val="15"/>
                <w:szCs w:val="15"/>
                <w:u w:val="single"/>
              </w:rPr>
              <w:t>流</w:t>
            </w:r>
            <w:r>
              <w:rPr>
                <w:rFonts w:hint="eastAsia" w:cs="Times New Roman"/>
                <w:sz w:val="15"/>
                <w:szCs w:val="15"/>
                <w:u w:val="single"/>
              </w:rPr>
              <w:t>量</w:t>
            </w:r>
          </w:p>
          <w:p>
            <w:pPr>
              <w:pStyle w:val="39"/>
              <w:rPr>
                <w:rFonts w:cs="Times New Roman"/>
                <w:sz w:val="15"/>
                <w:szCs w:val="15"/>
                <w:u w:val="single"/>
              </w:rPr>
            </w:pPr>
            <w:r>
              <w:rPr>
                <w:rFonts w:hint="eastAsia" w:cs="Times New Roman"/>
                <w:sz w:val="15"/>
                <w:szCs w:val="15"/>
                <w:u w:val="single"/>
              </w:rPr>
              <w:t>万m</w:t>
            </w:r>
            <w:r>
              <w:rPr>
                <w:rFonts w:cs="Times New Roman"/>
                <w:sz w:val="15"/>
                <w:szCs w:val="15"/>
                <w:u w:val="single"/>
                <w:vertAlign w:val="superscript"/>
              </w:rPr>
              <w:t>3</w:t>
            </w:r>
            <w:r>
              <w:rPr>
                <w:rFonts w:cs="Times New Roman"/>
                <w:sz w:val="15"/>
                <w:szCs w:val="15"/>
                <w:u w:val="single"/>
              </w:rPr>
              <w:t>/a</w:t>
            </w:r>
          </w:p>
        </w:tc>
        <w:tc>
          <w:tcPr>
            <w:tcW w:w="322" w:type="pct"/>
            <w:vMerge w:val="restart"/>
            <w:shd w:val="clear" w:color="auto" w:fill="auto"/>
            <w:vAlign w:val="center"/>
          </w:tcPr>
          <w:p>
            <w:pPr>
              <w:pStyle w:val="39"/>
              <w:rPr>
                <w:rFonts w:cs="Times New Roman"/>
                <w:sz w:val="15"/>
                <w:szCs w:val="15"/>
                <w:u w:val="single"/>
              </w:rPr>
            </w:pPr>
            <w:r>
              <w:rPr>
                <w:rFonts w:cs="Times New Roman"/>
                <w:sz w:val="15"/>
                <w:szCs w:val="15"/>
                <w:u w:val="single"/>
              </w:rPr>
              <w:t>烟气温度/</w:t>
            </w:r>
            <w:r>
              <w:rPr>
                <w:rFonts w:hint="eastAsia" w:ascii="宋体" w:hAnsi="宋体" w:cs="宋体"/>
                <w:sz w:val="15"/>
                <w:szCs w:val="15"/>
                <w:u w:val="single"/>
              </w:rPr>
              <w:t>℃</w:t>
            </w:r>
          </w:p>
        </w:tc>
        <w:tc>
          <w:tcPr>
            <w:tcW w:w="294" w:type="pct"/>
            <w:vMerge w:val="restart"/>
            <w:shd w:val="clear" w:color="auto" w:fill="auto"/>
            <w:vAlign w:val="center"/>
          </w:tcPr>
          <w:p>
            <w:pPr>
              <w:pStyle w:val="39"/>
              <w:rPr>
                <w:rFonts w:cs="Times New Roman"/>
                <w:sz w:val="15"/>
                <w:szCs w:val="15"/>
                <w:u w:val="single"/>
              </w:rPr>
            </w:pPr>
            <w:r>
              <w:rPr>
                <w:rFonts w:cs="Times New Roman"/>
                <w:sz w:val="15"/>
                <w:szCs w:val="15"/>
                <w:u w:val="single"/>
              </w:rPr>
              <w:t>年排放小时数/h</w:t>
            </w:r>
          </w:p>
        </w:tc>
        <w:tc>
          <w:tcPr>
            <w:tcW w:w="313" w:type="pct"/>
            <w:vMerge w:val="restart"/>
            <w:shd w:val="clear" w:color="auto" w:fill="auto"/>
            <w:vAlign w:val="center"/>
          </w:tcPr>
          <w:p>
            <w:pPr>
              <w:pStyle w:val="39"/>
              <w:rPr>
                <w:rFonts w:cs="Times New Roman"/>
                <w:sz w:val="15"/>
                <w:szCs w:val="15"/>
                <w:u w:val="single"/>
              </w:rPr>
            </w:pPr>
            <w:r>
              <w:rPr>
                <w:rFonts w:cs="Times New Roman"/>
                <w:sz w:val="15"/>
                <w:szCs w:val="15"/>
                <w:u w:val="single"/>
              </w:rPr>
              <w:t>排放工况</w:t>
            </w:r>
          </w:p>
        </w:tc>
        <w:tc>
          <w:tcPr>
            <w:tcW w:w="659" w:type="pct"/>
            <w:gridSpan w:val="2"/>
            <w:vMerge w:val="restart"/>
            <w:shd w:val="clear" w:color="auto" w:fill="auto"/>
            <w:vAlign w:val="center"/>
          </w:tcPr>
          <w:p>
            <w:pPr>
              <w:pStyle w:val="39"/>
              <w:rPr>
                <w:rFonts w:cs="Times New Roman"/>
                <w:sz w:val="15"/>
                <w:szCs w:val="15"/>
                <w:u w:val="single"/>
              </w:rPr>
            </w:pPr>
            <w:r>
              <w:rPr>
                <w:rFonts w:cs="Times New Roman"/>
                <w:sz w:val="15"/>
                <w:szCs w:val="15"/>
                <w:u w:val="single"/>
              </w:rPr>
              <w:t>排放速率</w:t>
            </w:r>
          </w:p>
          <w:p>
            <w:pPr>
              <w:pStyle w:val="39"/>
              <w:rPr>
                <w:rFonts w:cs="Times New Roman"/>
                <w:sz w:val="15"/>
                <w:szCs w:val="15"/>
                <w:u w:val="single"/>
              </w:rPr>
            </w:pPr>
            <w:r>
              <w:rPr>
                <w:rFonts w:cs="Times New Roman"/>
                <w:sz w:val="15"/>
                <w:szCs w:val="15"/>
                <w:u w:val="single"/>
              </w:rPr>
              <w:t>t/a</w:t>
            </w:r>
          </w:p>
        </w:tc>
        <w:tc>
          <w:tcPr>
            <w:tcW w:w="608" w:type="pct"/>
            <w:vMerge w:val="restart"/>
            <w:vAlign w:val="center"/>
          </w:tcPr>
          <w:p>
            <w:pPr>
              <w:pStyle w:val="39"/>
              <w:rPr>
                <w:rFonts w:cs="Times New Roman"/>
                <w:sz w:val="15"/>
                <w:szCs w:val="15"/>
                <w:u w:val="single"/>
              </w:rPr>
            </w:pPr>
            <w:r>
              <w:rPr>
                <w:rFonts w:cs="Times New Roman"/>
                <w:sz w:val="15"/>
                <w:szCs w:val="15"/>
                <w:u w:val="single"/>
              </w:rPr>
              <w:t>Pmax</w:t>
            </w:r>
          </w:p>
          <w:p>
            <w:pPr>
              <w:pStyle w:val="39"/>
              <w:rPr>
                <w:rFonts w:cs="Times New Roman"/>
                <w:sz w:val="15"/>
                <w:szCs w:val="15"/>
                <w:u w:val="single"/>
              </w:rPr>
            </w:pPr>
            <w:r>
              <w:rPr>
                <w:rFonts w:cs="Times New Roman"/>
                <w:sz w:val="15"/>
                <w:szCs w:val="15"/>
                <w:u w:val="single"/>
              </w:rPr>
              <w:t>%</w:t>
            </w:r>
          </w:p>
        </w:tc>
        <w:tc>
          <w:tcPr>
            <w:tcW w:w="336" w:type="pct"/>
            <w:vMerge w:val="restart"/>
            <w:shd w:val="clear" w:color="auto" w:fill="auto"/>
            <w:vAlign w:val="center"/>
          </w:tcPr>
          <w:p>
            <w:pPr>
              <w:pStyle w:val="39"/>
              <w:rPr>
                <w:rFonts w:cs="Times New Roman"/>
                <w:sz w:val="15"/>
                <w:szCs w:val="15"/>
                <w:u w:val="single"/>
              </w:rPr>
            </w:pPr>
            <w:r>
              <w:rPr>
                <w:rFonts w:cs="Times New Roman"/>
                <w:sz w:val="15"/>
                <w:szCs w:val="15"/>
                <w:u w:val="single"/>
              </w:rPr>
              <w:t>评价工作等级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1" w:type="pct"/>
            <w:vMerge w:val="continue"/>
            <w:shd w:val="clear" w:color="auto" w:fill="auto"/>
            <w:vAlign w:val="center"/>
          </w:tcPr>
          <w:p>
            <w:pPr>
              <w:pStyle w:val="39"/>
              <w:rPr>
                <w:rFonts w:cs="Times New Roman"/>
                <w:sz w:val="15"/>
                <w:szCs w:val="15"/>
                <w:u w:val="single"/>
              </w:rPr>
            </w:pPr>
          </w:p>
        </w:tc>
        <w:tc>
          <w:tcPr>
            <w:tcW w:w="396" w:type="pct"/>
            <w:vMerge w:val="continue"/>
            <w:shd w:val="clear" w:color="auto" w:fill="auto"/>
            <w:vAlign w:val="center"/>
          </w:tcPr>
          <w:p>
            <w:pPr>
              <w:pStyle w:val="39"/>
              <w:rPr>
                <w:rFonts w:cs="Times New Roman"/>
                <w:sz w:val="15"/>
                <w:szCs w:val="15"/>
                <w:u w:val="single"/>
              </w:rPr>
            </w:pPr>
          </w:p>
        </w:tc>
        <w:tc>
          <w:tcPr>
            <w:tcW w:w="386" w:type="pct"/>
            <w:vAlign w:val="center"/>
          </w:tcPr>
          <w:p>
            <w:pPr>
              <w:pStyle w:val="39"/>
              <w:rPr>
                <w:rFonts w:cs="Times New Roman"/>
                <w:sz w:val="15"/>
                <w:szCs w:val="15"/>
                <w:u w:val="single"/>
              </w:rPr>
            </w:pPr>
            <w:r>
              <w:rPr>
                <w:rFonts w:cs="Times New Roman"/>
                <w:sz w:val="15"/>
                <w:szCs w:val="15"/>
                <w:u w:val="single"/>
              </w:rPr>
              <w:t>X（E）</w:t>
            </w:r>
          </w:p>
        </w:tc>
        <w:tc>
          <w:tcPr>
            <w:tcW w:w="386" w:type="pct"/>
            <w:vAlign w:val="center"/>
          </w:tcPr>
          <w:p>
            <w:pPr>
              <w:pStyle w:val="39"/>
              <w:rPr>
                <w:rFonts w:cs="Times New Roman"/>
                <w:sz w:val="15"/>
                <w:szCs w:val="15"/>
                <w:u w:val="single"/>
              </w:rPr>
            </w:pPr>
            <w:r>
              <w:rPr>
                <w:rFonts w:cs="Times New Roman"/>
                <w:sz w:val="15"/>
                <w:szCs w:val="15"/>
                <w:u w:val="single"/>
              </w:rPr>
              <w:t>Y（N）</w:t>
            </w:r>
          </w:p>
        </w:tc>
        <w:tc>
          <w:tcPr>
            <w:tcW w:w="309" w:type="pct"/>
            <w:vMerge w:val="continue"/>
            <w:shd w:val="clear" w:color="auto" w:fill="auto"/>
            <w:vAlign w:val="center"/>
          </w:tcPr>
          <w:p>
            <w:pPr>
              <w:pStyle w:val="39"/>
              <w:rPr>
                <w:rFonts w:cs="Times New Roman"/>
                <w:sz w:val="15"/>
                <w:szCs w:val="15"/>
                <w:u w:val="single"/>
              </w:rPr>
            </w:pPr>
          </w:p>
        </w:tc>
        <w:tc>
          <w:tcPr>
            <w:tcW w:w="310" w:type="pct"/>
            <w:vMerge w:val="continue"/>
            <w:shd w:val="clear" w:color="auto" w:fill="auto"/>
            <w:vAlign w:val="center"/>
          </w:tcPr>
          <w:p>
            <w:pPr>
              <w:pStyle w:val="39"/>
              <w:rPr>
                <w:rFonts w:cs="Times New Roman"/>
                <w:sz w:val="15"/>
                <w:szCs w:val="15"/>
                <w:u w:val="single"/>
              </w:rPr>
            </w:pPr>
          </w:p>
        </w:tc>
        <w:tc>
          <w:tcPr>
            <w:tcW w:w="400" w:type="pct"/>
            <w:vMerge w:val="continue"/>
            <w:shd w:val="clear" w:color="auto" w:fill="auto"/>
            <w:vAlign w:val="center"/>
          </w:tcPr>
          <w:p>
            <w:pPr>
              <w:pStyle w:val="39"/>
              <w:rPr>
                <w:rFonts w:cs="Times New Roman"/>
                <w:sz w:val="15"/>
                <w:szCs w:val="15"/>
                <w:u w:val="single"/>
              </w:rPr>
            </w:pPr>
          </w:p>
        </w:tc>
        <w:tc>
          <w:tcPr>
            <w:tcW w:w="322" w:type="pct"/>
            <w:vMerge w:val="continue"/>
            <w:shd w:val="clear" w:color="auto" w:fill="auto"/>
            <w:vAlign w:val="center"/>
          </w:tcPr>
          <w:p>
            <w:pPr>
              <w:pStyle w:val="39"/>
              <w:rPr>
                <w:rFonts w:cs="Times New Roman"/>
                <w:sz w:val="15"/>
                <w:szCs w:val="15"/>
                <w:u w:val="single"/>
              </w:rPr>
            </w:pPr>
          </w:p>
        </w:tc>
        <w:tc>
          <w:tcPr>
            <w:tcW w:w="294" w:type="pct"/>
            <w:vMerge w:val="continue"/>
            <w:shd w:val="clear" w:color="auto" w:fill="auto"/>
            <w:vAlign w:val="center"/>
          </w:tcPr>
          <w:p>
            <w:pPr>
              <w:pStyle w:val="39"/>
              <w:rPr>
                <w:rFonts w:cs="Times New Roman"/>
                <w:sz w:val="15"/>
                <w:szCs w:val="15"/>
                <w:u w:val="single"/>
              </w:rPr>
            </w:pPr>
          </w:p>
        </w:tc>
        <w:tc>
          <w:tcPr>
            <w:tcW w:w="313" w:type="pct"/>
            <w:vMerge w:val="continue"/>
            <w:shd w:val="clear" w:color="auto" w:fill="auto"/>
            <w:vAlign w:val="center"/>
          </w:tcPr>
          <w:p>
            <w:pPr>
              <w:pStyle w:val="39"/>
              <w:rPr>
                <w:rFonts w:cs="Times New Roman"/>
                <w:sz w:val="15"/>
                <w:szCs w:val="15"/>
                <w:u w:val="single"/>
              </w:rPr>
            </w:pPr>
          </w:p>
        </w:tc>
        <w:tc>
          <w:tcPr>
            <w:tcW w:w="659" w:type="pct"/>
            <w:gridSpan w:val="2"/>
            <w:vMerge w:val="continue"/>
            <w:shd w:val="clear" w:color="auto" w:fill="auto"/>
            <w:vAlign w:val="center"/>
          </w:tcPr>
          <w:p>
            <w:pPr>
              <w:pStyle w:val="39"/>
              <w:rPr>
                <w:rFonts w:cs="Times New Roman"/>
                <w:sz w:val="15"/>
                <w:szCs w:val="15"/>
                <w:u w:val="single"/>
              </w:rPr>
            </w:pPr>
          </w:p>
        </w:tc>
        <w:tc>
          <w:tcPr>
            <w:tcW w:w="608" w:type="pct"/>
            <w:vMerge w:val="continue"/>
            <w:vAlign w:val="center"/>
          </w:tcPr>
          <w:p>
            <w:pPr>
              <w:pStyle w:val="39"/>
              <w:rPr>
                <w:rFonts w:cs="Times New Roman"/>
                <w:sz w:val="15"/>
                <w:szCs w:val="15"/>
                <w:u w:val="single"/>
              </w:rPr>
            </w:pPr>
          </w:p>
        </w:tc>
        <w:tc>
          <w:tcPr>
            <w:tcW w:w="336" w:type="pct"/>
            <w:vMerge w:val="continue"/>
            <w:shd w:val="clear" w:color="auto" w:fill="auto"/>
            <w:vAlign w:val="center"/>
          </w:tcPr>
          <w:p>
            <w:pPr>
              <w:pStyle w:val="39"/>
              <w:rPr>
                <w:rFonts w:cs="Times New Roman"/>
                <w:sz w:val="15"/>
                <w:szCs w:val="15"/>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1" w:type="pct"/>
            <w:vMerge w:val="restart"/>
            <w:shd w:val="clear" w:color="auto" w:fill="auto"/>
            <w:vAlign w:val="center"/>
          </w:tcPr>
          <w:p>
            <w:pPr>
              <w:pStyle w:val="39"/>
              <w:rPr>
                <w:rFonts w:cs="Times New Roman"/>
                <w:sz w:val="15"/>
                <w:szCs w:val="15"/>
                <w:u w:val="single"/>
              </w:rPr>
            </w:pPr>
            <w:r>
              <w:rPr>
                <w:rFonts w:hint="eastAsia" w:cs="Times New Roman"/>
                <w:sz w:val="15"/>
                <w:szCs w:val="15"/>
                <w:u w:val="single"/>
              </w:rPr>
              <w:t>1</w:t>
            </w:r>
            <w:r>
              <w:rPr>
                <w:rFonts w:cs="Times New Roman"/>
                <w:sz w:val="15"/>
                <w:szCs w:val="15"/>
                <w:u w:val="single"/>
              </w:rPr>
              <w:t>#</w:t>
            </w:r>
          </w:p>
        </w:tc>
        <w:tc>
          <w:tcPr>
            <w:tcW w:w="396" w:type="pct"/>
            <w:vMerge w:val="restart"/>
            <w:shd w:val="clear" w:color="auto" w:fill="auto"/>
            <w:vAlign w:val="center"/>
          </w:tcPr>
          <w:p>
            <w:pPr>
              <w:pStyle w:val="39"/>
              <w:rPr>
                <w:rFonts w:cs="Times New Roman"/>
                <w:sz w:val="15"/>
                <w:szCs w:val="15"/>
                <w:u w:val="single"/>
              </w:rPr>
            </w:pPr>
            <w:r>
              <w:rPr>
                <w:rFonts w:hint="eastAsia" w:cs="Times New Roman"/>
                <w:sz w:val="15"/>
                <w:szCs w:val="15"/>
                <w:u w:val="single"/>
              </w:rPr>
              <w:t>锅炉废气</w:t>
            </w:r>
            <w:r>
              <w:rPr>
                <w:rFonts w:cs="Times New Roman"/>
                <w:sz w:val="15"/>
                <w:szCs w:val="15"/>
                <w:u w:val="single"/>
              </w:rPr>
              <w:t>排气筒</w:t>
            </w:r>
            <w:r>
              <w:rPr>
                <w:rFonts w:hint="eastAsia" w:cs="Times New Roman"/>
                <w:sz w:val="15"/>
                <w:szCs w:val="15"/>
                <w:u w:val="single"/>
              </w:rPr>
              <w:t>（1</w:t>
            </w:r>
            <w:r>
              <w:rPr>
                <w:rFonts w:cs="Times New Roman"/>
                <w:sz w:val="15"/>
                <w:szCs w:val="15"/>
                <w:u w:val="single"/>
              </w:rPr>
              <w:t>#、</w:t>
            </w:r>
            <w:r>
              <w:rPr>
                <w:rFonts w:hint="eastAsia" w:cs="Times New Roman"/>
                <w:sz w:val="15"/>
                <w:szCs w:val="15"/>
                <w:u w:val="single"/>
              </w:rPr>
              <w:t>2</w:t>
            </w:r>
            <w:r>
              <w:rPr>
                <w:rFonts w:cs="Times New Roman"/>
                <w:sz w:val="15"/>
                <w:szCs w:val="15"/>
                <w:u w:val="single"/>
              </w:rPr>
              <w:t>#、</w:t>
            </w:r>
            <w:r>
              <w:rPr>
                <w:rFonts w:hint="eastAsia" w:cs="Times New Roman"/>
                <w:sz w:val="15"/>
                <w:szCs w:val="15"/>
                <w:u w:val="single"/>
              </w:rPr>
              <w:t>3</w:t>
            </w:r>
            <w:r>
              <w:rPr>
                <w:rFonts w:cs="Times New Roman"/>
                <w:sz w:val="15"/>
                <w:szCs w:val="15"/>
                <w:u w:val="single"/>
              </w:rPr>
              <w:t>#</w:t>
            </w:r>
            <w:r>
              <w:rPr>
                <w:rFonts w:hint="eastAsia" w:cs="Times New Roman"/>
                <w:sz w:val="15"/>
                <w:szCs w:val="15"/>
                <w:u w:val="single"/>
              </w:rPr>
              <w:t>）</w:t>
            </w:r>
          </w:p>
        </w:tc>
        <w:tc>
          <w:tcPr>
            <w:tcW w:w="386" w:type="pct"/>
            <w:vMerge w:val="restart"/>
            <w:vAlign w:val="center"/>
          </w:tcPr>
          <w:p>
            <w:pPr>
              <w:pStyle w:val="39"/>
              <w:rPr>
                <w:rFonts w:cs="Times New Roman"/>
                <w:sz w:val="15"/>
                <w:szCs w:val="15"/>
                <w:u w:val="single"/>
              </w:rPr>
            </w:pPr>
            <w:r>
              <w:rPr>
                <w:rFonts w:cs="Times New Roman"/>
                <w:sz w:val="15"/>
                <w:szCs w:val="15"/>
                <w:u w:val="single"/>
              </w:rPr>
              <w:t>112.396409054</w:t>
            </w:r>
          </w:p>
        </w:tc>
        <w:tc>
          <w:tcPr>
            <w:tcW w:w="386" w:type="pct"/>
            <w:vMerge w:val="restart"/>
            <w:vAlign w:val="center"/>
          </w:tcPr>
          <w:p>
            <w:pPr>
              <w:pStyle w:val="39"/>
              <w:rPr>
                <w:rFonts w:cs="Times New Roman"/>
                <w:sz w:val="15"/>
                <w:szCs w:val="15"/>
                <w:u w:val="single"/>
              </w:rPr>
            </w:pPr>
            <w:r>
              <w:rPr>
                <w:rFonts w:cs="Times New Roman"/>
                <w:sz w:val="15"/>
                <w:szCs w:val="15"/>
                <w:u w:val="single"/>
              </w:rPr>
              <w:t>27.078804477</w:t>
            </w:r>
          </w:p>
        </w:tc>
        <w:tc>
          <w:tcPr>
            <w:tcW w:w="309" w:type="pct"/>
            <w:vMerge w:val="restart"/>
            <w:shd w:val="clear" w:color="auto" w:fill="auto"/>
            <w:vAlign w:val="center"/>
          </w:tcPr>
          <w:p>
            <w:pPr>
              <w:pStyle w:val="39"/>
              <w:rPr>
                <w:rFonts w:cs="Times New Roman"/>
                <w:sz w:val="15"/>
                <w:szCs w:val="15"/>
                <w:u w:val="single"/>
              </w:rPr>
            </w:pPr>
            <w:r>
              <w:rPr>
                <w:rFonts w:cs="Times New Roman"/>
                <w:sz w:val="15"/>
                <w:szCs w:val="15"/>
                <w:u w:val="single"/>
              </w:rPr>
              <w:t>20</w:t>
            </w:r>
          </w:p>
        </w:tc>
        <w:tc>
          <w:tcPr>
            <w:tcW w:w="310" w:type="pct"/>
            <w:vMerge w:val="restart"/>
            <w:shd w:val="clear" w:color="auto" w:fill="auto"/>
            <w:vAlign w:val="center"/>
          </w:tcPr>
          <w:p>
            <w:pPr>
              <w:pStyle w:val="39"/>
              <w:rPr>
                <w:rFonts w:cs="Times New Roman"/>
                <w:sz w:val="15"/>
                <w:szCs w:val="15"/>
                <w:u w:val="single"/>
              </w:rPr>
            </w:pPr>
            <w:r>
              <w:rPr>
                <w:rFonts w:cs="Times New Roman"/>
                <w:sz w:val="15"/>
                <w:szCs w:val="15"/>
                <w:u w:val="single"/>
              </w:rPr>
              <w:t>0.5</w:t>
            </w:r>
          </w:p>
        </w:tc>
        <w:tc>
          <w:tcPr>
            <w:tcW w:w="400" w:type="pct"/>
            <w:vMerge w:val="restart"/>
            <w:shd w:val="clear" w:color="auto" w:fill="auto"/>
            <w:vAlign w:val="center"/>
          </w:tcPr>
          <w:p>
            <w:pPr>
              <w:pStyle w:val="39"/>
              <w:rPr>
                <w:rFonts w:cs="Times New Roman"/>
                <w:sz w:val="15"/>
                <w:szCs w:val="15"/>
                <w:u w:val="single"/>
              </w:rPr>
            </w:pPr>
            <w:r>
              <w:rPr>
                <w:rFonts w:cs="Times New Roman"/>
                <w:sz w:val="15"/>
                <w:szCs w:val="15"/>
                <w:u w:val="single"/>
              </w:rPr>
              <w:t>404.4</w:t>
            </w:r>
          </w:p>
        </w:tc>
        <w:tc>
          <w:tcPr>
            <w:tcW w:w="322" w:type="pct"/>
            <w:vMerge w:val="restart"/>
            <w:shd w:val="clear" w:color="auto" w:fill="auto"/>
            <w:vAlign w:val="center"/>
          </w:tcPr>
          <w:p>
            <w:pPr>
              <w:pStyle w:val="39"/>
              <w:rPr>
                <w:rFonts w:cs="Times New Roman"/>
                <w:sz w:val="15"/>
                <w:szCs w:val="15"/>
                <w:u w:val="single"/>
              </w:rPr>
            </w:pPr>
            <w:r>
              <w:rPr>
                <w:rFonts w:cs="Times New Roman"/>
                <w:sz w:val="15"/>
                <w:szCs w:val="15"/>
                <w:u w:val="single"/>
              </w:rPr>
              <w:t>50</w:t>
            </w:r>
          </w:p>
        </w:tc>
        <w:tc>
          <w:tcPr>
            <w:tcW w:w="294" w:type="pct"/>
            <w:vMerge w:val="restart"/>
            <w:shd w:val="clear" w:color="auto" w:fill="auto"/>
            <w:vAlign w:val="center"/>
          </w:tcPr>
          <w:p>
            <w:pPr>
              <w:pStyle w:val="39"/>
              <w:rPr>
                <w:rFonts w:cs="Times New Roman"/>
                <w:sz w:val="15"/>
                <w:szCs w:val="15"/>
                <w:u w:val="single"/>
              </w:rPr>
            </w:pPr>
            <w:r>
              <w:rPr>
                <w:rFonts w:cs="Times New Roman"/>
                <w:sz w:val="15"/>
                <w:szCs w:val="15"/>
                <w:u w:val="single"/>
              </w:rPr>
              <w:t>2160</w:t>
            </w:r>
          </w:p>
        </w:tc>
        <w:tc>
          <w:tcPr>
            <w:tcW w:w="313" w:type="pct"/>
            <w:vMerge w:val="restart"/>
            <w:shd w:val="clear" w:color="auto" w:fill="auto"/>
            <w:vAlign w:val="center"/>
          </w:tcPr>
          <w:p>
            <w:pPr>
              <w:pStyle w:val="39"/>
              <w:rPr>
                <w:rFonts w:cs="Times New Roman"/>
                <w:sz w:val="15"/>
                <w:szCs w:val="15"/>
                <w:u w:val="single"/>
              </w:rPr>
            </w:pPr>
            <w:r>
              <w:rPr>
                <w:rFonts w:cs="Times New Roman"/>
                <w:sz w:val="15"/>
                <w:szCs w:val="15"/>
                <w:u w:val="single"/>
              </w:rPr>
              <w:t>正常</w:t>
            </w:r>
          </w:p>
        </w:tc>
        <w:tc>
          <w:tcPr>
            <w:tcW w:w="275" w:type="pct"/>
            <w:shd w:val="clear" w:color="auto" w:fill="auto"/>
            <w:vAlign w:val="center"/>
          </w:tcPr>
          <w:p>
            <w:pPr>
              <w:pStyle w:val="39"/>
              <w:rPr>
                <w:sz w:val="15"/>
                <w:szCs w:val="15"/>
                <w:u w:val="single"/>
              </w:rPr>
            </w:pPr>
            <w:r>
              <w:rPr>
                <w:sz w:val="15"/>
                <w:szCs w:val="15"/>
                <w:u w:val="single"/>
              </w:rPr>
              <w:t>SO</w:t>
            </w:r>
            <w:r>
              <w:rPr>
                <w:sz w:val="15"/>
                <w:szCs w:val="15"/>
                <w:u w:val="single"/>
                <w:vertAlign w:val="subscript"/>
              </w:rPr>
              <w:t>2</w:t>
            </w:r>
          </w:p>
        </w:tc>
        <w:tc>
          <w:tcPr>
            <w:tcW w:w="384" w:type="pct"/>
            <w:shd w:val="clear" w:color="auto" w:fill="auto"/>
            <w:vAlign w:val="center"/>
          </w:tcPr>
          <w:p>
            <w:pPr>
              <w:jc w:val="center"/>
              <w:rPr>
                <w:rFonts w:ascii="Times New Roman" w:hAnsi="Times New Roman" w:cs="Times New Roman"/>
                <w:sz w:val="15"/>
                <w:szCs w:val="15"/>
                <w:u w:val="single"/>
              </w:rPr>
            </w:pPr>
            <w:r>
              <w:rPr>
                <w:rFonts w:ascii="Times New Roman" w:hAnsi="Times New Roman" w:cs="Times New Roman"/>
                <w:sz w:val="15"/>
                <w:szCs w:val="15"/>
                <w:u w:val="single"/>
              </w:rPr>
              <w:t>0.22</w:t>
            </w:r>
          </w:p>
        </w:tc>
        <w:tc>
          <w:tcPr>
            <w:tcW w:w="608" w:type="pct"/>
            <w:vAlign w:val="center"/>
          </w:tcPr>
          <w:p>
            <w:pPr>
              <w:pStyle w:val="39"/>
              <w:rPr>
                <w:rFonts w:cs="Times New Roman"/>
                <w:sz w:val="15"/>
                <w:szCs w:val="15"/>
                <w:u w:val="single"/>
              </w:rPr>
            </w:pPr>
            <w:r>
              <w:rPr>
                <w:sz w:val="15"/>
                <w:szCs w:val="15"/>
                <w:u w:val="single"/>
              </w:rPr>
              <w:t>0.33</w:t>
            </w:r>
            <w:r>
              <w:rPr>
                <w:rFonts w:hint="eastAsia"/>
                <w:sz w:val="15"/>
                <w:szCs w:val="15"/>
                <w:u w:val="single"/>
              </w:rPr>
              <w:t>＜1</w:t>
            </w:r>
          </w:p>
        </w:tc>
        <w:tc>
          <w:tcPr>
            <w:tcW w:w="336" w:type="pct"/>
            <w:shd w:val="clear" w:color="auto" w:fill="auto"/>
            <w:vAlign w:val="center"/>
          </w:tcPr>
          <w:p>
            <w:pPr>
              <w:pStyle w:val="39"/>
              <w:rPr>
                <w:sz w:val="15"/>
                <w:szCs w:val="15"/>
                <w:u w:val="single"/>
              </w:rPr>
            </w:pPr>
            <w:r>
              <w:rPr>
                <w:rFonts w:hint="eastAsia"/>
                <w:sz w:val="15"/>
                <w:szCs w:val="15"/>
                <w:u w:val="single"/>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1" w:type="pct"/>
            <w:vMerge w:val="continue"/>
            <w:shd w:val="clear" w:color="auto" w:fill="auto"/>
            <w:vAlign w:val="center"/>
          </w:tcPr>
          <w:p>
            <w:pPr>
              <w:pStyle w:val="39"/>
              <w:rPr>
                <w:rFonts w:cs="Times New Roman"/>
                <w:sz w:val="15"/>
                <w:szCs w:val="15"/>
                <w:u w:val="single"/>
              </w:rPr>
            </w:pPr>
          </w:p>
        </w:tc>
        <w:tc>
          <w:tcPr>
            <w:tcW w:w="396" w:type="pct"/>
            <w:vMerge w:val="continue"/>
            <w:shd w:val="clear" w:color="auto" w:fill="auto"/>
            <w:vAlign w:val="center"/>
          </w:tcPr>
          <w:p>
            <w:pPr>
              <w:pStyle w:val="39"/>
              <w:rPr>
                <w:rFonts w:cs="Times New Roman"/>
                <w:sz w:val="15"/>
                <w:szCs w:val="15"/>
                <w:u w:val="single"/>
              </w:rPr>
            </w:pPr>
          </w:p>
        </w:tc>
        <w:tc>
          <w:tcPr>
            <w:tcW w:w="386" w:type="pct"/>
            <w:vMerge w:val="continue"/>
            <w:vAlign w:val="center"/>
          </w:tcPr>
          <w:p>
            <w:pPr>
              <w:pStyle w:val="39"/>
              <w:rPr>
                <w:rFonts w:cs="Times New Roman"/>
                <w:sz w:val="15"/>
                <w:szCs w:val="15"/>
                <w:u w:val="single"/>
              </w:rPr>
            </w:pPr>
          </w:p>
        </w:tc>
        <w:tc>
          <w:tcPr>
            <w:tcW w:w="386" w:type="pct"/>
            <w:vMerge w:val="continue"/>
            <w:vAlign w:val="center"/>
          </w:tcPr>
          <w:p>
            <w:pPr>
              <w:pStyle w:val="39"/>
              <w:rPr>
                <w:rFonts w:cs="Times New Roman"/>
                <w:sz w:val="15"/>
                <w:szCs w:val="15"/>
                <w:u w:val="single"/>
              </w:rPr>
            </w:pPr>
          </w:p>
        </w:tc>
        <w:tc>
          <w:tcPr>
            <w:tcW w:w="309" w:type="pct"/>
            <w:vMerge w:val="continue"/>
            <w:shd w:val="clear" w:color="auto" w:fill="auto"/>
            <w:vAlign w:val="center"/>
          </w:tcPr>
          <w:p>
            <w:pPr>
              <w:pStyle w:val="39"/>
              <w:rPr>
                <w:rFonts w:cs="Times New Roman"/>
                <w:sz w:val="15"/>
                <w:szCs w:val="15"/>
                <w:u w:val="single"/>
              </w:rPr>
            </w:pPr>
          </w:p>
        </w:tc>
        <w:tc>
          <w:tcPr>
            <w:tcW w:w="310" w:type="pct"/>
            <w:vMerge w:val="continue"/>
            <w:shd w:val="clear" w:color="auto" w:fill="auto"/>
            <w:vAlign w:val="center"/>
          </w:tcPr>
          <w:p>
            <w:pPr>
              <w:pStyle w:val="39"/>
              <w:rPr>
                <w:rFonts w:cs="Times New Roman"/>
                <w:sz w:val="15"/>
                <w:szCs w:val="15"/>
                <w:u w:val="single"/>
              </w:rPr>
            </w:pPr>
          </w:p>
        </w:tc>
        <w:tc>
          <w:tcPr>
            <w:tcW w:w="400" w:type="pct"/>
            <w:vMerge w:val="continue"/>
            <w:shd w:val="clear" w:color="auto" w:fill="auto"/>
            <w:vAlign w:val="center"/>
          </w:tcPr>
          <w:p>
            <w:pPr>
              <w:pStyle w:val="39"/>
              <w:rPr>
                <w:rFonts w:cs="Times New Roman"/>
                <w:sz w:val="15"/>
                <w:szCs w:val="15"/>
                <w:u w:val="single"/>
              </w:rPr>
            </w:pPr>
          </w:p>
        </w:tc>
        <w:tc>
          <w:tcPr>
            <w:tcW w:w="322" w:type="pct"/>
            <w:vMerge w:val="continue"/>
            <w:shd w:val="clear" w:color="auto" w:fill="auto"/>
            <w:vAlign w:val="center"/>
          </w:tcPr>
          <w:p>
            <w:pPr>
              <w:pStyle w:val="39"/>
              <w:rPr>
                <w:rFonts w:cs="Times New Roman"/>
                <w:sz w:val="15"/>
                <w:szCs w:val="15"/>
                <w:u w:val="single"/>
              </w:rPr>
            </w:pPr>
          </w:p>
        </w:tc>
        <w:tc>
          <w:tcPr>
            <w:tcW w:w="294" w:type="pct"/>
            <w:vMerge w:val="continue"/>
            <w:shd w:val="clear" w:color="auto" w:fill="auto"/>
            <w:vAlign w:val="center"/>
          </w:tcPr>
          <w:p>
            <w:pPr>
              <w:pStyle w:val="39"/>
              <w:rPr>
                <w:rFonts w:cs="Times New Roman"/>
                <w:sz w:val="15"/>
                <w:szCs w:val="15"/>
                <w:u w:val="single"/>
              </w:rPr>
            </w:pPr>
          </w:p>
        </w:tc>
        <w:tc>
          <w:tcPr>
            <w:tcW w:w="313" w:type="pct"/>
            <w:vMerge w:val="continue"/>
            <w:shd w:val="clear" w:color="auto" w:fill="auto"/>
            <w:vAlign w:val="center"/>
          </w:tcPr>
          <w:p>
            <w:pPr>
              <w:pStyle w:val="39"/>
              <w:rPr>
                <w:rFonts w:cs="Times New Roman"/>
                <w:sz w:val="15"/>
                <w:szCs w:val="15"/>
                <w:u w:val="single"/>
              </w:rPr>
            </w:pPr>
          </w:p>
        </w:tc>
        <w:tc>
          <w:tcPr>
            <w:tcW w:w="275" w:type="pct"/>
            <w:shd w:val="clear" w:color="auto" w:fill="auto"/>
            <w:vAlign w:val="center"/>
          </w:tcPr>
          <w:p>
            <w:pPr>
              <w:pStyle w:val="39"/>
              <w:rPr>
                <w:sz w:val="15"/>
                <w:szCs w:val="15"/>
                <w:u w:val="single"/>
              </w:rPr>
            </w:pPr>
            <w:r>
              <w:rPr>
                <w:sz w:val="15"/>
                <w:szCs w:val="15"/>
                <w:u w:val="single"/>
              </w:rPr>
              <w:t>NO</w:t>
            </w:r>
            <w:r>
              <w:rPr>
                <w:sz w:val="15"/>
                <w:szCs w:val="15"/>
                <w:u w:val="single"/>
                <w:vertAlign w:val="subscript"/>
              </w:rPr>
              <w:t>X</w:t>
            </w:r>
          </w:p>
        </w:tc>
        <w:tc>
          <w:tcPr>
            <w:tcW w:w="384" w:type="pct"/>
            <w:shd w:val="clear" w:color="auto" w:fill="auto"/>
            <w:vAlign w:val="center"/>
          </w:tcPr>
          <w:p>
            <w:pPr>
              <w:jc w:val="center"/>
              <w:rPr>
                <w:rFonts w:ascii="Times New Roman" w:hAnsi="Times New Roman" w:cs="Times New Roman"/>
                <w:sz w:val="15"/>
                <w:szCs w:val="15"/>
                <w:u w:val="single"/>
              </w:rPr>
            </w:pPr>
            <w:r>
              <w:rPr>
                <w:rFonts w:ascii="Times New Roman" w:hAnsi="Times New Roman" w:cs="Times New Roman"/>
                <w:sz w:val="15"/>
                <w:szCs w:val="15"/>
                <w:u w:val="single"/>
              </w:rPr>
              <w:t>0.66</w:t>
            </w:r>
          </w:p>
        </w:tc>
        <w:tc>
          <w:tcPr>
            <w:tcW w:w="608" w:type="pct"/>
            <w:vAlign w:val="center"/>
          </w:tcPr>
          <w:p>
            <w:pPr>
              <w:pStyle w:val="39"/>
              <w:rPr>
                <w:rFonts w:cs="Times New Roman"/>
                <w:sz w:val="15"/>
                <w:szCs w:val="15"/>
                <w:u w:val="single"/>
              </w:rPr>
            </w:pPr>
            <w:r>
              <w:rPr>
                <w:sz w:val="15"/>
                <w:szCs w:val="15"/>
                <w:u w:val="single"/>
              </w:rPr>
              <w:t>1</w:t>
            </w:r>
            <w:r>
              <w:rPr>
                <w:rFonts w:hint="eastAsia"/>
                <w:sz w:val="15"/>
                <w:szCs w:val="15"/>
                <w:u w:val="single"/>
              </w:rPr>
              <w:t>＜</w:t>
            </w:r>
            <w:r>
              <w:rPr>
                <w:rFonts w:cs="Times New Roman"/>
                <w:sz w:val="15"/>
                <w:szCs w:val="15"/>
                <w:u w:val="single"/>
              </w:rPr>
              <w:t>1.99</w:t>
            </w:r>
            <w:r>
              <w:rPr>
                <w:rFonts w:hint="eastAsia"/>
                <w:sz w:val="15"/>
                <w:szCs w:val="15"/>
                <w:u w:val="single"/>
              </w:rPr>
              <w:t>＜1</w:t>
            </w:r>
            <w:r>
              <w:rPr>
                <w:sz w:val="15"/>
                <w:szCs w:val="15"/>
                <w:u w:val="single"/>
              </w:rPr>
              <w:t>0</w:t>
            </w:r>
          </w:p>
        </w:tc>
        <w:tc>
          <w:tcPr>
            <w:tcW w:w="336" w:type="pct"/>
            <w:shd w:val="clear" w:color="auto" w:fill="auto"/>
            <w:vAlign w:val="center"/>
          </w:tcPr>
          <w:p>
            <w:pPr>
              <w:pStyle w:val="39"/>
              <w:rPr>
                <w:sz w:val="15"/>
                <w:szCs w:val="15"/>
                <w:u w:val="single"/>
              </w:rPr>
            </w:pPr>
            <w:r>
              <w:rPr>
                <w:rFonts w:hint="eastAsia"/>
                <w:sz w:val="15"/>
                <w:szCs w:val="15"/>
                <w:u w:val="single"/>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1" w:type="pct"/>
            <w:vMerge w:val="continue"/>
            <w:shd w:val="clear" w:color="auto" w:fill="auto"/>
            <w:vAlign w:val="center"/>
          </w:tcPr>
          <w:p>
            <w:pPr>
              <w:pStyle w:val="39"/>
              <w:rPr>
                <w:rFonts w:cs="Times New Roman"/>
                <w:sz w:val="15"/>
                <w:szCs w:val="15"/>
                <w:u w:val="single"/>
              </w:rPr>
            </w:pPr>
          </w:p>
        </w:tc>
        <w:tc>
          <w:tcPr>
            <w:tcW w:w="396" w:type="pct"/>
            <w:vMerge w:val="continue"/>
            <w:shd w:val="clear" w:color="auto" w:fill="auto"/>
            <w:vAlign w:val="center"/>
          </w:tcPr>
          <w:p>
            <w:pPr>
              <w:pStyle w:val="39"/>
              <w:rPr>
                <w:rFonts w:cs="Times New Roman"/>
                <w:sz w:val="15"/>
                <w:szCs w:val="15"/>
                <w:u w:val="single"/>
              </w:rPr>
            </w:pPr>
          </w:p>
        </w:tc>
        <w:tc>
          <w:tcPr>
            <w:tcW w:w="386" w:type="pct"/>
            <w:vMerge w:val="continue"/>
            <w:vAlign w:val="center"/>
          </w:tcPr>
          <w:p>
            <w:pPr>
              <w:pStyle w:val="39"/>
              <w:rPr>
                <w:rFonts w:cs="Times New Roman"/>
                <w:sz w:val="15"/>
                <w:szCs w:val="15"/>
                <w:u w:val="single"/>
              </w:rPr>
            </w:pPr>
          </w:p>
        </w:tc>
        <w:tc>
          <w:tcPr>
            <w:tcW w:w="386" w:type="pct"/>
            <w:vMerge w:val="continue"/>
            <w:vAlign w:val="center"/>
          </w:tcPr>
          <w:p>
            <w:pPr>
              <w:pStyle w:val="39"/>
              <w:rPr>
                <w:rFonts w:cs="Times New Roman"/>
                <w:sz w:val="15"/>
                <w:szCs w:val="15"/>
                <w:u w:val="single"/>
              </w:rPr>
            </w:pPr>
          </w:p>
        </w:tc>
        <w:tc>
          <w:tcPr>
            <w:tcW w:w="309" w:type="pct"/>
            <w:vMerge w:val="continue"/>
            <w:shd w:val="clear" w:color="auto" w:fill="auto"/>
            <w:vAlign w:val="center"/>
          </w:tcPr>
          <w:p>
            <w:pPr>
              <w:pStyle w:val="39"/>
              <w:rPr>
                <w:rFonts w:cs="Times New Roman"/>
                <w:sz w:val="15"/>
                <w:szCs w:val="15"/>
                <w:u w:val="single"/>
              </w:rPr>
            </w:pPr>
          </w:p>
        </w:tc>
        <w:tc>
          <w:tcPr>
            <w:tcW w:w="310" w:type="pct"/>
            <w:vMerge w:val="continue"/>
            <w:shd w:val="clear" w:color="auto" w:fill="auto"/>
            <w:vAlign w:val="center"/>
          </w:tcPr>
          <w:p>
            <w:pPr>
              <w:pStyle w:val="39"/>
              <w:rPr>
                <w:rFonts w:cs="Times New Roman"/>
                <w:sz w:val="15"/>
                <w:szCs w:val="15"/>
                <w:u w:val="single"/>
              </w:rPr>
            </w:pPr>
          </w:p>
        </w:tc>
        <w:tc>
          <w:tcPr>
            <w:tcW w:w="400" w:type="pct"/>
            <w:vMerge w:val="continue"/>
            <w:shd w:val="clear" w:color="auto" w:fill="auto"/>
            <w:vAlign w:val="center"/>
          </w:tcPr>
          <w:p>
            <w:pPr>
              <w:pStyle w:val="39"/>
              <w:rPr>
                <w:rFonts w:cs="Times New Roman"/>
                <w:sz w:val="15"/>
                <w:szCs w:val="15"/>
                <w:u w:val="single"/>
              </w:rPr>
            </w:pPr>
          </w:p>
        </w:tc>
        <w:tc>
          <w:tcPr>
            <w:tcW w:w="322" w:type="pct"/>
            <w:vMerge w:val="continue"/>
            <w:shd w:val="clear" w:color="auto" w:fill="auto"/>
            <w:vAlign w:val="center"/>
          </w:tcPr>
          <w:p>
            <w:pPr>
              <w:pStyle w:val="39"/>
              <w:rPr>
                <w:rFonts w:cs="Times New Roman"/>
                <w:sz w:val="15"/>
                <w:szCs w:val="15"/>
                <w:u w:val="single"/>
              </w:rPr>
            </w:pPr>
          </w:p>
        </w:tc>
        <w:tc>
          <w:tcPr>
            <w:tcW w:w="294" w:type="pct"/>
            <w:vMerge w:val="continue"/>
            <w:shd w:val="clear" w:color="auto" w:fill="auto"/>
            <w:vAlign w:val="center"/>
          </w:tcPr>
          <w:p>
            <w:pPr>
              <w:pStyle w:val="39"/>
              <w:rPr>
                <w:rFonts w:cs="Times New Roman"/>
                <w:sz w:val="15"/>
                <w:szCs w:val="15"/>
                <w:u w:val="single"/>
              </w:rPr>
            </w:pPr>
          </w:p>
        </w:tc>
        <w:tc>
          <w:tcPr>
            <w:tcW w:w="313" w:type="pct"/>
            <w:vMerge w:val="continue"/>
            <w:shd w:val="clear" w:color="auto" w:fill="auto"/>
            <w:vAlign w:val="center"/>
          </w:tcPr>
          <w:p>
            <w:pPr>
              <w:pStyle w:val="39"/>
              <w:rPr>
                <w:rFonts w:cs="Times New Roman"/>
                <w:sz w:val="15"/>
                <w:szCs w:val="15"/>
                <w:u w:val="single"/>
              </w:rPr>
            </w:pPr>
          </w:p>
        </w:tc>
        <w:tc>
          <w:tcPr>
            <w:tcW w:w="275" w:type="pct"/>
            <w:shd w:val="clear" w:color="auto" w:fill="auto"/>
            <w:vAlign w:val="center"/>
          </w:tcPr>
          <w:p>
            <w:pPr>
              <w:pStyle w:val="39"/>
              <w:rPr>
                <w:sz w:val="15"/>
                <w:szCs w:val="15"/>
                <w:u w:val="single"/>
              </w:rPr>
            </w:pPr>
            <w:r>
              <w:rPr>
                <w:rFonts w:hint="eastAsia"/>
                <w:sz w:val="15"/>
                <w:szCs w:val="15"/>
                <w:u w:val="single"/>
              </w:rPr>
              <w:t>TSP</w:t>
            </w:r>
          </w:p>
        </w:tc>
        <w:tc>
          <w:tcPr>
            <w:tcW w:w="384" w:type="pct"/>
            <w:shd w:val="clear" w:color="auto" w:fill="auto"/>
            <w:vAlign w:val="center"/>
          </w:tcPr>
          <w:p>
            <w:pPr>
              <w:jc w:val="center"/>
              <w:rPr>
                <w:rFonts w:ascii="Times New Roman" w:hAnsi="Times New Roman" w:cs="Times New Roman"/>
                <w:sz w:val="15"/>
                <w:szCs w:val="15"/>
                <w:u w:val="single"/>
              </w:rPr>
            </w:pPr>
            <w:r>
              <w:rPr>
                <w:rFonts w:hint="eastAsia" w:ascii="Times New Roman" w:hAnsi="Times New Roman" w:cs="Times New Roman"/>
                <w:sz w:val="15"/>
                <w:szCs w:val="15"/>
                <w:u w:val="single"/>
              </w:rPr>
              <w:t>0.</w:t>
            </w:r>
            <w:r>
              <w:rPr>
                <w:rFonts w:ascii="Times New Roman" w:hAnsi="Times New Roman" w:cs="Times New Roman"/>
                <w:sz w:val="15"/>
                <w:szCs w:val="15"/>
                <w:u w:val="single"/>
              </w:rPr>
              <w:t>002</w:t>
            </w:r>
          </w:p>
        </w:tc>
        <w:tc>
          <w:tcPr>
            <w:tcW w:w="608" w:type="pct"/>
            <w:vAlign w:val="center"/>
          </w:tcPr>
          <w:p>
            <w:pPr>
              <w:pStyle w:val="39"/>
              <w:rPr>
                <w:rFonts w:cs="Times New Roman"/>
                <w:sz w:val="15"/>
                <w:szCs w:val="15"/>
                <w:u w:val="single"/>
              </w:rPr>
            </w:pPr>
            <w:r>
              <w:rPr>
                <w:sz w:val="15"/>
                <w:szCs w:val="15"/>
                <w:u w:val="single"/>
              </w:rPr>
              <w:t>0</w:t>
            </w:r>
            <w:r>
              <w:rPr>
                <w:rFonts w:hint="eastAsia"/>
                <w:sz w:val="15"/>
                <w:szCs w:val="15"/>
                <w:u w:val="single"/>
              </w:rPr>
              <w:t>＜1</w:t>
            </w:r>
          </w:p>
        </w:tc>
        <w:tc>
          <w:tcPr>
            <w:tcW w:w="336" w:type="pct"/>
            <w:shd w:val="clear" w:color="auto" w:fill="auto"/>
            <w:vAlign w:val="center"/>
          </w:tcPr>
          <w:p>
            <w:pPr>
              <w:pStyle w:val="39"/>
              <w:rPr>
                <w:sz w:val="15"/>
                <w:szCs w:val="15"/>
                <w:u w:val="single"/>
              </w:rPr>
            </w:pPr>
            <w:r>
              <w:rPr>
                <w:rFonts w:hint="eastAsia"/>
                <w:sz w:val="15"/>
                <w:szCs w:val="15"/>
                <w:u w:val="single"/>
              </w:rPr>
              <w:t>三级</w:t>
            </w:r>
          </w:p>
        </w:tc>
      </w:tr>
    </w:tbl>
    <w:p>
      <w:pPr>
        <w:pStyle w:val="15"/>
        <w:rPr>
          <w:rFonts w:cs="Times New Roman"/>
          <w:u w:val="single"/>
        </w:rPr>
      </w:pPr>
    </w:p>
    <w:p>
      <w:pPr>
        <w:pStyle w:val="3"/>
        <w:ind w:firstLine="480"/>
      </w:pPr>
    </w:p>
    <w:p>
      <w:pPr>
        <w:pStyle w:val="3"/>
        <w:ind w:firstLine="480"/>
      </w:pPr>
    </w:p>
    <w:p>
      <w:pPr>
        <w:pStyle w:val="15"/>
        <w:rPr>
          <w:rFonts w:cs="Times New Roman"/>
          <w:u w:val="single"/>
        </w:rPr>
      </w:pPr>
      <w:r>
        <w:rPr>
          <w:rFonts w:cs="Times New Roman"/>
          <w:u w:val="single"/>
        </w:rPr>
        <w:t>表2.6-5   大气面源评价等级参数及判别一览表</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
        <w:gridCol w:w="616"/>
        <w:gridCol w:w="572"/>
        <w:gridCol w:w="681"/>
        <w:gridCol w:w="598"/>
        <w:gridCol w:w="567"/>
        <w:gridCol w:w="567"/>
        <w:gridCol w:w="563"/>
        <w:gridCol w:w="706"/>
        <w:gridCol w:w="569"/>
        <w:gridCol w:w="567"/>
        <w:gridCol w:w="569"/>
        <w:gridCol w:w="708"/>
        <w:gridCol w:w="860"/>
        <w:gridCol w:w="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85" w:type="pct"/>
            <w:vMerge w:val="restart"/>
            <w:vAlign w:val="center"/>
          </w:tcPr>
          <w:p>
            <w:pPr>
              <w:pStyle w:val="39"/>
              <w:rPr>
                <w:rFonts w:cs="Times New Roman"/>
                <w:sz w:val="15"/>
                <w:szCs w:val="15"/>
                <w:u w:val="single"/>
              </w:rPr>
            </w:pPr>
            <w:r>
              <w:rPr>
                <w:rFonts w:cs="Times New Roman"/>
                <w:sz w:val="15"/>
                <w:szCs w:val="15"/>
                <w:u w:val="single"/>
              </w:rPr>
              <w:t>编号</w:t>
            </w:r>
          </w:p>
        </w:tc>
        <w:tc>
          <w:tcPr>
            <w:tcW w:w="336" w:type="pct"/>
            <w:vMerge w:val="restart"/>
            <w:vAlign w:val="center"/>
          </w:tcPr>
          <w:p>
            <w:pPr>
              <w:pStyle w:val="39"/>
              <w:rPr>
                <w:rFonts w:cs="Times New Roman"/>
                <w:sz w:val="15"/>
                <w:szCs w:val="15"/>
                <w:u w:val="single"/>
              </w:rPr>
            </w:pPr>
            <w:r>
              <w:rPr>
                <w:rFonts w:cs="Times New Roman"/>
                <w:sz w:val="15"/>
                <w:szCs w:val="15"/>
                <w:u w:val="single"/>
              </w:rPr>
              <w:t>名称</w:t>
            </w:r>
          </w:p>
        </w:tc>
        <w:tc>
          <w:tcPr>
            <w:tcW w:w="683" w:type="pct"/>
            <w:gridSpan w:val="2"/>
            <w:vAlign w:val="center"/>
          </w:tcPr>
          <w:p>
            <w:pPr>
              <w:pStyle w:val="39"/>
              <w:rPr>
                <w:rFonts w:cs="Times New Roman"/>
                <w:sz w:val="15"/>
                <w:szCs w:val="15"/>
                <w:u w:val="single"/>
              </w:rPr>
            </w:pPr>
            <w:r>
              <w:rPr>
                <w:rFonts w:cs="Times New Roman"/>
                <w:sz w:val="15"/>
                <w:szCs w:val="15"/>
                <w:u w:val="single"/>
              </w:rPr>
              <w:t>面源起点坐标</w:t>
            </w:r>
          </w:p>
        </w:tc>
        <w:tc>
          <w:tcPr>
            <w:tcW w:w="326" w:type="pct"/>
            <w:vMerge w:val="restart"/>
            <w:vAlign w:val="center"/>
          </w:tcPr>
          <w:p>
            <w:pPr>
              <w:pStyle w:val="39"/>
              <w:rPr>
                <w:rFonts w:cs="Times New Roman"/>
                <w:sz w:val="15"/>
                <w:szCs w:val="15"/>
                <w:u w:val="single"/>
              </w:rPr>
            </w:pPr>
            <w:r>
              <w:rPr>
                <w:rFonts w:cs="Times New Roman"/>
                <w:sz w:val="15"/>
                <w:szCs w:val="15"/>
                <w:u w:val="single"/>
              </w:rPr>
              <w:t>面源海拔高度/m</w:t>
            </w:r>
          </w:p>
        </w:tc>
        <w:tc>
          <w:tcPr>
            <w:tcW w:w="309" w:type="pct"/>
            <w:vMerge w:val="restart"/>
            <w:vAlign w:val="center"/>
          </w:tcPr>
          <w:p>
            <w:pPr>
              <w:pStyle w:val="39"/>
              <w:rPr>
                <w:rFonts w:cs="Times New Roman"/>
                <w:sz w:val="15"/>
                <w:szCs w:val="15"/>
                <w:u w:val="single"/>
              </w:rPr>
            </w:pPr>
            <w:r>
              <w:rPr>
                <w:rFonts w:cs="Times New Roman"/>
                <w:sz w:val="15"/>
                <w:szCs w:val="15"/>
                <w:u w:val="single"/>
              </w:rPr>
              <w:t>面源长度/m</w:t>
            </w:r>
          </w:p>
        </w:tc>
        <w:tc>
          <w:tcPr>
            <w:tcW w:w="309" w:type="pct"/>
            <w:vMerge w:val="restart"/>
            <w:vAlign w:val="center"/>
          </w:tcPr>
          <w:p>
            <w:pPr>
              <w:pStyle w:val="39"/>
              <w:rPr>
                <w:rFonts w:cs="Times New Roman"/>
                <w:sz w:val="15"/>
                <w:szCs w:val="15"/>
                <w:u w:val="single"/>
              </w:rPr>
            </w:pPr>
            <w:r>
              <w:rPr>
                <w:rFonts w:cs="Times New Roman"/>
                <w:sz w:val="15"/>
                <w:szCs w:val="15"/>
                <w:u w:val="single"/>
              </w:rPr>
              <w:t>面源宽度/m</w:t>
            </w:r>
          </w:p>
        </w:tc>
        <w:tc>
          <w:tcPr>
            <w:tcW w:w="307" w:type="pct"/>
            <w:vMerge w:val="restart"/>
            <w:vAlign w:val="center"/>
          </w:tcPr>
          <w:p>
            <w:pPr>
              <w:pStyle w:val="39"/>
              <w:rPr>
                <w:rFonts w:cs="Times New Roman"/>
                <w:sz w:val="15"/>
                <w:szCs w:val="15"/>
                <w:u w:val="single"/>
              </w:rPr>
            </w:pPr>
            <w:r>
              <w:rPr>
                <w:rFonts w:cs="Times New Roman"/>
                <w:sz w:val="15"/>
                <w:szCs w:val="15"/>
                <w:u w:val="single"/>
              </w:rPr>
              <w:t>与正北向夹角/°</w:t>
            </w:r>
          </w:p>
        </w:tc>
        <w:tc>
          <w:tcPr>
            <w:tcW w:w="385" w:type="pct"/>
            <w:vMerge w:val="restart"/>
            <w:vAlign w:val="center"/>
          </w:tcPr>
          <w:p>
            <w:pPr>
              <w:pStyle w:val="39"/>
              <w:rPr>
                <w:rFonts w:cs="Times New Roman"/>
                <w:sz w:val="15"/>
                <w:szCs w:val="15"/>
                <w:u w:val="single"/>
              </w:rPr>
            </w:pPr>
            <w:r>
              <w:rPr>
                <w:rFonts w:cs="Times New Roman"/>
                <w:sz w:val="15"/>
                <w:szCs w:val="15"/>
                <w:u w:val="single"/>
              </w:rPr>
              <w:t>面源有效排放高度/m</w:t>
            </w:r>
          </w:p>
        </w:tc>
        <w:tc>
          <w:tcPr>
            <w:tcW w:w="310" w:type="pct"/>
            <w:vMerge w:val="restart"/>
            <w:vAlign w:val="center"/>
          </w:tcPr>
          <w:p>
            <w:pPr>
              <w:pStyle w:val="39"/>
              <w:rPr>
                <w:rFonts w:cs="Times New Roman"/>
                <w:sz w:val="15"/>
                <w:szCs w:val="15"/>
                <w:u w:val="single"/>
              </w:rPr>
            </w:pPr>
            <w:r>
              <w:rPr>
                <w:rFonts w:cs="Times New Roman"/>
                <w:sz w:val="15"/>
                <w:szCs w:val="15"/>
                <w:u w:val="single"/>
              </w:rPr>
              <w:t>年排放小时数/h</w:t>
            </w:r>
          </w:p>
        </w:tc>
        <w:tc>
          <w:tcPr>
            <w:tcW w:w="309" w:type="pct"/>
            <w:vMerge w:val="restart"/>
            <w:vAlign w:val="center"/>
          </w:tcPr>
          <w:p>
            <w:pPr>
              <w:pStyle w:val="39"/>
              <w:rPr>
                <w:rFonts w:cs="Times New Roman"/>
                <w:sz w:val="15"/>
                <w:szCs w:val="15"/>
                <w:u w:val="single"/>
              </w:rPr>
            </w:pPr>
            <w:r>
              <w:rPr>
                <w:rFonts w:cs="Times New Roman"/>
                <w:sz w:val="15"/>
                <w:szCs w:val="15"/>
                <w:u w:val="single"/>
              </w:rPr>
              <w:t>排放工况</w:t>
            </w:r>
          </w:p>
        </w:tc>
        <w:tc>
          <w:tcPr>
            <w:tcW w:w="696" w:type="pct"/>
            <w:gridSpan w:val="2"/>
            <w:vMerge w:val="restart"/>
            <w:vAlign w:val="center"/>
          </w:tcPr>
          <w:p>
            <w:pPr>
              <w:pStyle w:val="39"/>
              <w:rPr>
                <w:rFonts w:cs="Times New Roman"/>
                <w:sz w:val="15"/>
                <w:szCs w:val="15"/>
                <w:u w:val="single"/>
              </w:rPr>
            </w:pPr>
            <w:r>
              <w:rPr>
                <w:rFonts w:cs="Times New Roman"/>
                <w:sz w:val="15"/>
                <w:szCs w:val="15"/>
                <w:u w:val="single"/>
              </w:rPr>
              <w:t>排放速率/（t/a）</w:t>
            </w:r>
          </w:p>
        </w:tc>
        <w:tc>
          <w:tcPr>
            <w:tcW w:w="469" w:type="pct"/>
            <w:vMerge w:val="restart"/>
            <w:vAlign w:val="center"/>
          </w:tcPr>
          <w:p>
            <w:pPr>
              <w:pStyle w:val="39"/>
              <w:rPr>
                <w:rFonts w:cs="Times New Roman"/>
                <w:sz w:val="15"/>
                <w:szCs w:val="15"/>
                <w:u w:val="single"/>
                <w:vertAlign w:val="subscript"/>
              </w:rPr>
            </w:pPr>
            <w:r>
              <w:rPr>
                <w:rFonts w:cs="Times New Roman"/>
                <w:sz w:val="15"/>
                <w:szCs w:val="15"/>
                <w:u w:val="single"/>
              </w:rPr>
              <w:t>P</w:t>
            </w:r>
            <w:r>
              <w:rPr>
                <w:rFonts w:cs="Times New Roman"/>
                <w:sz w:val="15"/>
                <w:szCs w:val="15"/>
                <w:u w:val="single"/>
                <w:vertAlign w:val="subscript"/>
              </w:rPr>
              <w:t>max</w:t>
            </w:r>
          </w:p>
          <w:p>
            <w:pPr>
              <w:pStyle w:val="39"/>
              <w:rPr>
                <w:rFonts w:cs="Times New Roman"/>
                <w:sz w:val="15"/>
                <w:szCs w:val="15"/>
                <w:u w:val="single"/>
              </w:rPr>
            </w:pPr>
            <w:r>
              <w:rPr>
                <w:rFonts w:cs="Times New Roman"/>
                <w:sz w:val="15"/>
                <w:szCs w:val="15"/>
                <w:u w:val="single"/>
              </w:rPr>
              <w:t>（%）</w:t>
            </w:r>
          </w:p>
        </w:tc>
        <w:tc>
          <w:tcPr>
            <w:tcW w:w="376" w:type="pct"/>
            <w:vMerge w:val="restart"/>
            <w:vAlign w:val="center"/>
          </w:tcPr>
          <w:p>
            <w:pPr>
              <w:pStyle w:val="39"/>
              <w:rPr>
                <w:rFonts w:cs="Times New Roman"/>
                <w:sz w:val="15"/>
                <w:szCs w:val="15"/>
                <w:u w:val="single"/>
              </w:rPr>
            </w:pPr>
            <w:r>
              <w:rPr>
                <w:rFonts w:cs="Times New Roman"/>
                <w:sz w:val="15"/>
                <w:szCs w:val="15"/>
                <w:u w:val="single"/>
              </w:rPr>
              <w:t>评价工作等级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85" w:type="pct"/>
            <w:vMerge w:val="continue"/>
            <w:vAlign w:val="center"/>
          </w:tcPr>
          <w:p>
            <w:pPr>
              <w:pStyle w:val="39"/>
              <w:rPr>
                <w:rFonts w:cs="Times New Roman"/>
                <w:sz w:val="15"/>
                <w:szCs w:val="15"/>
                <w:u w:val="single"/>
              </w:rPr>
            </w:pPr>
          </w:p>
        </w:tc>
        <w:tc>
          <w:tcPr>
            <w:tcW w:w="336" w:type="pct"/>
            <w:vMerge w:val="continue"/>
            <w:vAlign w:val="center"/>
          </w:tcPr>
          <w:p>
            <w:pPr>
              <w:pStyle w:val="39"/>
              <w:rPr>
                <w:rFonts w:cs="Times New Roman"/>
                <w:sz w:val="15"/>
                <w:szCs w:val="15"/>
                <w:u w:val="single"/>
              </w:rPr>
            </w:pPr>
          </w:p>
        </w:tc>
        <w:tc>
          <w:tcPr>
            <w:tcW w:w="312" w:type="pct"/>
            <w:vAlign w:val="center"/>
          </w:tcPr>
          <w:p>
            <w:pPr>
              <w:pStyle w:val="39"/>
              <w:rPr>
                <w:rFonts w:cs="Times New Roman"/>
                <w:sz w:val="15"/>
                <w:szCs w:val="15"/>
                <w:u w:val="single"/>
              </w:rPr>
            </w:pPr>
            <w:r>
              <w:rPr>
                <w:rFonts w:cs="Times New Roman"/>
                <w:sz w:val="15"/>
                <w:szCs w:val="15"/>
                <w:u w:val="single"/>
              </w:rPr>
              <w:t>X</w:t>
            </w:r>
          </w:p>
          <w:p>
            <w:pPr>
              <w:pStyle w:val="39"/>
              <w:rPr>
                <w:rFonts w:cs="Times New Roman"/>
                <w:sz w:val="15"/>
                <w:szCs w:val="15"/>
                <w:u w:val="single"/>
              </w:rPr>
            </w:pPr>
            <w:r>
              <w:rPr>
                <w:rFonts w:cs="Times New Roman"/>
                <w:sz w:val="15"/>
                <w:szCs w:val="15"/>
                <w:u w:val="single"/>
              </w:rPr>
              <w:t>（E）</w:t>
            </w:r>
          </w:p>
        </w:tc>
        <w:tc>
          <w:tcPr>
            <w:tcW w:w="371" w:type="pct"/>
            <w:vAlign w:val="center"/>
          </w:tcPr>
          <w:p>
            <w:pPr>
              <w:pStyle w:val="39"/>
              <w:rPr>
                <w:rFonts w:cs="Times New Roman"/>
                <w:sz w:val="15"/>
                <w:szCs w:val="15"/>
                <w:u w:val="single"/>
              </w:rPr>
            </w:pPr>
            <w:r>
              <w:rPr>
                <w:rFonts w:cs="Times New Roman"/>
                <w:sz w:val="15"/>
                <w:szCs w:val="15"/>
                <w:u w:val="single"/>
              </w:rPr>
              <w:t>Y</w:t>
            </w:r>
          </w:p>
          <w:p>
            <w:pPr>
              <w:pStyle w:val="39"/>
              <w:rPr>
                <w:rFonts w:cs="Times New Roman"/>
                <w:sz w:val="15"/>
                <w:szCs w:val="15"/>
                <w:u w:val="single"/>
              </w:rPr>
            </w:pPr>
            <w:r>
              <w:rPr>
                <w:rFonts w:cs="Times New Roman"/>
                <w:sz w:val="15"/>
                <w:szCs w:val="15"/>
                <w:u w:val="single"/>
              </w:rPr>
              <w:t>（N）</w:t>
            </w:r>
          </w:p>
        </w:tc>
        <w:tc>
          <w:tcPr>
            <w:tcW w:w="326" w:type="pct"/>
            <w:vMerge w:val="continue"/>
            <w:vAlign w:val="center"/>
          </w:tcPr>
          <w:p>
            <w:pPr>
              <w:pStyle w:val="39"/>
              <w:rPr>
                <w:rFonts w:cs="Times New Roman"/>
                <w:sz w:val="15"/>
                <w:szCs w:val="15"/>
                <w:u w:val="single"/>
              </w:rPr>
            </w:pPr>
          </w:p>
        </w:tc>
        <w:tc>
          <w:tcPr>
            <w:tcW w:w="309" w:type="pct"/>
            <w:vMerge w:val="continue"/>
            <w:vAlign w:val="center"/>
          </w:tcPr>
          <w:p>
            <w:pPr>
              <w:pStyle w:val="39"/>
              <w:rPr>
                <w:rFonts w:cs="Times New Roman"/>
                <w:sz w:val="15"/>
                <w:szCs w:val="15"/>
                <w:u w:val="single"/>
              </w:rPr>
            </w:pPr>
          </w:p>
        </w:tc>
        <w:tc>
          <w:tcPr>
            <w:tcW w:w="309" w:type="pct"/>
            <w:vMerge w:val="continue"/>
            <w:vAlign w:val="center"/>
          </w:tcPr>
          <w:p>
            <w:pPr>
              <w:pStyle w:val="39"/>
              <w:rPr>
                <w:rFonts w:cs="Times New Roman"/>
                <w:sz w:val="15"/>
                <w:szCs w:val="15"/>
                <w:u w:val="single"/>
              </w:rPr>
            </w:pPr>
          </w:p>
        </w:tc>
        <w:tc>
          <w:tcPr>
            <w:tcW w:w="307" w:type="pct"/>
            <w:vMerge w:val="continue"/>
            <w:vAlign w:val="center"/>
          </w:tcPr>
          <w:p>
            <w:pPr>
              <w:pStyle w:val="39"/>
              <w:rPr>
                <w:rFonts w:cs="Times New Roman"/>
                <w:sz w:val="15"/>
                <w:szCs w:val="15"/>
                <w:u w:val="single"/>
              </w:rPr>
            </w:pPr>
          </w:p>
        </w:tc>
        <w:tc>
          <w:tcPr>
            <w:tcW w:w="385" w:type="pct"/>
            <w:vMerge w:val="continue"/>
            <w:vAlign w:val="center"/>
          </w:tcPr>
          <w:p>
            <w:pPr>
              <w:pStyle w:val="39"/>
              <w:rPr>
                <w:rFonts w:cs="Times New Roman"/>
                <w:sz w:val="15"/>
                <w:szCs w:val="15"/>
                <w:u w:val="single"/>
              </w:rPr>
            </w:pPr>
          </w:p>
        </w:tc>
        <w:tc>
          <w:tcPr>
            <w:tcW w:w="310" w:type="pct"/>
            <w:vMerge w:val="continue"/>
            <w:vAlign w:val="center"/>
          </w:tcPr>
          <w:p>
            <w:pPr>
              <w:pStyle w:val="39"/>
              <w:rPr>
                <w:rFonts w:cs="Times New Roman"/>
                <w:sz w:val="15"/>
                <w:szCs w:val="15"/>
                <w:u w:val="single"/>
              </w:rPr>
            </w:pPr>
          </w:p>
        </w:tc>
        <w:tc>
          <w:tcPr>
            <w:tcW w:w="309" w:type="pct"/>
            <w:vMerge w:val="continue"/>
            <w:vAlign w:val="center"/>
          </w:tcPr>
          <w:p>
            <w:pPr>
              <w:pStyle w:val="39"/>
              <w:rPr>
                <w:rFonts w:cs="Times New Roman"/>
                <w:sz w:val="15"/>
                <w:szCs w:val="15"/>
                <w:u w:val="single"/>
              </w:rPr>
            </w:pPr>
          </w:p>
        </w:tc>
        <w:tc>
          <w:tcPr>
            <w:tcW w:w="696" w:type="pct"/>
            <w:gridSpan w:val="2"/>
            <w:vMerge w:val="continue"/>
            <w:vAlign w:val="center"/>
          </w:tcPr>
          <w:p>
            <w:pPr>
              <w:pStyle w:val="39"/>
              <w:rPr>
                <w:rFonts w:cs="Times New Roman"/>
                <w:sz w:val="15"/>
                <w:szCs w:val="15"/>
                <w:u w:val="single"/>
              </w:rPr>
            </w:pPr>
          </w:p>
        </w:tc>
        <w:tc>
          <w:tcPr>
            <w:tcW w:w="469" w:type="pct"/>
            <w:vMerge w:val="continue"/>
            <w:vAlign w:val="center"/>
          </w:tcPr>
          <w:p>
            <w:pPr>
              <w:pStyle w:val="39"/>
              <w:rPr>
                <w:rFonts w:cs="Times New Roman"/>
                <w:sz w:val="15"/>
                <w:szCs w:val="15"/>
                <w:u w:val="single"/>
              </w:rPr>
            </w:pPr>
          </w:p>
        </w:tc>
        <w:tc>
          <w:tcPr>
            <w:tcW w:w="376" w:type="pct"/>
            <w:vMerge w:val="continue"/>
            <w:vAlign w:val="center"/>
          </w:tcPr>
          <w:p>
            <w:pPr>
              <w:pStyle w:val="39"/>
              <w:rPr>
                <w:rFonts w:cs="Times New Roman"/>
                <w:sz w:val="15"/>
                <w:szCs w:val="15"/>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85" w:type="pct"/>
            <w:vMerge w:val="restart"/>
            <w:vAlign w:val="center"/>
          </w:tcPr>
          <w:p>
            <w:pPr>
              <w:pStyle w:val="39"/>
              <w:rPr>
                <w:rFonts w:cs="Times New Roman"/>
                <w:sz w:val="15"/>
                <w:szCs w:val="15"/>
                <w:u w:val="single"/>
              </w:rPr>
            </w:pPr>
            <w:r>
              <w:rPr>
                <w:rFonts w:cs="Times New Roman"/>
                <w:sz w:val="15"/>
                <w:szCs w:val="15"/>
                <w:u w:val="single"/>
              </w:rPr>
              <w:t>2#</w:t>
            </w:r>
          </w:p>
        </w:tc>
        <w:tc>
          <w:tcPr>
            <w:tcW w:w="336" w:type="pct"/>
            <w:vMerge w:val="restart"/>
            <w:vAlign w:val="center"/>
          </w:tcPr>
          <w:p>
            <w:pPr>
              <w:pStyle w:val="39"/>
              <w:rPr>
                <w:rFonts w:cs="Times New Roman"/>
                <w:sz w:val="15"/>
                <w:szCs w:val="15"/>
                <w:u w:val="single"/>
              </w:rPr>
            </w:pPr>
            <w:r>
              <w:rPr>
                <w:rFonts w:cs="Times New Roman"/>
                <w:sz w:val="15"/>
                <w:szCs w:val="15"/>
                <w:u w:val="single"/>
              </w:rPr>
              <w:t>鸡舍及</w:t>
            </w:r>
            <w:r>
              <w:rPr>
                <w:rFonts w:hint="eastAsia" w:cs="Times New Roman"/>
                <w:sz w:val="15"/>
                <w:szCs w:val="15"/>
                <w:u w:val="single"/>
              </w:rPr>
              <w:t>鸡粪处理区</w:t>
            </w:r>
          </w:p>
        </w:tc>
        <w:tc>
          <w:tcPr>
            <w:tcW w:w="312" w:type="pct"/>
            <w:vMerge w:val="restart"/>
            <w:vAlign w:val="center"/>
          </w:tcPr>
          <w:p>
            <w:pPr>
              <w:pStyle w:val="39"/>
              <w:rPr>
                <w:rFonts w:cs="Times New Roman"/>
                <w:sz w:val="15"/>
                <w:szCs w:val="15"/>
                <w:u w:val="single"/>
              </w:rPr>
            </w:pPr>
            <w:r>
              <w:rPr>
                <w:rFonts w:cs="Times New Roman"/>
                <w:sz w:val="15"/>
                <w:szCs w:val="15"/>
                <w:u w:val="single"/>
              </w:rPr>
              <w:t>112.394628067</w:t>
            </w:r>
          </w:p>
        </w:tc>
        <w:tc>
          <w:tcPr>
            <w:tcW w:w="371" w:type="pct"/>
            <w:vMerge w:val="restart"/>
            <w:vAlign w:val="center"/>
          </w:tcPr>
          <w:p>
            <w:pPr>
              <w:pStyle w:val="39"/>
              <w:rPr>
                <w:rFonts w:cs="Times New Roman"/>
                <w:sz w:val="15"/>
                <w:szCs w:val="15"/>
                <w:u w:val="single"/>
              </w:rPr>
            </w:pPr>
            <w:r>
              <w:rPr>
                <w:rFonts w:cs="Times New Roman"/>
                <w:sz w:val="15"/>
                <w:szCs w:val="15"/>
                <w:u w:val="single"/>
              </w:rPr>
              <w:t>27.077828153</w:t>
            </w:r>
          </w:p>
        </w:tc>
        <w:tc>
          <w:tcPr>
            <w:tcW w:w="326" w:type="pct"/>
            <w:vMerge w:val="restart"/>
            <w:vAlign w:val="center"/>
          </w:tcPr>
          <w:p>
            <w:pPr>
              <w:pStyle w:val="39"/>
              <w:rPr>
                <w:rFonts w:cs="Times New Roman"/>
                <w:sz w:val="15"/>
                <w:szCs w:val="15"/>
                <w:u w:val="single"/>
              </w:rPr>
            </w:pPr>
            <w:r>
              <w:rPr>
                <w:rFonts w:cs="Times New Roman"/>
                <w:sz w:val="15"/>
                <w:szCs w:val="15"/>
                <w:u w:val="single"/>
              </w:rPr>
              <w:t>——</w:t>
            </w:r>
          </w:p>
        </w:tc>
        <w:tc>
          <w:tcPr>
            <w:tcW w:w="309" w:type="pct"/>
            <w:vMerge w:val="restart"/>
            <w:vAlign w:val="center"/>
          </w:tcPr>
          <w:p>
            <w:pPr>
              <w:pStyle w:val="39"/>
              <w:rPr>
                <w:rFonts w:cs="Times New Roman"/>
                <w:sz w:val="15"/>
                <w:szCs w:val="15"/>
                <w:u w:val="single"/>
              </w:rPr>
            </w:pPr>
            <w:r>
              <w:rPr>
                <w:rFonts w:cs="Times New Roman"/>
                <w:sz w:val="15"/>
                <w:szCs w:val="15"/>
                <w:u w:val="single"/>
              </w:rPr>
              <w:t>300</w:t>
            </w:r>
          </w:p>
        </w:tc>
        <w:tc>
          <w:tcPr>
            <w:tcW w:w="309" w:type="pct"/>
            <w:vMerge w:val="restart"/>
            <w:vAlign w:val="center"/>
          </w:tcPr>
          <w:p>
            <w:pPr>
              <w:pStyle w:val="39"/>
              <w:rPr>
                <w:rFonts w:cs="Times New Roman"/>
                <w:sz w:val="15"/>
                <w:szCs w:val="15"/>
                <w:u w:val="single"/>
              </w:rPr>
            </w:pPr>
            <w:r>
              <w:rPr>
                <w:rFonts w:cs="Times New Roman"/>
                <w:sz w:val="15"/>
                <w:szCs w:val="15"/>
                <w:u w:val="single"/>
              </w:rPr>
              <w:t>120</w:t>
            </w:r>
          </w:p>
        </w:tc>
        <w:tc>
          <w:tcPr>
            <w:tcW w:w="307" w:type="pct"/>
            <w:vMerge w:val="restart"/>
            <w:vAlign w:val="center"/>
          </w:tcPr>
          <w:p>
            <w:pPr>
              <w:pStyle w:val="39"/>
              <w:rPr>
                <w:rFonts w:cs="Times New Roman"/>
                <w:sz w:val="15"/>
                <w:szCs w:val="15"/>
                <w:u w:val="single"/>
              </w:rPr>
            </w:pPr>
            <w:r>
              <w:rPr>
                <w:rFonts w:cs="Times New Roman"/>
                <w:sz w:val="15"/>
                <w:szCs w:val="15"/>
                <w:u w:val="single"/>
              </w:rPr>
              <w:t>0</w:t>
            </w:r>
          </w:p>
        </w:tc>
        <w:tc>
          <w:tcPr>
            <w:tcW w:w="385" w:type="pct"/>
            <w:vMerge w:val="restart"/>
            <w:vAlign w:val="center"/>
          </w:tcPr>
          <w:p>
            <w:pPr>
              <w:pStyle w:val="39"/>
              <w:rPr>
                <w:rFonts w:cs="Times New Roman"/>
                <w:sz w:val="15"/>
                <w:szCs w:val="15"/>
                <w:u w:val="single"/>
              </w:rPr>
            </w:pPr>
            <w:r>
              <w:rPr>
                <w:rFonts w:cs="Times New Roman"/>
                <w:sz w:val="15"/>
                <w:szCs w:val="15"/>
                <w:u w:val="single"/>
              </w:rPr>
              <w:t>8</w:t>
            </w:r>
          </w:p>
        </w:tc>
        <w:tc>
          <w:tcPr>
            <w:tcW w:w="310" w:type="pct"/>
            <w:vMerge w:val="restart"/>
            <w:vAlign w:val="center"/>
          </w:tcPr>
          <w:p>
            <w:pPr>
              <w:pStyle w:val="39"/>
              <w:rPr>
                <w:rFonts w:cs="Times New Roman"/>
                <w:sz w:val="15"/>
                <w:szCs w:val="15"/>
                <w:u w:val="single"/>
              </w:rPr>
            </w:pPr>
            <w:r>
              <w:rPr>
                <w:rFonts w:cs="Times New Roman"/>
                <w:sz w:val="15"/>
                <w:szCs w:val="15"/>
                <w:u w:val="single"/>
              </w:rPr>
              <w:t>8760</w:t>
            </w:r>
          </w:p>
        </w:tc>
        <w:tc>
          <w:tcPr>
            <w:tcW w:w="309" w:type="pct"/>
            <w:vMerge w:val="restart"/>
            <w:vAlign w:val="center"/>
          </w:tcPr>
          <w:p>
            <w:pPr>
              <w:pStyle w:val="39"/>
              <w:rPr>
                <w:rFonts w:cs="Times New Roman"/>
                <w:sz w:val="15"/>
                <w:szCs w:val="15"/>
                <w:u w:val="single"/>
              </w:rPr>
            </w:pPr>
            <w:r>
              <w:rPr>
                <w:rFonts w:cs="Times New Roman"/>
                <w:sz w:val="15"/>
                <w:szCs w:val="15"/>
                <w:u w:val="single"/>
              </w:rPr>
              <w:t>正常</w:t>
            </w:r>
          </w:p>
        </w:tc>
        <w:tc>
          <w:tcPr>
            <w:tcW w:w="310" w:type="pct"/>
            <w:vAlign w:val="center"/>
          </w:tcPr>
          <w:p>
            <w:pPr>
              <w:pStyle w:val="39"/>
              <w:rPr>
                <w:rFonts w:cs="Times New Roman"/>
                <w:sz w:val="15"/>
                <w:szCs w:val="15"/>
                <w:u w:val="single"/>
              </w:rPr>
            </w:pPr>
            <w:r>
              <w:rPr>
                <w:rFonts w:cs="Times New Roman"/>
                <w:sz w:val="15"/>
                <w:szCs w:val="15"/>
                <w:u w:val="single"/>
              </w:rPr>
              <w:t>H</w:t>
            </w:r>
            <w:r>
              <w:rPr>
                <w:rFonts w:cs="Times New Roman"/>
                <w:sz w:val="15"/>
                <w:szCs w:val="15"/>
                <w:u w:val="single"/>
                <w:vertAlign w:val="subscript"/>
              </w:rPr>
              <w:t>2</w:t>
            </w:r>
            <w:r>
              <w:rPr>
                <w:rFonts w:cs="Times New Roman"/>
                <w:sz w:val="15"/>
                <w:szCs w:val="15"/>
                <w:u w:val="single"/>
              </w:rPr>
              <w:t>S</w:t>
            </w:r>
          </w:p>
        </w:tc>
        <w:tc>
          <w:tcPr>
            <w:tcW w:w="386" w:type="pct"/>
            <w:vAlign w:val="center"/>
          </w:tcPr>
          <w:p>
            <w:pPr>
              <w:rPr>
                <w:rFonts w:ascii="Times New Roman" w:hAnsi="Times New Roman" w:eastAsia="等线" w:cs="Times New Roman"/>
                <w:color w:val="000000"/>
                <w:sz w:val="15"/>
                <w:szCs w:val="15"/>
                <w:u w:val="single"/>
              </w:rPr>
            </w:pPr>
            <w:r>
              <w:rPr>
                <w:rFonts w:ascii="Times New Roman" w:hAnsi="Times New Roman" w:eastAsia="等线" w:cs="Times New Roman"/>
                <w:color w:val="000000"/>
                <w:sz w:val="15"/>
                <w:szCs w:val="15"/>
                <w:u w:val="single"/>
              </w:rPr>
              <w:t>0.475</w:t>
            </w:r>
          </w:p>
        </w:tc>
        <w:tc>
          <w:tcPr>
            <w:tcW w:w="469" w:type="pct"/>
            <w:vAlign w:val="center"/>
          </w:tcPr>
          <w:p>
            <w:pPr>
              <w:pStyle w:val="39"/>
              <w:rPr>
                <w:rFonts w:cs="Times New Roman"/>
                <w:sz w:val="15"/>
                <w:szCs w:val="15"/>
                <w:u w:val="single"/>
              </w:rPr>
            </w:pPr>
            <w:r>
              <w:rPr>
                <w:rFonts w:cs="Times New Roman"/>
                <w:sz w:val="15"/>
                <w:szCs w:val="15"/>
                <w:u w:val="single"/>
              </w:rPr>
              <w:t>1＜5.49＜10</w:t>
            </w:r>
          </w:p>
        </w:tc>
        <w:tc>
          <w:tcPr>
            <w:tcW w:w="376" w:type="pct"/>
            <w:vAlign w:val="center"/>
          </w:tcPr>
          <w:p>
            <w:pPr>
              <w:pStyle w:val="39"/>
              <w:rPr>
                <w:rFonts w:cs="Times New Roman"/>
                <w:sz w:val="15"/>
                <w:szCs w:val="15"/>
                <w:u w:val="single"/>
              </w:rPr>
            </w:pPr>
            <w:r>
              <w:rPr>
                <w:rFonts w:cs="Times New Roman"/>
                <w:sz w:val="15"/>
                <w:szCs w:val="15"/>
                <w:u w:val="single"/>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85" w:type="pct"/>
            <w:vMerge w:val="continue"/>
            <w:vAlign w:val="center"/>
          </w:tcPr>
          <w:p>
            <w:pPr>
              <w:pStyle w:val="39"/>
              <w:rPr>
                <w:rFonts w:cs="Times New Roman"/>
                <w:sz w:val="15"/>
                <w:szCs w:val="15"/>
                <w:u w:val="single"/>
              </w:rPr>
            </w:pPr>
          </w:p>
        </w:tc>
        <w:tc>
          <w:tcPr>
            <w:tcW w:w="336" w:type="pct"/>
            <w:vMerge w:val="continue"/>
            <w:vAlign w:val="center"/>
          </w:tcPr>
          <w:p>
            <w:pPr>
              <w:pStyle w:val="39"/>
              <w:rPr>
                <w:rFonts w:cs="Times New Roman"/>
                <w:sz w:val="15"/>
                <w:szCs w:val="15"/>
                <w:u w:val="single"/>
              </w:rPr>
            </w:pPr>
          </w:p>
        </w:tc>
        <w:tc>
          <w:tcPr>
            <w:tcW w:w="312" w:type="pct"/>
            <w:vMerge w:val="continue"/>
            <w:vAlign w:val="center"/>
          </w:tcPr>
          <w:p>
            <w:pPr>
              <w:pStyle w:val="39"/>
              <w:rPr>
                <w:rFonts w:cs="Times New Roman"/>
                <w:sz w:val="15"/>
                <w:szCs w:val="15"/>
                <w:u w:val="single"/>
              </w:rPr>
            </w:pPr>
          </w:p>
        </w:tc>
        <w:tc>
          <w:tcPr>
            <w:tcW w:w="371" w:type="pct"/>
            <w:vMerge w:val="continue"/>
            <w:vAlign w:val="center"/>
          </w:tcPr>
          <w:p>
            <w:pPr>
              <w:pStyle w:val="39"/>
              <w:rPr>
                <w:rFonts w:cs="Times New Roman"/>
                <w:sz w:val="15"/>
                <w:szCs w:val="15"/>
                <w:u w:val="single"/>
              </w:rPr>
            </w:pPr>
          </w:p>
        </w:tc>
        <w:tc>
          <w:tcPr>
            <w:tcW w:w="326" w:type="pct"/>
            <w:vMerge w:val="continue"/>
            <w:vAlign w:val="center"/>
          </w:tcPr>
          <w:p>
            <w:pPr>
              <w:pStyle w:val="39"/>
              <w:rPr>
                <w:rFonts w:cs="Times New Roman"/>
                <w:sz w:val="15"/>
                <w:szCs w:val="15"/>
                <w:u w:val="single"/>
              </w:rPr>
            </w:pPr>
          </w:p>
        </w:tc>
        <w:tc>
          <w:tcPr>
            <w:tcW w:w="309" w:type="pct"/>
            <w:vMerge w:val="continue"/>
            <w:vAlign w:val="center"/>
          </w:tcPr>
          <w:p>
            <w:pPr>
              <w:pStyle w:val="39"/>
              <w:rPr>
                <w:rFonts w:cs="Times New Roman"/>
                <w:sz w:val="15"/>
                <w:szCs w:val="15"/>
                <w:u w:val="single"/>
              </w:rPr>
            </w:pPr>
          </w:p>
        </w:tc>
        <w:tc>
          <w:tcPr>
            <w:tcW w:w="309" w:type="pct"/>
            <w:vMerge w:val="continue"/>
            <w:vAlign w:val="center"/>
          </w:tcPr>
          <w:p>
            <w:pPr>
              <w:pStyle w:val="39"/>
              <w:rPr>
                <w:rFonts w:cs="Times New Roman"/>
                <w:sz w:val="15"/>
                <w:szCs w:val="15"/>
                <w:u w:val="single"/>
              </w:rPr>
            </w:pPr>
          </w:p>
        </w:tc>
        <w:tc>
          <w:tcPr>
            <w:tcW w:w="307" w:type="pct"/>
            <w:vMerge w:val="continue"/>
            <w:vAlign w:val="center"/>
          </w:tcPr>
          <w:p>
            <w:pPr>
              <w:pStyle w:val="39"/>
              <w:rPr>
                <w:rFonts w:cs="Times New Roman"/>
                <w:sz w:val="15"/>
                <w:szCs w:val="15"/>
                <w:u w:val="single"/>
              </w:rPr>
            </w:pPr>
          </w:p>
        </w:tc>
        <w:tc>
          <w:tcPr>
            <w:tcW w:w="385" w:type="pct"/>
            <w:vMerge w:val="continue"/>
            <w:vAlign w:val="center"/>
          </w:tcPr>
          <w:p>
            <w:pPr>
              <w:pStyle w:val="39"/>
              <w:rPr>
                <w:rFonts w:cs="Times New Roman"/>
                <w:sz w:val="15"/>
                <w:szCs w:val="15"/>
                <w:u w:val="single"/>
              </w:rPr>
            </w:pPr>
          </w:p>
        </w:tc>
        <w:tc>
          <w:tcPr>
            <w:tcW w:w="310" w:type="pct"/>
            <w:vMerge w:val="continue"/>
            <w:vAlign w:val="center"/>
          </w:tcPr>
          <w:p>
            <w:pPr>
              <w:pStyle w:val="39"/>
              <w:rPr>
                <w:rFonts w:cs="Times New Roman"/>
                <w:sz w:val="15"/>
                <w:szCs w:val="15"/>
                <w:u w:val="single"/>
              </w:rPr>
            </w:pPr>
          </w:p>
        </w:tc>
        <w:tc>
          <w:tcPr>
            <w:tcW w:w="309" w:type="pct"/>
            <w:vMerge w:val="continue"/>
            <w:vAlign w:val="center"/>
          </w:tcPr>
          <w:p>
            <w:pPr>
              <w:pStyle w:val="39"/>
              <w:rPr>
                <w:rFonts w:cs="Times New Roman"/>
                <w:sz w:val="15"/>
                <w:szCs w:val="15"/>
                <w:u w:val="single"/>
              </w:rPr>
            </w:pPr>
          </w:p>
        </w:tc>
        <w:tc>
          <w:tcPr>
            <w:tcW w:w="310" w:type="pct"/>
            <w:vAlign w:val="center"/>
          </w:tcPr>
          <w:p>
            <w:pPr>
              <w:pStyle w:val="39"/>
              <w:rPr>
                <w:rFonts w:cs="Times New Roman"/>
                <w:sz w:val="15"/>
                <w:szCs w:val="15"/>
                <w:u w:val="single"/>
              </w:rPr>
            </w:pPr>
            <w:r>
              <w:rPr>
                <w:rFonts w:cs="Times New Roman"/>
                <w:sz w:val="15"/>
                <w:szCs w:val="15"/>
                <w:u w:val="single"/>
              </w:rPr>
              <w:t>NH</w:t>
            </w:r>
            <w:r>
              <w:rPr>
                <w:rFonts w:cs="Times New Roman"/>
                <w:sz w:val="15"/>
                <w:szCs w:val="15"/>
                <w:u w:val="single"/>
                <w:vertAlign w:val="subscript"/>
              </w:rPr>
              <w:t>3</w:t>
            </w:r>
          </w:p>
        </w:tc>
        <w:tc>
          <w:tcPr>
            <w:tcW w:w="386" w:type="pct"/>
            <w:vAlign w:val="center"/>
          </w:tcPr>
          <w:p>
            <w:pPr>
              <w:rPr>
                <w:rFonts w:ascii="Times New Roman" w:hAnsi="Times New Roman" w:eastAsia="等线" w:cs="Times New Roman"/>
                <w:color w:val="000000"/>
                <w:sz w:val="15"/>
                <w:szCs w:val="15"/>
                <w:u w:val="single"/>
              </w:rPr>
            </w:pPr>
            <w:r>
              <w:rPr>
                <w:rFonts w:ascii="Times New Roman" w:hAnsi="Times New Roman" w:eastAsia="等线" w:cs="Times New Roman"/>
                <w:color w:val="000000"/>
                <w:sz w:val="15"/>
                <w:szCs w:val="15"/>
                <w:u w:val="single"/>
              </w:rPr>
              <w:t>0.019</w:t>
            </w:r>
          </w:p>
        </w:tc>
        <w:tc>
          <w:tcPr>
            <w:tcW w:w="469" w:type="pct"/>
            <w:vAlign w:val="center"/>
          </w:tcPr>
          <w:p>
            <w:pPr>
              <w:pStyle w:val="39"/>
              <w:rPr>
                <w:rFonts w:cs="Times New Roman"/>
                <w:sz w:val="15"/>
                <w:szCs w:val="15"/>
                <w:u w:val="single"/>
              </w:rPr>
            </w:pPr>
            <w:r>
              <w:rPr>
                <w:rFonts w:cs="Times New Roman"/>
                <w:sz w:val="15"/>
                <w:szCs w:val="15"/>
                <w:u w:val="single"/>
              </w:rPr>
              <w:t>1＜6.86＜10</w:t>
            </w:r>
          </w:p>
        </w:tc>
        <w:tc>
          <w:tcPr>
            <w:tcW w:w="376" w:type="pct"/>
            <w:vAlign w:val="center"/>
          </w:tcPr>
          <w:p>
            <w:pPr>
              <w:pStyle w:val="39"/>
              <w:rPr>
                <w:rFonts w:cs="Times New Roman"/>
                <w:sz w:val="15"/>
                <w:szCs w:val="15"/>
                <w:u w:val="single"/>
              </w:rPr>
            </w:pPr>
            <w:r>
              <w:rPr>
                <w:rFonts w:cs="Times New Roman"/>
                <w:sz w:val="15"/>
                <w:szCs w:val="15"/>
                <w:u w:val="single"/>
              </w:rPr>
              <w:t>二级</w:t>
            </w:r>
          </w:p>
        </w:tc>
      </w:tr>
    </w:tbl>
    <w:p>
      <w:pPr>
        <w:pStyle w:val="3"/>
        <w:ind w:firstLine="480"/>
        <w:rPr>
          <w:rFonts w:cs="Times New Roman"/>
          <w:u w:val="single"/>
        </w:rPr>
      </w:pPr>
    </w:p>
    <w:p>
      <w:pPr>
        <w:pStyle w:val="7"/>
        <w:rPr>
          <w:u w:val="single"/>
        </w:rPr>
      </w:pPr>
      <w:r>
        <w:rPr>
          <w:u w:val="single"/>
        </w:rPr>
        <w:t>评价范围</w:t>
      </w:r>
      <w:r>
        <w:rPr>
          <w:rFonts w:hint="eastAsia"/>
          <w:u w:val="single"/>
        </w:rPr>
        <w:t>及要求</w:t>
      </w:r>
    </w:p>
    <w:p>
      <w:pPr>
        <w:pStyle w:val="3"/>
        <w:ind w:firstLine="480"/>
        <w:rPr>
          <w:u w:val="single"/>
        </w:rPr>
      </w:pPr>
      <w:r>
        <w:rPr>
          <w:u w:val="single"/>
        </w:rPr>
        <w:t>根据《环境影响评价技术导则大气环境》（HJ2.2-20</w:t>
      </w:r>
      <w:r>
        <w:rPr>
          <w:rFonts w:hint="eastAsia"/>
          <w:u w:val="single"/>
        </w:rPr>
        <w:t>1</w:t>
      </w:r>
      <w:r>
        <w:rPr>
          <w:u w:val="single"/>
        </w:rPr>
        <w:t>8）中</w:t>
      </w:r>
      <w:r>
        <w:rPr>
          <w:rFonts w:hint="eastAsia"/>
          <w:u w:val="single"/>
        </w:rPr>
        <w:t>“8.1.2二级评价不进行进一步预测与评价，</w:t>
      </w:r>
      <w:r>
        <w:rPr>
          <w:u w:val="single"/>
        </w:rPr>
        <w:t>只对污染物排放量</w:t>
      </w:r>
      <w:r>
        <w:rPr>
          <w:rFonts w:hint="eastAsia"/>
          <w:u w:val="single"/>
        </w:rPr>
        <w:t>进行</w:t>
      </w:r>
      <w:r>
        <w:rPr>
          <w:u w:val="single"/>
        </w:rPr>
        <w:t>核算</w:t>
      </w:r>
      <w:r>
        <w:rPr>
          <w:rFonts w:hint="eastAsia"/>
          <w:u w:val="single"/>
        </w:rPr>
        <w:t>”，项目</w:t>
      </w:r>
      <w:r>
        <w:rPr>
          <w:u w:val="single"/>
        </w:rPr>
        <w:t>评价</w:t>
      </w:r>
      <w:r>
        <w:rPr>
          <w:rFonts w:hint="eastAsia"/>
          <w:u w:val="single"/>
        </w:rPr>
        <w:t>范围为</w:t>
      </w:r>
      <w:r>
        <w:rPr>
          <w:u w:val="single"/>
        </w:rPr>
        <w:t>边长</w:t>
      </w:r>
      <w:r>
        <w:rPr>
          <w:rFonts w:hint="eastAsia"/>
          <w:u w:val="single"/>
        </w:rPr>
        <w:t>5</w:t>
      </w:r>
      <w:r>
        <w:rPr>
          <w:u w:val="single"/>
        </w:rPr>
        <w:t>km</w:t>
      </w:r>
      <w:r>
        <w:rPr>
          <w:rFonts w:hint="eastAsia"/>
          <w:u w:val="single"/>
        </w:rPr>
        <w:t>的范围。</w:t>
      </w:r>
    </w:p>
    <w:p>
      <w:pPr>
        <w:pStyle w:val="6"/>
      </w:pPr>
      <w:r>
        <w:rPr>
          <w:rFonts w:hint="eastAsia"/>
        </w:rPr>
        <w:t>地表水</w:t>
      </w:r>
      <w:r>
        <w:t>环境</w:t>
      </w:r>
      <w:r>
        <w:rPr>
          <w:rFonts w:hint="eastAsia"/>
        </w:rPr>
        <w:t>评价工作等级</w:t>
      </w:r>
      <w:r>
        <w:t>确定</w:t>
      </w:r>
      <w:r>
        <w:rPr>
          <w:rFonts w:hint="eastAsia"/>
        </w:rPr>
        <w:t>及</w:t>
      </w:r>
      <w:r>
        <w:t>评价范围</w:t>
      </w:r>
    </w:p>
    <w:p>
      <w:pPr>
        <w:pStyle w:val="7"/>
      </w:pPr>
      <w:r>
        <w:rPr>
          <w:rFonts w:hint="eastAsia"/>
        </w:rPr>
        <w:t>评价</w:t>
      </w:r>
      <w:r>
        <w:t>工作等级</w:t>
      </w:r>
    </w:p>
    <w:p>
      <w:pPr>
        <w:pStyle w:val="3"/>
        <w:ind w:firstLine="480"/>
      </w:pPr>
      <w:r>
        <w:rPr>
          <w:rFonts w:hint="eastAsia"/>
        </w:rPr>
        <w:t>根据</w:t>
      </w:r>
      <w:r>
        <w:t>《环境影响评价技术导则 地表水环境》（HJ2.3-2018）</w:t>
      </w:r>
      <w:r>
        <w:rPr>
          <w:rFonts w:hint="eastAsia"/>
        </w:rPr>
        <w:t>中</w:t>
      </w:r>
      <w:r>
        <w:t>的有关规定，将地表水环境影响评价工作</w:t>
      </w:r>
      <w:r>
        <w:rPr>
          <w:rFonts w:hint="eastAsia"/>
        </w:rPr>
        <w:t>分</w:t>
      </w:r>
      <w:r>
        <w:t>为</w:t>
      </w:r>
      <w:r>
        <w:rPr>
          <w:rFonts w:hint="eastAsia"/>
        </w:rPr>
        <w:t>一、二、三级A、三级B，具体</w:t>
      </w:r>
      <w:r>
        <w:t>情况</w:t>
      </w:r>
      <w:r>
        <w:rPr>
          <w:rFonts w:hint="eastAsia"/>
        </w:rPr>
        <w:t>下表</w:t>
      </w:r>
      <w:r>
        <w:t>。</w:t>
      </w:r>
    </w:p>
    <w:p>
      <w:pPr>
        <w:pStyle w:val="15"/>
      </w:pPr>
      <w:r>
        <w:rPr>
          <w:rFonts w:hint="eastAsia"/>
        </w:rPr>
        <w:t>表</w:t>
      </w:r>
      <w:r>
        <w:t xml:space="preserve">2.6-6   </w:t>
      </w:r>
      <w:r>
        <w:rPr>
          <w:rFonts w:hint="eastAsia"/>
        </w:rPr>
        <w:t>水</w:t>
      </w:r>
      <w:r>
        <w:t>污染影响</w:t>
      </w:r>
      <w:r>
        <w:rPr>
          <w:rFonts w:hint="eastAsia"/>
        </w:rPr>
        <w:t>型</w:t>
      </w:r>
      <w:r>
        <w:t>建设项目评价等级判定</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57"/>
        <w:gridCol w:w="3058"/>
        <w:gridCol w:w="3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057" w:type="dxa"/>
            <w:vMerge w:val="restart"/>
            <w:vAlign w:val="center"/>
          </w:tcPr>
          <w:p>
            <w:pPr>
              <w:pStyle w:val="39"/>
              <w:ind w:left="420" w:hanging="420"/>
            </w:pPr>
            <w:r>
              <w:rPr>
                <w:rFonts w:hint="eastAsia"/>
              </w:rPr>
              <w:t>评价</w:t>
            </w:r>
            <w:r>
              <w:t>等级</w:t>
            </w:r>
          </w:p>
        </w:tc>
        <w:tc>
          <w:tcPr>
            <w:tcW w:w="6116" w:type="dxa"/>
            <w:gridSpan w:val="2"/>
            <w:vAlign w:val="center"/>
          </w:tcPr>
          <w:p>
            <w:pPr>
              <w:pStyle w:val="39"/>
              <w:ind w:left="420" w:hanging="420"/>
            </w:pPr>
            <w:r>
              <w:rPr>
                <w:rFonts w:hint="eastAsia"/>
              </w:rPr>
              <w:t>判定</w:t>
            </w:r>
            <w: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057" w:type="dxa"/>
            <w:vMerge w:val="continue"/>
            <w:vAlign w:val="center"/>
          </w:tcPr>
          <w:p>
            <w:pPr>
              <w:pStyle w:val="39"/>
              <w:ind w:left="420" w:hanging="420"/>
            </w:pPr>
          </w:p>
        </w:tc>
        <w:tc>
          <w:tcPr>
            <w:tcW w:w="3058" w:type="dxa"/>
            <w:vAlign w:val="center"/>
          </w:tcPr>
          <w:p>
            <w:pPr>
              <w:pStyle w:val="39"/>
              <w:ind w:left="420" w:hanging="420"/>
            </w:pPr>
            <w:r>
              <w:rPr>
                <w:rFonts w:hint="eastAsia"/>
              </w:rPr>
              <w:t>排放</w:t>
            </w:r>
            <w:r>
              <w:t>方式</w:t>
            </w:r>
          </w:p>
        </w:tc>
        <w:tc>
          <w:tcPr>
            <w:tcW w:w="3058" w:type="dxa"/>
            <w:vAlign w:val="center"/>
          </w:tcPr>
          <w:p>
            <w:pPr>
              <w:pStyle w:val="39"/>
              <w:ind w:left="420" w:hanging="420"/>
            </w:pPr>
            <w:r>
              <w:rPr>
                <w:rFonts w:hint="eastAsia"/>
              </w:rPr>
              <w:t>废水</w:t>
            </w:r>
            <w:r>
              <w:t>排放量</w:t>
            </w:r>
            <w:r>
              <w:rPr>
                <w:rFonts w:hint="eastAsia"/>
              </w:rPr>
              <w:t>Q/（m</w:t>
            </w:r>
            <w:r>
              <w:rPr>
                <w:vertAlign w:val="superscript"/>
              </w:rPr>
              <w:t>3</w:t>
            </w:r>
            <w:r>
              <w:t>/d</w:t>
            </w:r>
            <w:r>
              <w:rPr>
                <w:rFonts w:hint="eastAsia"/>
              </w:rPr>
              <w:t>）</w:t>
            </w:r>
          </w:p>
          <w:p>
            <w:pPr>
              <w:pStyle w:val="39"/>
              <w:ind w:left="420" w:hanging="420"/>
            </w:pPr>
            <w:r>
              <w:rPr>
                <w:rFonts w:hint="eastAsia"/>
              </w:rPr>
              <w:t>水</w:t>
            </w:r>
            <w:r>
              <w:t>污染物当量数</w:t>
            </w:r>
            <w:r>
              <w:rPr>
                <w:rFonts w:hint="eastAsia"/>
              </w:rPr>
              <w:t>W/（无</w:t>
            </w:r>
            <w:r>
              <w:t>量纲</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057" w:type="dxa"/>
            <w:vAlign w:val="center"/>
          </w:tcPr>
          <w:p>
            <w:pPr>
              <w:pStyle w:val="39"/>
              <w:ind w:left="420" w:hanging="420"/>
            </w:pPr>
            <w:r>
              <w:rPr>
                <w:rFonts w:hint="eastAsia"/>
              </w:rPr>
              <w:t>一级</w:t>
            </w:r>
          </w:p>
        </w:tc>
        <w:tc>
          <w:tcPr>
            <w:tcW w:w="3058" w:type="dxa"/>
            <w:vAlign w:val="center"/>
          </w:tcPr>
          <w:p>
            <w:pPr>
              <w:pStyle w:val="39"/>
              <w:ind w:left="420" w:hanging="420"/>
            </w:pPr>
            <w:r>
              <w:t>直接排放</w:t>
            </w:r>
          </w:p>
        </w:tc>
        <w:tc>
          <w:tcPr>
            <w:tcW w:w="3058" w:type="dxa"/>
            <w:vAlign w:val="center"/>
          </w:tcPr>
          <w:p>
            <w:pPr>
              <w:pStyle w:val="39"/>
              <w:ind w:left="420" w:hanging="420"/>
            </w:pPr>
            <w:r>
              <w:rPr>
                <w:rFonts w:hint="eastAsia"/>
              </w:rPr>
              <w:t>Q</w:t>
            </w:r>
            <w:r>
              <w:t>≥20000或</w:t>
            </w:r>
            <w:r>
              <w:rPr>
                <w:rFonts w:hint="eastAsia"/>
              </w:rPr>
              <w:t>W</w:t>
            </w:r>
            <w: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057" w:type="dxa"/>
            <w:vAlign w:val="center"/>
          </w:tcPr>
          <w:p>
            <w:pPr>
              <w:pStyle w:val="39"/>
              <w:ind w:left="420" w:hanging="420"/>
            </w:pPr>
            <w:r>
              <w:rPr>
                <w:rFonts w:hint="eastAsia"/>
              </w:rPr>
              <w:t>二级</w:t>
            </w:r>
          </w:p>
        </w:tc>
        <w:tc>
          <w:tcPr>
            <w:tcW w:w="3058" w:type="dxa"/>
            <w:vAlign w:val="center"/>
          </w:tcPr>
          <w:p>
            <w:pPr>
              <w:pStyle w:val="39"/>
              <w:ind w:left="420" w:hanging="420"/>
            </w:pPr>
            <w:r>
              <w:rPr>
                <w:rFonts w:hint="eastAsia"/>
              </w:rPr>
              <w:t>直接排放</w:t>
            </w:r>
          </w:p>
        </w:tc>
        <w:tc>
          <w:tcPr>
            <w:tcW w:w="3058" w:type="dxa"/>
            <w:vAlign w:val="center"/>
          </w:tcPr>
          <w:p>
            <w:pPr>
              <w:pStyle w:val="39"/>
              <w:ind w:left="420" w:hanging="420"/>
            </w:pPr>
            <w: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057" w:type="dxa"/>
            <w:vAlign w:val="center"/>
          </w:tcPr>
          <w:p>
            <w:pPr>
              <w:pStyle w:val="39"/>
              <w:ind w:left="420" w:hanging="420"/>
            </w:pPr>
            <w:r>
              <w:rPr>
                <w:rFonts w:hint="eastAsia"/>
              </w:rPr>
              <w:t>三级A</w:t>
            </w:r>
          </w:p>
        </w:tc>
        <w:tc>
          <w:tcPr>
            <w:tcW w:w="3058" w:type="dxa"/>
            <w:vAlign w:val="center"/>
          </w:tcPr>
          <w:p>
            <w:pPr>
              <w:pStyle w:val="39"/>
              <w:ind w:left="420" w:hanging="420"/>
            </w:pPr>
            <w:r>
              <w:rPr>
                <w:rFonts w:hint="eastAsia"/>
              </w:rPr>
              <w:t>直接排放</w:t>
            </w:r>
          </w:p>
        </w:tc>
        <w:tc>
          <w:tcPr>
            <w:tcW w:w="3058" w:type="dxa"/>
            <w:vAlign w:val="center"/>
          </w:tcPr>
          <w:p>
            <w:pPr>
              <w:pStyle w:val="39"/>
              <w:ind w:left="420" w:hanging="420"/>
            </w:pPr>
            <w:r>
              <w:rPr>
                <w:rFonts w:hint="eastAsia"/>
              </w:rPr>
              <w:t>Q</w:t>
            </w:r>
            <w:r>
              <w:t>＜</w:t>
            </w:r>
            <w:r>
              <w:rPr>
                <w:rFonts w:hint="eastAsia"/>
              </w:rPr>
              <w:t>2</w:t>
            </w:r>
            <w:r>
              <w:t>00且</w:t>
            </w:r>
            <w:r>
              <w:rPr>
                <w:rFonts w:hint="eastAsia"/>
              </w:rPr>
              <w:t>W</w:t>
            </w:r>
            <w:r>
              <w:t>＜</w:t>
            </w:r>
            <w:r>
              <w:rPr>
                <w:rFonts w:hint="eastAsia"/>
              </w:rPr>
              <w:t>6</w:t>
            </w:r>
            <w: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057" w:type="dxa"/>
            <w:vAlign w:val="center"/>
          </w:tcPr>
          <w:p>
            <w:pPr>
              <w:pStyle w:val="39"/>
              <w:ind w:left="420" w:hanging="420"/>
            </w:pPr>
            <w:r>
              <w:rPr>
                <w:rFonts w:hint="eastAsia"/>
              </w:rPr>
              <w:t>三级</w:t>
            </w:r>
            <w:r>
              <w:t>B</w:t>
            </w:r>
          </w:p>
        </w:tc>
        <w:tc>
          <w:tcPr>
            <w:tcW w:w="3058" w:type="dxa"/>
            <w:vAlign w:val="center"/>
          </w:tcPr>
          <w:p>
            <w:pPr>
              <w:pStyle w:val="39"/>
              <w:ind w:left="420" w:hanging="420"/>
            </w:pPr>
            <w:r>
              <w:t>间接排放</w:t>
            </w:r>
          </w:p>
        </w:tc>
        <w:tc>
          <w:tcPr>
            <w:tcW w:w="3058" w:type="dxa"/>
            <w:vAlign w:val="center"/>
          </w:tcPr>
          <w:p>
            <w:pPr>
              <w:pStyle w:val="39"/>
              <w:ind w:left="420" w:hanging="42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173" w:type="dxa"/>
            <w:gridSpan w:val="3"/>
            <w:vAlign w:val="center"/>
          </w:tcPr>
          <w:p>
            <w:pPr>
              <w:pStyle w:val="39"/>
              <w:ind w:left="420" w:hanging="420"/>
              <w:jc w:val="both"/>
            </w:pPr>
            <w:r>
              <w:t>注10：建设项目生产工艺中有废水产生，但作为回水利用，不排放到外环境的</w:t>
            </w:r>
          </w:p>
        </w:tc>
      </w:tr>
    </w:tbl>
    <w:p>
      <w:pPr>
        <w:pStyle w:val="3"/>
        <w:ind w:firstLine="480"/>
      </w:pPr>
    </w:p>
    <w:p>
      <w:pPr>
        <w:pStyle w:val="3"/>
        <w:ind w:firstLine="480"/>
      </w:pPr>
      <w:r>
        <w:t>本项目属于水污染影响型建设项目，本项目</w:t>
      </w:r>
      <w:r>
        <w:rPr>
          <w:rFonts w:hint="eastAsia"/>
        </w:rPr>
        <w:t>废水排放</w:t>
      </w:r>
      <w:r>
        <w:t>量约</w:t>
      </w:r>
      <w:r>
        <w:rPr>
          <w:rFonts w:hint="eastAsia"/>
        </w:rPr>
        <w:t>为</w:t>
      </w:r>
      <w:r>
        <w:rPr>
          <w:rFonts w:hint="eastAsia" w:cs="Times New Roman"/>
          <w:kern w:val="0"/>
        </w:rPr>
        <w:t>2010.22</w:t>
      </w:r>
      <w:r>
        <w:rPr>
          <w:rFonts w:hint="eastAsia"/>
        </w:rPr>
        <w:t>m</w:t>
      </w:r>
      <w:r>
        <w:rPr>
          <w:rFonts w:hint="eastAsia"/>
          <w:vertAlign w:val="superscript"/>
        </w:rPr>
        <w:t>3</w:t>
      </w:r>
      <w:r>
        <w:rPr>
          <w:rFonts w:hint="eastAsia"/>
        </w:rPr>
        <w:t>/a</w:t>
      </w:r>
      <w:r>
        <w:t>，</w:t>
      </w:r>
      <w:r>
        <w:rPr>
          <w:rFonts w:hint="eastAsia"/>
        </w:rPr>
        <w:t>产生的废水收集</w:t>
      </w:r>
      <w:r>
        <w:t>后</w:t>
      </w:r>
      <w:r>
        <w:rPr>
          <w:rFonts w:hint="eastAsia"/>
        </w:rPr>
        <w:t>经化粪池处理后用作农肥，不外排；属于回水</w:t>
      </w:r>
      <w:r>
        <w:t>利用</w:t>
      </w:r>
      <w:r>
        <w:rPr>
          <w:rFonts w:hint="eastAsia"/>
        </w:rPr>
        <w:t>。</w:t>
      </w:r>
      <w:r>
        <w:t>根据《环境影响评价技术导则 地表水环境》（HJ2.3-2018），废水</w:t>
      </w:r>
      <w:r>
        <w:rPr>
          <w:rFonts w:hint="eastAsia"/>
        </w:rPr>
        <w:t>回水利用</w:t>
      </w:r>
      <w:r>
        <w:t>的水污染影响型建设项目的地表水评价等级为</w:t>
      </w:r>
      <w:r>
        <w:rPr>
          <w:rFonts w:hint="eastAsia"/>
        </w:rPr>
        <w:t>三级B</w:t>
      </w:r>
      <w:r>
        <w:t>。因此，本项目地表水环境评价等级为</w:t>
      </w:r>
      <w:r>
        <w:rPr>
          <w:rFonts w:hint="eastAsia"/>
        </w:rPr>
        <w:t>三级B</w:t>
      </w:r>
      <w:r>
        <w:t>。</w:t>
      </w:r>
    </w:p>
    <w:p>
      <w:pPr>
        <w:pStyle w:val="7"/>
      </w:pPr>
      <w:r>
        <w:rPr>
          <w:rFonts w:hint="eastAsia"/>
        </w:rPr>
        <w:t>评价</w:t>
      </w:r>
      <w:r>
        <w:t>范围</w:t>
      </w:r>
    </w:p>
    <w:p>
      <w:pPr>
        <w:pStyle w:val="3"/>
        <w:ind w:firstLine="480"/>
      </w:pPr>
      <w:r>
        <w:rPr>
          <w:rFonts w:hint="eastAsia"/>
        </w:rPr>
        <w:t>根据</w:t>
      </w:r>
      <w:r>
        <w:t>《环境影响评价技术导则 地表水环境》（HJ2.3-2018）</w:t>
      </w:r>
      <w:r>
        <w:rPr>
          <w:rFonts w:hint="eastAsia"/>
        </w:rPr>
        <w:t>，本项目三级B评价不需设置地表水环境影响评价范围，</w:t>
      </w:r>
      <w:r>
        <w:t>仅对</w:t>
      </w:r>
      <w:r>
        <w:rPr>
          <w:rFonts w:hint="eastAsia"/>
        </w:rPr>
        <w:t>生产废水</w:t>
      </w:r>
      <w:r>
        <w:t>通过处理后</w:t>
      </w:r>
      <w:r>
        <w:rPr>
          <w:rFonts w:hint="eastAsia"/>
        </w:rPr>
        <w:t>用做农肥的</w:t>
      </w:r>
      <w:r>
        <w:t>可行性进行分析</w:t>
      </w:r>
      <w:r>
        <w:rPr>
          <w:rFonts w:hint="eastAsia"/>
        </w:rPr>
        <w:t>。</w:t>
      </w:r>
    </w:p>
    <w:p>
      <w:pPr>
        <w:pStyle w:val="6"/>
      </w:pPr>
      <w:r>
        <w:rPr>
          <w:rFonts w:hint="eastAsia"/>
        </w:rPr>
        <w:t>地下水环境评价工作等级及评价范围</w:t>
      </w:r>
    </w:p>
    <w:p>
      <w:pPr>
        <w:pStyle w:val="7"/>
        <w:ind w:left="864"/>
      </w:pPr>
      <w:r>
        <w:rPr>
          <w:rFonts w:hint="eastAsia"/>
        </w:rPr>
        <w:t>评价工作等级</w:t>
      </w:r>
    </w:p>
    <w:p>
      <w:pPr>
        <w:pStyle w:val="3"/>
        <w:ind w:firstLine="480"/>
      </w:pPr>
      <w:r>
        <w:t>根据《环境影响评价技术导则地下水环境》（HJ610-2016），本项目</w:t>
      </w:r>
      <w:r>
        <w:rPr>
          <w:rFonts w:hint="eastAsia"/>
        </w:rPr>
        <w:t>为畜禽</w:t>
      </w:r>
      <w:r>
        <w:t>养殖场报告书属于</w:t>
      </w:r>
      <w:r>
        <w:rPr>
          <w:rFonts w:hint="eastAsia" w:ascii="宋体" w:hAnsi="宋体" w:cs="宋体"/>
        </w:rPr>
        <w:t>Ⅲ</w:t>
      </w:r>
      <w:r>
        <w:t>类建设项目，</w:t>
      </w:r>
      <w:r>
        <w:rPr>
          <w:kern w:val="0"/>
        </w:rPr>
        <w:t>项目周边</w:t>
      </w:r>
      <w:r>
        <w:rPr>
          <w:rFonts w:hint="eastAsia"/>
          <w:kern w:val="0"/>
        </w:rPr>
        <w:t>居民暂时</w:t>
      </w:r>
      <w:r>
        <w:rPr>
          <w:kern w:val="0"/>
        </w:rPr>
        <w:t>采用水井，目前正在</w:t>
      </w:r>
      <w:r>
        <w:rPr>
          <w:rFonts w:hint="eastAsia"/>
          <w:kern w:val="0"/>
        </w:rPr>
        <w:t>铺设</w:t>
      </w:r>
      <w:r>
        <w:rPr>
          <w:kern w:val="0"/>
        </w:rPr>
        <w:t>自来水管道</w:t>
      </w:r>
      <w:r>
        <w:rPr>
          <w:rFonts w:hint="eastAsia"/>
          <w:kern w:val="0"/>
        </w:rPr>
        <w:t>；</w:t>
      </w:r>
      <w:r>
        <w:rPr>
          <w:kern w:val="0"/>
        </w:rPr>
        <w:t>地下水</w:t>
      </w:r>
      <w:r>
        <w:rPr>
          <w:rFonts w:hint="eastAsia"/>
          <w:kern w:val="0"/>
        </w:rPr>
        <w:t>较敏感</w:t>
      </w:r>
      <w:r>
        <w:t>区</w:t>
      </w:r>
      <w:r>
        <w:rPr>
          <w:rFonts w:hint="eastAsia"/>
          <w:kern w:val="0"/>
        </w:rPr>
        <w:t>；</w:t>
      </w:r>
      <w:r>
        <w:rPr>
          <w:kern w:val="0"/>
        </w:rPr>
        <w:t>地下水</w:t>
      </w:r>
      <w:r>
        <w:rPr>
          <w:rFonts w:hint="eastAsia"/>
          <w:kern w:val="0"/>
        </w:rPr>
        <w:t>较敏感</w:t>
      </w:r>
      <w:r>
        <w:t>区根据《环境影响评价技术导则地下水环境》（HJ610-2016）中地下水环境敏感程度分级表和表2评价工作等级分级表，本项目地下水敏感程度属</w:t>
      </w:r>
      <w:r>
        <w:rPr>
          <w:rFonts w:hint="eastAsia"/>
        </w:rPr>
        <w:t>“</w:t>
      </w:r>
      <w:r>
        <w:t>较敏感</w:t>
      </w:r>
      <w:r>
        <w:rPr>
          <w:rFonts w:hint="eastAsia"/>
        </w:rPr>
        <w:t>”</w:t>
      </w:r>
      <w:r>
        <w:t>，因此，本项目水环境评价等级为三级。</w:t>
      </w:r>
    </w:p>
    <w:p>
      <w:pPr>
        <w:pStyle w:val="15"/>
        <w:ind w:left="420" w:hanging="420"/>
      </w:pPr>
      <w:r>
        <w:t>表</w:t>
      </w:r>
      <w:r>
        <w:rPr>
          <w:rFonts w:hint="eastAsia"/>
        </w:rPr>
        <w:t>2.6-</w:t>
      </w:r>
      <w:r>
        <w:t>7  项目地下水环境敏感程度分级</w:t>
      </w:r>
    </w:p>
    <w:tbl>
      <w:tblPr>
        <w:tblStyle w:val="26"/>
        <w:tblW w:w="9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1163"/>
        <w:gridCol w:w="4880"/>
        <w:gridCol w:w="2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839" w:type="dxa"/>
            <w:vAlign w:val="center"/>
          </w:tcPr>
          <w:p>
            <w:pPr>
              <w:spacing w:line="360" w:lineRule="exact"/>
              <w:jc w:val="center"/>
            </w:pPr>
            <w:r>
              <w:t>项目</w:t>
            </w:r>
          </w:p>
        </w:tc>
        <w:tc>
          <w:tcPr>
            <w:tcW w:w="1163" w:type="dxa"/>
            <w:vAlign w:val="center"/>
          </w:tcPr>
          <w:p>
            <w:pPr>
              <w:spacing w:line="360" w:lineRule="exact"/>
              <w:jc w:val="center"/>
            </w:pPr>
            <w:r>
              <w:t>敏感程度</w:t>
            </w:r>
          </w:p>
        </w:tc>
        <w:tc>
          <w:tcPr>
            <w:tcW w:w="4880" w:type="dxa"/>
            <w:vAlign w:val="center"/>
          </w:tcPr>
          <w:p>
            <w:pPr>
              <w:spacing w:line="360" w:lineRule="exact"/>
              <w:jc w:val="center"/>
            </w:pPr>
            <w:r>
              <w:t>地下水敏感特性</w:t>
            </w:r>
          </w:p>
        </w:tc>
        <w:tc>
          <w:tcPr>
            <w:tcW w:w="2291" w:type="dxa"/>
            <w:vAlign w:val="center"/>
          </w:tcPr>
          <w:p>
            <w:pPr>
              <w:pStyle w:val="3"/>
              <w:spacing w:line="520" w:lineRule="exact"/>
              <w:ind w:firstLine="0" w:firstLineChars="0"/>
              <w:jc w:val="center"/>
            </w:pPr>
            <w:r>
              <w:t>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839" w:type="dxa"/>
            <w:vMerge w:val="restart"/>
            <w:vAlign w:val="center"/>
          </w:tcPr>
          <w:p>
            <w:pPr>
              <w:spacing w:line="360" w:lineRule="exact"/>
              <w:jc w:val="center"/>
            </w:pPr>
            <w:r>
              <w:t>地下水环境敏感程度分级</w:t>
            </w:r>
          </w:p>
        </w:tc>
        <w:tc>
          <w:tcPr>
            <w:tcW w:w="1163" w:type="dxa"/>
            <w:vAlign w:val="center"/>
          </w:tcPr>
          <w:p>
            <w:pPr>
              <w:pStyle w:val="3"/>
              <w:spacing w:line="360" w:lineRule="exact"/>
              <w:ind w:firstLine="0" w:firstLineChars="0"/>
              <w:jc w:val="center"/>
              <w:rPr>
                <w:sz w:val="21"/>
              </w:rPr>
            </w:pPr>
            <w:r>
              <w:rPr>
                <w:sz w:val="21"/>
              </w:rPr>
              <w:t>敏感</w:t>
            </w:r>
          </w:p>
        </w:tc>
        <w:tc>
          <w:tcPr>
            <w:tcW w:w="4880" w:type="dxa"/>
            <w:vAlign w:val="center"/>
          </w:tcPr>
          <w:p>
            <w:pPr>
              <w:spacing w:line="360" w:lineRule="exact"/>
              <w:jc w:val="center"/>
            </w:pPr>
            <w:r>
              <w:t>集中式饮用水水源（包括已建成的在用、备用、应急水源，在建和规划的饮用水水源）准保护区；除集中式饮用水水源以外的国家或地方政府设定的与地下水环境相关的其它保护区，如热水、矿泉水、温泉等特殊地下水资源保护区</w:t>
            </w:r>
          </w:p>
        </w:tc>
        <w:tc>
          <w:tcPr>
            <w:tcW w:w="2291" w:type="dxa"/>
            <w:vMerge w:val="restart"/>
            <w:vAlign w:val="center"/>
          </w:tcPr>
          <w:p>
            <w:pPr>
              <w:autoSpaceDE w:val="0"/>
              <w:autoSpaceDN w:val="0"/>
              <w:jc w:val="center"/>
              <w:rPr>
                <w:sz w:val="24"/>
              </w:rPr>
            </w:pPr>
            <w:r>
              <w:rPr>
                <w:kern w:val="0"/>
              </w:rPr>
              <w:t>项目周边</w:t>
            </w:r>
            <w:r>
              <w:rPr>
                <w:rFonts w:hint="eastAsia"/>
                <w:kern w:val="0"/>
              </w:rPr>
              <w:t>居民暂时</w:t>
            </w:r>
            <w:r>
              <w:rPr>
                <w:kern w:val="0"/>
              </w:rPr>
              <w:t>采用水井，目前正在</w:t>
            </w:r>
            <w:r>
              <w:rPr>
                <w:rFonts w:hint="eastAsia"/>
                <w:kern w:val="0"/>
              </w:rPr>
              <w:t>铺设</w:t>
            </w:r>
            <w:r>
              <w:rPr>
                <w:kern w:val="0"/>
              </w:rPr>
              <w:t>自来水管道</w:t>
            </w:r>
            <w:r>
              <w:rPr>
                <w:rFonts w:hint="eastAsia"/>
                <w:kern w:val="0"/>
              </w:rPr>
              <w:t>；地下水较敏感区。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39" w:type="dxa"/>
            <w:vMerge w:val="continue"/>
            <w:vAlign w:val="center"/>
          </w:tcPr>
          <w:p>
            <w:pPr>
              <w:spacing w:line="360" w:lineRule="exact"/>
              <w:jc w:val="center"/>
            </w:pPr>
          </w:p>
        </w:tc>
        <w:tc>
          <w:tcPr>
            <w:tcW w:w="1163" w:type="dxa"/>
            <w:vAlign w:val="center"/>
          </w:tcPr>
          <w:p>
            <w:pPr>
              <w:spacing w:line="360" w:lineRule="exact"/>
              <w:jc w:val="center"/>
            </w:pPr>
            <w:r>
              <w:t>较敏感</w:t>
            </w:r>
          </w:p>
        </w:tc>
        <w:tc>
          <w:tcPr>
            <w:tcW w:w="4880" w:type="dxa"/>
            <w:vAlign w:val="center"/>
          </w:tcPr>
          <w:p>
            <w:pPr>
              <w:spacing w:line="360" w:lineRule="exact"/>
              <w:jc w:val="center"/>
            </w:pPr>
            <w:r>
              <w:t>集中式饮用水水源（包括已建成的在用、备用、应急水源，在建和规划的饮用水水源）准保护区以外的补给径流区；未划定准保护区的集中水式饮用水水源，其保护区以外的补给径流区；分散式饮用水水源地；特殊地下水资源（如矿泉水、温泉等）保护区以外的分不清等其他未列入上述敏感分级的环境敏感区</w:t>
            </w:r>
          </w:p>
        </w:tc>
        <w:tc>
          <w:tcPr>
            <w:tcW w:w="2291" w:type="dxa"/>
            <w:vMerge w:val="continue"/>
            <w:vAlign w:val="center"/>
          </w:tcPr>
          <w:p>
            <w:pPr>
              <w:pStyle w:val="3"/>
              <w:spacing w:line="520" w:lineRule="exact"/>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39" w:type="dxa"/>
            <w:vMerge w:val="continue"/>
            <w:vAlign w:val="center"/>
          </w:tcPr>
          <w:p>
            <w:pPr>
              <w:spacing w:line="360" w:lineRule="exact"/>
              <w:jc w:val="center"/>
            </w:pPr>
          </w:p>
        </w:tc>
        <w:tc>
          <w:tcPr>
            <w:tcW w:w="1163" w:type="dxa"/>
            <w:vAlign w:val="center"/>
          </w:tcPr>
          <w:p>
            <w:pPr>
              <w:spacing w:line="360" w:lineRule="exact"/>
              <w:jc w:val="center"/>
            </w:pPr>
            <w:r>
              <w:t>不敏感</w:t>
            </w:r>
          </w:p>
        </w:tc>
        <w:tc>
          <w:tcPr>
            <w:tcW w:w="4880" w:type="dxa"/>
            <w:vAlign w:val="center"/>
          </w:tcPr>
          <w:p>
            <w:pPr>
              <w:spacing w:line="360" w:lineRule="exact"/>
              <w:jc w:val="center"/>
            </w:pPr>
            <w:r>
              <w:t>上述地区之外的其它地区</w:t>
            </w:r>
          </w:p>
        </w:tc>
        <w:tc>
          <w:tcPr>
            <w:tcW w:w="2291" w:type="dxa"/>
            <w:vMerge w:val="continue"/>
            <w:vAlign w:val="center"/>
          </w:tcPr>
          <w:p>
            <w:pPr>
              <w:pStyle w:val="3"/>
              <w:spacing w:line="520" w:lineRule="exact"/>
              <w:ind w:firstLine="0" w:firstLineChars="0"/>
              <w:jc w:val="center"/>
            </w:pPr>
          </w:p>
        </w:tc>
      </w:tr>
    </w:tbl>
    <w:p>
      <w:pPr>
        <w:pStyle w:val="3"/>
        <w:spacing w:line="520" w:lineRule="exact"/>
        <w:ind w:firstLine="480"/>
        <w:jc w:val="center"/>
        <w:rPr>
          <w:rFonts w:eastAsia="黑体"/>
        </w:rPr>
      </w:pPr>
      <w:r>
        <w:rPr>
          <w:rFonts w:eastAsia="黑体"/>
        </w:rPr>
        <w:t>表</w:t>
      </w:r>
      <w:r>
        <w:rPr>
          <w:rFonts w:hint="eastAsia" w:eastAsia="黑体"/>
        </w:rPr>
        <w:t>2.6-</w:t>
      </w:r>
      <w:r>
        <w:rPr>
          <w:rFonts w:eastAsia="黑体"/>
        </w:rPr>
        <w:t>8  评价工作等级分级表</w:t>
      </w:r>
    </w:p>
    <w:tbl>
      <w:tblPr>
        <w:tblStyle w:val="26"/>
        <w:tblW w:w="917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782"/>
        <w:gridCol w:w="1699"/>
        <w:gridCol w:w="2346"/>
        <w:gridCol w:w="23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782" w:type="dxa"/>
            <w:tcBorders>
              <w:top w:val="single" w:color="auto" w:sz="4" w:space="0"/>
              <w:left w:val="single" w:color="auto" w:sz="4" w:space="0"/>
              <w:bottom w:val="single" w:color="auto" w:sz="4" w:space="0"/>
              <w:right w:val="single" w:color="auto" w:sz="4" w:space="0"/>
              <w:tl2br w:val="single" w:color="auto" w:sz="6" w:space="0"/>
            </w:tcBorders>
            <w:vAlign w:val="center"/>
          </w:tcPr>
          <w:p>
            <w:pPr>
              <w:pStyle w:val="39"/>
            </w:pPr>
            <w:r>
              <w:t xml:space="preserve">                   类别</w:t>
            </w:r>
          </w:p>
          <w:p>
            <w:pPr>
              <w:pStyle w:val="39"/>
              <w:jc w:val="left"/>
            </w:pPr>
            <w:r>
              <w:t>环境敏感程度</w:t>
            </w:r>
          </w:p>
        </w:tc>
        <w:tc>
          <w:tcPr>
            <w:tcW w:w="1699" w:type="dxa"/>
            <w:tcBorders>
              <w:top w:val="single" w:color="auto" w:sz="4" w:space="0"/>
              <w:left w:val="single" w:color="auto" w:sz="4" w:space="0"/>
              <w:bottom w:val="single" w:color="auto" w:sz="4" w:space="0"/>
              <w:right w:val="single" w:color="auto" w:sz="4" w:space="0"/>
            </w:tcBorders>
            <w:vAlign w:val="center"/>
          </w:tcPr>
          <w:p>
            <w:pPr>
              <w:pStyle w:val="39"/>
            </w:pPr>
            <w:r>
              <w:rPr>
                <w:rFonts w:hint="eastAsia" w:ascii="宋体" w:hAnsi="宋体" w:cs="宋体"/>
              </w:rPr>
              <w:t>Ⅰ</w:t>
            </w:r>
            <w:r>
              <w:t>类项目</w:t>
            </w:r>
          </w:p>
        </w:tc>
        <w:tc>
          <w:tcPr>
            <w:tcW w:w="2346" w:type="dxa"/>
            <w:tcBorders>
              <w:top w:val="single" w:color="auto" w:sz="4" w:space="0"/>
              <w:left w:val="single" w:color="auto" w:sz="4" w:space="0"/>
              <w:bottom w:val="single" w:color="auto" w:sz="4" w:space="0"/>
              <w:right w:val="single" w:color="auto" w:sz="4" w:space="0"/>
            </w:tcBorders>
            <w:vAlign w:val="center"/>
          </w:tcPr>
          <w:p>
            <w:pPr>
              <w:pStyle w:val="39"/>
            </w:pPr>
            <w:r>
              <w:rPr>
                <w:rFonts w:hint="eastAsia" w:ascii="宋体" w:hAnsi="宋体" w:cs="宋体"/>
              </w:rPr>
              <w:t>Ⅱ</w:t>
            </w:r>
            <w:r>
              <w:t>类项目</w:t>
            </w:r>
          </w:p>
        </w:tc>
        <w:tc>
          <w:tcPr>
            <w:tcW w:w="2346" w:type="dxa"/>
            <w:tcBorders>
              <w:top w:val="single" w:color="auto" w:sz="4" w:space="0"/>
              <w:left w:val="single" w:color="auto" w:sz="4" w:space="0"/>
              <w:bottom w:val="single" w:color="auto" w:sz="4" w:space="0"/>
              <w:right w:val="single" w:color="auto" w:sz="4" w:space="0"/>
            </w:tcBorders>
            <w:vAlign w:val="center"/>
          </w:tcPr>
          <w:p>
            <w:pPr>
              <w:pStyle w:val="39"/>
            </w:pPr>
            <w:r>
              <w:rPr>
                <w:rFonts w:hint="eastAsia" w:ascii="宋体" w:hAnsi="宋体" w:cs="宋体"/>
              </w:rPr>
              <w:t>Ⅲ</w:t>
            </w:r>
            <w:r>
              <w:t>类项目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782" w:type="dxa"/>
            <w:tcBorders>
              <w:top w:val="single" w:color="auto" w:sz="4" w:space="0"/>
              <w:left w:val="single" w:color="auto" w:sz="4" w:space="0"/>
              <w:bottom w:val="single" w:color="auto" w:sz="4" w:space="0"/>
              <w:right w:val="single" w:color="auto" w:sz="4" w:space="0"/>
            </w:tcBorders>
            <w:vAlign w:val="center"/>
          </w:tcPr>
          <w:p>
            <w:pPr>
              <w:pStyle w:val="39"/>
            </w:pPr>
            <w:r>
              <w:t>敏感</w:t>
            </w:r>
          </w:p>
        </w:tc>
        <w:tc>
          <w:tcPr>
            <w:tcW w:w="1699" w:type="dxa"/>
            <w:tcBorders>
              <w:top w:val="single" w:color="auto" w:sz="4" w:space="0"/>
              <w:left w:val="single" w:color="auto" w:sz="4" w:space="0"/>
              <w:bottom w:val="single" w:color="auto" w:sz="4" w:space="0"/>
              <w:right w:val="single" w:color="auto" w:sz="4" w:space="0"/>
            </w:tcBorders>
            <w:vAlign w:val="center"/>
          </w:tcPr>
          <w:p>
            <w:pPr>
              <w:pStyle w:val="39"/>
            </w:pPr>
            <w:r>
              <w:t>一</w:t>
            </w:r>
          </w:p>
        </w:tc>
        <w:tc>
          <w:tcPr>
            <w:tcW w:w="2346" w:type="dxa"/>
            <w:tcBorders>
              <w:top w:val="single" w:color="auto" w:sz="4" w:space="0"/>
              <w:left w:val="single" w:color="auto" w:sz="4" w:space="0"/>
              <w:bottom w:val="single" w:color="auto" w:sz="4" w:space="0"/>
              <w:right w:val="single" w:color="auto" w:sz="4" w:space="0"/>
            </w:tcBorders>
            <w:vAlign w:val="center"/>
          </w:tcPr>
          <w:p>
            <w:pPr>
              <w:pStyle w:val="39"/>
            </w:pPr>
            <w:r>
              <w:t>一</w:t>
            </w:r>
          </w:p>
        </w:tc>
        <w:tc>
          <w:tcPr>
            <w:tcW w:w="2346" w:type="dxa"/>
            <w:tcBorders>
              <w:top w:val="single" w:color="auto" w:sz="4" w:space="0"/>
              <w:left w:val="single" w:color="auto" w:sz="4" w:space="0"/>
              <w:bottom w:val="single" w:color="auto" w:sz="4" w:space="0"/>
              <w:right w:val="single" w:color="auto" w:sz="4" w:space="0"/>
            </w:tcBorders>
            <w:vAlign w:val="center"/>
          </w:tcPr>
          <w:p>
            <w:pPr>
              <w:pStyle w:val="39"/>
            </w:pPr>
            <w:r>
              <w:t>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782" w:type="dxa"/>
            <w:tcBorders>
              <w:top w:val="single" w:color="auto" w:sz="4" w:space="0"/>
              <w:left w:val="single" w:color="auto" w:sz="4" w:space="0"/>
              <w:bottom w:val="single" w:color="auto" w:sz="4" w:space="0"/>
              <w:right w:val="single" w:color="auto" w:sz="4" w:space="0"/>
            </w:tcBorders>
            <w:vAlign w:val="center"/>
          </w:tcPr>
          <w:p>
            <w:pPr>
              <w:pStyle w:val="39"/>
            </w:pPr>
            <w:r>
              <w:t>较敏感</w:t>
            </w:r>
          </w:p>
        </w:tc>
        <w:tc>
          <w:tcPr>
            <w:tcW w:w="1699" w:type="dxa"/>
            <w:tcBorders>
              <w:top w:val="single" w:color="auto" w:sz="4" w:space="0"/>
              <w:left w:val="single" w:color="auto" w:sz="4" w:space="0"/>
              <w:bottom w:val="single" w:color="auto" w:sz="4" w:space="0"/>
              <w:right w:val="single" w:color="auto" w:sz="4" w:space="0"/>
            </w:tcBorders>
            <w:vAlign w:val="center"/>
          </w:tcPr>
          <w:p>
            <w:pPr>
              <w:pStyle w:val="39"/>
            </w:pPr>
            <w:r>
              <w:t>一</w:t>
            </w:r>
          </w:p>
        </w:tc>
        <w:tc>
          <w:tcPr>
            <w:tcW w:w="2346" w:type="dxa"/>
            <w:tcBorders>
              <w:top w:val="single" w:color="auto" w:sz="4" w:space="0"/>
              <w:left w:val="single" w:color="auto" w:sz="4" w:space="0"/>
              <w:bottom w:val="single" w:color="auto" w:sz="4" w:space="0"/>
              <w:right w:val="single" w:color="auto" w:sz="4" w:space="0"/>
            </w:tcBorders>
            <w:vAlign w:val="center"/>
          </w:tcPr>
          <w:p>
            <w:pPr>
              <w:pStyle w:val="39"/>
            </w:pPr>
            <w:r>
              <w:t>二</w:t>
            </w:r>
          </w:p>
        </w:tc>
        <w:tc>
          <w:tcPr>
            <w:tcW w:w="2346"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pStyle w:val="39"/>
            </w:pPr>
            <w:r>
              <w:rPr>
                <w:b/>
              </w:rPr>
              <w:t>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782" w:type="dxa"/>
            <w:tcBorders>
              <w:top w:val="single" w:color="auto" w:sz="4" w:space="0"/>
              <w:left w:val="single" w:color="auto" w:sz="4" w:space="0"/>
              <w:bottom w:val="single" w:color="auto" w:sz="4" w:space="0"/>
              <w:right w:val="single" w:color="auto" w:sz="4" w:space="0"/>
            </w:tcBorders>
            <w:vAlign w:val="center"/>
          </w:tcPr>
          <w:p>
            <w:pPr>
              <w:pStyle w:val="39"/>
            </w:pPr>
            <w:r>
              <w:t>不敏感</w:t>
            </w:r>
          </w:p>
        </w:tc>
        <w:tc>
          <w:tcPr>
            <w:tcW w:w="1699" w:type="dxa"/>
            <w:tcBorders>
              <w:top w:val="single" w:color="auto" w:sz="4" w:space="0"/>
              <w:left w:val="single" w:color="auto" w:sz="4" w:space="0"/>
              <w:bottom w:val="single" w:color="auto" w:sz="4" w:space="0"/>
              <w:right w:val="single" w:color="auto" w:sz="4" w:space="0"/>
            </w:tcBorders>
            <w:vAlign w:val="center"/>
          </w:tcPr>
          <w:p>
            <w:pPr>
              <w:pStyle w:val="39"/>
            </w:pPr>
            <w:r>
              <w:t>二</w:t>
            </w:r>
          </w:p>
        </w:tc>
        <w:tc>
          <w:tcPr>
            <w:tcW w:w="2346" w:type="dxa"/>
            <w:tcBorders>
              <w:top w:val="single" w:color="auto" w:sz="4" w:space="0"/>
              <w:left w:val="single" w:color="auto" w:sz="4" w:space="0"/>
              <w:bottom w:val="single" w:color="auto" w:sz="4" w:space="0"/>
              <w:right w:val="single" w:color="auto" w:sz="4" w:space="0"/>
            </w:tcBorders>
            <w:vAlign w:val="center"/>
          </w:tcPr>
          <w:p>
            <w:pPr>
              <w:pStyle w:val="39"/>
            </w:pPr>
            <w:r>
              <w:t>三</w:t>
            </w:r>
          </w:p>
        </w:tc>
        <w:tc>
          <w:tcPr>
            <w:tcW w:w="2346" w:type="dxa"/>
            <w:tcBorders>
              <w:top w:val="single" w:color="auto" w:sz="4" w:space="0"/>
              <w:left w:val="single" w:color="auto" w:sz="4" w:space="0"/>
              <w:bottom w:val="single" w:color="auto" w:sz="4" w:space="0"/>
              <w:right w:val="single" w:color="auto" w:sz="4" w:space="0"/>
            </w:tcBorders>
            <w:vAlign w:val="center"/>
          </w:tcPr>
          <w:p>
            <w:pPr>
              <w:pStyle w:val="39"/>
              <w:rPr>
                <w:rFonts w:cs="Times New Roman" w:asciiTheme="minorEastAsia" w:hAnsiTheme="minorEastAsia" w:eastAsiaTheme="minorEastAsia"/>
              </w:rPr>
            </w:pPr>
            <w:r>
              <w:rPr>
                <w:rFonts w:cs="Times New Roman" w:asciiTheme="minorEastAsia" w:hAnsiTheme="minorEastAsia" w:eastAsiaTheme="minorEastAsia"/>
              </w:rPr>
              <w:t>三</w:t>
            </w:r>
          </w:p>
        </w:tc>
      </w:tr>
    </w:tbl>
    <w:p>
      <w:pPr>
        <w:pStyle w:val="3"/>
        <w:ind w:firstLine="480"/>
      </w:pPr>
    </w:p>
    <w:p>
      <w:pPr>
        <w:pStyle w:val="7"/>
        <w:ind w:left="864"/>
      </w:pPr>
      <w:r>
        <w:rPr>
          <w:rFonts w:hint="eastAsia"/>
        </w:rPr>
        <w:t>评价范围</w:t>
      </w:r>
    </w:p>
    <w:p>
      <w:pPr>
        <w:pStyle w:val="3"/>
        <w:ind w:firstLine="480"/>
      </w:pPr>
      <w:r>
        <w:t>以项目所在地为中心的3.5km</w:t>
      </w:r>
      <w:r>
        <w:rPr>
          <w:vertAlign w:val="superscript"/>
        </w:rPr>
        <w:t>2</w:t>
      </w:r>
      <w:r>
        <w:t>范围内。</w:t>
      </w:r>
    </w:p>
    <w:p>
      <w:pPr>
        <w:pStyle w:val="6"/>
      </w:pPr>
      <w:r>
        <w:rPr>
          <w:rFonts w:hint="eastAsia"/>
        </w:rPr>
        <w:t>声环境评价工作</w:t>
      </w:r>
      <w:r>
        <w:t>等级</w:t>
      </w:r>
      <w:r>
        <w:rPr>
          <w:rFonts w:hint="eastAsia"/>
        </w:rPr>
        <w:t>及</w:t>
      </w:r>
      <w:r>
        <w:t>评价范围</w:t>
      </w:r>
    </w:p>
    <w:p>
      <w:pPr>
        <w:pStyle w:val="7"/>
        <w:ind w:left="862" w:hanging="862"/>
      </w:pPr>
      <w:r>
        <w:rPr>
          <w:rFonts w:hint="eastAsia"/>
        </w:rPr>
        <w:t>评价工作</w:t>
      </w:r>
      <w:r>
        <w:t>等级确定</w:t>
      </w:r>
    </w:p>
    <w:p>
      <w:pPr>
        <w:pStyle w:val="3"/>
        <w:ind w:firstLine="480"/>
      </w:pPr>
      <w:r>
        <w:t>项目选址声环境属2类标准地区。项目噪声主要来源于</w:t>
      </w:r>
      <w:r>
        <w:rPr>
          <w:rFonts w:hint="eastAsia"/>
        </w:rPr>
        <w:t>鸡</w:t>
      </w:r>
      <w:r>
        <w:t>叫声、</w:t>
      </w:r>
      <w:r>
        <w:rPr>
          <w:rFonts w:hint="eastAsia"/>
        </w:rPr>
        <w:t>设备</w:t>
      </w:r>
      <w:r>
        <w:t>噪声及运输车辆噪声等产生的噪声，噪声源强为70-90dB（A）之间，项目通过采取适当降噪措施后，对评价范围内敏感目标受影响人口数量变化不大</w:t>
      </w:r>
      <w:r>
        <w:rPr>
          <w:rFonts w:hint="eastAsia"/>
        </w:rPr>
        <w:t>，项目建设前后噪声级增加较小（3~5dBA），对环境敏感点的影响较小</w:t>
      </w:r>
      <w:r>
        <w:t>。根据《环境影响评价技术导则—声环境》（HJ2.4-2009）中评价工作分级的规定，确定本次声环境影响评价工作等级为二级。声环境评价工作等级判定结果见下表。</w:t>
      </w:r>
    </w:p>
    <w:p>
      <w:pPr>
        <w:pStyle w:val="15"/>
      </w:pPr>
      <w:r>
        <w:t>表2.6-9  声环境评价工作等级判定结果</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28"/>
        <w:gridCol w:w="4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28" w:type="dxa"/>
            <w:vAlign w:val="center"/>
          </w:tcPr>
          <w:p>
            <w:pPr>
              <w:pStyle w:val="39"/>
              <w:ind w:left="420" w:hanging="420"/>
            </w:pPr>
            <w:r>
              <w:t>项目</w:t>
            </w:r>
          </w:p>
        </w:tc>
        <w:tc>
          <w:tcPr>
            <w:tcW w:w="4045" w:type="dxa"/>
            <w:vAlign w:val="center"/>
          </w:tcPr>
          <w:p>
            <w:pPr>
              <w:pStyle w:val="39"/>
              <w:ind w:left="420" w:hanging="420"/>
            </w:pPr>
            <w: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28" w:type="dxa"/>
            <w:vAlign w:val="center"/>
          </w:tcPr>
          <w:p>
            <w:pPr>
              <w:pStyle w:val="39"/>
              <w:ind w:left="420" w:hanging="420"/>
            </w:pPr>
            <w:r>
              <w:t>周围环境适用标准</w:t>
            </w:r>
          </w:p>
        </w:tc>
        <w:tc>
          <w:tcPr>
            <w:tcW w:w="4045" w:type="dxa"/>
            <w:vAlign w:val="center"/>
          </w:tcPr>
          <w:p>
            <w:pPr>
              <w:pStyle w:val="39"/>
              <w:ind w:left="420" w:hanging="420"/>
            </w:pPr>
            <w:r>
              <w:t>GB3096-2008中2类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28" w:type="dxa"/>
            <w:vAlign w:val="center"/>
          </w:tcPr>
          <w:p>
            <w:pPr>
              <w:pStyle w:val="39"/>
              <w:ind w:left="420" w:hanging="420"/>
            </w:pPr>
            <w:r>
              <w:t>周围环境受项目影响噪声增加量</w:t>
            </w:r>
          </w:p>
        </w:tc>
        <w:tc>
          <w:tcPr>
            <w:tcW w:w="4045" w:type="dxa"/>
            <w:vAlign w:val="center"/>
          </w:tcPr>
          <w:p>
            <w:pPr>
              <w:pStyle w:val="39"/>
              <w:ind w:left="420" w:hanging="420"/>
            </w:pPr>
            <w:r>
              <w:rPr>
                <w:rFonts w:hint="eastAsia"/>
              </w:rPr>
              <w:t>3~5dBA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28" w:type="dxa"/>
            <w:vAlign w:val="center"/>
          </w:tcPr>
          <w:p>
            <w:pPr>
              <w:pStyle w:val="39"/>
              <w:ind w:left="420" w:hanging="420"/>
            </w:pPr>
            <w:r>
              <w:t>受影响人口数量变化情况</w:t>
            </w:r>
          </w:p>
        </w:tc>
        <w:tc>
          <w:tcPr>
            <w:tcW w:w="4045" w:type="dxa"/>
            <w:vAlign w:val="center"/>
          </w:tcPr>
          <w:p>
            <w:pPr>
              <w:pStyle w:val="39"/>
              <w:ind w:left="420" w:hanging="420"/>
            </w:pPr>
            <w:r>
              <w:t>变化不大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28" w:type="dxa"/>
            <w:vAlign w:val="center"/>
          </w:tcPr>
          <w:p>
            <w:pPr>
              <w:pStyle w:val="39"/>
              <w:ind w:left="420" w:hanging="420"/>
            </w:pPr>
            <w:r>
              <w:t>评价工作等级</w:t>
            </w:r>
          </w:p>
        </w:tc>
        <w:tc>
          <w:tcPr>
            <w:tcW w:w="4045" w:type="dxa"/>
            <w:vAlign w:val="center"/>
          </w:tcPr>
          <w:p>
            <w:pPr>
              <w:pStyle w:val="39"/>
              <w:ind w:left="420" w:hanging="420"/>
            </w:pPr>
            <w:r>
              <w:t>二级</w:t>
            </w:r>
          </w:p>
        </w:tc>
      </w:tr>
    </w:tbl>
    <w:p>
      <w:pPr>
        <w:pStyle w:val="3"/>
        <w:ind w:firstLine="480"/>
      </w:pPr>
    </w:p>
    <w:p>
      <w:pPr>
        <w:pStyle w:val="7"/>
        <w:ind w:left="864"/>
      </w:pPr>
      <w:r>
        <w:rPr>
          <w:rFonts w:hint="eastAsia"/>
        </w:rPr>
        <w:t>评价范围</w:t>
      </w:r>
    </w:p>
    <w:p>
      <w:pPr>
        <w:pStyle w:val="3"/>
        <w:ind w:firstLine="480"/>
      </w:pPr>
      <w:r>
        <w:t>声环境评价范围确定为项目</w:t>
      </w:r>
      <w:r>
        <w:rPr>
          <w:rFonts w:hint="eastAsia"/>
          <w:bCs/>
        </w:rPr>
        <w:t>场</w:t>
      </w:r>
      <w:r>
        <w:t>界200m范围内。</w:t>
      </w:r>
    </w:p>
    <w:p>
      <w:pPr>
        <w:pStyle w:val="6"/>
      </w:pPr>
      <w:r>
        <w:rPr>
          <w:rFonts w:hint="eastAsia"/>
        </w:rPr>
        <w:t>生态环境评价工作等级及评价范围</w:t>
      </w:r>
    </w:p>
    <w:p>
      <w:pPr>
        <w:pStyle w:val="7"/>
        <w:ind w:left="864"/>
      </w:pPr>
      <w:r>
        <w:rPr>
          <w:rFonts w:hint="eastAsia"/>
        </w:rPr>
        <w:t>评价工作等级</w:t>
      </w:r>
    </w:p>
    <w:p>
      <w:pPr>
        <w:pStyle w:val="3"/>
        <w:ind w:firstLine="480"/>
      </w:pPr>
      <w:r>
        <w:t>本项目</w:t>
      </w:r>
      <w:r>
        <w:rPr>
          <w:rFonts w:hint="eastAsia"/>
        </w:rPr>
        <w:t>需</w:t>
      </w:r>
      <w:r>
        <w:t>建设的</w:t>
      </w:r>
      <w:r>
        <w:rPr>
          <w:rFonts w:hint="eastAsia"/>
        </w:rPr>
        <w:t>畜禽养殖场</w:t>
      </w:r>
      <w:r>
        <w:t>占地范围约</w:t>
      </w:r>
      <w:r>
        <w:rPr>
          <w:rFonts w:cs="Times New Roman"/>
          <w:szCs w:val="24"/>
          <w:shd w:val="clear" w:color="auto" w:fill="FFFFFF"/>
        </w:rPr>
        <w:t>126508.27</w:t>
      </w:r>
      <w:r>
        <w:rPr>
          <w:rFonts w:cs="Times New Roman"/>
        </w:rPr>
        <w:t>m</w:t>
      </w:r>
      <w:r>
        <w:rPr>
          <w:rFonts w:cs="Times New Roman"/>
          <w:vertAlign w:val="superscript"/>
        </w:rPr>
        <w:t>2</w:t>
      </w:r>
      <w:r>
        <w:rPr>
          <w:rFonts w:hint="eastAsia" w:cs="Times New Roman"/>
          <w:szCs w:val="24"/>
          <w:shd w:val="clear" w:color="auto" w:fill="FFFFFF"/>
        </w:rPr>
        <w:t>（约189.8亩）</w:t>
      </w:r>
      <w:r>
        <w:rPr>
          <w:rFonts w:hint="eastAsia"/>
        </w:rPr>
        <w:t>，</w:t>
      </w:r>
      <w:r>
        <w:t>占地范围内未发现珍稀濒危物种</w:t>
      </w:r>
      <w:r>
        <w:rPr>
          <w:rFonts w:hint="eastAsia"/>
        </w:rPr>
        <w:t>，</w:t>
      </w:r>
      <w:r>
        <w:t>对照《环境影响评价技术导则 生态影响》（HJ19-2011）</w:t>
      </w:r>
      <w:r>
        <w:rPr>
          <w:rFonts w:hint="eastAsia"/>
        </w:rPr>
        <w:t>“</w:t>
      </w:r>
      <w:r>
        <w:t>表1</w:t>
      </w:r>
      <w:r>
        <w:rPr>
          <w:rFonts w:hint="eastAsia"/>
        </w:rPr>
        <w:t>”</w:t>
      </w:r>
      <w:r>
        <w:t>所列的生态影响评价工作等级划分表可知，本项目工程占地范围</w:t>
      </w:r>
      <w:r>
        <w:rPr>
          <w:rFonts w:hint="eastAsia"/>
        </w:rPr>
        <w:t>约</w:t>
      </w:r>
      <w:r>
        <w:t>0.</w:t>
      </w:r>
      <w:r>
        <w:rPr>
          <w:rFonts w:hint="eastAsia"/>
        </w:rPr>
        <w:t>13km</w:t>
      </w:r>
      <w:r>
        <w:rPr>
          <w:rFonts w:hint="eastAsia"/>
          <w:vertAlign w:val="superscript"/>
        </w:rPr>
        <w:t>2</w:t>
      </w:r>
      <w:r>
        <w:t>＜2km</w:t>
      </w:r>
      <w:r>
        <w:rPr>
          <w:vertAlign w:val="superscript"/>
        </w:rPr>
        <w:t>2</w:t>
      </w:r>
      <w:r>
        <w:t>，不属于特殊或重要生态敏感区，为一般生态区域，生态评价等级定为三级评价。其评价等级划分见表2.</w:t>
      </w:r>
      <w:r>
        <w:rPr>
          <w:rFonts w:hint="eastAsia"/>
        </w:rPr>
        <w:t>6</w:t>
      </w:r>
      <w:r>
        <w:t>-10。</w:t>
      </w:r>
    </w:p>
    <w:p>
      <w:pPr>
        <w:pStyle w:val="15"/>
        <w:ind w:left="420" w:hanging="420"/>
      </w:pPr>
      <w:r>
        <w:t>表</w:t>
      </w:r>
      <w:r>
        <w:rPr>
          <w:rFonts w:hint="eastAsia"/>
        </w:rPr>
        <w:t>2.6</w:t>
      </w:r>
      <w:r>
        <w:t>-10  项目生态影响评价等级判别表</w:t>
      </w:r>
    </w:p>
    <w:tbl>
      <w:tblPr>
        <w:tblStyle w:val="26"/>
        <w:tblW w:w="9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70"/>
        <w:gridCol w:w="4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70" w:type="dxa"/>
            <w:vAlign w:val="center"/>
          </w:tcPr>
          <w:p>
            <w:pPr>
              <w:pStyle w:val="39"/>
            </w:pPr>
            <w:r>
              <w:t>影响因子</w:t>
            </w:r>
          </w:p>
        </w:tc>
        <w:tc>
          <w:tcPr>
            <w:tcW w:w="4403" w:type="dxa"/>
            <w:vAlign w:val="center"/>
          </w:tcPr>
          <w:p>
            <w:pPr>
              <w:pStyle w:val="39"/>
            </w:pPr>
            <w:r>
              <w:t>影响程度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70" w:type="dxa"/>
            <w:vAlign w:val="center"/>
          </w:tcPr>
          <w:p>
            <w:pPr>
              <w:pStyle w:val="39"/>
            </w:pPr>
            <w:r>
              <w:t>影响区域生态敏感性</w:t>
            </w:r>
          </w:p>
        </w:tc>
        <w:tc>
          <w:tcPr>
            <w:tcW w:w="4403" w:type="dxa"/>
            <w:vAlign w:val="center"/>
          </w:tcPr>
          <w:p>
            <w:pPr>
              <w:pStyle w:val="39"/>
            </w:pPr>
            <w:r>
              <w:t>一般</w:t>
            </w:r>
            <w:r>
              <w:rPr>
                <w:rFonts w:hint="eastAsia"/>
              </w:rPr>
              <w:t>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70" w:type="dxa"/>
            <w:vAlign w:val="center"/>
          </w:tcPr>
          <w:p>
            <w:pPr>
              <w:pStyle w:val="39"/>
            </w:pPr>
            <w:r>
              <w:t>工程占地范围</w:t>
            </w:r>
          </w:p>
        </w:tc>
        <w:tc>
          <w:tcPr>
            <w:tcW w:w="4403" w:type="dxa"/>
            <w:vAlign w:val="center"/>
          </w:tcPr>
          <w:p>
            <w:pPr>
              <w:pStyle w:val="39"/>
            </w:pPr>
            <w:r>
              <w:t>&lt;2km</w:t>
            </w:r>
            <w:r>
              <w:rPr>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70" w:type="dxa"/>
            <w:vAlign w:val="center"/>
          </w:tcPr>
          <w:p>
            <w:pPr>
              <w:pStyle w:val="39"/>
            </w:pPr>
            <w:r>
              <w:t>评价工作等级</w:t>
            </w:r>
          </w:p>
        </w:tc>
        <w:tc>
          <w:tcPr>
            <w:tcW w:w="4403" w:type="dxa"/>
            <w:vAlign w:val="center"/>
          </w:tcPr>
          <w:p>
            <w:pPr>
              <w:pStyle w:val="39"/>
            </w:pPr>
            <w:r>
              <w:t>三级</w:t>
            </w:r>
          </w:p>
        </w:tc>
      </w:tr>
    </w:tbl>
    <w:p>
      <w:pPr>
        <w:pStyle w:val="3"/>
        <w:ind w:firstLine="480"/>
      </w:pPr>
    </w:p>
    <w:p>
      <w:pPr>
        <w:pStyle w:val="7"/>
        <w:ind w:left="864"/>
      </w:pPr>
      <w:r>
        <w:rPr>
          <w:rFonts w:hint="eastAsia"/>
        </w:rPr>
        <w:t>评价范围</w:t>
      </w:r>
    </w:p>
    <w:p>
      <w:pPr>
        <w:pStyle w:val="3"/>
        <w:ind w:firstLine="480"/>
      </w:pPr>
      <w:r>
        <w:t>以项目区域为中心，向四周边境外延伸200m。</w:t>
      </w:r>
    </w:p>
    <w:p>
      <w:pPr>
        <w:pStyle w:val="6"/>
      </w:pPr>
      <w:r>
        <w:t>土壤环境</w:t>
      </w:r>
      <w:r>
        <w:rPr>
          <w:rFonts w:hint="eastAsia"/>
        </w:rPr>
        <w:t>评价</w:t>
      </w:r>
      <w:r>
        <w:t>工作等级及评价范围</w:t>
      </w:r>
    </w:p>
    <w:p>
      <w:pPr>
        <w:pStyle w:val="7"/>
        <w:ind w:left="864"/>
      </w:pPr>
      <w:r>
        <w:t>土壤环境评价等级</w:t>
      </w:r>
    </w:p>
    <w:p>
      <w:pPr>
        <w:pStyle w:val="3"/>
        <w:ind w:firstLine="480"/>
        <w:rPr>
          <w:lang w:bidi="ar"/>
        </w:rPr>
      </w:pPr>
      <w:r>
        <w:rPr>
          <w:lang w:bidi="ar"/>
        </w:rPr>
        <w:t>根据《环境影响评价技术导则 土壤环境》（HJ964-2018）中规定的建设项目所属行业的土壤环境影响评价项目类别、占地规模、土壤环境敏感程度划分评价工作等级。</w:t>
      </w:r>
    </w:p>
    <w:p>
      <w:pPr>
        <w:pStyle w:val="3"/>
        <w:ind w:firstLine="480"/>
        <w:rPr>
          <w:lang w:bidi="ar"/>
        </w:rPr>
      </w:pPr>
      <w:r>
        <w:t>本项目</w:t>
      </w:r>
      <w:r>
        <w:rPr>
          <w:rFonts w:hint="eastAsia"/>
        </w:rPr>
        <w:t>需</w:t>
      </w:r>
      <w:r>
        <w:t>建设的</w:t>
      </w:r>
      <w:r>
        <w:rPr>
          <w:rFonts w:hint="eastAsia"/>
        </w:rPr>
        <w:t>养殖场</w:t>
      </w:r>
      <w:r>
        <w:t>占地范围约</w:t>
      </w:r>
      <w:r>
        <w:rPr>
          <w:rFonts w:cs="Times New Roman"/>
          <w:szCs w:val="24"/>
          <w:shd w:val="clear" w:color="auto" w:fill="FFFFFF"/>
        </w:rPr>
        <w:t>126508.27</w:t>
      </w:r>
      <w:r>
        <w:rPr>
          <w:rFonts w:cs="Times New Roman"/>
        </w:rPr>
        <w:t>m</w:t>
      </w:r>
      <w:r>
        <w:rPr>
          <w:rFonts w:cs="Times New Roman"/>
          <w:vertAlign w:val="superscript"/>
        </w:rPr>
        <w:t>2</w:t>
      </w:r>
      <w:r>
        <w:rPr>
          <w:rFonts w:hint="eastAsia" w:cs="Times New Roman"/>
          <w:szCs w:val="24"/>
          <w:shd w:val="clear" w:color="auto" w:fill="FFFFFF"/>
        </w:rPr>
        <w:t>（约189.8亩）</w:t>
      </w:r>
      <w:r>
        <w:rPr>
          <w:rFonts w:hint="eastAsia"/>
        </w:rPr>
        <w:t>，</w:t>
      </w:r>
      <w:r>
        <w:t>占地规模属于</w:t>
      </w:r>
      <w:r>
        <w:rPr>
          <w:rFonts w:hint="eastAsia"/>
        </w:rPr>
        <w:t>中</w:t>
      </w:r>
      <w:r>
        <w:t>型（</w:t>
      </w:r>
      <w:r>
        <w:rPr>
          <w:rFonts w:hint="eastAsia"/>
        </w:rPr>
        <w:t>5</w:t>
      </w:r>
      <w:r>
        <w:t>~50hm</w:t>
      </w:r>
      <w:r>
        <w:rPr>
          <w:vertAlign w:val="superscript"/>
        </w:rPr>
        <w:t>2</w:t>
      </w:r>
      <w:r>
        <w:t>）</w:t>
      </w:r>
      <w:r>
        <w:rPr>
          <w:rFonts w:hint="eastAsia"/>
        </w:rPr>
        <w:t>，本项目年存栏蛋鸡60万羽</w:t>
      </w:r>
      <w:r>
        <w:t>，故</w:t>
      </w:r>
      <w:r>
        <w:rPr>
          <w:lang w:bidi="ar"/>
        </w:rPr>
        <w:t>本项目属于《环境影响评价技术导则 土壤环境》（HJ964-2018）附录A中的</w:t>
      </w:r>
      <w:r>
        <w:rPr>
          <w:rFonts w:hint="eastAsia" w:ascii="宋体" w:hAnsi="宋体" w:cs="宋体"/>
          <w:lang w:bidi="ar"/>
        </w:rPr>
        <w:t>Ⅲ</w:t>
      </w:r>
      <w:r>
        <w:rPr>
          <w:lang w:bidi="ar"/>
        </w:rPr>
        <w:t>类项目。</w:t>
      </w:r>
    </w:p>
    <w:p>
      <w:pPr>
        <w:pStyle w:val="3"/>
        <w:ind w:firstLine="480"/>
        <w:rPr>
          <w:lang w:bidi="ar"/>
        </w:rPr>
      </w:pPr>
      <w:r>
        <w:rPr>
          <w:lang w:bidi="ar"/>
        </w:rPr>
        <w:t>建设项目所在地周边的土壤环境敏感程度判别依据见表2.6-11。</w:t>
      </w:r>
    </w:p>
    <w:p>
      <w:pPr>
        <w:pStyle w:val="15"/>
      </w:pPr>
      <w:r>
        <w:t>表2.6-11   污染影响型项目敏感程度分级表</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4"/>
        <w:gridCol w:w="7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9" w:type="pct"/>
            <w:vAlign w:val="center"/>
          </w:tcPr>
          <w:p>
            <w:pPr>
              <w:contextualSpacing/>
              <w:jc w:val="center"/>
              <w:rPr>
                <w:rFonts w:ascii="Times New Roman" w:hAnsi="Times New Roman" w:eastAsia="宋体"/>
              </w:rPr>
            </w:pPr>
            <w:r>
              <w:rPr>
                <w:rFonts w:ascii="Times New Roman" w:hAnsi="Times New Roman" w:eastAsia="宋体"/>
              </w:rPr>
              <w:t>敏感程度</w:t>
            </w:r>
          </w:p>
        </w:tc>
        <w:tc>
          <w:tcPr>
            <w:tcW w:w="4311" w:type="pct"/>
            <w:vAlign w:val="center"/>
          </w:tcPr>
          <w:p>
            <w:pPr>
              <w:contextualSpacing/>
              <w:jc w:val="center"/>
              <w:rPr>
                <w:rFonts w:ascii="Times New Roman" w:hAnsi="Times New Roman" w:eastAsia="宋体"/>
              </w:rPr>
            </w:pPr>
            <w:r>
              <w:rPr>
                <w:rFonts w:ascii="Times New Roman" w:hAnsi="Times New Roman" w:eastAsia="宋体"/>
              </w:rPr>
              <w:t>判别依据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9" w:type="pct"/>
            <w:vAlign w:val="center"/>
          </w:tcPr>
          <w:p>
            <w:pPr>
              <w:contextualSpacing/>
              <w:jc w:val="center"/>
              <w:rPr>
                <w:rFonts w:ascii="Times New Roman" w:hAnsi="Times New Roman" w:eastAsia="宋体"/>
              </w:rPr>
            </w:pPr>
            <w:r>
              <w:rPr>
                <w:rFonts w:ascii="Times New Roman" w:hAnsi="Times New Roman" w:eastAsia="宋体"/>
              </w:rPr>
              <w:t>敏感</w:t>
            </w:r>
          </w:p>
        </w:tc>
        <w:tc>
          <w:tcPr>
            <w:tcW w:w="4311" w:type="pct"/>
            <w:vAlign w:val="center"/>
          </w:tcPr>
          <w:p>
            <w:pPr>
              <w:contextualSpacing/>
              <w:jc w:val="center"/>
              <w:rPr>
                <w:rFonts w:ascii="Times New Roman" w:hAnsi="Times New Roman" w:eastAsia="宋体"/>
              </w:rPr>
            </w:pPr>
            <w:r>
              <w:rPr>
                <w:rFonts w:ascii="Times New Roman" w:hAnsi="Times New Roman" w:eastAsia="宋体"/>
              </w:rPr>
              <w:t>建设项目周边存在耕地、园地、牧草地、饮用水源地或居民区、学校、医院、疗养院等土壤环境敏感目标的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9" w:type="pct"/>
            <w:vAlign w:val="center"/>
          </w:tcPr>
          <w:p>
            <w:pPr>
              <w:contextualSpacing/>
              <w:jc w:val="center"/>
              <w:rPr>
                <w:rFonts w:ascii="Times New Roman" w:hAnsi="Times New Roman" w:eastAsia="宋体"/>
              </w:rPr>
            </w:pPr>
            <w:r>
              <w:rPr>
                <w:rFonts w:ascii="Times New Roman" w:hAnsi="Times New Roman" w:eastAsia="宋体"/>
              </w:rPr>
              <w:t>较敏感</w:t>
            </w:r>
          </w:p>
        </w:tc>
        <w:tc>
          <w:tcPr>
            <w:tcW w:w="4311" w:type="pct"/>
            <w:vAlign w:val="center"/>
          </w:tcPr>
          <w:p>
            <w:pPr>
              <w:contextualSpacing/>
              <w:jc w:val="center"/>
              <w:rPr>
                <w:rFonts w:ascii="Times New Roman" w:hAnsi="Times New Roman" w:eastAsia="宋体"/>
              </w:rPr>
            </w:pPr>
            <w:r>
              <w:rPr>
                <w:rFonts w:ascii="Times New Roman" w:hAnsi="Times New Roman" w:eastAsia="宋体"/>
              </w:rPr>
              <w:t>建设项目周边存在其他土壤环境敏感目标的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9" w:type="pct"/>
            <w:vAlign w:val="center"/>
          </w:tcPr>
          <w:p>
            <w:pPr>
              <w:contextualSpacing/>
              <w:jc w:val="center"/>
              <w:rPr>
                <w:rFonts w:ascii="Times New Roman" w:hAnsi="Times New Roman" w:eastAsia="宋体"/>
              </w:rPr>
            </w:pPr>
            <w:r>
              <w:rPr>
                <w:rFonts w:ascii="Times New Roman" w:hAnsi="Times New Roman" w:eastAsia="宋体"/>
              </w:rPr>
              <w:t>不敏感</w:t>
            </w:r>
          </w:p>
        </w:tc>
        <w:tc>
          <w:tcPr>
            <w:tcW w:w="4311" w:type="pct"/>
            <w:vAlign w:val="center"/>
          </w:tcPr>
          <w:p>
            <w:pPr>
              <w:contextualSpacing/>
              <w:jc w:val="center"/>
              <w:rPr>
                <w:rFonts w:ascii="Times New Roman" w:hAnsi="Times New Roman" w:eastAsia="宋体"/>
              </w:rPr>
            </w:pPr>
            <w:r>
              <w:rPr>
                <w:rFonts w:ascii="Times New Roman" w:hAnsi="Times New Roman" w:eastAsia="宋体"/>
              </w:rPr>
              <w:t>其他情况</w:t>
            </w:r>
          </w:p>
        </w:tc>
      </w:tr>
    </w:tbl>
    <w:p>
      <w:pPr>
        <w:pStyle w:val="3"/>
        <w:ind w:firstLine="480"/>
        <w:rPr>
          <w:lang w:bidi="ar"/>
        </w:rPr>
      </w:pPr>
    </w:p>
    <w:p>
      <w:pPr>
        <w:pStyle w:val="3"/>
        <w:ind w:firstLine="480"/>
        <w:rPr>
          <w:lang w:bidi="ar"/>
        </w:rPr>
      </w:pPr>
      <w:r>
        <w:rPr>
          <w:lang w:bidi="ar"/>
        </w:rPr>
        <w:t>根据表2.6-11，项目周边</w:t>
      </w:r>
      <w:r>
        <w:rPr>
          <w:rFonts w:hint="eastAsia"/>
          <w:lang w:bidi="ar"/>
        </w:rPr>
        <w:t>5</w:t>
      </w:r>
      <w:r>
        <w:rPr>
          <w:lang w:bidi="ar"/>
        </w:rPr>
        <w:t>0m范围内有耕地，故其敏感程度为敏感。根据土壤环境影响评价项目类别、占地规模与敏感程度划分评价工作等级，本项目土壤环境评价等级为三级</w:t>
      </w:r>
      <w:r>
        <w:rPr>
          <w:rFonts w:hint="eastAsia"/>
          <w:lang w:bidi="ar"/>
        </w:rPr>
        <w:t>，</w:t>
      </w:r>
      <w:r>
        <w:rPr>
          <w:lang w:bidi="ar"/>
        </w:rPr>
        <w:t>详见表2.6-12。</w:t>
      </w:r>
    </w:p>
    <w:p>
      <w:pPr>
        <w:pStyle w:val="15"/>
      </w:pPr>
      <w:r>
        <w:t>表2.6-12   污染型评价工作等级划分表</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0"/>
        <w:gridCol w:w="809"/>
        <w:gridCol w:w="811"/>
        <w:gridCol w:w="811"/>
        <w:gridCol w:w="809"/>
        <w:gridCol w:w="811"/>
        <w:gridCol w:w="813"/>
        <w:gridCol w:w="809"/>
        <w:gridCol w:w="811"/>
        <w:gridCol w:w="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5" w:type="pct"/>
            <w:vMerge w:val="restart"/>
            <w:vAlign w:val="center"/>
          </w:tcPr>
          <w:p>
            <w:pPr>
              <w:contextualSpacing/>
              <w:jc w:val="center"/>
              <w:rPr>
                <w:rFonts w:ascii="Times New Roman" w:hAnsi="Times New Roman" w:eastAsia="宋体"/>
              </w:rPr>
            </w:pPr>
            <w:r>
              <w:rPr>
                <w:rFonts w:ascii="Times New Roman" w:hAnsi="Times New Roman" w:eastAsia="宋体"/>
              </w:rPr>
              <w:t>敏感程度</w:t>
            </w:r>
          </w:p>
          <w:p>
            <w:pPr>
              <w:contextualSpacing/>
              <w:jc w:val="center"/>
              <w:rPr>
                <w:rFonts w:ascii="Times New Roman" w:hAnsi="Times New Roman" w:eastAsia="宋体"/>
              </w:rPr>
            </w:pPr>
            <w:r>
              <w:rPr>
                <w:rFonts w:ascii="Times New Roman" w:hAnsi="Times New Roman" w:eastAsia="宋体"/>
              </w:rPr>
              <w:t>评价工作等级</w:t>
            </w:r>
          </w:p>
          <w:p>
            <w:pPr>
              <w:contextualSpacing/>
              <w:jc w:val="center"/>
              <w:rPr>
                <w:rFonts w:ascii="Times New Roman" w:hAnsi="Times New Roman" w:eastAsia="宋体"/>
              </w:rPr>
            </w:pPr>
            <w:r>
              <w:rPr>
                <w:rFonts w:ascii="Times New Roman" w:hAnsi="Times New Roman" w:eastAsia="宋体"/>
              </w:rPr>
              <w:t>占地规模</w:t>
            </w:r>
          </w:p>
        </w:tc>
        <w:tc>
          <w:tcPr>
            <w:tcW w:w="1325" w:type="pct"/>
            <w:gridSpan w:val="3"/>
            <w:vAlign w:val="center"/>
          </w:tcPr>
          <w:p>
            <w:pPr>
              <w:contextualSpacing/>
              <w:jc w:val="center"/>
              <w:rPr>
                <w:rFonts w:ascii="Times New Roman" w:hAnsi="Times New Roman" w:eastAsia="宋体"/>
              </w:rPr>
            </w:pPr>
            <w:r>
              <w:rPr>
                <w:rFonts w:hint="eastAsia" w:ascii="Times New Roman" w:hAnsi="Times New Roman" w:eastAsia="宋体"/>
              </w:rPr>
              <w:t>Ⅰ</w:t>
            </w:r>
            <w:r>
              <w:rPr>
                <w:rFonts w:ascii="Times New Roman" w:hAnsi="Times New Roman" w:eastAsia="宋体"/>
              </w:rPr>
              <w:t>类</w:t>
            </w:r>
          </w:p>
        </w:tc>
        <w:tc>
          <w:tcPr>
            <w:tcW w:w="1326" w:type="pct"/>
            <w:gridSpan w:val="3"/>
            <w:vAlign w:val="center"/>
          </w:tcPr>
          <w:p>
            <w:pPr>
              <w:contextualSpacing/>
              <w:jc w:val="center"/>
              <w:rPr>
                <w:rFonts w:ascii="Times New Roman" w:hAnsi="Times New Roman" w:eastAsia="宋体"/>
              </w:rPr>
            </w:pPr>
            <w:r>
              <w:rPr>
                <w:rFonts w:hint="eastAsia" w:ascii="Times New Roman" w:hAnsi="Times New Roman" w:eastAsia="宋体"/>
              </w:rPr>
              <w:t>Ⅱ</w:t>
            </w:r>
            <w:r>
              <w:rPr>
                <w:rFonts w:ascii="Times New Roman" w:hAnsi="Times New Roman" w:eastAsia="宋体"/>
              </w:rPr>
              <w:t>类</w:t>
            </w:r>
          </w:p>
        </w:tc>
        <w:tc>
          <w:tcPr>
            <w:tcW w:w="1324" w:type="pct"/>
            <w:gridSpan w:val="3"/>
            <w:vAlign w:val="center"/>
          </w:tcPr>
          <w:p>
            <w:pPr>
              <w:contextualSpacing/>
              <w:jc w:val="center"/>
              <w:rPr>
                <w:rFonts w:ascii="Times New Roman" w:hAnsi="Times New Roman" w:eastAsia="宋体"/>
              </w:rPr>
            </w:pPr>
            <w:r>
              <w:rPr>
                <w:rFonts w:hint="eastAsia" w:ascii="Times New Roman" w:hAnsi="Times New Roman" w:eastAsia="宋体"/>
              </w:rPr>
              <w:t>Ⅲ</w:t>
            </w:r>
            <w:r>
              <w:rPr>
                <w:rFonts w:ascii="Times New Roman" w:hAnsi="Times New Roman" w:eastAsia="宋体"/>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5" w:type="pct"/>
            <w:vMerge w:val="continue"/>
            <w:vAlign w:val="center"/>
          </w:tcPr>
          <w:p>
            <w:pPr>
              <w:contextualSpacing/>
              <w:jc w:val="center"/>
              <w:rPr>
                <w:rFonts w:ascii="Times New Roman" w:hAnsi="Times New Roman" w:eastAsia="宋体"/>
              </w:rPr>
            </w:pPr>
          </w:p>
        </w:tc>
        <w:tc>
          <w:tcPr>
            <w:tcW w:w="441" w:type="pct"/>
            <w:vAlign w:val="center"/>
          </w:tcPr>
          <w:p>
            <w:pPr>
              <w:contextualSpacing/>
              <w:jc w:val="center"/>
              <w:rPr>
                <w:rFonts w:ascii="Times New Roman" w:hAnsi="Times New Roman" w:eastAsia="宋体"/>
              </w:rPr>
            </w:pPr>
            <w:r>
              <w:rPr>
                <w:rFonts w:ascii="Times New Roman" w:hAnsi="Times New Roman" w:eastAsia="宋体"/>
              </w:rPr>
              <w:t>大</w:t>
            </w:r>
          </w:p>
        </w:tc>
        <w:tc>
          <w:tcPr>
            <w:tcW w:w="442" w:type="pct"/>
            <w:vAlign w:val="center"/>
          </w:tcPr>
          <w:p>
            <w:pPr>
              <w:contextualSpacing/>
              <w:jc w:val="center"/>
              <w:rPr>
                <w:rFonts w:ascii="Times New Roman" w:hAnsi="Times New Roman" w:eastAsia="宋体"/>
              </w:rPr>
            </w:pPr>
            <w:r>
              <w:rPr>
                <w:rFonts w:ascii="Times New Roman" w:hAnsi="Times New Roman" w:eastAsia="宋体"/>
              </w:rPr>
              <w:t>中</w:t>
            </w:r>
          </w:p>
        </w:tc>
        <w:tc>
          <w:tcPr>
            <w:tcW w:w="442" w:type="pct"/>
            <w:vAlign w:val="center"/>
          </w:tcPr>
          <w:p>
            <w:pPr>
              <w:contextualSpacing/>
              <w:jc w:val="center"/>
              <w:rPr>
                <w:rFonts w:ascii="Times New Roman" w:hAnsi="Times New Roman" w:eastAsia="宋体"/>
              </w:rPr>
            </w:pPr>
            <w:r>
              <w:rPr>
                <w:rFonts w:ascii="Times New Roman" w:hAnsi="Times New Roman" w:eastAsia="宋体"/>
              </w:rPr>
              <w:t>小</w:t>
            </w:r>
          </w:p>
        </w:tc>
        <w:tc>
          <w:tcPr>
            <w:tcW w:w="441" w:type="pct"/>
            <w:vAlign w:val="center"/>
          </w:tcPr>
          <w:p>
            <w:pPr>
              <w:contextualSpacing/>
              <w:jc w:val="center"/>
              <w:rPr>
                <w:rFonts w:ascii="Times New Roman" w:hAnsi="Times New Roman" w:eastAsia="宋体"/>
              </w:rPr>
            </w:pPr>
            <w:r>
              <w:rPr>
                <w:rFonts w:ascii="Times New Roman" w:hAnsi="Times New Roman" w:eastAsia="宋体"/>
              </w:rPr>
              <w:t>大</w:t>
            </w:r>
          </w:p>
        </w:tc>
        <w:tc>
          <w:tcPr>
            <w:tcW w:w="442" w:type="pct"/>
            <w:vAlign w:val="center"/>
          </w:tcPr>
          <w:p>
            <w:pPr>
              <w:contextualSpacing/>
              <w:jc w:val="center"/>
              <w:rPr>
                <w:rFonts w:ascii="Times New Roman" w:hAnsi="Times New Roman" w:eastAsia="宋体"/>
              </w:rPr>
            </w:pPr>
            <w:r>
              <w:rPr>
                <w:rFonts w:ascii="Times New Roman" w:hAnsi="Times New Roman" w:eastAsia="宋体"/>
              </w:rPr>
              <w:t>中</w:t>
            </w:r>
          </w:p>
        </w:tc>
        <w:tc>
          <w:tcPr>
            <w:tcW w:w="442" w:type="pct"/>
            <w:vAlign w:val="center"/>
          </w:tcPr>
          <w:p>
            <w:pPr>
              <w:contextualSpacing/>
              <w:jc w:val="center"/>
              <w:rPr>
                <w:rFonts w:ascii="Times New Roman" w:hAnsi="Times New Roman" w:eastAsia="宋体"/>
              </w:rPr>
            </w:pPr>
            <w:r>
              <w:rPr>
                <w:rFonts w:ascii="Times New Roman" w:hAnsi="Times New Roman" w:eastAsia="宋体"/>
              </w:rPr>
              <w:t>小</w:t>
            </w:r>
          </w:p>
        </w:tc>
        <w:tc>
          <w:tcPr>
            <w:tcW w:w="441" w:type="pct"/>
            <w:vAlign w:val="center"/>
          </w:tcPr>
          <w:p>
            <w:pPr>
              <w:contextualSpacing/>
              <w:jc w:val="center"/>
              <w:rPr>
                <w:rFonts w:ascii="Times New Roman" w:hAnsi="Times New Roman" w:eastAsia="宋体"/>
              </w:rPr>
            </w:pPr>
            <w:r>
              <w:rPr>
                <w:rFonts w:ascii="Times New Roman" w:hAnsi="Times New Roman" w:eastAsia="宋体"/>
              </w:rPr>
              <w:t>大</w:t>
            </w:r>
          </w:p>
        </w:tc>
        <w:tc>
          <w:tcPr>
            <w:tcW w:w="442" w:type="pct"/>
            <w:vAlign w:val="center"/>
          </w:tcPr>
          <w:p>
            <w:pPr>
              <w:contextualSpacing/>
              <w:jc w:val="center"/>
              <w:rPr>
                <w:rFonts w:ascii="Times New Roman" w:hAnsi="Times New Roman" w:eastAsia="宋体"/>
              </w:rPr>
            </w:pPr>
            <w:r>
              <w:rPr>
                <w:rFonts w:ascii="Times New Roman" w:hAnsi="Times New Roman" w:eastAsia="宋体"/>
              </w:rPr>
              <w:t>中</w:t>
            </w:r>
          </w:p>
        </w:tc>
        <w:tc>
          <w:tcPr>
            <w:tcW w:w="441" w:type="pct"/>
            <w:vAlign w:val="center"/>
          </w:tcPr>
          <w:p>
            <w:pPr>
              <w:contextualSpacing/>
              <w:jc w:val="center"/>
              <w:rPr>
                <w:rFonts w:ascii="Times New Roman" w:hAnsi="Times New Roman" w:eastAsia="宋体"/>
              </w:rPr>
            </w:pPr>
            <w:r>
              <w:rPr>
                <w:rFonts w:ascii="Times New Roman" w:hAnsi="Times New Roman" w:eastAsia="宋体"/>
              </w:rPr>
              <w:t>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5" w:type="pct"/>
            <w:vAlign w:val="center"/>
          </w:tcPr>
          <w:p>
            <w:pPr>
              <w:contextualSpacing/>
              <w:jc w:val="center"/>
              <w:rPr>
                <w:rFonts w:ascii="Times New Roman" w:hAnsi="Times New Roman" w:eastAsia="宋体"/>
              </w:rPr>
            </w:pPr>
            <w:r>
              <w:rPr>
                <w:rFonts w:ascii="Times New Roman" w:hAnsi="Times New Roman" w:eastAsia="宋体"/>
              </w:rPr>
              <w:t>敏感</w:t>
            </w:r>
          </w:p>
        </w:tc>
        <w:tc>
          <w:tcPr>
            <w:tcW w:w="441" w:type="pct"/>
            <w:vAlign w:val="center"/>
          </w:tcPr>
          <w:p>
            <w:pPr>
              <w:contextualSpacing/>
              <w:jc w:val="center"/>
              <w:rPr>
                <w:rFonts w:ascii="Times New Roman" w:hAnsi="Times New Roman" w:eastAsia="宋体"/>
              </w:rPr>
            </w:pPr>
            <w:r>
              <w:rPr>
                <w:rFonts w:ascii="Times New Roman" w:hAnsi="Times New Roman" w:eastAsia="宋体"/>
              </w:rPr>
              <w:t>一级</w:t>
            </w:r>
          </w:p>
        </w:tc>
        <w:tc>
          <w:tcPr>
            <w:tcW w:w="442" w:type="pct"/>
            <w:vAlign w:val="center"/>
          </w:tcPr>
          <w:p>
            <w:pPr>
              <w:contextualSpacing/>
              <w:jc w:val="center"/>
              <w:rPr>
                <w:rFonts w:ascii="Times New Roman" w:hAnsi="Times New Roman" w:eastAsia="宋体"/>
              </w:rPr>
            </w:pPr>
            <w:r>
              <w:rPr>
                <w:rFonts w:ascii="Times New Roman" w:hAnsi="Times New Roman" w:eastAsia="宋体"/>
              </w:rPr>
              <w:t>一级</w:t>
            </w:r>
          </w:p>
        </w:tc>
        <w:tc>
          <w:tcPr>
            <w:tcW w:w="442" w:type="pct"/>
            <w:vAlign w:val="center"/>
          </w:tcPr>
          <w:p>
            <w:pPr>
              <w:contextualSpacing/>
              <w:jc w:val="center"/>
              <w:rPr>
                <w:rFonts w:ascii="Times New Roman" w:hAnsi="Times New Roman" w:eastAsia="宋体"/>
              </w:rPr>
            </w:pPr>
            <w:r>
              <w:rPr>
                <w:rFonts w:ascii="Times New Roman" w:hAnsi="Times New Roman" w:eastAsia="宋体"/>
              </w:rPr>
              <w:t>一级</w:t>
            </w:r>
          </w:p>
        </w:tc>
        <w:tc>
          <w:tcPr>
            <w:tcW w:w="441" w:type="pct"/>
            <w:vAlign w:val="center"/>
          </w:tcPr>
          <w:p>
            <w:pPr>
              <w:contextualSpacing/>
              <w:jc w:val="center"/>
              <w:rPr>
                <w:rFonts w:ascii="Times New Roman" w:hAnsi="Times New Roman" w:eastAsia="宋体"/>
              </w:rPr>
            </w:pPr>
            <w:r>
              <w:rPr>
                <w:rFonts w:ascii="Times New Roman" w:hAnsi="Times New Roman" w:eastAsia="宋体"/>
              </w:rPr>
              <w:t>二级</w:t>
            </w:r>
          </w:p>
        </w:tc>
        <w:tc>
          <w:tcPr>
            <w:tcW w:w="442" w:type="pct"/>
            <w:vAlign w:val="center"/>
          </w:tcPr>
          <w:p>
            <w:pPr>
              <w:contextualSpacing/>
              <w:jc w:val="center"/>
              <w:rPr>
                <w:rFonts w:ascii="Times New Roman" w:hAnsi="Times New Roman" w:eastAsia="宋体"/>
              </w:rPr>
            </w:pPr>
            <w:r>
              <w:rPr>
                <w:rFonts w:ascii="Times New Roman" w:hAnsi="Times New Roman" w:eastAsia="宋体"/>
              </w:rPr>
              <w:t>二级</w:t>
            </w:r>
          </w:p>
        </w:tc>
        <w:tc>
          <w:tcPr>
            <w:tcW w:w="442" w:type="pct"/>
            <w:vAlign w:val="center"/>
          </w:tcPr>
          <w:p>
            <w:pPr>
              <w:contextualSpacing/>
              <w:jc w:val="center"/>
              <w:rPr>
                <w:rFonts w:ascii="Times New Roman" w:hAnsi="Times New Roman" w:eastAsia="宋体"/>
              </w:rPr>
            </w:pPr>
            <w:r>
              <w:rPr>
                <w:rFonts w:ascii="Times New Roman" w:hAnsi="Times New Roman" w:eastAsia="宋体"/>
              </w:rPr>
              <w:t>二级</w:t>
            </w:r>
          </w:p>
        </w:tc>
        <w:tc>
          <w:tcPr>
            <w:tcW w:w="441" w:type="pct"/>
            <w:vAlign w:val="center"/>
          </w:tcPr>
          <w:p>
            <w:pPr>
              <w:contextualSpacing/>
              <w:jc w:val="center"/>
              <w:rPr>
                <w:rFonts w:ascii="Times New Roman" w:hAnsi="Times New Roman" w:eastAsia="宋体"/>
              </w:rPr>
            </w:pPr>
            <w:r>
              <w:rPr>
                <w:rFonts w:ascii="Times New Roman" w:hAnsi="Times New Roman" w:eastAsia="宋体"/>
              </w:rPr>
              <w:t>三级</w:t>
            </w:r>
          </w:p>
        </w:tc>
        <w:tc>
          <w:tcPr>
            <w:tcW w:w="442" w:type="pct"/>
            <w:shd w:val="clear" w:color="auto" w:fill="D8D8D8" w:themeFill="background1" w:themeFillShade="D9"/>
            <w:vAlign w:val="center"/>
          </w:tcPr>
          <w:p>
            <w:pPr>
              <w:contextualSpacing/>
              <w:jc w:val="center"/>
              <w:rPr>
                <w:rFonts w:ascii="Times New Roman" w:hAnsi="Times New Roman" w:eastAsia="宋体"/>
              </w:rPr>
            </w:pPr>
            <w:r>
              <w:rPr>
                <w:rFonts w:ascii="Times New Roman" w:hAnsi="Times New Roman" w:eastAsia="宋体"/>
              </w:rPr>
              <w:t>三级</w:t>
            </w:r>
          </w:p>
        </w:tc>
        <w:tc>
          <w:tcPr>
            <w:tcW w:w="441" w:type="pct"/>
            <w:vAlign w:val="center"/>
          </w:tcPr>
          <w:p>
            <w:pPr>
              <w:contextualSpacing/>
              <w:jc w:val="center"/>
              <w:rPr>
                <w:rFonts w:ascii="Times New Roman" w:hAnsi="Times New Roman" w:eastAsia="宋体"/>
              </w:rPr>
            </w:pPr>
            <w:r>
              <w:rPr>
                <w:rFonts w:ascii="Times New Roman" w:hAnsi="Times New Roman" w:eastAsia="宋体"/>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5" w:type="pct"/>
            <w:vAlign w:val="center"/>
          </w:tcPr>
          <w:p>
            <w:pPr>
              <w:contextualSpacing/>
              <w:jc w:val="center"/>
              <w:rPr>
                <w:rFonts w:ascii="Times New Roman" w:hAnsi="Times New Roman" w:eastAsia="宋体"/>
              </w:rPr>
            </w:pPr>
            <w:r>
              <w:rPr>
                <w:rFonts w:ascii="Times New Roman" w:hAnsi="Times New Roman" w:eastAsia="宋体"/>
              </w:rPr>
              <w:t>较敏感</w:t>
            </w:r>
          </w:p>
        </w:tc>
        <w:tc>
          <w:tcPr>
            <w:tcW w:w="441" w:type="pct"/>
            <w:vAlign w:val="center"/>
          </w:tcPr>
          <w:p>
            <w:pPr>
              <w:contextualSpacing/>
              <w:jc w:val="center"/>
              <w:rPr>
                <w:rFonts w:ascii="Times New Roman" w:hAnsi="Times New Roman" w:eastAsia="宋体"/>
              </w:rPr>
            </w:pPr>
            <w:r>
              <w:rPr>
                <w:rFonts w:ascii="Times New Roman" w:hAnsi="Times New Roman" w:eastAsia="宋体"/>
              </w:rPr>
              <w:t>一级</w:t>
            </w:r>
          </w:p>
        </w:tc>
        <w:tc>
          <w:tcPr>
            <w:tcW w:w="442" w:type="pct"/>
            <w:vAlign w:val="center"/>
          </w:tcPr>
          <w:p>
            <w:pPr>
              <w:contextualSpacing/>
              <w:jc w:val="center"/>
              <w:rPr>
                <w:rFonts w:ascii="Times New Roman" w:hAnsi="Times New Roman" w:eastAsia="宋体"/>
              </w:rPr>
            </w:pPr>
            <w:r>
              <w:rPr>
                <w:rFonts w:ascii="Times New Roman" w:hAnsi="Times New Roman" w:eastAsia="宋体"/>
              </w:rPr>
              <w:t>一级</w:t>
            </w:r>
          </w:p>
        </w:tc>
        <w:tc>
          <w:tcPr>
            <w:tcW w:w="442" w:type="pct"/>
            <w:vAlign w:val="center"/>
          </w:tcPr>
          <w:p>
            <w:pPr>
              <w:contextualSpacing/>
              <w:jc w:val="center"/>
              <w:rPr>
                <w:rFonts w:ascii="Times New Roman" w:hAnsi="Times New Roman" w:eastAsia="宋体"/>
              </w:rPr>
            </w:pPr>
            <w:r>
              <w:rPr>
                <w:rFonts w:ascii="Times New Roman" w:hAnsi="Times New Roman" w:eastAsia="宋体"/>
              </w:rPr>
              <w:t>二级</w:t>
            </w:r>
          </w:p>
        </w:tc>
        <w:tc>
          <w:tcPr>
            <w:tcW w:w="441" w:type="pct"/>
            <w:vAlign w:val="center"/>
          </w:tcPr>
          <w:p>
            <w:pPr>
              <w:contextualSpacing/>
              <w:jc w:val="center"/>
              <w:rPr>
                <w:rFonts w:ascii="Times New Roman" w:hAnsi="Times New Roman" w:eastAsia="宋体"/>
              </w:rPr>
            </w:pPr>
            <w:r>
              <w:rPr>
                <w:rFonts w:ascii="Times New Roman" w:hAnsi="Times New Roman" w:eastAsia="宋体"/>
              </w:rPr>
              <w:t>二级</w:t>
            </w:r>
          </w:p>
        </w:tc>
        <w:tc>
          <w:tcPr>
            <w:tcW w:w="442" w:type="pct"/>
            <w:vAlign w:val="center"/>
          </w:tcPr>
          <w:p>
            <w:pPr>
              <w:contextualSpacing/>
              <w:jc w:val="center"/>
              <w:rPr>
                <w:rFonts w:ascii="Times New Roman" w:hAnsi="Times New Roman" w:eastAsia="宋体"/>
              </w:rPr>
            </w:pPr>
            <w:r>
              <w:rPr>
                <w:rFonts w:ascii="Times New Roman" w:hAnsi="Times New Roman" w:eastAsia="宋体"/>
              </w:rPr>
              <w:t>二级</w:t>
            </w:r>
          </w:p>
        </w:tc>
        <w:tc>
          <w:tcPr>
            <w:tcW w:w="442" w:type="pct"/>
            <w:vAlign w:val="center"/>
          </w:tcPr>
          <w:p>
            <w:pPr>
              <w:contextualSpacing/>
              <w:jc w:val="center"/>
              <w:rPr>
                <w:rFonts w:ascii="Times New Roman" w:hAnsi="Times New Roman" w:eastAsia="宋体"/>
              </w:rPr>
            </w:pPr>
            <w:r>
              <w:rPr>
                <w:rFonts w:ascii="Times New Roman" w:hAnsi="Times New Roman" w:eastAsia="宋体"/>
              </w:rPr>
              <w:t>三级</w:t>
            </w:r>
          </w:p>
        </w:tc>
        <w:tc>
          <w:tcPr>
            <w:tcW w:w="441" w:type="pct"/>
            <w:vAlign w:val="center"/>
          </w:tcPr>
          <w:p>
            <w:pPr>
              <w:contextualSpacing/>
              <w:jc w:val="center"/>
              <w:rPr>
                <w:rFonts w:ascii="Times New Roman" w:hAnsi="Times New Roman" w:eastAsia="宋体"/>
              </w:rPr>
            </w:pPr>
            <w:r>
              <w:rPr>
                <w:rFonts w:ascii="Times New Roman" w:hAnsi="Times New Roman" w:eastAsia="宋体"/>
              </w:rPr>
              <w:t>三级</w:t>
            </w:r>
          </w:p>
        </w:tc>
        <w:tc>
          <w:tcPr>
            <w:tcW w:w="442" w:type="pct"/>
            <w:vAlign w:val="center"/>
          </w:tcPr>
          <w:p>
            <w:pPr>
              <w:contextualSpacing/>
              <w:jc w:val="center"/>
              <w:rPr>
                <w:rFonts w:ascii="Times New Roman" w:hAnsi="Times New Roman" w:eastAsia="宋体"/>
              </w:rPr>
            </w:pPr>
            <w:r>
              <w:rPr>
                <w:rFonts w:ascii="Times New Roman" w:hAnsi="Times New Roman" w:eastAsia="宋体"/>
              </w:rPr>
              <w:t>三级</w:t>
            </w:r>
          </w:p>
        </w:tc>
        <w:tc>
          <w:tcPr>
            <w:tcW w:w="441" w:type="pct"/>
            <w:vAlign w:val="center"/>
          </w:tcPr>
          <w:p>
            <w:pPr>
              <w:contextualSpacing/>
              <w:jc w:val="center"/>
              <w:rPr>
                <w:rFonts w:ascii="Times New Roman" w:hAnsi="Times New Roman" w:eastAsia="宋体"/>
              </w:rPr>
            </w:pPr>
            <w:r>
              <w:rPr>
                <w:rFonts w:ascii="Times New Roman" w:hAnsi="Times New Roman"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5" w:type="pct"/>
            <w:vAlign w:val="center"/>
          </w:tcPr>
          <w:p>
            <w:pPr>
              <w:contextualSpacing/>
              <w:jc w:val="center"/>
              <w:rPr>
                <w:rFonts w:ascii="Times New Roman" w:hAnsi="Times New Roman" w:eastAsia="宋体"/>
              </w:rPr>
            </w:pPr>
            <w:r>
              <w:rPr>
                <w:rFonts w:ascii="Times New Roman" w:hAnsi="Times New Roman" w:eastAsia="宋体"/>
              </w:rPr>
              <w:t>不敏感</w:t>
            </w:r>
          </w:p>
        </w:tc>
        <w:tc>
          <w:tcPr>
            <w:tcW w:w="441" w:type="pct"/>
            <w:vAlign w:val="center"/>
          </w:tcPr>
          <w:p>
            <w:pPr>
              <w:contextualSpacing/>
              <w:jc w:val="center"/>
              <w:rPr>
                <w:rFonts w:ascii="Times New Roman" w:hAnsi="Times New Roman" w:eastAsia="宋体"/>
              </w:rPr>
            </w:pPr>
            <w:r>
              <w:rPr>
                <w:rFonts w:ascii="Times New Roman" w:hAnsi="Times New Roman" w:eastAsia="宋体"/>
              </w:rPr>
              <w:t>一级</w:t>
            </w:r>
          </w:p>
        </w:tc>
        <w:tc>
          <w:tcPr>
            <w:tcW w:w="442" w:type="pct"/>
            <w:vAlign w:val="center"/>
          </w:tcPr>
          <w:p>
            <w:pPr>
              <w:contextualSpacing/>
              <w:jc w:val="center"/>
              <w:rPr>
                <w:rFonts w:ascii="Times New Roman" w:hAnsi="Times New Roman" w:eastAsia="宋体"/>
              </w:rPr>
            </w:pPr>
            <w:r>
              <w:rPr>
                <w:rFonts w:ascii="Times New Roman" w:hAnsi="Times New Roman" w:eastAsia="宋体"/>
              </w:rPr>
              <w:t>二级</w:t>
            </w:r>
          </w:p>
        </w:tc>
        <w:tc>
          <w:tcPr>
            <w:tcW w:w="442" w:type="pct"/>
            <w:vAlign w:val="center"/>
          </w:tcPr>
          <w:p>
            <w:pPr>
              <w:contextualSpacing/>
              <w:jc w:val="center"/>
              <w:rPr>
                <w:rFonts w:ascii="Times New Roman" w:hAnsi="Times New Roman" w:eastAsia="宋体"/>
              </w:rPr>
            </w:pPr>
            <w:r>
              <w:rPr>
                <w:rFonts w:ascii="Times New Roman" w:hAnsi="Times New Roman" w:eastAsia="宋体"/>
              </w:rPr>
              <w:t>二级</w:t>
            </w:r>
          </w:p>
        </w:tc>
        <w:tc>
          <w:tcPr>
            <w:tcW w:w="441" w:type="pct"/>
            <w:vAlign w:val="center"/>
          </w:tcPr>
          <w:p>
            <w:pPr>
              <w:contextualSpacing/>
              <w:jc w:val="center"/>
              <w:rPr>
                <w:rFonts w:ascii="Times New Roman" w:hAnsi="Times New Roman" w:eastAsia="宋体"/>
              </w:rPr>
            </w:pPr>
            <w:r>
              <w:rPr>
                <w:rFonts w:ascii="Times New Roman" w:hAnsi="Times New Roman" w:eastAsia="宋体"/>
              </w:rPr>
              <w:t>二级</w:t>
            </w:r>
          </w:p>
        </w:tc>
        <w:tc>
          <w:tcPr>
            <w:tcW w:w="442" w:type="pct"/>
            <w:vAlign w:val="center"/>
          </w:tcPr>
          <w:p>
            <w:pPr>
              <w:contextualSpacing/>
              <w:jc w:val="center"/>
              <w:rPr>
                <w:rFonts w:ascii="Times New Roman" w:hAnsi="Times New Roman" w:eastAsia="宋体"/>
              </w:rPr>
            </w:pPr>
            <w:r>
              <w:rPr>
                <w:rFonts w:ascii="Times New Roman" w:hAnsi="Times New Roman" w:eastAsia="宋体"/>
              </w:rPr>
              <w:t>三级</w:t>
            </w:r>
          </w:p>
        </w:tc>
        <w:tc>
          <w:tcPr>
            <w:tcW w:w="442" w:type="pct"/>
            <w:vAlign w:val="center"/>
          </w:tcPr>
          <w:p>
            <w:pPr>
              <w:contextualSpacing/>
              <w:jc w:val="center"/>
              <w:rPr>
                <w:rFonts w:ascii="Times New Roman" w:hAnsi="Times New Roman" w:eastAsia="宋体"/>
              </w:rPr>
            </w:pPr>
            <w:r>
              <w:rPr>
                <w:rFonts w:ascii="Times New Roman" w:hAnsi="Times New Roman" w:eastAsia="宋体"/>
              </w:rPr>
              <w:t>三级</w:t>
            </w:r>
          </w:p>
        </w:tc>
        <w:tc>
          <w:tcPr>
            <w:tcW w:w="441" w:type="pct"/>
            <w:vAlign w:val="center"/>
          </w:tcPr>
          <w:p>
            <w:pPr>
              <w:contextualSpacing/>
              <w:jc w:val="center"/>
              <w:rPr>
                <w:rFonts w:ascii="Times New Roman" w:hAnsi="Times New Roman" w:eastAsia="宋体"/>
              </w:rPr>
            </w:pPr>
            <w:r>
              <w:rPr>
                <w:rFonts w:ascii="Times New Roman" w:hAnsi="Times New Roman" w:eastAsia="宋体"/>
              </w:rPr>
              <w:t>三级</w:t>
            </w:r>
          </w:p>
        </w:tc>
        <w:tc>
          <w:tcPr>
            <w:tcW w:w="442" w:type="pct"/>
            <w:vAlign w:val="center"/>
          </w:tcPr>
          <w:p>
            <w:pPr>
              <w:contextualSpacing/>
              <w:jc w:val="center"/>
              <w:rPr>
                <w:rFonts w:ascii="Times New Roman" w:hAnsi="Times New Roman" w:eastAsia="宋体"/>
              </w:rPr>
            </w:pPr>
            <w:r>
              <w:rPr>
                <w:rFonts w:ascii="Times New Roman" w:hAnsi="Times New Roman" w:eastAsia="宋体"/>
              </w:rPr>
              <w:t>-</w:t>
            </w:r>
          </w:p>
        </w:tc>
        <w:tc>
          <w:tcPr>
            <w:tcW w:w="441" w:type="pct"/>
            <w:vAlign w:val="center"/>
          </w:tcPr>
          <w:p>
            <w:pPr>
              <w:contextualSpacing/>
              <w:jc w:val="center"/>
              <w:rPr>
                <w:rFonts w:ascii="Times New Roman" w:hAnsi="Times New Roman" w:eastAsia="宋体"/>
              </w:rPr>
            </w:pPr>
            <w:r>
              <w:rPr>
                <w:rFonts w:ascii="Times New Roman" w:hAnsi="Times New Roman"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00" w:type="pct"/>
            <w:gridSpan w:val="10"/>
            <w:vAlign w:val="center"/>
          </w:tcPr>
          <w:p>
            <w:pPr>
              <w:contextualSpacing/>
              <w:rPr>
                <w:rFonts w:ascii="Times New Roman" w:hAnsi="Times New Roman" w:eastAsia="宋体"/>
              </w:rPr>
            </w:pPr>
            <w:r>
              <w:rPr>
                <w:rFonts w:ascii="Times New Roman" w:hAnsi="Times New Roman" w:eastAsia="宋体"/>
              </w:rPr>
              <w:t>注“-”表示可不开展土壤环境影响评价工作</w:t>
            </w:r>
          </w:p>
        </w:tc>
      </w:tr>
    </w:tbl>
    <w:p>
      <w:pPr>
        <w:pStyle w:val="3"/>
        <w:ind w:firstLine="480"/>
      </w:pPr>
    </w:p>
    <w:p>
      <w:pPr>
        <w:pStyle w:val="7"/>
        <w:ind w:left="864"/>
      </w:pPr>
      <w:r>
        <w:t>评价范围</w:t>
      </w:r>
    </w:p>
    <w:p>
      <w:pPr>
        <w:pStyle w:val="3"/>
        <w:ind w:firstLine="480"/>
        <w:rPr>
          <w:lang w:val="zh-CN"/>
        </w:rPr>
      </w:pPr>
      <w:r>
        <w:rPr>
          <w:lang w:bidi="ar"/>
        </w:rPr>
        <w:t>根据《环境影响评价技术导则 土壤环境》（HJ964-2018），本项目土壤环评影响评价等级为三级，其现状调查范围为0.05km范围内，评价范围一般与现状调查范围一致，故本项目土壤环境评价范围为0.05km范围内</w:t>
      </w:r>
      <w:r>
        <w:rPr>
          <w:lang w:val="zh-CN"/>
        </w:rPr>
        <w:t>。</w:t>
      </w:r>
    </w:p>
    <w:p>
      <w:pPr>
        <w:pStyle w:val="6"/>
        <w:rPr>
          <w:rFonts w:cs="Times New Roman"/>
        </w:rPr>
      </w:pPr>
      <w:r>
        <w:rPr>
          <w:rFonts w:cs="Times New Roman"/>
        </w:rPr>
        <w:t>环境风险评价工作等级及评价范围</w:t>
      </w:r>
    </w:p>
    <w:p>
      <w:pPr>
        <w:pStyle w:val="7"/>
        <w:rPr>
          <w:rFonts w:cs="Times New Roman"/>
        </w:rPr>
      </w:pPr>
      <w:r>
        <w:rPr>
          <w:rFonts w:cs="Times New Roman"/>
        </w:rPr>
        <w:t>环境风险评价工作等级</w:t>
      </w:r>
    </w:p>
    <w:p>
      <w:pPr>
        <w:pStyle w:val="3"/>
        <w:ind w:firstLine="480"/>
        <w:rPr>
          <w:rFonts w:cs="Times New Roman"/>
        </w:rPr>
      </w:pPr>
      <w:r>
        <w:rPr>
          <w:rFonts w:cs="Times New Roman"/>
        </w:rPr>
        <w:t>项目</w:t>
      </w:r>
      <w:r>
        <w:rPr>
          <w:rFonts w:hint="eastAsia" w:cs="Times New Roman"/>
        </w:rPr>
        <w:t>为蛋鸡养殖</w:t>
      </w:r>
      <w:r>
        <w:rPr>
          <w:rFonts w:cs="Times New Roman"/>
        </w:rPr>
        <w:t>，根据建设单位提供资料，项目所有的原辅材料包括饲料、消毒液、疫苗、兽药、</w:t>
      </w:r>
      <w:r>
        <w:rPr>
          <w:rFonts w:hint="eastAsia" w:cs="Times New Roman"/>
        </w:rPr>
        <w:t>柴油</w:t>
      </w:r>
      <w:r>
        <w:rPr>
          <w:rFonts w:cs="Times New Roman"/>
        </w:rPr>
        <w:t>等，根据《建设项目环境风险评价技术导则》（HJ169-2018）可知，环境风险评价等级根据风险潜势大小分成三级，即一级、二级、三级。</w:t>
      </w:r>
    </w:p>
    <w:p>
      <w:pPr>
        <w:pStyle w:val="3"/>
        <w:ind w:firstLine="480"/>
        <w:rPr>
          <w:rFonts w:cs="Times New Roman"/>
        </w:rPr>
      </w:pPr>
      <w:r>
        <w:rPr>
          <w:rFonts w:cs="Times New Roman"/>
        </w:rPr>
        <w:t>根据《建设项目环境风险评价技术导则》（HJ169-2018）中有关规定，柴油属于油类物质，临界量为2500t；消毒液过氧乙酸临界量为5t，疫苗临界量为50t。本项目柴油最大储存量为</w:t>
      </w:r>
      <w:r>
        <w:rPr>
          <w:rFonts w:hint="eastAsia" w:cs="Times New Roman"/>
        </w:rPr>
        <w:t>1</w:t>
      </w:r>
      <w:r>
        <w:rPr>
          <w:rFonts w:cs="Times New Roman"/>
        </w:rPr>
        <w:t>t，消毒液中过氧乙酸含量约15%，消毒液中过氧乙酸最大含量约为0.045t/a，疫苗按最大存储的瓶数200瓶计算，最大储存量为0.05t。</w:t>
      </w:r>
    </w:p>
    <w:p>
      <w:pPr>
        <w:pStyle w:val="3"/>
        <w:ind w:firstLine="480"/>
        <w:rPr>
          <w:rFonts w:cs="Times New Roman"/>
        </w:rPr>
      </w:pPr>
      <w:r>
        <w:rPr>
          <w:rFonts w:cs="Times New Roman"/>
        </w:rPr>
        <w:t>Q值的确定：单元内存在的危险物质为多品种时，则按下式计算。</w:t>
      </w:r>
    </w:p>
    <w:p>
      <w:pPr>
        <w:pStyle w:val="3"/>
        <w:ind w:firstLine="480"/>
        <w:jc w:val="center"/>
        <w:rPr>
          <w:rFonts w:cs="Times New Roman"/>
        </w:rPr>
      </w:pPr>
      <w:r>
        <w:rPr>
          <w:rFonts w:cs="Times New Roman"/>
        </w:rPr>
        <w:drawing>
          <wp:inline distT="0" distB="0" distL="0" distR="0">
            <wp:extent cx="1696085" cy="467995"/>
            <wp:effectExtent l="0" t="0" r="0" b="825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12"/>
                    <a:stretch>
                      <a:fillRect/>
                    </a:stretch>
                  </pic:blipFill>
                  <pic:spPr>
                    <a:xfrm>
                      <a:off x="0" y="0"/>
                      <a:ext cx="1696500" cy="468000"/>
                    </a:xfrm>
                    <a:prstGeom prst="rect">
                      <a:avLst/>
                    </a:prstGeom>
                  </pic:spPr>
                </pic:pic>
              </a:graphicData>
            </a:graphic>
          </wp:inline>
        </w:drawing>
      </w:r>
    </w:p>
    <w:p>
      <w:pPr>
        <w:pStyle w:val="3"/>
        <w:ind w:firstLine="480"/>
        <w:rPr>
          <w:rFonts w:cs="Times New Roman"/>
        </w:rPr>
      </w:pPr>
      <w:r>
        <w:rPr>
          <w:rFonts w:cs="Times New Roman"/>
        </w:rPr>
        <w:t>式中：</w:t>
      </w:r>
      <w:r>
        <w:rPr>
          <w:rFonts w:cs="Times New Roman"/>
          <w:i/>
        </w:rPr>
        <w:t>q</w:t>
      </w:r>
      <w:r>
        <w:rPr>
          <w:rFonts w:cs="Times New Roman"/>
          <w:vertAlign w:val="subscript"/>
        </w:rPr>
        <w:t>1</w:t>
      </w:r>
      <w:r>
        <w:rPr>
          <w:rFonts w:cs="Times New Roman"/>
        </w:rPr>
        <w:t>，</w:t>
      </w:r>
      <w:r>
        <w:rPr>
          <w:rFonts w:cs="Times New Roman"/>
          <w:i/>
        </w:rPr>
        <w:t>q</w:t>
      </w:r>
      <w:r>
        <w:rPr>
          <w:rFonts w:cs="Times New Roman"/>
          <w:vertAlign w:val="subscript"/>
        </w:rPr>
        <w:t>2</w:t>
      </w:r>
      <w:r>
        <w:rPr>
          <w:rFonts w:cs="Times New Roman"/>
        </w:rPr>
        <w:t>，……，</w:t>
      </w:r>
      <w:r>
        <w:rPr>
          <w:rFonts w:cs="Times New Roman"/>
          <w:i/>
        </w:rPr>
        <w:t>q</w:t>
      </w:r>
      <w:r>
        <w:rPr>
          <w:rFonts w:cs="Times New Roman"/>
          <w:vertAlign w:val="subscript"/>
        </w:rPr>
        <w:t>n</w:t>
      </w:r>
      <w:r>
        <w:rPr>
          <w:rFonts w:cs="Times New Roman"/>
        </w:rPr>
        <w:t>为每种危险物质实际存在量，t；</w:t>
      </w:r>
    </w:p>
    <w:p>
      <w:pPr>
        <w:pStyle w:val="3"/>
        <w:ind w:firstLine="1200" w:firstLineChars="500"/>
        <w:rPr>
          <w:rFonts w:cs="Times New Roman"/>
        </w:rPr>
      </w:pPr>
      <w:r>
        <w:rPr>
          <w:rFonts w:cs="Times New Roman"/>
          <w:i/>
        </w:rPr>
        <w:t>Q</w:t>
      </w:r>
      <w:r>
        <w:rPr>
          <w:rFonts w:cs="Times New Roman"/>
          <w:vertAlign w:val="subscript"/>
        </w:rPr>
        <w:t>1</w:t>
      </w:r>
      <w:r>
        <w:rPr>
          <w:rFonts w:cs="Times New Roman"/>
        </w:rPr>
        <w:t>，</w:t>
      </w:r>
      <w:r>
        <w:rPr>
          <w:rFonts w:cs="Times New Roman"/>
          <w:i/>
        </w:rPr>
        <w:t>Q</w:t>
      </w:r>
      <w:r>
        <w:rPr>
          <w:rFonts w:cs="Times New Roman"/>
          <w:vertAlign w:val="subscript"/>
        </w:rPr>
        <w:t>2</w:t>
      </w:r>
      <w:r>
        <w:rPr>
          <w:rFonts w:cs="Times New Roman"/>
        </w:rPr>
        <w:t>，……，</w:t>
      </w:r>
      <w:r>
        <w:rPr>
          <w:rFonts w:cs="Times New Roman"/>
          <w:i/>
        </w:rPr>
        <w:t>Q</w:t>
      </w:r>
      <w:r>
        <w:rPr>
          <w:rFonts w:cs="Times New Roman"/>
          <w:vertAlign w:val="subscript"/>
        </w:rPr>
        <w:t>n</w:t>
      </w:r>
      <w:r>
        <w:rPr>
          <w:rFonts w:cs="Times New Roman"/>
        </w:rPr>
        <w:t>为与各危险物质相对应的临界量，t。</w:t>
      </w:r>
    </w:p>
    <w:p>
      <w:pPr>
        <w:pStyle w:val="3"/>
        <w:ind w:firstLine="1200" w:firstLineChars="500"/>
        <w:rPr>
          <w:rFonts w:cs="Times New Roman"/>
        </w:rPr>
      </w:pPr>
      <w:r>
        <w:rPr>
          <w:rFonts w:cs="Times New Roman"/>
        </w:rPr>
        <w:t>当</w:t>
      </w:r>
      <w:r>
        <w:rPr>
          <w:rFonts w:cs="Times New Roman"/>
          <w:i/>
        </w:rPr>
        <w:t>Q</w:t>
      </w:r>
      <w:r>
        <w:rPr>
          <w:rFonts w:cs="Times New Roman"/>
        </w:rPr>
        <w:t>＜1时，该项目环境风险潜势为I；</w:t>
      </w:r>
    </w:p>
    <w:p>
      <w:pPr>
        <w:pStyle w:val="3"/>
        <w:ind w:firstLine="480"/>
        <w:rPr>
          <w:rFonts w:cs="Times New Roman"/>
        </w:rPr>
      </w:pPr>
      <w:r>
        <w:rPr>
          <w:rFonts w:cs="Times New Roman"/>
        </w:rPr>
        <w:t>当</w:t>
      </w:r>
      <w:r>
        <w:rPr>
          <w:rFonts w:cs="Times New Roman"/>
          <w:i/>
        </w:rPr>
        <w:t>Q</w:t>
      </w:r>
      <w:r>
        <w:rPr>
          <w:rFonts w:cs="Times New Roman"/>
        </w:rPr>
        <w:t>≥1时，将</w:t>
      </w:r>
      <w:r>
        <w:rPr>
          <w:rFonts w:cs="Times New Roman"/>
          <w:i/>
        </w:rPr>
        <w:t>Q</w:t>
      </w:r>
      <w:r>
        <w:rPr>
          <w:rFonts w:cs="Times New Roman"/>
        </w:rPr>
        <w:t>值分为：（1）1≤</w:t>
      </w:r>
      <w:r>
        <w:rPr>
          <w:rFonts w:cs="Times New Roman"/>
          <w:i/>
        </w:rPr>
        <w:t>Q</w:t>
      </w:r>
      <w:r>
        <w:rPr>
          <w:rFonts w:cs="Times New Roman"/>
        </w:rPr>
        <w:t>＜10；（2）10≤</w:t>
      </w:r>
      <w:r>
        <w:rPr>
          <w:rFonts w:cs="Times New Roman"/>
          <w:i/>
        </w:rPr>
        <w:t>Q</w:t>
      </w:r>
      <w:r>
        <w:rPr>
          <w:rFonts w:cs="Times New Roman"/>
        </w:rPr>
        <w:t>＜100；（3）</w:t>
      </w:r>
      <w:r>
        <w:rPr>
          <w:rFonts w:cs="Times New Roman"/>
          <w:i/>
        </w:rPr>
        <w:t>Q</w:t>
      </w:r>
      <w:r>
        <w:rPr>
          <w:rFonts w:cs="Times New Roman"/>
        </w:rPr>
        <w:t>≥100。</w:t>
      </w:r>
    </w:p>
    <w:p>
      <w:pPr>
        <w:pStyle w:val="15"/>
        <w:rPr>
          <w:rFonts w:cs="Times New Roman"/>
        </w:rPr>
      </w:pPr>
      <w:r>
        <w:rPr>
          <w:rFonts w:cs="Times New Roman"/>
        </w:rPr>
        <w:t>表2.6-13   项目主要风险物质及其临界量</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5"/>
        <w:gridCol w:w="1194"/>
        <w:gridCol w:w="1274"/>
        <w:gridCol w:w="1194"/>
        <w:gridCol w:w="1312"/>
        <w:gridCol w:w="3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64" w:type="dxa"/>
            <w:shd w:val="clear" w:color="auto" w:fill="auto"/>
            <w:vAlign w:val="center"/>
          </w:tcPr>
          <w:p>
            <w:pPr>
              <w:pStyle w:val="39"/>
              <w:rPr>
                <w:rFonts w:cs="Times New Roman"/>
              </w:rPr>
            </w:pPr>
            <w:r>
              <w:rPr>
                <w:rFonts w:cs="Times New Roman"/>
              </w:rPr>
              <w:t>名称</w:t>
            </w:r>
          </w:p>
        </w:tc>
        <w:tc>
          <w:tcPr>
            <w:tcW w:w="1263" w:type="dxa"/>
            <w:shd w:val="clear" w:color="auto" w:fill="auto"/>
            <w:vAlign w:val="center"/>
          </w:tcPr>
          <w:p>
            <w:pPr>
              <w:pStyle w:val="39"/>
              <w:rPr>
                <w:rFonts w:cs="Times New Roman"/>
              </w:rPr>
            </w:pPr>
            <w:r>
              <w:rPr>
                <w:rFonts w:cs="Times New Roman"/>
              </w:rPr>
              <w:t>类别</w:t>
            </w:r>
          </w:p>
        </w:tc>
        <w:tc>
          <w:tcPr>
            <w:tcW w:w="1321" w:type="dxa"/>
            <w:shd w:val="clear" w:color="auto" w:fill="auto"/>
            <w:vAlign w:val="center"/>
          </w:tcPr>
          <w:p>
            <w:pPr>
              <w:pStyle w:val="39"/>
              <w:rPr>
                <w:rFonts w:cs="Times New Roman"/>
              </w:rPr>
            </w:pPr>
            <w:r>
              <w:rPr>
                <w:rFonts w:cs="Times New Roman"/>
              </w:rPr>
              <w:t>最大存放量</w:t>
            </w:r>
          </w:p>
        </w:tc>
        <w:tc>
          <w:tcPr>
            <w:tcW w:w="1263" w:type="dxa"/>
            <w:shd w:val="clear" w:color="auto" w:fill="auto"/>
            <w:vAlign w:val="center"/>
          </w:tcPr>
          <w:p>
            <w:pPr>
              <w:pStyle w:val="39"/>
              <w:rPr>
                <w:rFonts w:cs="Times New Roman"/>
              </w:rPr>
            </w:pPr>
            <w:r>
              <w:rPr>
                <w:rFonts w:cs="Times New Roman"/>
              </w:rPr>
              <w:t>存放方式</w:t>
            </w:r>
          </w:p>
        </w:tc>
        <w:tc>
          <w:tcPr>
            <w:tcW w:w="1367" w:type="dxa"/>
            <w:shd w:val="clear" w:color="auto" w:fill="auto"/>
            <w:vAlign w:val="center"/>
          </w:tcPr>
          <w:p>
            <w:pPr>
              <w:pStyle w:val="39"/>
              <w:rPr>
                <w:rFonts w:cs="Times New Roman"/>
              </w:rPr>
            </w:pPr>
            <w:r>
              <w:rPr>
                <w:rFonts w:cs="Times New Roman"/>
              </w:rPr>
              <w:t>附录中临界量（t）</w:t>
            </w:r>
          </w:p>
        </w:tc>
        <w:tc>
          <w:tcPr>
            <w:tcW w:w="2695" w:type="dxa"/>
            <w:vAlign w:val="center"/>
          </w:tcPr>
          <w:p>
            <w:pPr>
              <w:pStyle w:val="39"/>
              <w:rPr>
                <w:rFonts w:cs="Times New Roman"/>
              </w:rPr>
            </w:pPr>
            <w:r>
              <w:rPr>
                <w:rFonts w:cs="Times New Roman"/>
              </w:rPr>
              <w:t>是否构成重大危险源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64" w:type="dxa"/>
            <w:shd w:val="clear" w:color="auto" w:fill="auto"/>
            <w:vAlign w:val="center"/>
          </w:tcPr>
          <w:p>
            <w:pPr>
              <w:pStyle w:val="39"/>
              <w:rPr>
                <w:rFonts w:cs="Times New Roman"/>
              </w:rPr>
            </w:pPr>
            <w:r>
              <w:rPr>
                <w:rFonts w:cs="Times New Roman"/>
              </w:rPr>
              <w:t>柴油</w:t>
            </w:r>
          </w:p>
        </w:tc>
        <w:tc>
          <w:tcPr>
            <w:tcW w:w="1263" w:type="dxa"/>
            <w:shd w:val="clear" w:color="auto" w:fill="auto"/>
            <w:vAlign w:val="center"/>
          </w:tcPr>
          <w:p>
            <w:pPr>
              <w:pStyle w:val="39"/>
              <w:rPr>
                <w:rFonts w:cs="Times New Roman"/>
              </w:rPr>
            </w:pPr>
            <w:r>
              <w:rPr>
                <w:rFonts w:cs="Times New Roman"/>
              </w:rPr>
              <w:t>易燃易爆</w:t>
            </w:r>
          </w:p>
        </w:tc>
        <w:tc>
          <w:tcPr>
            <w:tcW w:w="1321" w:type="dxa"/>
            <w:shd w:val="clear" w:color="auto" w:fill="auto"/>
            <w:vAlign w:val="center"/>
          </w:tcPr>
          <w:p>
            <w:pPr>
              <w:pStyle w:val="39"/>
              <w:rPr>
                <w:rFonts w:cs="Times New Roman"/>
              </w:rPr>
            </w:pPr>
            <w:r>
              <w:rPr>
                <w:rFonts w:hint="eastAsia" w:cs="Times New Roman"/>
              </w:rPr>
              <w:t>1</w:t>
            </w:r>
            <w:r>
              <w:rPr>
                <w:rFonts w:cs="Times New Roman"/>
              </w:rPr>
              <w:t>t</w:t>
            </w:r>
          </w:p>
        </w:tc>
        <w:tc>
          <w:tcPr>
            <w:tcW w:w="1263" w:type="dxa"/>
            <w:shd w:val="clear" w:color="auto" w:fill="auto"/>
            <w:vAlign w:val="center"/>
          </w:tcPr>
          <w:p>
            <w:pPr>
              <w:pStyle w:val="39"/>
              <w:rPr>
                <w:rFonts w:cs="Times New Roman"/>
              </w:rPr>
            </w:pPr>
            <w:r>
              <w:rPr>
                <w:rFonts w:cs="Times New Roman"/>
              </w:rPr>
              <w:t>罐装</w:t>
            </w:r>
          </w:p>
        </w:tc>
        <w:tc>
          <w:tcPr>
            <w:tcW w:w="1367" w:type="dxa"/>
            <w:shd w:val="clear" w:color="auto" w:fill="auto"/>
            <w:vAlign w:val="center"/>
          </w:tcPr>
          <w:p>
            <w:pPr>
              <w:pStyle w:val="39"/>
              <w:rPr>
                <w:rFonts w:cs="Times New Roman"/>
              </w:rPr>
            </w:pPr>
            <w:r>
              <w:rPr>
                <w:rFonts w:cs="Times New Roman"/>
              </w:rPr>
              <w:t>2500</w:t>
            </w:r>
          </w:p>
        </w:tc>
        <w:tc>
          <w:tcPr>
            <w:tcW w:w="2695" w:type="dxa"/>
            <w:vMerge w:val="restart"/>
            <w:vAlign w:val="center"/>
          </w:tcPr>
          <w:p>
            <w:pPr>
              <w:pStyle w:val="39"/>
              <w:rPr>
                <w:rFonts w:cs="Times New Roman"/>
              </w:rPr>
            </w:pPr>
            <w:r>
              <w:rPr>
                <w:rFonts w:hint="eastAsia" w:cs="Times New Roman"/>
              </w:rPr>
              <w:t>1</w:t>
            </w:r>
            <w:r>
              <w:rPr>
                <w:rFonts w:cs="Times New Roman"/>
              </w:rPr>
              <w:t>/2500+0.05/50+0.045/5=0.010</w:t>
            </w:r>
            <w:r>
              <w:rPr>
                <w:rFonts w:hint="eastAsia" w:cs="Times New Roman"/>
              </w:rPr>
              <w:t>4</w:t>
            </w:r>
            <w:r>
              <w:rPr>
                <w:rFonts w:cs="Times New Roma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64" w:type="dxa"/>
            <w:shd w:val="clear" w:color="auto" w:fill="auto"/>
            <w:vAlign w:val="center"/>
          </w:tcPr>
          <w:p>
            <w:pPr>
              <w:pStyle w:val="39"/>
              <w:rPr>
                <w:rFonts w:cs="Times New Roman"/>
              </w:rPr>
            </w:pPr>
            <w:r>
              <w:rPr>
                <w:rFonts w:cs="Times New Roman"/>
              </w:rPr>
              <w:t>疫苗</w:t>
            </w:r>
          </w:p>
        </w:tc>
        <w:tc>
          <w:tcPr>
            <w:tcW w:w="1263" w:type="dxa"/>
            <w:shd w:val="clear" w:color="auto" w:fill="auto"/>
            <w:vAlign w:val="center"/>
          </w:tcPr>
          <w:p>
            <w:pPr>
              <w:pStyle w:val="39"/>
              <w:rPr>
                <w:rFonts w:cs="Times New Roman"/>
              </w:rPr>
            </w:pPr>
            <w:r>
              <w:rPr>
                <w:rFonts w:cs="Times New Roman"/>
              </w:rPr>
              <w:t>/</w:t>
            </w:r>
          </w:p>
        </w:tc>
        <w:tc>
          <w:tcPr>
            <w:tcW w:w="1321" w:type="dxa"/>
            <w:shd w:val="clear" w:color="auto" w:fill="auto"/>
            <w:vAlign w:val="center"/>
          </w:tcPr>
          <w:p>
            <w:pPr>
              <w:pStyle w:val="39"/>
              <w:rPr>
                <w:rFonts w:cs="Times New Roman"/>
              </w:rPr>
            </w:pPr>
            <w:r>
              <w:rPr>
                <w:rFonts w:cs="Times New Roman"/>
              </w:rPr>
              <w:t>0.05</w:t>
            </w:r>
            <w:r>
              <w:rPr>
                <w:rFonts w:hint="eastAsia" w:cs="Times New Roman"/>
              </w:rPr>
              <w:t>t</w:t>
            </w:r>
          </w:p>
        </w:tc>
        <w:tc>
          <w:tcPr>
            <w:tcW w:w="1263" w:type="dxa"/>
            <w:shd w:val="clear" w:color="auto" w:fill="auto"/>
            <w:vAlign w:val="center"/>
          </w:tcPr>
          <w:p>
            <w:pPr>
              <w:pStyle w:val="39"/>
              <w:rPr>
                <w:rFonts w:cs="Times New Roman"/>
              </w:rPr>
            </w:pPr>
            <w:r>
              <w:rPr>
                <w:rFonts w:cs="Times New Roman"/>
              </w:rPr>
              <w:t>瓶装</w:t>
            </w:r>
          </w:p>
        </w:tc>
        <w:tc>
          <w:tcPr>
            <w:tcW w:w="1367" w:type="dxa"/>
            <w:shd w:val="clear" w:color="auto" w:fill="auto"/>
            <w:vAlign w:val="center"/>
          </w:tcPr>
          <w:p>
            <w:pPr>
              <w:pStyle w:val="39"/>
              <w:rPr>
                <w:rFonts w:cs="Times New Roman"/>
              </w:rPr>
            </w:pPr>
            <w:r>
              <w:rPr>
                <w:rFonts w:cs="Times New Roman"/>
              </w:rPr>
              <w:t>50</w:t>
            </w:r>
          </w:p>
        </w:tc>
        <w:tc>
          <w:tcPr>
            <w:tcW w:w="2695" w:type="dxa"/>
            <w:vMerge w:val="continue"/>
            <w:vAlign w:val="center"/>
          </w:tcPr>
          <w:p>
            <w:pPr>
              <w:pStyle w:val="3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64" w:type="dxa"/>
            <w:shd w:val="clear" w:color="auto" w:fill="auto"/>
            <w:vAlign w:val="center"/>
          </w:tcPr>
          <w:p>
            <w:pPr>
              <w:pStyle w:val="39"/>
              <w:rPr>
                <w:rFonts w:cs="Times New Roman"/>
              </w:rPr>
            </w:pPr>
            <w:r>
              <w:rPr>
                <w:rFonts w:cs="Times New Roman"/>
              </w:rPr>
              <w:t>消毒液</w:t>
            </w:r>
          </w:p>
        </w:tc>
        <w:tc>
          <w:tcPr>
            <w:tcW w:w="1263" w:type="dxa"/>
            <w:shd w:val="clear" w:color="auto" w:fill="auto"/>
            <w:vAlign w:val="center"/>
          </w:tcPr>
          <w:p>
            <w:pPr>
              <w:pStyle w:val="39"/>
              <w:rPr>
                <w:rFonts w:cs="Times New Roman"/>
              </w:rPr>
            </w:pPr>
            <w:r>
              <w:rPr>
                <w:rFonts w:cs="Times New Roman"/>
                <w:shd w:val="clear" w:color="auto" w:fill="FFFFFF"/>
              </w:rPr>
              <w:t>强氧化剂</w:t>
            </w:r>
          </w:p>
        </w:tc>
        <w:tc>
          <w:tcPr>
            <w:tcW w:w="1321" w:type="dxa"/>
            <w:shd w:val="clear" w:color="auto" w:fill="auto"/>
            <w:vAlign w:val="center"/>
          </w:tcPr>
          <w:p>
            <w:pPr>
              <w:pStyle w:val="39"/>
              <w:rPr>
                <w:rFonts w:cs="Times New Roman"/>
              </w:rPr>
            </w:pPr>
            <w:r>
              <w:rPr>
                <w:rFonts w:cs="Times New Roman"/>
              </w:rPr>
              <w:t>0.045t</w:t>
            </w:r>
          </w:p>
        </w:tc>
        <w:tc>
          <w:tcPr>
            <w:tcW w:w="1263" w:type="dxa"/>
            <w:shd w:val="clear" w:color="auto" w:fill="auto"/>
            <w:vAlign w:val="center"/>
          </w:tcPr>
          <w:p>
            <w:pPr>
              <w:pStyle w:val="39"/>
              <w:rPr>
                <w:rFonts w:cs="Times New Roman"/>
              </w:rPr>
            </w:pPr>
            <w:r>
              <w:rPr>
                <w:rFonts w:cs="Times New Roman"/>
              </w:rPr>
              <w:t>瓶装</w:t>
            </w:r>
          </w:p>
        </w:tc>
        <w:tc>
          <w:tcPr>
            <w:tcW w:w="1367" w:type="dxa"/>
            <w:shd w:val="clear" w:color="auto" w:fill="auto"/>
            <w:vAlign w:val="center"/>
          </w:tcPr>
          <w:p>
            <w:pPr>
              <w:pStyle w:val="39"/>
              <w:rPr>
                <w:rFonts w:cs="Times New Roman"/>
              </w:rPr>
            </w:pPr>
            <w:r>
              <w:rPr>
                <w:rFonts w:hint="eastAsia" w:cs="Times New Roman"/>
              </w:rPr>
              <w:t>5</w:t>
            </w:r>
          </w:p>
        </w:tc>
        <w:tc>
          <w:tcPr>
            <w:tcW w:w="2695" w:type="dxa"/>
            <w:vMerge w:val="continue"/>
            <w:vAlign w:val="center"/>
          </w:tcPr>
          <w:p>
            <w:pPr>
              <w:pStyle w:val="39"/>
              <w:rPr>
                <w:rFonts w:cs="Times New Roman"/>
              </w:rPr>
            </w:pPr>
          </w:p>
        </w:tc>
      </w:tr>
    </w:tbl>
    <w:p>
      <w:pPr>
        <w:pStyle w:val="3"/>
        <w:ind w:firstLine="480"/>
        <w:rPr>
          <w:rFonts w:cs="Times New Roman"/>
        </w:rPr>
      </w:pPr>
    </w:p>
    <w:p>
      <w:pPr>
        <w:pStyle w:val="3"/>
        <w:ind w:firstLine="480"/>
        <w:rPr>
          <w:rFonts w:cs="Times New Roman"/>
        </w:rPr>
      </w:pPr>
      <w:r>
        <w:rPr>
          <w:rFonts w:cs="Times New Roman"/>
        </w:rPr>
        <w:t>则本项目</w:t>
      </w:r>
      <w:r>
        <w:rPr>
          <w:rFonts w:cs="Times New Roman"/>
          <w:i/>
        </w:rPr>
        <w:t>Q</w:t>
      </w:r>
      <w:r>
        <w:rPr>
          <w:rFonts w:cs="Times New Roman"/>
        </w:rPr>
        <w:t>值为</w:t>
      </w:r>
      <w:r>
        <w:rPr>
          <w:rFonts w:hint="eastAsia" w:cs="Times New Roman"/>
        </w:rPr>
        <w:t>0.0104</w:t>
      </w:r>
      <w:r>
        <w:rPr>
          <w:rFonts w:cs="Times New Roman"/>
        </w:rPr>
        <w:t>＜1，风险潜势为I，行业与生产工艺危险性分析：项目属于畜禽养殖业，使用风险物质为柴油及消毒液，属于（HJ169-2018）表C.1行业与生产工艺中其他：涉及危险物质的使用、贮存的项目，本项目M=5，本项目工艺危险性为M1。</w:t>
      </w:r>
    </w:p>
    <w:p>
      <w:pPr>
        <w:pStyle w:val="3"/>
        <w:ind w:firstLine="480"/>
        <w:rPr>
          <w:rFonts w:cs="Times New Roman"/>
        </w:rPr>
      </w:pPr>
      <w:r>
        <w:rPr>
          <w:rFonts w:cs="Times New Roman"/>
        </w:rPr>
        <w:t>根据项目危险物质数量与临界量的比值Q和工艺危险性M，对比《建设项目环境风险评价技术导则》（HJ169-2018）表1，可知项目环境风险评价工作等级为简单分析。</w:t>
      </w:r>
    </w:p>
    <w:p>
      <w:pPr>
        <w:pStyle w:val="3"/>
        <w:ind w:firstLine="480"/>
        <w:rPr>
          <w:rFonts w:cs="Times New Roman"/>
        </w:rPr>
      </w:pPr>
    </w:p>
    <w:p>
      <w:pPr>
        <w:pStyle w:val="3"/>
        <w:ind w:firstLine="480"/>
        <w:rPr>
          <w:rFonts w:cs="Times New Roman"/>
        </w:rPr>
      </w:pPr>
    </w:p>
    <w:p>
      <w:pPr>
        <w:pStyle w:val="3"/>
        <w:ind w:firstLine="480"/>
        <w:rPr>
          <w:rFonts w:cs="Times New Roman"/>
        </w:rPr>
      </w:pPr>
    </w:p>
    <w:p>
      <w:pPr>
        <w:pStyle w:val="15"/>
        <w:rPr>
          <w:rFonts w:cs="Times New Roman"/>
        </w:rPr>
      </w:pPr>
      <w:r>
        <w:rPr>
          <w:rFonts w:cs="Times New Roman"/>
        </w:rPr>
        <w:t>表2.6-14     环境风险评价等级划分</w:t>
      </w:r>
    </w:p>
    <w:tbl>
      <w:tblPr>
        <w:tblStyle w:val="26"/>
        <w:tblW w:w="9122"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1494"/>
        <w:gridCol w:w="1538"/>
        <w:gridCol w:w="2805"/>
        <w:gridCol w:w="1493"/>
        <w:gridCol w:w="1792"/>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494" w:type="dxa"/>
            <w:vAlign w:val="center"/>
          </w:tcPr>
          <w:p>
            <w:pPr>
              <w:pStyle w:val="39"/>
              <w:rPr>
                <w:rFonts w:cs="Times New Roman"/>
              </w:rPr>
            </w:pPr>
            <w:r>
              <w:rPr>
                <w:rFonts w:cs="Times New Roman"/>
              </w:rPr>
              <w:t>环境风险潜势</w:t>
            </w:r>
          </w:p>
        </w:tc>
        <w:tc>
          <w:tcPr>
            <w:tcW w:w="1538" w:type="dxa"/>
            <w:tcBorders>
              <w:right w:val="single" w:color="auto" w:sz="4" w:space="0"/>
            </w:tcBorders>
            <w:vAlign w:val="center"/>
          </w:tcPr>
          <w:p>
            <w:pPr>
              <w:pStyle w:val="39"/>
              <w:rPr>
                <w:rFonts w:cs="Times New Roman"/>
              </w:rPr>
            </w:pPr>
            <w:r>
              <w:rPr>
                <w:rFonts w:hint="eastAsia" w:ascii="宋体" w:hAnsi="宋体" w:cs="宋体"/>
              </w:rPr>
              <w:t>Ⅳ</w:t>
            </w:r>
            <w:r>
              <w:rPr>
                <w:rFonts w:cs="Times New Roman"/>
              </w:rPr>
              <w:t>、</w:t>
            </w:r>
            <w:r>
              <w:rPr>
                <w:rFonts w:hint="eastAsia" w:ascii="宋体" w:hAnsi="宋体" w:cs="宋体"/>
              </w:rPr>
              <w:t>Ⅳ</w:t>
            </w:r>
            <w:r>
              <w:rPr>
                <w:rFonts w:cs="Times New Roman"/>
                <w:vertAlign w:val="superscript"/>
              </w:rPr>
              <w:t>+</w:t>
            </w:r>
          </w:p>
        </w:tc>
        <w:tc>
          <w:tcPr>
            <w:tcW w:w="2805" w:type="dxa"/>
            <w:tcBorders>
              <w:top w:val="single" w:color="auto" w:sz="4" w:space="0"/>
              <w:left w:val="single" w:color="auto" w:sz="4" w:space="0"/>
              <w:bottom w:val="single" w:color="auto" w:sz="4" w:space="0"/>
            </w:tcBorders>
            <w:vAlign w:val="center"/>
          </w:tcPr>
          <w:p>
            <w:pPr>
              <w:pStyle w:val="39"/>
              <w:rPr>
                <w:rFonts w:cs="Times New Roman"/>
              </w:rPr>
            </w:pPr>
            <w:r>
              <w:rPr>
                <w:rFonts w:hint="eastAsia" w:ascii="宋体" w:hAnsi="宋体" w:cs="宋体"/>
              </w:rPr>
              <w:t>Ⅲ</w:t>
            </w:r>
          </w:p>
        </w:tc>
        <w:tc>
          <w:tcPr>
            <w:tcW w:w="1493" w:type="dxa"/>
            <w:vAlign w:val="center"/>
          </w:tcPr>
          <w:p>
            <w:pPr>
              <w:pStyle w:val="39"/>
              <w:rPr>
                <w:rFonts w:cs="Times New Roman"/>
              </w:rPr>
            </w:pPr>
            <w:r>
              <w:rPr>
                <w:rFonts w:hint="eastAsia" w:ascii="宋体" w:hAnsi="宋体" w:cs="宋体"/>
              </w:rPr>
              <w:t>Ⅱ</w:t>
            </w:r>
          </w:p>
        </w:tc>
        <w:tc>
          <w:tcPr>
            <w:tcW w:w="1792" w:type="dxa"/>
            <w:vAlign w:val="center"/>
          </w:tcPr>
          <w:p>
            <w:pPr>
              <w:pStyle w:val="39"/>
              <w:rPr>
                <w:rFonts w:cs="Times New Roman"/>
              </w:rPr>
            </w:pPr>
            <w:r>
              <w:rPr>
                <w:rFonts w:hint="eastAsia" w:ascii="宋体" w:hAnsi="宋体" w:cs="宋体"/>
              </w:rPr>
              <w:t>Ⅰ</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494" w:type="dxa"/>
            <w:vAlign w:val="center"/>
          </w:tcPr>
          <w:p>
            <w:pPr>
              <w:pStyle w:val="39"/>
              <w:rPr>
                <w:rFonts w:cs="Times New Roman"/>
              </w:rPr>
            </w:pPr>
            <w:r>
              <w:rPr>
                <w:rFonts w:cs="Times New Roman"/>
              </w:rPr>
              <w:t>评价工作等级</w:t>
            </w:r>
          </w:p>
        </w:tc>
        <w:tc>
          <w:tcPr>
            <w:tcW w:w="1538" w:type="dxa"/>
            <w:tcBorders>
              <w:right w:val="single" w:color="auto" w:sz="4" w:space="0"/>
            </w:tcBorders>
            <w:vAlign w:val="center"/>
          </w:tcPr>
          <w:p>
            <w:pPr>
              <w:pStyle w:val="39"/>
              <w:rPr>
                <w:rFonts w:cs="Times New Roman"/>
              </w:rPr>
            </w:pPr>
            <w:r>
              <w:rPr>
                <w:rFonts w:cs="Times New Roman"/>
              </w:rPr>
              <w:t>一</w:t>
            </w:r>
          </w:p>
        </w:tc>
        <w:tc>
          <w:tcPr>
            <w:tcW w:w="2805" w:type="dxa"/>
            <w:tcBorders>
              <w:top w:val="single" w:color="auto" w:sz="4" w:space="0"/>
              <w:left w:val="single" w:color="auto" w:sz="4" w:space="0"/>
              <w:bottom w:val="single" w:color="auto" w:sz="4" w:space="0"/>
            </w:tcBorders>
            <w:vAlign w:val="center"/>
          </w:tcPr>
          <w:p>
            <w:pPr>
              <w:pStyle w:val="39"/>
              <w:rPr>
                <w:rFonts w:cs="Times New Roman"/>
              </w:rPr>
            </w:pPr>
            <w:r>
              <w:rPr>
                <w:rFonts w:cs="Times New Roman"/>
              </w:rPr>
              <w:t>二</w:t>
            </w:r>
          </w:p>
        </w:tc>
        <w:tc>
          <w:tcPr>
            <w:tcW w:w="1493" w:type="dxa"/>
            <w:vAlign w:val="center"/>
          </w:tcPr>
          <w:p>
            <w:pPr>
              <w:pStyle w:val="39"/>
              <w:rPr>
                <w:rFonts w:cs="Times New Roman"/>
              </w:rPr>
            </w:pPr>
            <w:r>
              <w:rPr>
                <w:rFonts w:cs="Times New Roman"/>
              </w:rPr>
              <w:t>三</w:t>
            </w:r>
          </w:p>
        </w:tc>
        <w:tc>
          <w:tcPr>
            <w:tcW w:w="1792" w:type="dxa"/>
            <w:vAlign w:val="center"/>
          </w:tcPr>
          <w:p>
            <w:pPr>
              <w:pStyle w:val="39"/>
              <w:rPr>
                <w:rFonts w:cs="Times New Roman"/>
              </w:rPr>
            </w:pPr>
            <w:r>
              <w:rPr>
                <w:rFonts w:cs="Times New Roman"/>
              </w:rPr>
              <w:t>简单分析</w:t>
            </w:r>
            <w:r>
              <w:rPr>
                <w:rFonts w:cs="Times New Roman"/>
                <w:vertAlign w:val="superscript"/>
              </w:rPr>
              <w:t>a</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9122" w:type="dxa"/>
            <w:gridSpan w:val="5"/>
            <w:vAlign w:val="center"/>
          </w:tcPr>
          <w:p>
            <w:pPr>
              <w:pStyle w:val="39"/>
              <w:jc w:val="left"/>
              <w:rPr>
                <w:rFonts w:cs="Times New Roman"/>
              </w:rPr>
            </w:pPr>
            <w:r>
              <w:rPr>
                <w:rFonts w:cs="Times New Roman"/>
              </w:rPr>
              <w:t>a是相对于详细评价工作内容而言，在描述危险物质、环境影响途径、环境危害后果、风险防范措施等方面给出定性的说明。见附录A。</w:t>
            </w:r>
          </w:p>
        </w:tc>
      </w:tr>
    </w:tbl>
    <w:p>
      <w:pPr>
        <w:pStyle w:val="3"/>
        <w:ind w:firstLine="480"/>
        <w:rPr>
          <w:rFonts w:cs="Times New Roman"/>
        </w:rPr>
      </w:pPr>
    </w:p>
    <w:p>
      <w:pPr>
        <w:pStyle w:val="7"/>
        <w:rPr>
          <w:rFonts w:cs="Times New Roman"/>
        </w:rPr>
      </w:pPr>
      <w:r>
        <w:rPr>
          <w:rFonts w:cs="Times New Roman"/>
        </w:rPr>
        <w:t>评价范围</w:t>
      </w:r>
    </w:p>
    <w:p>
      <w:pPr>
        <w:pStyle w:val="3"/>
        <w:ind w:firstLine="480"/>
      </w:pPr>
      <w:r>
        <w:rPr>
          <w:rFonts w:cs="Times New Roman"/>
        </w:rPr>
        <w:t>根据《建设项目环境风险评价技术导则》（HJ169-2018）可知，本项目风险评价范围为厂界范围以内。</w:t>
      </w:r>
    </w:p>
    <w:p>
      <w:pPr>
        <w:pStyle w:val="5"/>
      </w:pPr>
      <w:bookmarkStart w:id="14" w:name="_Toc80889075"/>
      <w:r>
        <w:rPr>
          <w:rFonts w:hint="eastAsia"/>
        </w:rPr>
        <w:t>环境保护</w:t>
      </w:r>
      <w:r>
        <w:t>目标</w:t>
      </w:r>
      <w:bookmarkEnd w:id="14"/>
    </w:p>
    <w:p>
      <w:pPr>
        <w:pStyle w:val="3"/>
        <w:ind w:firstLine="480"/>
        <w:rPr>
          <w:rFonts w:cs="Times New Roman"/>
        </w:rPr>
      </w:pPr>
      <w:r>
        <w:rPr>
          <w:rFonts w:cs="Times New Roman"/>
        </w:rPr>
        <w:t>本项目位于</w:t>
      </w:r>
      <w:r>
        <w:rPr>
          <w:rFonts w:hint="eastAsia" w:cs="Times New Roman"/>
        </w:rPr>
        <w:t>衡阳县台</w:t>
      </w:r>
      <w:r>
        <w:rPr>
          <w:rFonts w:cs="Times New Roman"/>
        </w:rPr>
        <w:t>源镇前进村，根据工程污染物排放特征和区域的水文、气象情况，结合现场踏勘和初步调查，区域内无重点保护文物和珍稀动植物。本项目具体的环境保护目标见表2.7-1。</w:t>
      </w:r>
    </w:p>
    <w:p>
      <w:pPr>
        <w:pStyle w:val="15"/>
      </w:pPr>
      <w:r>
        <w:t>表2.7-1  主要环境保护敏感点</w:t>
      </w:r>
    </w:p>
    <w:tbl>
      <w:tblPr>
        <w:tblStyle w:val="2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3"/>
        <w:gridCol w:w="1770"/>
        <w:gridCol w:w="1529"/>
        <w:gridCol w:w="936"/>
        <w:gridCol w:w="934"/>
        <w:gridCol w:w="826"/>
        <w:gridCol w:w="778"/>
        <w:gridCol w:w="1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754" w:type="pct"/>
            <w:vMerge w:val="restart"/>
            <w:vAlign w:val="center"/>
          </w:tcPr>
          <w:p>
            <w:pPr>
              <w:pStyle w:val="39"/>
              <w:rPr>
                <w:rFonts w:cs="Times New Roman"/>
              </w:rPr>
            </w:pPr>
            <w:r>
              <w:rPr>
                <w:rFonts w:cs="Times New Roman"/>
              </w:rPr>
              <w:t>名称</w:t>
            </w:r>
          </w:p>
        </w:tc>
        <w:tc>
          <w:tcPr>
            <w:tcW w:w="1798" w:type="pct"/>
            <w:gridSpan w:val="2"/>
            <w:vAlign w:val="center"/>
          </w:tcPr>
          <w:p>
            <w:pPr>
              <w:pStyle w:val="39"/>
              <w:rPr>
                <w:rFonts w:cs="Times New Roman"/>
              </w:rPr>
            </w:pPr>
            <w:r>
              <w:rPr>
                <w:rFonts w:cs="Times New Roman"/>
              </w:rPr>
              <w:t>坐标/°</w:t>
            </w:r>
          </w:p>
        </w:tc>
        <w:tc>
          <w:tcPr>
            <w:tcW w:w="510" w:type="pct"/>
            <w:vMerge w:val="restart"/>
            <w:vAlign w:val="center"/>
          </w:tcPr>
          <w:p>
            <w:pPr>
              <w:pStyle w:val="39"/>
              <w:rPr>
                <w:rFonts w:cs="Times New Roman"/>
              </w:rPr>
            </w:pPr>
            <w:r>
              <w:rPr>
                <w:rFonts w:cs="Times New Roman"/>
              </w:rPr>
              <w:t>保护</w:t>
            </w:r>
          </w:p>
          <w:p>
            <w:pPr>
              <w:pStyle w:val="39"/>
              <w:rPr>
                <w:rFonts w:cs="Times New Roman"/>
              </w:rPr>
            </w:pPr>
            <w:r>
              <w:rPr>
                <w:rFonts w:cs="Times New Roman"/>
              </w:rPr>
              <w:t>对象</w:t>
            </w:r>
          </w:p>
        </w:tc>
        <w:tc>
          <w:tcPr>
            <w:tcW w:w="509" w:type="pct"/>
            <w:vMerge w:val="restart"/>
            <w:vAlign w:val="center"/>
          </w:tcPr>
          <w:p>
            <w:pPr>
              <w:pStyle w:val="39"/>
              <w:rPr>
                <w:rFonts w:cs="Times New Roman"/>
              </w:rPr>
            </w:pPr>
            <w:r>
              <w:rPr>
                <w:rFonts w:cs="Times New Roman"/>
              </w:rPr>
              <w:t>保护内容</w:t>
            </w:r>
          </w:p>
        </w:tc>
        <w:tc>
          <w:tcPr>
            <w:tcW w:w="450" w:type="pct"/>
            <w:vMerge w:val="restart"/>
            <w:vAlign w:val="center"/>
          </w:tcPr>
          <w:p>
            <w:pPr>
              <w:pStyle w:val="39"/>
              <w:rPr>
                <w:rFonts w:cs="Times New Roman"/>
              </w:rPr>
            </w:pPr>
            <w:r>
              <w:rPr>
                <w:rFonts w:cs="Times New Roman"/>
              </w:rPr>
              <w:t>环境功能区</w:t>
            </w:r>
          </w:p>
        </w:tc>
        <w:tc>
          <w:tcPr>
            <w:tcW w:w="424" w:type="pct"/>
            <w:vMerge w:val="restart"/>
            <w:vAlign w:val="center"/>
          </w:tcPr>
          <w:p>
            <w:pPr>
              <w:pStyle w:val="39"/>
              <w:rPr>
                <w:rFonts w:cs="Times New Roman"/>
              </w:rPr>
            </w:pPr>
            <w:r>
              <w:rPr>
                <w:rFonts w:cs="Times New Roman"/>
              </w:rPr>
              <w:t>相对厂址方位</w:t>
            </w:r>
          </w:p>
        </w:tc>
        <w:tc>
          <w:tcPr>
            <w:tcW w:w="554" w:type="pct"/>
            <w:vMerge w:val="restart"/>
            <w:vAlign w:val="center"/>
          </w:tcPr>
          <w:p>
            <w:pPr>
              <w:pStyle w:val="39"/>
              <w:rPr>
                <w:rFonts w:cs="Times New Roman"/>
              </w:rPr>
            </w:pPr>
            <w:r>
              <w:rPr>
                <w:rFonts w:cs="Times New Roman"/>
              </w:rPr>
              <w:t>相对厂界最近距离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754" w:type="pct"/>
            <w:vMerge w:val="continue"/>
            <w:vAlign w:val="center"/>
          </w:tcPr>
          <w:p>
            <w:pPr>
              <w:pStyle w:val="39"/>
              <w:rPr>
                <w:rFonts w:cs="Times New Roman"/>
              </w:rPr>
            </w:pPr>
          </w:p>
        </w:tc>
        <w:tc>
          <w:tcPr>
            <w:tcW w:w="965" w:type="pct"/>
            <w:vAlign w:val="center"/>
          </w:tcPr>
          <w:p>
            <w:pPr>
              <w:pStyle w:val="39"/>
              <w:rPr>
                <w:rFonts w:cs="Times New Roman"/>
              </w:rPr>
            </w:pPr>
            <w:r>
              <w:rPr>
                <w:rFonts w:cs="Times New Roman"/>
                <w:i/>
              </w:rPr>
              <w:t>X</w:t>
            </w:r>
            <w:r>
              <w:rPr>
                <w:rFonts w:cs="Times New Roman"/>
              </w:rPr>
              <w:t>（经度）</w:t>
            </w:r>
          </w:p>
        </w:tc>
        <w:tc>
          <w:tcPr>
            <w:tcW w:w="833" w:type="pct"/>
            <w:vAlign w:val="center"/>
          </w:tcPr>
          <w:p>
            <w:pPr>
              <w:pStyle w:val="39"/>
              <w:rPr>
                <w:rFonts w:cs="Times New Roman"/>
              </w:rPr>
            </w:pPr>
            <w:r>
              <w:rPr>
                <w:rFonts w:cs="Times New Roman"/>
                <w:i/>
              </w:rPr>
              <w:t>Y</w:t>
            </w:r>
            <w:r>
              <w:rPr>
                <w:rFonts w:cs="Times New Roman"/>
              </w:rPr>
              <w:t>（纬度）</w:t>
            </w:r>
          </w:p>
        </w:tc>
        <w:tc>
          <w:tcPr>
            <w:tcW w:w="510" w:type="pct"/>
            <w:vMerge w:val="continue"/>
            <w:vAlign w:val="center"/>
          </w:tcPr>
          <w:p>
            <w:pPr>
              <w:pStyle w:val="39"/>
              <w:rPr>
                <w:rFonts w:cs="Times New Roman"/>
              </w:rPr>
            </w:pPr>
          </w:p>
        </w:tc>
        <w:tc>
          <w:tcPr>
            <w:tcW w:w="509" w:type="pct"/>
            <w:vMerge w:val="continue"/>
            <w:vAlign w:val="center"/>
          </w:tcPr>
          <w:p>
            <w:pPr>
              <w:pStyle w:val="39"/>
              <w:rPr>
                <w:rFonts w:cs="Times New Roman"/>
              </w:rPr>
            </w:pPr>
          </w:p>
        </w:tc>
        <w:tc>
          <w:tcPr>
            <w:tcW w:w="450" w:type="pct"/>
            <w:vMerge w:val="continue"/>
            <w:vAlign w:val="center"/>
          </w:tcPr>
          <w:p>
            <w:pPr>
              <w:pStyle w:val="39"/>
              <w:rPr>
                <w:rFonts w:cs="Times New Roman"/>
              </w:rPr>
            </w:pPr>
          </w:p>
        </w:tc>
        <w:tc>
          <w:tcPr>
            <w:tcW w:w="424" w:type="pct"/>
            <w:vMerge w:val="continue"/>
            <w:vAlign w:val="center"/>
          </w:tcPr>
          <w:p>
            <w:pPr>
              <w:pStyle w:val="39"/>
              <w:rPr>
                <w:rFonts w:cs="Times New Roman"/>
              </w:rPr>
            </w:pPr>
          </w:p>
        </w:tc>
        <w:tc>
          <w:tcPr>
            <w:tcW w:w="554" w:type="pct"/>
            <w:vMerge w:val="continue"/>
            <w:vAlign w:val="center"/>
          </w:tcPr>
          <w:p>
            <w:pPr>
              <w:pStyle w:val="3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4" w:type="pct"/>
            <w:vAlign w:val="center"/>
          </w:tcPr>
          <w:p>
            <w:pPr>
              <w:pStyle w:val="39"/>
              <w:rPr>
                <w:rFonts w:cs="Times New Roman"/>
              </w:rPr>
            </w:pPr>
            <w:r>
              <w:rPr>
                <w:rFonts w:hint="eastAsia" w:cs="Times New Roman"/>
              </w:rPr>
              <w:t>近斯</w:t>
            </w:r>
            <w:r>
              <w:rPr>
                <w:rFonts w:cs="Times New Roman"/>
              </w:rPr>
              <w:t>塘</w:t>
            </w:r>
          </w:p>
        </w:tc>
        <w:tc>
          <w:tcPr>
            <w:tcW w:w="965" w:type="pct"/>
            <w:vAlign w:val="center"/>
          </w:tcPr>
          <w:p>
            <w:pPr>
              <w:pStyle w:val="39"/>
              <w:rPr>
                <w:rFonts w:cs="Times New Roman"/>
              </w:rPr>
            </w:pPr>
            <w:r>
              <w:rPr>
                <w:rFonts w:cs="Times New Roman"/>
              </w:rPr>
              <w:t>112.398007787</w:t>
            </w:r>
          </w:p>
        </w:tc>
        <w:tc>
          <w:tcPr>
            <w:tcW w:w="833" w:type="pct"/>
            <w:vAlign w:val="center"/>
          </w:tcPr>
          <w:p>
            <w:pPr>
              <w:pStyle w:val="39"/>
              <w:rPr>
                <w:rFonts w:cs="Times New Roman"/>
              </w:rPr>
            </w:pPr>
            <w:r>
              <w:rPr>
                <w:rFonts w:cs="Times New Roman"/>
              </w:rPr>
              <w:t>27.077339889</w:t>
            </w:r>
          </w:p>
        </w:tc>
        <w:tc>
          <w:tcPr>
            <w:tcW w:w="510" w:type="pct"/>
            <w:vAlign w:val="center"/>
          </w:tcPr>
          <w:p>
            <w:pPr>
              <w:pStyle w:val="39"/>
              <w:rPr>
                <w:rFonts w:cs="Times New Roman"/>
              </w:rPr>
            </w:pPr>
            <w:r>
              <w:rPr>
                <w:rFonts w:cs="Times New Roman"/>
              </w:rPr>
              <w:t>居民点</w:t>
            </w:r>
          </w:p>
        </w:tc>
        <w:tc>
          <w:tcPr>
            <w:tcW w:w="509" w:type="pct"/>
            <w:vAlign w:val="center"/>
          </w:tcPr>
          <w:p>
            <w:pPr>
              <w:pStyle w:val="39"/>
              <w:rPr>
                <w:rFonts w:cs="Times New Roman"/>
              </w:rPr>
            </w:pPr>
            <w:r>
              <w:rPr>
                <w:rFonts w:cs="Times New Roman"/>
              </w:rPr>
              <w:t>人群</w:t>
            </w:r>
          </w:p>
        </w:tc>
        <w:tc>
          <w:tcPr>
            <w:tcW w:w="450" w:type="pct"/>
            <w:vMerge w:val="restart"/>
            <w:vAlign w:val="center"/>
          </w:tcPr>
          <w:p>
            <w:pPr>
              <w:pStyle w:val="39"/>
              <w:rPr>
                <w:rFonts w:cs="Times New Roman"/>
              </w:rPr>
            </w:pPr>
            <w:r>
              <w:rPr>
                <w:rFonts w:cs="Times New Roman"/>
              </w:rPr>
              <w:t>大气环境功能二类区</w:t>
            </w:r>
          </w:p>
        </w:tc>
        <w:tc>
          <w:tcPr>
            <w:tcW w:w="424" w:type="pct"/>
            <w:vAlign w:val="center"/>
          </w:tcPr>
          <w:p>
            <w:pPr>
              <w:pStyle w:val="39"/>
              <w:rPr>
                <w:rFonts w:cs="Times New Roman"/>
              </w:rPr>
            </w:pPr>
            <w:r>
              <w:rPr>
                <w:rFonts w:cs="Times New Roman"/>
              </w:rPr>
              <w:t>S</w:t>
            </w:r>
            <w:r>
              <w:rPr>
                <w:rFonts w:hint="eastAsia" w:cs="Times New Roman"/>
              </w:rPr>
              <w:t>E</w:t>
            </w:r>
          </w:p>
        </w:tc>
        <w:tc>
          <w:tcPr>
            <w:tcW w:w="554" w:type="pct"/>
            <w:vAlign w:val="center"/>
          </w:tcPr>
          <w:p>
            <w:pPr>
              <w:pStyle w:val="39"/>
              <w:rPr>
                <w:rFonts w:cs="Times New Roman"/>
              </w:rPr>
            </w:pPr>
            <w:r>
              <w:rPr>
                <w:rFonts w:cs="Times New Roman"/>
              </w:rPr>
              <w:t>257m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4" w:type="pct"/>
            <w:vAlign w:val="center"/>
          </w:tcPr>
          <w:p>
            <w:pPr>
              <w:pStyle w:val="39"/>
              <w:rPr>
                <w:rFonts w:cs="Times New Roman"/>
              </w:rPr>
            </w:pPr>
            <w:r>
              <w:rPr>
                <w:rFonts w:hint="eastAsia" w:cs="Times New Roman"/>
              </w:rPr>
              <w:t>荷叶冲</w:t>
            </w:r>
          </w:p>
        </w:tc>
        <w:tc>
          <w:tcPr>
            <w:tcW w:w="965" w:type="pct"/>
            <w:vAlign w:val="center"/>
          </w:tcPr>
          <w:p>
            <w:pPr>
              <w:pStyle w:val="39"/>
              <w:rPr>
                <w:rFonts w:cs="Times New Roman"/>
              </w:rPr>
            </w:pPr>
            <w:r>
              <w:rPr>
                <w:rFonts w:cs="Times New Roman"/>
              </w:rPr>
              <w:t>112.400625623</w:t>
            </w:r>
          </w:p>
        </w:tc>
        <w:tc>
          <w:tcPr>
            <w:tcW w:w="833" w:type="pct"/>
            <w:vAlign w:val="center"/>
          </w:tcPr>
          <w:p>
            <w:pPr>
              <w:pStyle w:val="39"/>
              <w:rPr>
                <w:rFonts w:cs="Times New Roman"/>
              </w:rPr>
            </w:pPr>
            <w:r>
              <w:rPr>
                <w:rFonts w:cs="Times New Roman"/>
              </w:rPr>
              <w:t>27.075966598</w:t>
            </w:r>
          </w:p>
        </w:tc>
        <w:tc>
          <w:tcPr>
            <w:tcW w:w="510" w:type="pct"/>
            <w:vAlign w:val="center"/>
          </w:tcPr>
          <w:p>
            <w:pPr>
              <w:jc w:val="center"/>
              <w:rPr>
                <w:rFonts w:ascii="Times New Roman" w:hAnsi="Times New Roman" w:eastAsia="宋体" w:cs="Times New Roman"/>
              </w:rPr>
            </w:pPr>
            <w:r>
              <w:rPr>
                <w:rFonts w:ascii="Times New Roman" w:hAnsi="Times New Roman" w:eastAsia="宋体" w:cs="Times New Roman"/>
              </w:rPr>
              <w:t>居民点</w:t>
            </w:r>
          </w:p>
        </w:tc>
        <w:tc>
          <w:tcPr>
            <w:tcW w:w="509" w:type="pct"/>
            <w:vAlign w:val="center"/>
          </w:tcPr>
          <w:p>
            <w:pPr>
              <w:jc w:val="center"/>
              <w:rPr>
                <w:rFonts w:ascii="Times New Roman" w:hAnsi="Times New Roman" w:eastAsia="宋体" w:cs="Times New Roman"/>
              </w:rPr>
            </w:pPr>
            <w:r>
              <w:rPr>
                <w:rFonts w:ascii="Times New Roman" w:hAnsi="Times New Roman" w:eastAsia="宋体" w:cs="Times New Roman"/>
              </w:rPr>
              <w:t>人群</w:t>
            </w:r>
          </w:p>
        </w:tc>
        <w:tc>
          <w:tcPr>
            <w:tcW w:w="450" w:type="pct"/>
            <w:vMerge w:val="continue"/>
            <w:vAlign w:val="center"/>
          </w:tcPr>
          <w:p>
            <w:pPr>
              <w:pStyle w:val="39"/>
              <w:rPr>
                <w:rFonts w:cs="Times New Roman"/>
              </w:rPr>
            </w:pPr>
          </w:p>
        </w:tc>
        <w:tc>
          <w:tcPr>
            <w:tcW w:w="424" w:type="pct"/>
            <w:vAlign w:val="center"/>
          </w:tcPr>
          <w:p>
            <w:pPr>
              <w:pStyle w:val="39"/>
              <w:rPr>
                <w:rFonts w:cs="Times New Roman"/>
              </w:rPr>
            </w:pPr>
            <w:r>
              <w:rPr>
                <w:rFonts w:hint="eastAsia" w:cs="Times New Roman"/>
              </w:rPr>
              <w:t>SE</w:t>
            </w:r>
          </w:p>
        </w:tc>
        <w:tc>
          <w:tcPr>
            <w:tcW w:w="554" w:type="pct"/>
            <w:vAlign w:val="center"/>
          </w:tcPr>
          <w:p>
            <w:pPr>
              <w:pStyle w:val="39"/>
              <w:rPr>
                <w:rFonts w:cs="Times New Roman"/>
              </w:rPr>
            </w:pPr>
            <w:r>
              <w:rPr>
                <w:rFonts w:cs="Times New Roman"/>
              </w:rPr>
              <w:t>587m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4" w:type="pct"/>
            <w:vAlign w:val="center"/>
          </w:tcPr>
          <w:p>
            <w:pPr>
              <w:pStyle w:val="39"/>
              <w:rPr>
                <w:rFonts w:cs="Times New Roman"/>
              </w:rPr>
            </w:pPr>
            <w:r>
              <w:rPr>
                <w:rFonts w:hint="eastAsia" w:cs="Times New Roman"/>
              </w:rPr>
              <w:t>绿</w:t>
            </w:r>
            <w:r>
              <w:rPr>
                <w:rFonts w:cs="Times New Roman"/>
              </w:rPr>
              <w:t>丫</w:t>
            </w:r>
            <w:r>
              <w:rPr>
                <w:rFonts w:hint="eastAsia" w:cs="Times New Roman"/>
              </w:rPr>
              <w:t>塘</w:t>
            </w:r>
          </w:p>
        </w:tc>
        <w:tc>
          <w:tcPr>
            <w:tcW w:w="965" w:type="pct"/>
            <w:vAlign w:val="center"/>
          </w:tcPr>
          <w:p>
            <w:pPr>
              <w:pStyle w:val="39"/>
              <w:rPr>
                <w:rFonts w:cs="Times New Roman"/>
              </w:rPr>
            </w:pPr>
            <w:r>
              <w:rPr>
                <w:rFonts w:cs="Times New Roman"/>
              </w:rPr>
              <w:t>112.397471346</w:t>
            </w:r>
          </w:p>
        </w:tc>
        <w:tc>
          <w:tcPr>
            <w:tcW w:w="833" w:type="pct"/>
            <w:vAlign w:val="center"/>
          </w:tcPr>
          <w:p>
            <w:pPr>
              <w:pStyle w:val="39"/>
              <w:rPr>
                <w:rFonts w:cs="Times New Roman"/>
              </w:rPr>
            </w:pPr>
            <w:r>
              <w:rPr>
                <w:rFonts w:cs="Times New Roman"/>
              </w:rPr>
              <w:t>27.069615127</w:t>
            </w:r>
          </w:p>
        </w:tc>
        <w:tc>
          <w:tcPr>
            <w:tcW w:w="510" w:type="pct"/>
            <w:vAlign w:val="center"/>
          </w:tcPr>
          <w:p>
            <w:pPr>
              <w:pStyle w:val="39"/>
              <w:rPr>
                <w:rFonts w:cs="Times New Roman"/>
              </w:rPr>
            </w:pPr>
            <w:r>
              <w:rPr>
                <w:rFonts w:cs="Times New Roman"/>
              </w:rPr>
              <w:t>居民点</w:t>
            </w:r>
          </w:p>
        </w:tc>
        <w:tc>
          <w:tcPr>
            <w:tcW w:w="509" w:type="pct"/>
            <w:vAlign w:val="center"/>
          </w:tcPr>
          <w:p>
            <w:pPr>
              <w:pStyle w:val="39"/>
              <w:rPr>
                <w:rFonts w:cs="Times New Roman"/>
              </w:rPr>
            </w:pPr>
            <w:r>
              <w:rPr>
                <w:rFonts w:cs="Times New Roman"/>
              </w:rPr>
              <w:t>人群</w:t>
            </w:r>
          </w:p>
        </w:tc>
        <w:tc>
          <w:tcPr>
            <w:tcW w:w="450" w:type="pct"/>
            <w:vMerge w:val="continue"/>
            <w:vAlign w:val="center"/>
          </w:tcPr>
          <w:p>
            <w:pPr>
              <w:pStyle w:val="39"/>
              <w:rPr>
                <w:rFonts w:cs="Times New Roman"/>
              </w:rPr>
            </w:pPr>
          </w:p>
        </w:tc>
        <w:tc>
          <w:tcPr>
            <w:tcW w:w="424" w:type="pct"/>
            <w:vAlign w:val="center"/>
          </w:tcPr>
          <w:p>
            <w:pPr>
              <w:pStyle w:val="39"/>
              <w:rPr>
                <w:rFonts w:cs="Times New Roman"/>
              </w:rPr>
            </w:pPr>
            <w:r>
              <w:rPr>
                <w:rFonts w:hint="eastAsia" w:cs="Times New Roman"/>
              </w:rPr>
              <w:t>SE</w:t>
            </w:r>
          </w:p>
        </w:tc>
        <w:tc>
          <w:tcPr>
            <w:tcW w:w="554" w:type="pct"/>
            <w:vAlign w:val="center"/>
          </w:tcPr>
          <w:p>
            <w:pPr>
              <w:pStyle w:val="39"/>
              <w:rPr>
                <w:rFonts w:cs="Times New Roman"/>
              </w:rPr>
            </w:pPr>
            <w:r>
              <w:rPr>
                <w:rFonts w:hint="eastAsia" w:cs="Times New Roman"/>
              </w:rPr>
              <w:t>7</w:t>
            </w:r>
            <w:r>
              <w:rPr>
                <w:rFonts w:cs="Times New Roman"/>
              </w:rPr>
              <w:t>35km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4" w:type="pct"/>
            <w:vAlign w:val="center"/>
          </w:tcPr>
          <w:p>
            <w:pPr>
              <w:pStyle w:val="39"/>
              <w:rPr>
                <w:rFonts w:cs="Times New Roman"/>
              </w:rPr>
            </w:pPr>
            <w:r>
              <w:rPr>
                <w:rFonts w:hint="eastAsia" w:cs="Times New Roman"/>
              </w:rPr>
              <w:t>东湖</w:t>
            </w:r>
            <w:r>
              <w:rPr>
                <w:rFonts w:cs="Times New Roman"/>
              </w:rPr>
              <w:t>村</w:t>
            </w:r>
          </w:p>
        </w:tc>
        <w:tc>
          <w:tcPr>
            <w:tcW w:w="965" w:type="pct"/>
            <w:vAlign w:val="center"/>
          </w:tcPr>
          <w:p>
            <w:pPr>
              <w:pStyle w:val="39"/>
              <w:rPr>
                <w:rFonts w:cs="Times New Roman"/>
              </w:rPr>
            </w:pPr>
            <w:r>
              <w:rPr>
                <w:rFonts w:cs="Times New Roman"/>
              </w:rPr>
              <w:t>112.412019647</w:t>
            </w:r>
          </w:p>
        </w:tc>
        <w:tc>
          <w:tcPr>
            <w:tcW w:w="833" w:type="pct"/>
            <w:vAlign w:val="center"/>
          </w:tcPr>
          <w:p>
            <w:pPr>
              <w:pStyle w:val="39"/>
              <w:rPr>
                <w:rFonts w:cs="Times New Roman"/>
              </w:rPr>
            </w:pPr>
            <w:r>
              <w:rPr>
                <w:rFonts w:cs="Times New Roman"/>
              </w:rPr>
              <w:t>27.072962524</w:t>
            </w:r>
          </w:p>
        </w:tc>
        <w:tc>
          <w:tcPr>
            <w:tcW w:w="510" w:type="pct"/>
            <w:vAlign w:val="center"/>
          </w:tcPr>
          <w:p>
            <w:pPr>
              <w:jc w:val="center"/>
              <w:rPr>
                <w:rFonts w:ascii="Times New Roman" w:hAnsi="Times New Roman" w:eastAsia="宋体" w:cs="Times New Roman"/>
              </w:rPr>
            </w:pPr>
            <w:r>
              <w:rPr>
                <w:rFonts w:ascii="Times New Roman" w:hAnsi="Times New Roman" w:eastAsia="宋体" w:cs="Times New Roman"/>
              </w:rPr>
              <w:t>居民点</w:t>
            </w:r>
          </w:p>
        </w:tc>
        <w:tc>
          <w:tcPr>
            <w:tcW w:w="509" w:type="pct"/>
            <w:vAlign w:val="center"/>
          </w:tcPr>
          <w:p>
            <w:pPr>
              <w:jc w:val="center"/>
              <w:rPr>
                <w:rFonts w:ascii="Times New Roman" w:hAnsi="Times New Roman" w:eastAsia="宋体" w:cs="Times New Roman"/>
              </w:rPr>
            </w:pPr>
            <w:r>
              <w:rPr>
                <w:rFonts w:ascii="Times New Roman" w:hAnsi="Times New Roman" w:eastAsia="宋体" w:cs="Times New Roman"/>
              </w:rPr>
              <w:t>人群</w:t>
            </w:r>
          </w:p>
        </w:tc>
        <w:tc>
          <w:tcPr>
            <w:tcW w:w="450" w:type="pct"/>
            <w:vMerge w:val="continue"/>
            <w:vAlign w:val="center"/>
          </w:tcPr>
          <w:p>
            <w:pPr>
              <w:pStyle w:val="39"/>
              <w:rPr>
                <w:rFonts w:cs="Times New Roman"/>
              </w:rPr>
            </w:pPr>
          </w:p>
        </w:tc>
        <w:tc>
          <w:tcPr>
            <w:tcW w:w="424" w:type="pct"/>
            <w:vAlign w:val="center"/>
          </w:tcPr>
          <w:p>
            <w:pPr>
              <w:pStyle w:val="39"/>
              <w:rPr>
                <w:rFonts w:cs="Times New Roman"/>
              </w:rPr>
            </w:pPr>
            <w:r>
              <w:rPr>
                <w:rFonts w:hint="eastAsia" w:cs="Times New Roman"/>
              </w:rPr>
              <w:t>SE</w:t>
            </w:r>
          </w:p>
        </w:tc>
        <w:tc>
          <w:tcPr>
            <w:tcW w:w="554" w:type="pct"/>
            <w:vAlign w:val="center"/>
          </w:tcPr>
          <w:p>
            <w:pPr>
              <w:pStyle w:val="39"/>
              <w:rPr>
                <w:rFonts w:cs="Times New Roman"/>
              </w:rPr>
            </w:pPr>
            <w:r>
              <w:rPr>
                <w:rFonts w:hint="eastAsia" w:cs="Times New Roman"/>
              </w:rPr>
              <w:t>1.50</w:t>
            </w:r>
            <w:r>
              <w:rPr>
                <w:rFonts w:cs="Times New Roman"/>
              </w:rPr>
              <w:t>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4" w:type="pct"/>
            <w:vAlign w:val="center"/>
          </w:tcPr>
          <w:p>
            <w:pPr>
              <w:pStyle w:val="39"/>
              <w:rPr>
                <w:rFonts w:cs="Times New Roman"/>
              </w:rPr>
            </w:pPr>
            <w:r>
              <w:rPr>
                <w:rFonts w:hint="eastAsia" w:cs="Times New Roman"/>
              </w:rPr>
              <w:t>湖</w:t>
            </w:r>
            <w:r>
              <w:rPr>
                <w:rFonts w:cs="Times New Roman"/>
              </w:rPr>
              <w:t>公塘</w:t>
            </w:r>
          </w:p>
        </w:tc>
        <w:tc>
          <w:tcPr>
            <w:tcW w:w="965" w:type="pct"/>
            <w:vAlign w:val="center"/>
          </w:tcPr>
          <w:p>
            <w:pPr>
              <w:pStyle w:val="39"/>
              <w:rPr>
                <w:rFonts w:cs="Times New Roman"/>
              </w:rPr>
            </w:pPr>
            <w:r>
              <w:rPr>
                <w:rFonts w:cs="Times New Roman"/>
              </w:rPr>
              <w:t>112.413264192</w:t>
            </w:r>
          </w:p>
        </w:tc>
        <w:tc>
          <w:tcPr>
            <w:tcW w:w="833" w:type="pct"/>
            <w:vAlign w:val="center"/>
          </w:tcPr>
          <w:p>
            <w:pPr>
              <w:pStyle w:val="39"/>
              <w:rPr>
                <w:rFonts w:cs="Times New Roman"/>
              </w:rPr>
            </w:pPr>
            <w:r>
              <w:rPr>
                <w:rFonts w:cs="Times New Roman"/>
              </w:rPr>
              <w:t>27.068885566</w:t>
            </w:r>
          </w:p>
        </w:tc>
        <w:tc>
          <w:tcPr>
            <w:tcW w:w="510" w:type="pct"/>
            <w:vAlign w:val="center"/>
          </w:tcPr>
          <w:p>
            <w:pPr>
              <w:jc w:val="center"/>
              <w:rPr>
                <w:rFonts w:ascii="Times New Roman" w:hAnsi="Times New Roman" w:eastAsia="宋体" w:cs="Times New Roman"/>
              </w:rPr>
            </w:pPr>
            <w:r>
              <w:rPr>
                <w:rFonts w:ascii="Times New Roman" w:hAnsi="Times New Roman" w:eastAsia="宋体" w:cs="Times New Roman"/>
              </w:rPr>
              <w:t>居民点</w:t>
            </w:r>
          </w:p>
        </w:tc>
        <w:tc>
          <w:tcPr>
            <w:tcW w:w="509" w:type="pct"/>
            <w:vAlign w:val="center"/>
          </w:tcPr>
          <w:p>
            <w:pPr>
              <w:jc w:val="center"/>
              <w:rPr>
                <w:rFonts w:ascii="Times New Roman" w:hAnsi="Times New Roman" w:eastAsia="宋体" w:cs="Times New Roman"/>
              </w:rPr>
            </w:pPr>
            <w:r>
              <w:rPr>
                <w:rFonts w:ascii="Times New Roman" w:hAnsi="Times New Roman" w:eastAsia="宋体" w:cs="Times New Roman"/>
              </w:rPr>
              <w:t>人群</w:t>
            </w:r>
          </w:p>
        </w:tc>
        <w:tc>
          <w:tcPr>
            <w:tcW w:w="450" w:type="pct"/>
            <w:vMerge w:val="continue"/>
            <w:vAlign w:val="center"/>
          </w:tcPr>
          <w:p>
            <w:pPr>
              <w:pStyle w:val="39"/>
              <w:rPr>
                <w:rFonts w:cs="Times New Roman"/>
              </w:rPr>
            </w:pPr>
          </w:p>
        </w:tc>
        <w:tc>
          <w:tcPr>
            <w:tcW w:w="424" w:type="pct"/>
            <w:vAlign w:val="center"/>
          </w:tcPr>
          <w:p>
            <w:pPr>
              <w:pStyle w:val="39"/>
              <w:rPr>
                <w:rFonts w:cs="Times New Roman"/>
              </w:rPr>
            </w:pPr>
            <w:r>
              <w:rPr>
                <w:rFonts w:hint="eastAsia" w:cs="Times New Roman"/>
              </w:rPr>
              <w:t>SE</w:t>
            </w:r>
          </w:p>
        </w:tc>
        <w:tc>
          <w:tcPr>
            <w:tcW w:w="554" w:type="pct"/>
            <w:vAlign w:val="center"/>
          </w:tcPr>
          <w:p>
            <w:pPr>
              <w:pStyle w:val="39"/>
              <w:rPr>
                <w:rFonts w:cs="Times New Roman"/>
              </w:rPr>
            </w:pPr>
            <w:r>
              <w:rPr>
                <w:rFonts w:cs="Times New Roman"/>
              </w:rPr>
              <w:t>1.96</w:t>
            </w:r>
            <w:r>
              <w:rPr>
                <w:rFonts w:hint="eastAsia" w:cs="Times New Roman"/>
              </w:rPr>
              <w:t>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4" w:type="pct"/>
            <w:vAlign w:val="center"/>
          </w:tcPr>
          <w:p>
            <w:pPr>
              <w:pStyle w:val="39"/>
              <w:rPr>
                <w:rFonts w:cs="Times New Roman"/>
              </w:rPr>
            </w:pPr>
            <w:r>
              <w:rPr>
                <w:rFonts w:hint="eastAsia" w:cs="Times New Roman"/>
              </w:rPr>
              <w:t>台源镇区</w:t>
            </w:r>
          </w:p>
          <w:p>
            <w:pPr>
              <w:pStyle w:val="39"/>
              <w:rPr>
                <w:rFonts w:cs="Times New Roman"/>
              </w:rPr>
            </w:pPr>
            <w:r>
              <w:rPr>
                <w:rFonts w:hint="eastAsia" w:cs="Times New Roman"/>
              </w:rPr>
              <w:t>（台</w:t>
            </w:r>
            <w:r>
              <w:rPr>
                <w:rFonts w:cs="Times New Roman"/>
              </w:rPr>
              <w:t>源村</w:t>
            </w:r>
            <w:r>
              <w:rPr>
                <w:rFonts w:hint="eastAsia" w:cs="Times New Roman"/>
              </w:rPr>
              <w:t>）</w:t>
            </w:r>
          </w:p>
        </w:tc>
        <w:tc>
          <w:tcPr>
            <w:tcW w:w="965" w:type="pct"/>
            <w:vAlign w:val="center"/>
          </w:tcPr>
          <w:p>
            <w:pPr>
              <w:pStyle w:val="39"/>
              <w:rPr>
                <w:rFonts w:cs="Times New Roman"/>
              </w:rPr>
            </w:pPr>
            <w:r>
              <w:rPr>
                <w:rFonts w:cs="Times New Roman"/>
              </w:rPr>
              <w:t>112.405110277</w:t>
            </w:r>
          </w:p>
        </w:tc>
        <w:tc>
          <w:tcPr>
            <w:tcW w:w="833" w:type="pct"/>
            <w:vAlign w:val="center"/>
          </w:tcPr>
          <w:p>
            <w:pPr>
              <w:pStyle w:val="39"/>
              <w:rPr>
                <w:rFonts w:cs="Times New Roman"/>
              </w:rPr>
            </w:pPr>
            <w:r>
              <w:rPr>
                <w:rFonts w:cs="Times New Roman"/>
              </w:rPr>
              <w:t>27.060045005</w:t>
            </w:r>
          </w:p>
        </w:tc>
        <w:tc>
          <w:tcPr>
            <w:tcW w:w="510" w:type="pct"/>
            <w:vAlign w:val="center"/>
          </w:tcPr>
          <w:p>
            <w:pPr>
              <w:jc w:val="center"/>
              <w:rPr>
                <w:rFonts w:ascii="Times New Roman" w:hAnsi="Times New Roman" w:eastAsia="宋体" w:cs="Times New Roman"/>
              </w:rPr>
            </w:pPr>
            <w:r>
              <w:rPr>
                <w:rFonts w:ascii="Times New Roman" w:hAnsi="Times New Roman" w:eastAsia="宋体" w:cs="Times New Roman"/>
              </w:rPr>
              <w:t>居民点</w:t>
            </w:r>
          </w:p>
        </w:tc>
        <w:tc>
          <w:tcPr>
            <w:tcW w:w="509" w:type="pct"/>
            <w:vAlign w:val="center"/>
          </w:tcPr>
          <w:p>
            <w:pPr>
              <w:jc w:val="center"/>
              <w:rPr>
                <w:rFonts w:ascii="Times New Roman" w:hAnsi="Times New Roman" w:eastAsia="宋体" w:cs="Times New Roman"/>
              </w:rPr>
            </w:pPr>
            <w:r>
              <w:rPr>
                <w:rFonts w:ascii="Times New Roman" w:hAnsi="Times New Roman" w:eastAsia="宋体" w:cs="Times New Roman"/>
              </w:rPr>
              <w:t>人群</w:t>
            </w:r>
          </w:p>
        </w:tc>
        <w:tc>
          <w:tcPr>
            <w:tcW w:w="450" w:type="pct"/>
            <w:vMerge w:val="continue"/>
            <w:vAlign w:val="center"/>
          </w:tcPr>
          <w:p>
            <w:pPr>
              <w:pStyle w:val="39"/>
              <w:rPr>
                <w:rFonts w:cs="Times New Roman"/>
              </w:rPr>
            </w:pPr>
          </w:p>
        </w:tc>
        <w:tc>
          <w:tcPr>
            <w:tcW w:w="424" w:type="pct"/>
            <w:vAlign w:val="center"/>
          </w:tcPr>
          <w:p>
            <w:pPr>
              <w:pStyle w:val="39"/>
              <w:rPr>
                <w:rFonts w:cs="Times New Roman"/>
              </w:rPr>
            </w:pPr>
            <w:r>
              <w:rPr>
                <w:rFonts w:hint="eastAsia" w:cs="Times New Roman"/>
              </w:rPr>
              <w:t>SE</w:t>
            </w:r>
          </w:p>
        </w:tc>
        <w:tc>
          <w:tcPr>
            <w:tcW w:w="554" w:type="pct"/>
            <w:vAlign w:val="center"/>
          </w:tcPr>
          <w:p>
            <w:pPr>
              <w:pStyle w:val="39"/>
              <w:rPr>
                <w:rFonts w:cs="Times New Roman"/>
              </w:rPr>
            </w:pPr>
            <w:r>
              <w:rPr>
                <w:rFonts w:hint="eastAsia" w:cs="Times New Roman"/>
              </w:rPr>
              <w:t>2.</w:t>
            </w:r>
            <w:r>
              <w:rPr>
                <w:rFonts w:cs="Times New Roman"/>
              </w:rPr>
              <w:t>05</w:t>
            </w:r>
            <w:r>
              <w:rPr>
                <w:rFonts w:hint="eastAsia" w:cs="Times New Roman"/>
              </w:rPr>
              <w:t>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4" w:type="pct"/>
            <w:vAlign w:val="center"/>
          </w:tcPr>
          <w:p>
            <w:pPr>
              <w:pStyle w:val="39"/>
              <w:rPr>
                <w:rFonts w:cs="Times New Roman"/>
              </w:rPr>
            </w:pPr>
            <w:r>
              <w:rPr>
                <w:rFonts w:hint="eastAsia" w:cs="Times New Roman"/>
              </w:rPr>
              <w:t>砖</w:t>
            </w:r>
            <w:r>
              <w:rPr>
                <w:rFonts w:cs="Times New Roman"/>
              </w:rPr>
              <w:t>塘村</w:t>
            </w:r>
          </w:p>
        </w:tc>
        <w:tc>
          <w:tcPr>
            <w:tcW w:w="965" w:type="pct"/>
            <w:vAlign w:val="center"/>
          </w:tcPr>
          <w:p>
            <w:pPr>
              <w:pStyle w:val="39"/>
              <w:rPr>
                <w:rFonts w:cs="Times New Roman"/>
              </w:rPr>
            </w:pPr>
            <w:r>
              <w:rPr>
                <w:rFonts w:cs="Times New Roman"/>
              </w:rPr>
              <w:t>112.410517610</w:t>
            </w:r>
          </w:p>
        </w:tc>
        <w:tc>
          <w:tcPr>
            <w:tcW w:w="833" w:type="pct"/>
            <w:vAlign w:val="center"/>
          </w:tcPr>
          <w:p>
            <w:pPr>
              <w:pStyle w:val="39"/>
              <w:rPr>
                <w:rFonts w:cs="Times New Roman"/>
              </w:rPr>
            </w:pPr>
            <w:r>
              <w:rPr>
                <w:rFonts w:cs="Times New Roman"/>
              </w:rPr>
              <w:t>27.056139709</w:t>
            </w:r>
          </w:p>
        </w:tc>
        <w:tc>
          <w:tcPr>
            <w:tcW w:w="510" w:type="pct"/>
            <w:vAlign w:val="center"/>
          </w:tcPr>
          <w:p>
            <w:pPr>
              <w:jc w:val="center"/>
              <w:rPr>
                <w:rFonts w:ascii="Times New Roman" w:hAnsi="Times New Roman" w:eastAsia="宋体" w:cs="Times New Roman"/>
              </w:rPr>
            </w:pPr>
            <w:r>
              <w:rPr>
                <w:rFonts w:ascii="Times New Roman" w:hAnsi="Times New Roman" w:eastAsia="宋体" w:cs="Times New Roman"/>
              </w:rPr>
              <w:t>居民点</w:t>
            </w:r>
          </w:p>
        </w:tc>
        <w:tc>
          <w:tcPr>
            <w:tcW w:w="509" w:type="pct"/>
            <w:vAlign w:val="center"/>
          </w:tcPr>
          <w:p>
            <w:pPr>
              <w:jc w:val="center"/>
              <w:rPr>
                <w:rFonts w:ascii="Times New Roman" w:hAnsi="Times New Roman" w:eastAsia="宋体" w:cs="Times New Roman"/>
              </w:rPr>
            </w:pPr>
            <w:r>
              <w:rPr>
                <w:rFonts w:ascii="Times New Roman" w:hAnsi="Times New Roman" w:eastAsia="宋体" w:cs="Times New Roman"/>
              </w:rPr>
              <w:t>人群</w:t>
            </w:r>
          </w:p>
        </w:tc>
        <w:tc>
          <w:tcPr>
            <w:tcW w:w="450" w:type="pct"/>
            <w:vMerge w:val="continue"/>
            <w:vAlign w:val="center"/>
          </w:tcPr>
          <w:p>
            <w:pPr>
              <w:pStyle w:val="39"/>
              <w:rPr>
                <w:rFonts w:cs="Times New Roman"/>
              </w:rPr>
            </w:pPr>
          </w:p>
        </w:tc>
        <w:tc>
          <w:tcPr>
            <w:tcW w:w="424" w:type="pct"/>
            <w:vAlign w:val="center"/>
          </w:tcPr>
          <w:p>
            <w:pPr>
              <w:pStyle w:val="39"/>
              <w:rPr>
                <w:rFonts w:cs="Times New Roman"/>
              </w:rPr>
            </w:pPr>
            <w:r>
              <w:rPr>
                <w:rFonts w:hint="eastAsia" w:cs="Times New Roman"/>
              </w:rPr>
              <w:t>SE</w:t>
            </w:r>
          </w:p>
        </w:tc>
        <w:tc>
          <w:tcPr>
            <w:tcW w:w="554" w:type="pct"/>
            <w:vAlign w:val="center"/>
          </w:tcPr>
          <w:p>
            <w:pPr>
              <w:pStyle w:val="39"/>
              <w:rPr>
                <w:rFonts w:cs="Times New Roman"/>
              </w:rPr>
            </w:pPr>
            <w:r>
              <w:rPr>
                <w:rFonts w:hint="eastAsia" w:cs="Times New Roman"/>
              </w:rPr>
              <w:t>2.75</w:t>
            </w:r>
            <w:r>
              <w:rPr>
                <w:rFonts w:cs="Times New Roman"/>
              </w:rPr>
              <w:t>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4" w:type="pct"/>
            <w:vAlign w:val="center"/>
          </w:tcPr>
          <w:p>
            <w:pPr>
              <w:pStyle w:val="39"/>
              <w:rPr>
                <w:rFonts w:cs="Times New Roman"/>
              </w:rPr>
            </w:pPr>
            <w:r>
              <w:rPr>
                <w:rFonts w:hint="eastAsia" w:cs="Times New Roman"/>
              </w:rPr>
              <w:t>台</w:t>
            </w:r>
            <w:r>
              <w:rPr>
                <w:rFonts w:cs="Times New Roman"/>
              </w:rPr>
              <w:t>源拦河坝</w:t>
            </w:r>
          </w:p>
        </w:tc>
        <w:tc>
          <w:tcPr>
            <w:tcW w:w="965" w:type="pct"/>
            <w:vAlign w:val="center"/>
          </w:tcPr>
          <w:p>
            <w:pPr>
              <w:pStyle w:val="39"/>
              <w:rPr>
                <w:rFonts w:cs="Times New Roman"/>
              </w:rPr>
            </w:pPr>
            <w:r>
              <w:rPr>
                <w:rFonts w:cs="Times New Roman"/>
              </w:rPr>
              <w:t>112.412062563</w:t>
            </w:r>
          </w:p>
        </w:tc>
        <w:tc>
          <w:tcPr>
            <w:tcW w:w="833" w:type="pct"/>
            <w:vAlign w:val="center"/>
          </w:tcPr>
          <w:p>
            <w:pPr>
              <w:pStyle w:val="39"/>
              <w:rPr>
                <w:rFonts w:cs="Times New Roman"/>
              </w:rPr>
            </w:pPr>
            <w:r>
              <w:rPr>
                <w:rFonts w:cs="Times New Roman"/>
              </w:rPr>
              <w:t>27.060474159</w:t>
            </w:r>
          </w:p>
        </w:tc>
        <w:tc>
          <w:tcPr>
            <w:tcW w:w="510" w:type="pct"/>
            <w:vAlign w:val="center"/>
          </w:tcPr>
          <w:p>
            <w:pPr>
              <w:jc w:val="center"/>
              <w:rPr>
                <w:rFonts w:ascii="Times New Roman" w:hAnsi="Times New Roman" w:eastAsia="宋体" w:cs="Times New Roman"/>
              </w:rPr>
            </w:pPr>
            <w:r>
              <w:rPr>
                <w:rFonts w:ascii="Times New Roman" w:hAnsi="Times New Roman" w:eastAsia="宋体" w:cs="Times New Roman"/>
              </w:rPr>
              <w:t>居民点</w:t>
            </w:r>
          </w:p>
        </w:tc>
        <w:tc>
          <w:tcPr>
            <w:tcW w:w="509" w:type="pct"/>
            <w:vAlign w:val="center"/>
          </w:tcPr>
          <w:p>
            <w:pPr>
              <w:jc w:val="center"/>
              <w:rPr>
                <w:rFonts w:ascii="Times New Roman" w:hAnsi="Times New Roman" w:eastAsia="宋体" w:cs="Times New Roman"/>
              </w:rPr>
            </w:pPr>
            <w:r>
              <w:rPr>
                <w:rFonts w:ascii="Times New Roman" w:hAnsi="Times New Roman" w:eastAsia="宋体" w:cs="Times New Roman"/>
              </w:rPr>
              <w:t>人群</w:t>
            </w:r>
          </w:p>
        </w:tc>
        <w:tc>
          <w:tcPr>
            <w:tcW w:w="450" w:type="pct"/>
            <w:vMerge w:val="continue"/>
            <w:vAlign w:val="center"/>
          </w:tcPr>
          <w:p>
            <w:pPr>
              <w:pStyle w:val="39"/>
              <w:rPr>
                <w:rFonts w:cs="Times New Roman"/>
              </w:rPr>
            </w:pPr>
          </w:p>
        </w:tc>
        <w:tc>
          <w:tcPr>
            <w:tcW w:w="424" w:type="pct"/>
            <w:vAlign w:val="center"/>
          </w:tcPr>
          <w:p>
            <w:pPr>
              <w:pStyle w:val="39"/>
              <w:rPr>
                <w:rFonts w:cs="Times New Roman"/>
              </w:rPr>
            </w:pPr>
            <w:r>
              <w:rPr>
                <w:rFonts w:hint="eastAsia" w:cs="Times New Roman"/>
              </w:rPr>
              <w:t>SE</w:t>
            </w:r>
          </w:p>
        </w:tc>
        <w:tc>
          <w:tcPr>
            <w:tcW w:w="554" w:type="pct"/>
            <w:vAlign w:val="center"/>
          </w:tcPr>
          <w:p>
            <w:pPr>
              <w:pStyle w:val="39"/>
              <w:rPr>
                <w:rFonts w:cs="Times New Roman"/>
              </w:rPr>
            </w:pPr>
            <w:r>
              <w:rPr>
                <w:rFonts w:hint="eastAsia" w:cs="Times New Roman"/>
              </w:rPr>
              <w:t>2.</w:t>
            </w:r>
            <w:r>
              <w:rPr>
                <w:rFonts w:cs="Times New Roman"/>
              </w:rPr>
              <w:t>4</w:t>
            </w:r>
            <w:r>
              <w:rPr>
                <w:rFonts w:hint="eastAsia" w:cs="Times New Roman"/>
              </w:rPr>
              <w:t>5</w:t>
            </w:r>
            <w:r>
              <w:rPr>
                <w:rFonts w:cs="Times New Roman"/>
              </w:rPr>
              <w:t>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4" w:type="pct"/>
            <w:vAlign w:val="center"/>
          </w:tcPr>
          <w:p>
            <w:pPr>
              <w:pStyle w:val="39"/>
              <w:rPr>
                <w:rFonts w:cs="Times New Roman"/>
              </w:rPr>
            </w:pPr>
            <w:r>
              <w:rPr>
                <w:rFonts w:hint="eastAsia" w:cs="Times New Roman"/>
              </w:rPr>
              <w:t>王</w:t>
            </w:r>
            <w:r>
              <w:rPr>
                <w:rFonts w:cs="Times New Roman"/>
              </w:rPr>
              <w:t>大</w:t>
            </w:r>
            <w:r>
              <w:rPr>
                <w:rFonts w:hint="eastAsia" w:cs="Times New Roman"/>
              </w:rPr>
              <w:t>屋</w:t>
            </w:r>
          </w:p>
        </w:tc>
        <w:tc>
          <w:tcPr>
            <w:tcW w:w="965" w:type="pct"/>
            <w:vAlign w:val="center"/>
          </w:tcPr>
          <w:p>
            <w:pPr>
              <w:pStyle w:val="39"/>
              <w:rPr>
                <w:rFonts w:cs="Times New Roman"/>
              </w:rPr>
            </w:pPr>
            <w:r>
              <w:rPr>
                <w:rFonts w:cs="Times New Roman"/>
              </w:rPr>
              <w:t>112.407127298</w:t>
            </w:r>
          </w:p>
        </w:tc>
        <w:tc>
          <w:tcPr>
            <w:tcW w:w="833" w:type="pct"/>
            <w:vAlign w:val="center"/>
          </w:tcPr>
          <w:p>
            <w:pPr>
              <w:pStyle w:val="39"/>
              <w:rPr>
                <w:rFonts w:cs="Times New Roman"/>
              </w:rPr>
            </w:pPr>
            <w:r>
              <w:rPr>
                <w:rFonts w:cs="Times New Roman"/>
              </w:rPr>
              <w:t>27.077425720</w:t>
            </w:r>
          </w:p>
        </w:tc>
        <w:tc>
          <w:tcPr>
            <w:tcW w:w="510" w:type="pct"/>
            <w:vAlign w:val="center"/>
          </w:tcPr>
          <w:p>
            <w:pPr>
              <w:jc w:val="center"/>
              <w:rPr>
                <w:rFonts w:ascii="Times New Roman" w:hAnsi="Times New Roman" w:eastAsia="宋体" w:cs="Times New Roman"/>
              </w:rPr>
            </w:pPr>
            <w:r>
              <w:rPr>
                <w:rFonts w:ascii="Times New Roman" w:hAnsi="Times New Roman" w:eastAsia="宋体" w:cs="Times New Roman"/>
              </w:rPr>
              <w:t>居民点</w:t>
            </w:r>
          </w:p>
        </w:tc>
        <w:tc>
          <w:tcPr>
            <w:tcW w:w="509" w:type="pct"/>
            <w:vAlign w:val="center"/>
          </w:tcPr>
          <w:p>
            <w:pPr>
              <w:jc w:val="center"/>
              <w:rPr>
                <w:rFonts w:ascii="Times New Roman" w:hAnsi="Times New Roman" w:eastAsia="宋体" w:cs="Times New Roman"/>
              </w:rPr>
            </w:pPr>
            <w:r>
              <w:rPr>
                <w:rFonts w:ascii="Times New Roman" w:hAnsi="Times New Roman" w:eastAsia="宋体" w:cs="Times New Roman"/>
              </w:rPr>
              <w:t>人群</w:t>
            </w:r>
          </w:p>
        </w:tc>
        <w:tc>
          <w:tcPr>
            <w:tcW w:w="450" w:type="pct"/>
            <w:vMerge w:val="continue"/>
            <w:vAlign w:val="center"/>
          </w:tcPr>
          <w:p>
            <w:pPr>
              <w:pStyle w:val="39"/>
              <w:rPr>
                <w:rFonts w:cs="Times New Roman"/>
              </w:rPr>
            </w:pPr>
          </w:p>
        </w:tc>
        <w:tc>
          <w:tcPr>
            <w:tcW w:w="424" w:type="pct"/>
            <w:vAlign w:val="center"/>
          </w:tcPr>
          <w:p>
            <w:pPr>
              <w:pStyle w:val="39"/>
              <w:rPr>
                <w:rFonts w:cs="Times New Roman"/>
              </w:rPr>
            </w:pPr>
            <w:r>
              <w:rPr>
                <w:rFonts w:cs="Times New Roman"/>
              </w:rPr>
              <w:t>E</w:t>
            </w:r>
          </w:p>
        </w:tc>
        <w:tc>
          <w:tcPr>
            <w:tcW w:w="554" w:type="pct"/>
            <w:vAlign w:val="center"/>
          </w:tcPr>
          <w:p>
            <w:pPr>
              <w:pStyle w:val="39"/>
              <w:rPr>
                <w:rFonts w:cs="Times New Roman"/>
              </w:rPr>
            </w:pPr>
            <w:r>
              <w:rPr>
                <w:rFonts w:cs="Times New Roman"/>
              </w:rPr>
              <w:t>1.17km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4" w:type="pct"/>
            <w:vAlign w:val="center"/>
          </w:tcPr>
          <w:p>
            <w:pPr>
              <w:pStyle w:val="39"/>
              <w:rPr>
                <w:rFonts w:cs="Times New Roman"/>
              </w:rPr>
            </w:pPr>
            <w:r>
              <w:rPr>
                <w:rFonts w:hint="eastAsia" w:cs="Times New Roman"/>
              </w:rPr>
              <w:t>陈</w:t>
            </w:r>
            <w:r>
              <w:rPr>
                <w:rFonts w:cs="Times New Roman"/>
              </w:rPr>
              <w:t>大屋</w:t>
            </w:r>
          </w:p>
        </w:tc>
        <w:tc>
          <w:tcPr>
            <w:tcW w:w="965" w:type="pct"/>
            <w:vAlign w:val="center"/>
          </w:tcPr>
          <w:p>
            <w:pPr>
              <w:pStyle w:val="39"/>
              <w:rPr>
                <w:rFonts w:cs="Times New Roman"/>
              </w:rPr>
            </w:pPr>
            <w:r>
              <w:rPr>
                <w:rFonts w:cs="Times New Roman"/>
              </w:rPr>
              <w:t>112.418564237</w:t>
            </w:r>
          </w:p>
        </w:tc>
        <w:tc>
          <w:tcPr>
            <w:tcW w:w="833" w:type="pct"/>
            <w:vAlign w:val="center"/>
          </w:tcPr>
          <w:p>
            <w:pPr>
              <w:pStyle w:val="39"/>
              <w:rPr>
                <w:rFonts w:cs="Times New Roman"/>
              </w:rPr>
            </w:pPr>
            <w:r>
              <w:rPr>
                <w:rFonts w:cs="Times New Roman"/>
              </w:rPr>
              <w:t>27.078262569</w:t>
            </w:r>
          </w:p>
        </w:tc>
        <w:tc>
          <w:tcPr>
            <w:tcW w:w="510" w:type="pct"/>
            <w:vAlign w:val="center"/>
          </w:tcPr>
          <w:p>
            <w:pPr>
              <w:jc w:val="center"/>
              <w:rPr>
                <w:rFonts w:ascii="Times New Roman" w:hAnsi="Times New Roman" w:eastAsia="宋体" w:cs="Times New Roman"/>
              </w:rPr>
            </w:pPr>
            <w:r>
              <w:rPr>
                <w:rFonts w:ascii="Times New Roman" w:hAnsi="Times New Roman" w:eastAsia="宋体" w:cs="Times New Roman"/>
              </w:rPr>
              <w:t>居民点</w:t>
            </w:r>
          </w:p>
        </w:tc>
        <w:tc>
          <w:tcPr>
            <w:tcW w:w="509" w:type="pct"/>
            <w:vAlign w:val="center"/>
          </w:tcPr>
          <w:p>
            <w:pPr>
              <w:jc w:val="center"/>
              <w:rPr>
                <w:rFonts w:ascii="Times New Roman" w:hAnsi="Times New Roman" w:eastAsia="宋体" w:cs="Times New Roman"/>
              </w:rPr>
            </w:pPr>
            <w:r>
              <w:rPr>
                <w:rFonts w:ascii="Times New Roman" w:hAnsi="Times New Roman" w:eastAsia="宋体" w:cs="Times New Roman"/>
              </w:rPr>
              <w:t>人群</w:t>
            </w:r>
          </w:p>
        </w:tc>
        <w:tc>
          <w:tcPr>
            <w:tcW w:w="450" w:type="pct"/>
            <w:vMerge w:val="continue"/>
            <w:vAlign w:val="center"/>
          </w:tcPr>
          <w:p>
            <w:pPr>
              <w:pStyle w:val="39"/>
              <w:rPr>
                <w:rFonts w:cs="Times New Roman"/>
              </w:rPr>
            </w:pPr>
          </w:p>
        </w:tc>
        <w:tc>
          <w:tcPr>
            <w:tcW w:w="424" w:type="pct"/>
            <w:vAlign w:val="center"/>
          </w:tcPr>
          <w:p>
            <w:pPr>
              <w:pStyle w:val="39"/>
              <w:rPr>
                <w:rFonts w:cs="Times New Roman"/>
              </w:rPr>
            </w:pPr>
            <w:r>
              <w:rPr>
                <w:rFonts w:hint="eastAsia" w:cs="Times New Roman"/>
              </w:rPr>
              <w:t>E</w:t>
            </w:r>
          </w:p>
        </w:tc>
        <w:tc>
          <w:tcPr>
            <w:tcW w:w="554" w:type="pct"/>
            <w:vAlign w:val="center"/>
          </w:tcPr>
          <w:p>
            <w:pPr>
              <w:pStyle w:val="39"/>
              <w:rPr>
                <w:rFonts w:cs="Times New Roman"/>
              </w:rPr>
            </w:pPr>
            <w:r>
              <w:rPr>
                <w:rFonts w:cs="Times New Roman"/>
              </w:rPr>
              <w:t>2</w:t>
            </w:r>
            <w:r>
              <w:rPr>
                <w:rFonts w:hint="eastAsia" w:cs="Times New Roman"/>
              </w:rPr>
              <w:t>.27km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4" w:type="pct"/>
            <w:vAlign w:val="center"/>
          </w:tcPr>
          <w:p>
            <w:pPr>
              <w:pStyle w:val="39"/>
              <w:rPr>
                <w:rFonts w:cs="Times New Roman"/>
              </w:rPr>
            </w:pPr>
            <w:r>
              <w:rPr>
                <w:rFonts w:hint="eastAsia" w:cs="Times New Roman"/>
              </w:rPr>
              <w:t>陈</w:t>
            </w:r>
            <w:r>
              <w:rPr>
                <w:rFonts w:cs="Times New Roman"/>
              </w:rPr>
              <w:t>家门</w:t>
            </w:r>
          </w:p>
        </w:tc>
        <w:tc>
          <w:tcPr>
            <w:tcW w:w="965" w:type="pct"/>
            <w:vAlign w:val="center"/>
          </w:tcPr>
          <w:p>
            <w:pPr>
              <w:pStyle w:val="39"/>
              <w:rPr>
                <w:rFonts w:cs="Times New Roman"/>
              </w:rPr>
            </w:pPr>
            <w:r>
              <w:rPr>
                <w:rFonts w:cs="Times New Roman"/>
              </w:rPr>
              <w:t>112.397836126</w:t>
            </w:r>
          </w:p>
        </w:tc>
        <w:tc>
          <w:tcPr>
            <w:tcW w:w="833" w:type="pct"/>
            <w:vAlign w:val="center"/>
          </w:tcPr>
          <w:p>
            <w:pPr>
              <w:pStyle w:val="39"/>
              <w:rPr>
                <w:rFonts w:cs="Times New Roman"/>
              </w:rPr>
            </w:pPr>
            <w:r>
              <w:rPr>
                <w:rFonts w:cs="Times New Roman"/>
              </w:rPr>
              <w:t>27.081824543</w:t>
            </w:r>
          </w:p>
        </w:tc>
        <w:tc>
          <w:tcPr>
            <w:tcW w:w="510" w:type="pct"/>
            <w:vAlign w:val="center"/>
          </w:tcPr>
          <w:p>
            <w:pPr>
              <w:jc w:val="center"/>
              <w:rPr>
                <w:rFonts w:ascii="Times New Roman" w:hAnsi="Times New Roman" w:eastAsia="宋体" w:cs="Times New Roman"/>
              </w:rPr>
            </w:pPr>
            <w:r>
              <w:rPr>
                <w:rFonts w:ascii="Times New Roman" w:hAnsi="Times New Roman" w:eastAsia="宋体" w:cs="Times New Roman"/>
              </w:rPr>
              <w:t>居民点</w:t>
            </w:r>
          </w:p>
        </w:tc>
        <w:tc>
          <w:tcPr>
            <w:tcW w:w="509" w:type="pct"/>
            <w:vAlign w:val="center"/>
          </w:tcPr>
          <w:p>
            <w:pPr>
              <w:jc w:val="center"/>
              <w:rPr>
                <w:rFonts w:ascii="Times New Roman" w:hAnsi="Times New Roman" w:eastAsia="宋体" w:cs="Times New Roman"/>
              </w:rPr>
            </w:pPr>
            <w:r>
              <w:rPr>
                <w:rFonts w:ascii="Times New Roman" w:hAnsi="Times New Roman" w:eastAsia="宋体" w:cs="Times New Roman"/>
              </w:rPr>
              <w:t>人群</w:t>
            </w:r>
          </w:p>
        </w:tc>
        <w:tc>
          <w:tcPr>
            <w:tcW w:w="450" w:type="pct"/>
            <w:vMerge w:val="continue"/>
            <w:vAlign w:val="center"/>
          </w:tcPr>
          <w:p>
            <w:pPr>
              <w:pStyle w:val="39"/>
              <w:rPr>
                <w:rFonts w:cs="Times New Roman"/>
              </w:rPr>
            </w:pPr>
          </w:p>
        </w:tc>
        <w:tc>
          <w:tcPr>
            <w:tcW w:w="424" w:type="pct"/>
            <w:vAlign w:val="center"/>
          </w:tcPr>
          <w:p>
            <w:pPr>
              <w:pStyle w:val="39"/>
              <w:rPr>
                <w:rFonts w:cs="Times New Roman"/>
              </w:rPr>
            </w:pPr>
            <w:r>
              <w:rPr>
                <w:rFonts w:hint="eastAsia" w:cs="Times New Roman"/>
              </w:rPr>
              <w:t>NE</w:t>
            </w:r>
          </w:p>
        </w:tc>
        <w:tc>
          <w:tcPr>
            <w:tcW w:w="554" w:type="pct"/>
            <w:vAlign w:val="center"/>
          </w:tcPr>
          <w:p>
            <w:pPr>
              <w:pStyle w:val="39"/>
              <w:rPr>
                <w:rFonts w:cs="Times New Roman"/>
              </w:rPr>
            </w:pPr>
            <w:r>
              <w:rPr>
                <w:rFonts w:cs="Times New Roman"/>
              </w:rPr>
              <w:t>406</w:t>
            </w:r>
            <w:r>
              <w:rPr>
                <w:rFonts w:hint="eastAsia" w:cs="Times New Roma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4" w:type="pct"/>
            <w:vAlign w:val="center"/>
          </w:tcPr>
          <w:p>
            <w:pPr>
              <w:pStyle w:val="39"/>
              <w:rPr>
                <w:rFonts w:cs="Times New Roman"/>
              </w:rPr>
            </w:pPr>
            <w:r>
              <w:rPr>
                <w:rFonts w:hint="eastAsia" w:cs="Times New Roman"/>
              </w:rPr>
              <w:t>寺</w:t>
            </w:r>
            <w:r>
              <w:rPr>
                <w:rFonts w:cs="Times New Roman"/>
              </w:rPr>
              <w:t>山村</w:t>
            </w:r>
          </w:p>
        </w:tc>
        <w:tc>
          <w:tcPr>
            <w:tcW w:w="965" w:type="pct"/>
            <w:vAlign w:val="center"/>
          </w:tcPr>
          <w:p>
            <w:pPr>
              <w:pStyle w:val="39"/>
              <w:rPr>
                <w:rFonts w:cs="Times New Roman"/>
              </w:rPr>
            </w:pPr>
            <w:r>
              <w:rPr>
                <w:rFonts w:cs="Times New Roman"/>
              </w:rPr>
              <w:t>112.400754369</w:t>
            </w:r>
          </w:p>
        </w:tc>
        <w:tc>
          <w:tcPr>
            <w:tcW w:w="833" w:type="pct"/>
            <w:vAlign w:val="center"/>
          </w:tcPr>
          <w:p>
            <w:pPr>
              <w:pStyle w:val="39"/>
              <w:rPr>
                <w:rFonts w:cs="Times New Roman"/>
              </w:rPr>
            </w:pPr>
            <w:r>
              <w:rPr>
                <w:rFonts w:cs="Times New Roman"/>
              </w:rPr>
              <w:t>27.084313633</w:t>
            </w:r>
          </w:p>
        </w:tc>
        <w:tc>
          <w:tcPr>
            <w:tcW w:w="510" w:type="pct"/>
            <w:vAlign w:val="center"/>
          </w:tcPr>
          <w:p>
            <w:pPr>
              <w:jc w:val="center"/>
              <w:rPr>
                <w:rFonts w:ascii="Times New Roman" w:hAnsi="Times New Roman" w:eastAsia="宋体" w:cs="Times New Roman"/>
              </w:rPr>
            </w:pPr>
            <w:r>
              <w:rPr>
                <w:rFonts w:ascii="Times New Roman" w:hAnsi="Times New Roman" w:eastAsia="宋体" w:cs="Times New Roman"/>
              </w:rPr>
              <w:t>居民点</w:t>
            </w:r>
          </w:p>
        </w:tc>
        <w:tc>
          <w:tcPr>
            <w:tcW w:w="509" w:type="pct"/>
            <w:vAlign w:val="center"/>
          </w:tcPr>
          <w:p>
            <w:pPr>
              <w:jc w:val="center"/>
              <w:rPr>
                <w:rFonts w:ascii="Times New Roman" w:hAnsi="Times New Roman" w:eastAsia="宋体" w:cs="Times New Roman"/>
              </w:rPr>
            </w:pPr>
            <w:r>
              <w:rPr>
                <w:rFonts w:ascii="Times New Roman" w:hAnsi="Times New Roman" w:eastAsia="宋体" w:cs="Times New Roman"/>
              </w:rPr>
              <w:t>人群</w:t>
            </w:r>
          </w:p>
        </w:tc>
        <w:tc>
          <w:tcPr>
            <w:tcW w:w="450" w:type="pct"/>
            <w:vMerge w:val="continue"/>
            <w:vAlign w:val="center"/>
          </w:tcPr>
          <w:p>
            <w:pPr>
              <w:pStyle w:val="39"/>
              <w:rPr>
                <w:rFonts w:cs="Times New Roman"/>
              </w:rPr>
            </w:pPr>
          </w:p>
        </w:tc>
        <w:tc>
          <w:tcPr>
            <w:tcW w:w="424" w:type="pct"/>
            <w:vAlign w:val="center"/>
          </w:tcPr>
          <w:p>
            <w:pPr>
              <w:pStyle w:val="39"/>
              <w:rPr>
                <w:rFonts w:cs="Times New Roman"/>
              </w:rPr>
            </w:pPr>
            <w:r>
              <w:rPr>
                <w:rFonts w:hint="eastAsia" w:cs="Times New Roman"/>
              </w:rPr>
              <w:t>N</w:t>
            </w:r>
            <w:r>
              <w:rPr>
                <w:rFonts w:cs="Times New Roman"/>
              </w:rPr>
              <w:t>E</w:t>
            </w:r>
          </w:p>
        </w:tc>
        <w:tc>
          <w:tcPr>
            <w:tcW w:w="554" w:type="pct"/>
            <w:vAlign w:val="center"/>
          </w:tcPr>
          <w:p>
            <w:pPr>
              <w:pStyle w:val="39"/>
              <w:rPr>
                <w:rFonts w:cs="Times New Roman"/>
              </w:rPr>
            </w:pPr>
            <w:r>
              <w:rPr>
                <w:rFonts w:hint="eastAsia" w:cs="Times New Roman"/>
              </w:rPr>
              <w:t>7</w:t>
            </w:r>
            <w:r>
              <w:rPr>
                <w:rFonts w:cs="Times New Roman"/>
              </w:rPr>
              <w:t>34</w:t>
            </w:r>
            <w:r>
              <w:rPr>
                <w:rFonts w:hint="eastAsia" w:cs="Times New Roman"/>
              </w:rPr>
              <w:t>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4" w:type="pct"/>
            <w:vAlign w:val="center"/>
          </w:tcPr>
          <w:p>
            <w:pPr>
              <w:pStyle w:val="39"/>
              <w:rPr>
                <w:rFonts w:cs="Times New Roman"/>
              </w:rPr>
            </w:pPr>
            <w:r>
              <w:rPr>
                <w:rFonts w:hint="eastAsia" w:cs="Times New Roman"/>
              </w:rPr>
              <w:t>绿</w:t>
            </w:r>
            <w:r>
              <w:rPr>
                <w:rFonts w:cs="Times New Roman"/>
              </w:rPr>
              <w:t>家堂</w:t>
            </w:r>
          </w:p>
        </w:tc>
        <w:tc>
          <w:tcPr>
            <w:tcW w:w="965" w:type="pct"/>
            <w:vAlign w:val="center"/>
          </w:tcPr>
          <w:p>
            <w:pPr>
              <w:pStyle w:val="39"/>
              <w:rPr>
                <w:rFonts w:cs="Times New Roman"/>
              </w:rPr>
            </w:pPr>
            <w:r>
              <w:rPr>
                <w:rFonts w:cs="Times New Roman"/>
              </w:rPr>
              <w:t>112.404144682</w:t>
            </w:r>
          </w:p>
        </w:tc>
        <w:tc>
          <w:tcPr>
            <w:tcW w:w="833" w:type="pct"/>
            <w:vAlign w:val="center"/>
          </w:tcPr>
          <w:p>
            <w:pPr>
              <w:pStyle w:val="39"/>
              <w:rPr>
                <w:rFonts w:cs="Times New Roman"/>
              </w:rPr>
            </w:pPr>
            <w:r>
              <w:rPr>
                <w:rFonts w:cs="Times New Roman"/>
              </w:rPr>
              <w:t>27.081609966</w:t>
            </w:r>
          </w:p>
        </w:tc>
        <w:tc>
          <w:tcPr>
            <w:tcW w:w="510" w:type="pct"/>
            <w:vAlign w:val="center"/>
          </w:tcPr>
          <w:p>
            <w:pPr>
              <w:jc w:val="center"/>
              <w:rPr>
                <w:rFonts w:ascii="Times New Roman" w:hAnsi="Times New Roman" w:eastAsia="宋体" w:cs="Times New Roman"/>
              </w:rPr>
            </w:pPr>
            <w:r>
              <w:rPr>
                <w:rFonts w:ascii="Times New Roman" w:hAnsi="Times New Roman" w:eastAsia="宋体" w:cs="Times New Roman"/>
              </w:rPr>
              <w:t>居民点</w:t>
            </w:r>
          </w:p>
        </w:tc>
        <w:tc>
          <w:tcPr>
            <w:tcW w:w="509" w:type="pct"/>
            <w:vAlign w:val="center"/>
          </w:tcPr>
          <w:p>
            <w:pPr>
              <w:jc w:val="center"/>
              <w:rPr>
                <w:rFonts w:ascii="Times New Roman" w:hAnsi="Times New Roman" w:eastAsia="宋体" w:cs="Times New Roman"/>
              </w:rPr>
            </w:pPr>
            <w:r>
              <w:rPr>
                <w:rFonts w:ascii="Times New Roman" w:hAnsi="Times New Roman" w:eastAsia="宋体" w:cs="Times New Roman"/>
              </w:rPr>
              <w:t>人群</w:t>
            </w:r>
          </w:p>
        </w:tc>
        <w:tc>
          <w:tcPr>
            <w:tcW w:w="450" w:type="pct"/>
            <w:vMerge w:val="continue"/>
            <w:vAlign w:val="center"/>
          </w:tcPr>
          <w:p>
            <w:pPr>
              <w:pStyle w:val="39"/>
              <w:rPr>
                <w:rFonts w:cs="Times New Roman"/>
              </w:rPr>
            </w:pPr>
          </w:p>
        </w:tc>
        <w:tc>
          <w:tcPr>
            <w:tcW w:w="424" w:type="pct"/>
            <w:vAlign w:val="center"/>
          </w:tcPr>
          <w:p>
            <w:pPr>
              <w:pStyle w:val="39"/>
              <w:rPr>
                <w:rFonts w:cs="Times New Roman"/>
              </w:rPr>
            </w:pPr>
            <w:r>
              <w:rPr>
                <w:rFonts w:hint="eastAsia" w:cs="Times New Roman"/>
              </w:rPr>
              <w:t>N</w:t>
            </w:r>
            <w:r>
              <w:rPr>
                <w:rFonts w:cs="Times New Roman"/>
              </w:rPr>
              <w:t>E</w:t>
            </w:r>
          </w:p>
        </w:tc>
        <w:tc>
          <w:tcPr>
            <w:tcW w:w="554" w:type="pct"/>
            <w:vAlign w:val="center"/>
          </w:tcPr>
          <w:p>
            <w:pPr>
              <w:pStyle w:val="39"/>
              <w:rPr>
                <w:rFonts w:cs="Times New Roman"/>
              </w:rPr>
            </w:pPr>
            <w:r>
              <w:rPr>
                <w:rFonts w:cs="Times New Roman"/>
              </w:rPr>
              <w:t>692</w:t>
            </w:r>
            <w:r>
              <w:rPr>
                <w:rFonts w:hint="eastAsia" w:cs="Times New Roma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4" w:type="pct"/>
            <w:vAlign w:val="center"/>
          </w:tcPr>
          <w:p>
            <w:pPr>
              <w:pStyle w:val="39"/>
              <w:rPr>
                <w:rFonts w:cs="Times New Roman"/>
              </w:rPr>
            </w:pPr>
            <w:r>
              <w:rPr>
                <w:rFonts w:hint="eastAsia" w:cs="Times New Roman"/>
              </w:rPr>
              <w:t>边</w:t>
            </w:r>
            <w:r>
              <w:rPr>
                <w:rFonts w:cs="Times New Roman"/>
              </w:rPr>
              <w:t>山</w:t>
            </w:r>
          </w:p>
        </w:tc>
        <w:tc>
          <w:tcPr>
            <w:tcW w:w="965" w:type="pct"/>
            <w:vAlign w:val="center"/>
          </w:tcPr>
          <w:p>
            <w:pPr>
              <w:pStyle w:val="39"/>
              <w:rPr>
                <w:rFonts w:cs="Times New Roman"/>
              </w:rPr>
            </w:pPr>
            <w:r>
              <w:rPr>
                <w:rFonts w:cs="Times New Roman"/>
              </w:rPr>
              <w:t>112.406247533</w:t>
            </w:r>
          </w:p>
        </w:tc>
        <w:tc>
          <w:tcPr>
            <w:tcW w:w="833" w:type="pct"/>
            <w:vAlign w:val="center"/>
          </w:tcPr>
          <w:p>
            <w:pPr>
              <w:pStyle w:val="39"/>
              <w:rPr>
                <w:rFonts w:cs="Times New Roman"/>
              </w:rPr>
            </w:pPr>
            <w:r>
              <w:rPr>
                <w:rFonts w:cs="Times New Roman"/>
              </w:rPr>
              <w:t>27.082039119</w:t>
            </w:r>
          </w:p>
        </w:tc>
        <w:tc>
          <w:tcPr>
            <w:tcW w:w="510" w:type="pct"/>
            <w:vAlign w:val="center"/>
          </w:tcPr>
          <w:p>
            <w:pPr>
              <w:jc w:val="center"/>
              <w:rPr>
                <w:rFonts w:ascii="Times New Roman" w:hAnsi="Times New Roman" w:eastAsia="宋体" w:cs="Times New Roman"/>
              </w:rPr>
            </w:pPr>
            <w:r>
              <w:rPr>
                <w:rFonts w:ascii="Times New Roman" w:hAnsi="Times New Roman" w:eastAsia="宋体" w:cs="Times New Roman"/>
              </w:rPr>
              <w:t>居民点</w:t>
            </w:r>
          </w:p>
        </w:tc>
        <w:tc>
          <w:tcPr>
            <w:tcW w:w="509" w:type="pct"/>
            <w:vAlign w:val="center"/>
          </w:tcPr>
          <w:p>
            <w:pPr>
              <w:jc w:val="center"/>
              <w:rPr>
                <w:rFonts w:ascii="Times New Roman" w:hAnsi="Times New Roman" w:eastAsia="宋体" w:cs="Times New Roman"/>
              </w:rPr>
            </w:pPr>
            <w:r>
              <w:rPr>
                <w:rFonts w:ascii="Times New Roman" w:hAnsi="Times New Roman" w:eastAsia="宋体" w:cs="Times New Roman"/>
              </w:rPr>
              <w:t>人群</w:t>
            </w:r>
          </w:p>
        </w:tc>
        <w:tc>
          <w:tcPr>
            <w:tcW w:w="450" w:type="pct"/>
            <w:vMerge w:val="continue"/>
            <w:vAlign w:val="center"/>
          </w:tcPr>
          <w:p>
            <w:pPr>
              <w:pStyle w:val="39"/>
              <w:rPr>
                <w:rFonts w:cs="Times New Roman"/>
              </w:rPr>
            </w:pPr>
          </w:p>
        </w:tc>
        <w:tc>
          <w:tcPr>
            <w:tcW w:w="424" w:type="pct"/>
            <w:vAlign w:val="center"/>
          </w:tcPr>
          <w:p>
            <w:pPr>
              <w:pStyle w:val="39"/>
              <w:rPr>
                <w:rFonts w:cs="Times New Roman"/>
              </w:rPr>
            </w:pPr>
            <w:r>
              <w:rPr>
                <w:rFonts w:hint="eastAsia" w:cs="Times New Roman"/>
              </w:rPr>
              <w:t>NE</w:t>
            </w:r>
          </w:p>
        </w:tc>
        <w:tc>
          <w:tcPr>
            <w:tcW w:w="554" w:type="pct"/>
            <w:vAlign w:val="center"/>
          </w:tcPr>
          <w:p>
            <w:pPr>
              <w:pStyle w:val="39"/>
              <w:rPr>
                <w:rFonts w:cs="Times New Roman"/>
              </w:rPr>
            </w:pPr>
            <w:r>
              <w:rPr>
                <w:rFonts w:hint="eastAsia" w:cs="Times New Roman"/>
              </w:rPr>
              <w:t>1.</w:t>
            </w:r>
            <w:r>
              <w:rPr>
                <w:rFonts w:cs="Times New Roman"/>
              </w:rPr>
              <w:t>07</w:t>
            </w:r>
            <w:r>
              <w:rPr>
                <w:rFonts w:hint="eastAsia" w:cs="Times New Roman"/>
              </w:rPr>
              <w:t>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4" w:type="pct"/>
            <w:vAlign w:val="center"/>
          </w:tcPr>
          <w:p>
            <w:pPr>
              <w:pStyle w:val="39"/>
              <w:rPr>
                <w:rFonts w:cs="Times New Roman"/>
              </w:rPr>
            </w:pPr>
            <w:r>
              <w:rPr>
                <w:rFonts w:hint="eastAsia" w:cs="Times New Roman"/>
              </w:rPr>
              <w:t>群</w:t>
            </w:r>
            <w:r>
              <w:rPr>
                <w:rFonts w:cs="Times New Roman"/>
              </w:rPr>
              <w:t>英村</w:t>
            </w:r>
          </w:p>
        </w:tc>
        <w:tc>
          <w:tcPr>
            <w:tcW w:w="965" w:type="pct"/>
            <w:vAlign w:val="center"/>
          </w:tcPr>
          <w:p>
            <w:pPr>
              <w:pStyle w:val="39"/>
              <w:rPr>
                <w:rFonts w:cs="Times New Roman"/>
              </w:rPr>
            </w:pPr>
            <w:r>
              <w:rPr>
                <w:rFonts w:cs="Times New Roman"/>
              </w:rPr>
              <w:t>112.409895338</w:t>
            </w:r>
          </w:p>
        </w:tc>
        <w:tc>
          <w:tcPr>
            <w:tcW w:w="833" w:type="pct"/>
            <w:vAlign w:val="center"/>
          </w:tcPr>
          <w:p>
            <w:pPr>
              <w:pStyle w:val="39"/>
              <w:rPr>
                <w:rFonts w:cs="Times New Roman"/>
              </w:rPr>
            </w:pPr>
            <w:r>
              <w:rPr>
                <w:rFonts w:cs="Times New Roman"/>
              </w:rPr>
              <w:t>27.080966236</w:t>
            </w:r>
          </w:p>
        </w:tc>
        <w:tc>
          <w:tcPr>
            <w:tcW w:w="510" w:type="pct"/>
            <w:vAlign w:val="center"/>
          </w:tcPr>
          <w:p>
            <w:pPr>
              <w:jc w:val="center"/>
              <w:rPr>
                <w:rFonts w:ascii="Times New Roman" w:hAnsi="Times New Roman" w:eastAsia="宋体" w:cs="Times New Roman"/>
              </w:rPr>
            </w:pPr>
            <w:r>
              <w:rPr>
                <w:rFonts w:ascii="Times New Roman" w:hAnsi="Times New Roman" w:eastAsia="宋体" w:cs="Times New Roman"/>
              </w:rPr>
              <w:t>居民点</w:t>
            </w:r>
          </w:p>
        </w:tc>
        <w:tc>
          <w:tcPr>
            <w:tcW w:w="509" w:type="pct"/>
            <w:vAlign w:val="center"/>
          </w:tcPr>
          <w:p>
            <w:pPr>
              <w:jc w:val="center"/>
              <w:rPr>
                <w:rFonts w:ascii="Times New Roman" w:hAnsi="Times New Roman" w:eastAsia="宋体" w:cs="Times New Roman"/>
              </w:rPr>
            </w:pPr>
            <w:r>
              <w:rPr>
                <w:rFonts w:ascii="Times New Roman" w:hAnsi="Times New Roman" w:eastAsia="宋体" w:cs="Times New Roman"/>
              </w:rPr>
              <w:t>人群</w:t>
            </w:r>
          </w:p>
        </w:tc>
        <w:tc>
          <w:tcPr>
            <w:tcW w:w="450" w:type="pct"/>
            <w:vMerge w:val="continue"/>
            <w:vAlign w:val="center"/>
          </w:tcPr>
          <w:p>
            <w:pPr>
              <w:pStyle w:val="39"/>
              <w:rPr>
                <w:rFonts w:cs="Times New Roman"/>
              </w:rPr>
            </w:pPr>
          </w:p>
        </w:tc>
        <w:tc>
          <w:tcPr>
            <w:tcW w:w="424" w:type="pct"/>
            <w:vAlign w:val="center"/>
          </w:tcPr>
          <w:p>
            <w:pPr>
              <w:pStyle w:val="39"/>
              <w:rPr>
                <w:rFonts w:cs="Times New Roman"/>
              </w:rPr>
            </w:pPr>
            <w:r>
              <w:rPr>
                <w:rFonts w:cs="Times New Roman"/>
              </w:rPr>
              <w:t>NE</w:t>
            </w:r>
          </w:p>
        </w:tc>
        <w:tc>
          <w:tcPr>
            <w:tcW w:w="554" w:type="pct"/>
            <w:vAlign w:val="center"/>
          </w:tcPr>
          <w:p>
            <w:pPr>
              <w:pStyle w:val="39"/>
              <w:rPr>
                <w:rFonts w:cs="Times New Roman"/>
              </w:rPr>
            </w:pPr>
            <w:r>
              <w:rPr>
                <w:rFonts w:cs="Times New Roman"/>
              </w:rPr>
              <w:t>1.49</w:t>
            </w:r>
            <w:r>
              <w:rPr>
                <w:rFonts w:hint="eastAsia" w:cs="Times New Roman"/>
              </w:rPr>
              <w:t>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4" w:type="pct"/>
            <w:vAlign w:val="center"/>
          </w:tcPr>
          <w:p>
            <w:pPr>
              <w:pStyle w:val="39"/>
              <w:rPr>
                <w:rFonts w:cs="Times New Roman"/>
              </w:rPr>
            </w:pPr>
            <w:r>
              <w:rPr>
                <w:rFonts w:hint="eastAsia" w:cs="Times New Roman"/>
              </w:rPr>
              <w:t>东</w:t>
            </w:r>
            <w:r>
              <w:rPr>
                <w:rFonts w:cs="Times New Roman"/>
              </w:rPr>
              <w:t>湖町</w:t>
            </w:r>
          </w:p>
        </w:tc>
        <w:tc>
          <w:tcPr>
            <w:tcW w:w="965" w:type="pct"/>
            <w:vAlign w:val="center"/>
          </w:tcPr>
          <w:p>
            <w:pPr>
              <w:pStyle w:val="39"/>
              <w:rPr>
                <w:rFonts w:cs="Times New Roman"/>
              </w:rPr>
            </w:pPr>
            <w:r>
              <w:rPr>
                <w:rFonts w:cs="Times New Roman"/>
              </w:rPr>
              <w:t>112.416590131</w:t>
            </w:r>
          </w:p>
        </w:tc>
        <w:tc>
          <w:tcPr>
            <w:tcW w:w="833" w:type="pct"/>
            <w:vAlign w:val="center"/>
          </w:tcPr>
          <w:p>
            <w:pPr>
              <w:pStyle w:val="39"/>
              <w:rPr>
                <w:rFonts w:cs="Times New Roman"/>
              </w:rPr>
            </w:pPr>
            <w:r>
              <w:rPr>
                <w:rFonts w:cs="Times New Roman"/>
              </w:rPr>
              <w:t>27.083498241</w:t>
            </w:r>
          </w:p>
        </w:tc>
        <w:tc>
          <w:tcPr>
            <w:tcW w:w="510" w:type="pct"/>
            <w:vAlign w:val="center"/>
          </w:tcPr>
          <w:p>
            <w:pPr>
              <w:jc w:val="center"/>
              <w:rPr>
                <w:rFonts w:ascii="Times New Roman" w:hAnsi="Times New Roman" w:eastAsia="宋体" w:cs="Times New Roman"/>
              </w:rPr>
            </w:pPr>
            <w:r>
              <w:rPr>
                <w:rFonts w:ascii="Times New Roman" w:hAnsi="Times New Roman" w:eastAsia="宋体" w:cs="Times New Roman"/>
              </w:rPr>
              <w:t>居民点</w:t>
            </w:r>
          </w:p>
        </w:tc>
        <w:tc>
          <w:tcPr>
            <w:tcW w:w="509" w:type="pct"/>
            <w:vAlign w:val="center"/>
          </w:tcPr>
          <w:p>
            <w:pPr>
              <w:jc w:val="center"/>
              <w:rPr>
                <w:rFonts w:ascii="Times New Roman" w:hAnsi="Times New Roman" w:eastAsia="宋体" w:cs="Times New Roman"/>
              </w:rPr>
            </w:pPr>
            <w:r>
              <w:rPr>
                <w:rFonts w:ascii="Times New Roman" w:hAnsi="Times New Roman" w:eastAsia="宋体" w:cs="Times New Roman"/>
              </w:rPr>
              <w:t>人群</w:t>
            </w:r>
          </w:p>
        </w:tc>
        <w:tc>
          <w:tcPr>
            <w:tcW w:w="450" w:type="pct"/>
            <w:vMerge w:val="continue"/>
            <w:vAlign w:val="center"/>
          </w:tcPr>
          <w:p>
            <w:pPr>
              <w:pStyle w:val="39"/>
              <w:rPr>
                <w:rFonts w:cs="Times New Roman"/>
              </w:rPr>
            </w:pPr>
          </w:p>
        </w:tc>
        <w:tc>
          <w:tcPr>
            <w:tcW w:w="424" w:type="pct"/>
            <w:vAlign w:val="center"/>
          </w:tcPr>
          <w:p>
            <w:pPr>
              <w:pStyle w:val="39"/>
              <w:rPr>
                <w:rFonts w:cs="Times New Roman"/>
              </w:rPr>
            </w:pPr>
            <w:r>
              <w:rPr>
                <w:rFonts w:cs="Times New Roman"/>
              </w:rPr>
              <w:t>NE</w:t>
            </w:r>
          </w:p>
        </w:tc>
        <w:tc>
          <w:tcPr>
            <w:tcW w:w="554" w:type="pct"/>
            <w:vAlign w:val="center"/>
          </w:tcPr>
          <w:p>
            <w:pPr>
              <w:pStyle w:val="39"/>
              <w:rPr>
                <w:rFonts w:cs="Times New Roman"/>
              </w:rPr>
            </w:pPr>
            <w:r>
              <w:rPr>
                <w:rFonts w:cs="Times New Roman"/>
              </w:rPr>
              <w:t>2.20</w:t>
            </w:r>
            <w:r>
              <w:rPr>
                <w:rFonts w:hint="eastAsia" w:cs="Times New Roman"/>
              </w:rPr>
              <w:t>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4" w:type="pct"/>
            <w:vAlign w:val="center"/>
          </w:tcPr>
          <w:p>
            <w:pPr>
              <w:pStyle w:val="39"/>
              <w:rPr>
                <w:rFonts w:cs="Times New Roman"/>
              </w:rPr>
            </w:pPr>
            <w:r>
              <w:rPr>
                <w:rFonts w:hint="eastAsia" w:cs="Times New Roman"/>
              </w:rPr>
              <w:t>道坪</w:t>
            </w:r>
            <w:r>
              <w:rPr>
                <w:rFonts w:cs="Times New Roman"/>
              </w:rPr>
              <w:t>塘</w:t>
            </w:r>
          </w:p>
        </w:tc>
        <w:tc>
          <w:tcPr>
            <w:tcW w:w="965" w:type="pct"/>
            <w:vAlign w:val="center"/>
          </w:tcPr>
          <w:p>
            <w:pPr>
              <w:pStyle w:val="39"/>
              <w:rPr>
                <w:rFonts w:cs="Times New Roman"/>
              </w:rPr>
            </w:pPr>
            <w:r>
              <w:rPr>
                <w:rFonts w:cs="Times New Roman"/>
              </w:rPr>
              <w:t>112.418392576</w:t>
            </w:r>
          </w:p>
        </w:tc>
        <w:tc>
          <w:tcPr>
            <w:tcW w:w="833" w:type="pct"/>
            <w:vAlign w:val="center"/>
          </w:tcPr>
          <w:p>
            <w:pPr>
              <w:pStyle w:val="39"/>
              <w:rPr>
                <w:rFonts w:cs="Times New Roman"/>
              </w:rPr>
            </w:pPr>
            <w:r>
              <w:rPr>
                <w:rFonts w:cs="Times New Roman"/>
              </w:rPr>
              <w:t>27.091523410</w:t>
            </w:r>
          </w:p>
        </w:tc>
        <w:tc>
          <w:tcPr>
            <w:tcW w:w="510" w:type="pct"/>
            <w:vAlign w:val="center"/>
          </w:tcPr>
          <w:p>
            <w:pPr>
              <w:jc w:val="center"/>
              <w:rPr>
                <w:rFonts w:ascii="Times New Roman" w:hAnsi="Times New Roman" w:eastAsia="宋体" w:cs="Times New Roman"/>
              </w:rPr>
            </w:pPr>
            <w:r>
              <w:rPr>
                <w:rFonts w:ascii="Times New Roman" w:hAnsi="Times New Roman" w:eastAsia="宋体" w:cs="Times New Roman"/>
              </w:rPr>
              <w:t>居民点</w:t>
            </w:r>
          </w:p>
        </w:tc>
        <w:tc>
          <w:tcPr>
            <w:tcW w:w="509" w:type="pct"/>
            <w:vAlign w:val="center"/>
          </w:tcPr>
          <w:p>
            <w:pPr>
              <w:jc w:val="center"/>
              <w:rPr>
                <w:rFonts w:ascii="Times New Roman" w:hAnsi="Times New Roman" w:eastAsia="宋体" w:cs="Times New Roman"/>
              </w:rPr>
            </w:pPr>
            <w:r>
              <w:rPr>
                <w:rFonts w:ascii="Times New Roman" w:hAnsi="Times New Roman" w:eastAsia="宋体" w:cs="Times New Roman"/>
              </w:rPr>
              <w:t>人群</w:t>
            </w:r>
          </w:p>
        </w:tc>
        <w:tc>
          <w:tcPr>
            <w:tcW w:w="450" w:type="pct"/>
            <w:vMerge w:val="continue"/>
            <w:vAlign w:val="center"/>
          </w:tcPr>
          <w:p>
            <w:pPr>
              <w:pStyle w:val="39"/>
              <w:rPr>
                <w:rFonts w:cs="Times New Roman"/>
              </w:rPr>
            </w:pPr>
          </w:p>
        </w:tc>
        <w:tc>
          <w:tcPr>
            <w:tcW w:w="424" w:type="pct"/>
            <w:vAlign w:val="center"/>
          </w:tcPr>
          <w:p>
            <w:pPr>
              <w:pStyle w:val="39"/>
              <w:rPr>
                <w:rFonts w:cs="Times New Roman"/>
              </w:rPr>
            </w:pPr>
            <w:r>
              <w:rPr>
                <w:rFonts w:cs="Times New Roman"/>
              </w:rPr>
              <w:t>NE</w:t>
            </w:r>
          </w:p>
        </w:tc>
        <w:tc>
          <w:tcPr>
            <w:tcW w:w="554" w:type="pct"/>
            <w:vAlign w:val="center"/>
          </w:tcPr>
          <w:p>
            <w:pPr>
              <w:pStyle w:val="39"/>
              <w:rPr>
                <w:rFonts w:cs="Times New Roman"/>
              </w:rPr>
            </w:pPr>
            <w:r>
              <w:rPr>
                <w:rFonts w:cs="Times New Roman"/>
              </w:rPr>
              <w:t>2.59</w:t>
            </w:r>
            <w:r>
              <w:rPr>
                <w:rFonts w:hint="eastAsia" w:cs="Times New Roman"/>
              </w:rPr>
              <w:t>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4" w:type="pct"/>
            <w:vAlign w:val="center"/>
          </w:tcPr>
          <w:p>
            <w:pPr>
              <w:pStyle w:val="39"/>
              <w:rPr>
                <w:rFonts w:cs="Times New Roman"/>
              </w:rPr>
            </w:pPr>
            <w:r>
              <w:rPr>
                <w:rFonts w:hint="eastAsia" w:cs="Times New Roman"/>
              </w:rPr>
              <w:t>水</w:t>
            </w:r>
            <w:r>
              <w:rPr>
                <w:rFonts w:cs="Times New Roman"/>
              </w:rPr>
              <w:t>斗冲</w:t>
            </w:r>
          </w:p>
        </w:tc>
        <w:tc>
          <w:tcPr>
            <w:tcW w:w="965" w:type="pct"/>
            <w:vAlign w:val="center"/>
          </w:tcPr>
          <w:p>
            <w:pPr>
              <w:pStyle w:val="39"/>
              <w:rPr>
                <w:rFonts w:cs="Times New Roman"/>
              </w:rPr>
            </w:pPr>
            <w:r>
              <w:rPr>
                <w:rFonts w:cs="Times New Roman"/>
              </w:rPr>
              <w:t>112.418607153</w:t>
            </w:r>
          </w:p>
        </w:tc>
        <w:tc>
          <w:tcPr>
            <w:tcW w:w="833" w:type="pct"/>
            <w:vAlign w:val="center"/>
          </w:tcPr>
          <w:p>
            <w:pPr>
              <w:pStyle w:val="39"/>
              <w:rPr>
                <w:rFonts w:cs="Times New Roman"/>
              </w:rPr>
            </w:pPr>
            <w:r>
              <w:rPr>
                <w:rFonts w:cs="Times New Roman"/>
              </w:rPr>
              <w:t>27.097102405</w:t>
            </w:r>
          </w:p>
        </w:tc>
        <w:tc>
          <w:tcPr>
            <w:tcW w:w="510" w:type="pct"/>
            <w:vAlign w:val="center"/>
          </w:tcPr>
          <w:p>
            <w:pPr>
              <w:jc w:val="center"/>
              <w:rPr>
                <w:rFonts w:ascii="Times New Roman" w:hAnsi="Times New Roman" w:eastAsia="宋体" w:cs="Times New Roman"/>
              </w:rPr>
            </w:pPr>
            <w:r>
              <w:rPr>
                <w:rFonts w:ascii="Times New Roman" w:hAnsi="Times New Roman" w:eastAsia="宋体" w:cs="Times New Roman"/>
              </w:rPr>
              <w:t>居民点</w:t>
            </w:r>
          </w:p>
        </w:tc>
        <w:tc>
          <w:tcPr>
            <w:tcW w:w="509" w:type="pct"/>
            <w:vAlign w:val="center"/>
          </w:tcPr>
          <w:p>
            <w:pPr>
              <w:jc w:val="center"/>
              <w:rPr>
                <w:rFonts w:ascii="Times New Roman" w:hAnsi="Times New Roman" w:eastAsia="宋体" w:cs="Times New Roman"/>
              </w:rPr>
            </w:pPr>
            <w:r>
              <w:rPr>
                <w:rFonts w:ascii="Times New Roman" w:hAnsi="Times New Roman" w:eastAsia="宋体" w:cs="Times New Roman"/>
              </w:rPr>
              <w:t>人群</w:t>
            </w:r>
          </w:p>
        </w:tc>
        <w:tc>
          <w:tcPr>
            <w:tcW w:w="450" w:type="pct"/>
            <w:vMerge w:val="restart"/>
            <w:vAlign w:val="center"/>
          </w:tcPr>
          <w:p>
            <w:pPr>
              <w:pStyle w:val="39"/>
              <w:rPr>
                <w:rFonts w:cs="Times New Roman"/>
              </w:rPr>
            </w:pPr>
            <w:r>
              <w:rPr>
                <w:rFonts w:cs="Times New Roman"/>
              </w:rPr>
              <w:t>大气环境功能二类区</w:t>
            </w:r>
          </w:p>
        </w:tc>
        <w:tc>
          <w:tcPr>
            <w:tcW w:w="424" w:type="pct"/>
            <w:vAlign w:val="center"/>
          </w:tcPr>
          <w:p>
            <w:pPr>
              <w:pStyle w:val="39"/>
              <w:rPr>
                <w:rFonts w:cs="Times New Roman"/>
              </w:rPr>
            </w:pPr>
            <w:r>
              <w:rPr>
                <w:rFonts w:cs="Times New Roman"/>
              </w:rPr>
              <w:t>NE</w:t>
            </w:r>
          </w:p>
        </w:tc>
        <w:tc>
          <w:tcPr>
            <w:tcW w:w="554" w:type="pct"/>
            <w:vAlign w:val="center"/>
          </w:tcPr>
          <w:p>
            <w:pPr>
              <w:pStyle w:val="39"/>
              <w:rPr>
                <w:rFonts w:cs="Times New Roman"/>
              </w:rPr>
            </w:pPr>
            <w:r>
              <w:rPr>
                <w:rFonts w:cs="Times New Roman"/>
              </w:rPr>
              <w:t>3.08</w:t>
            </w:r>
            <w:r>
              <w:rPr>
                <w:rFonts w:hint="eastAsia" w:cs="Times New Roma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4" w:type="pct"/>
            <w:vAlign w:val="center"/>
          </w:tcPr>
          <w:p>
            <w:pPr>
              <w:pStyle w:val="39"/>
              <w:rPr>
                <w:rFonts w:cs="Times New Roman"/>
              </w:rPr>
            </w:pPr>
            <w:r>
              <w:rPr>
                <w:rFonts w:hint="eastAsia" w:cs="Times New Roman"/>
              </w:rPr>
              <w:t>肖</w:t>
            </w:r>
            <w:r>
              <w:rPr>
                <w:rFonts w:cs="Times New Roman"/>
              </w:rPr>
              <w:t>冲</w:t>
            </w:r>
          </w:p>
        </w:tc>
        <w:tc>
          <w:tcPr>
            <w:tcW w:w="965" w:type="pct"/>
            <w:vAlign w:val="center"/>
          </w:tcPr>
          <w:p>
            <w:pPr>
              <w:pStyle w:val="39"/>
              <w:rPr>
                <w:rFonts w:cs="Times New Roman"/>
              </w:rPr>
            </w:pPr>
            <w:r>
              <w:rPr>
                <w:rFonts w:cs="Times New Roman"/>
              </w:rPr>
              <w:t>112.413414396</w:t>
            </w:r>
          </w:p>
        </w:tc>
        <w:tc>
          <w:tcPr>
            <w:tcW w:w="833" w:type="pct"/>
            <w:vAlign w:val="center"/>
          </w:tcPr>
          <w:p>
            <w:pPr>
              <w:pStyle w:val="39"/>
              <w:rPr>
                <w:rFonts w:cs="Times New Roman"/>
              </w:rPr>
            </w:pPr>
            <w:r>
              <w:rPr>
                <w:rFonts w:cs="Times New Roman"/>
              </w:rPr>
              <w:t>27.097316982</w:t>
            </w:r>
          </w:p>
        </w:tc>
        <w:tc>
          <w:tcPr>
            <w:tcW w:w="510" w:type="pct"/>
            <w:vAlign w:val="center"/>
          </w:tcPr>
          <w:p>
            <w:pPr>
              <w:jc w:val="center"/>
              <w:rPr>
                <w:rFonts w:ascii="Times New Roman" w:hAnsi="Times New Roman" w:eastAsia="宋体" w:cs="Times New Roman"/>
              </w:rPr>
            </w:pPr>
            <w:r>
              <w:rPr>
                <w:rFonts w:ascii="Times New Roman" w:hAnsi="Times New Roman" w:eastAsia="宋体" w:cs="Times New Roman"/>
              </w:rPr>
              <w:t>居民点</w:t>
            </w:r>
          </w:p>
        </w:tc>
        <w:tc>
          <w:tcPr>
            <w:tcW w:w="509" w:type="pct"/>
            <w:vAlign w:val="center"/>
          </w:tcPr>
          <w:p>
            <w:pPr>
              <w:jc w:val="center"/>
              <w:rPr>
                <w:rFonts w:ascii="Times New Roman" w:hAnsi="Times New Roman" w:eastAsia="宋体" w:cs="Times New Roman"/>
              </w:rPr>
            </w:pPr>
            <w:r>
              <w:rPr>
                <w:rFonts w:ascii="Times New Roman" w:hAnsi="Times New Roman" w:eastAsia="宋体" w:cs="Times New Roman"/>
              </w:rPr>
              <w:t>人群</w:t>
            </w:r>
          </w:p>
        </w:tc>
        <w:tc>
          <w:tcPr>
            <w:tcW w:w="450" w:type="pct"/>
            <w:vMerge w:val="continue"/>
            <w:vAlign w:val="center"/>
          </w:tcPr>
          <w:p>
            <w:pPr>
              <w:pStyle w:val="39"/>
              <w:rPr>
                <w:rFonts w:cs="Times New Roman"/>
              </w:rPr>
            </w:pPr>
          </w:p>
        </w:tc>
        <w:tc>
          <w:tcPr>
            <w:tcW w:w="424" w:type="pct"/>
            <w:vAlign w:val="center"/>
          </w:tcPr>
          <w:p>
            <w:pPr>
              <w:pStyle w:val="39"/>
              <w:rPr>
                <w:rFonts w:cs="Times New Roman"/>
              </w:rPr>
            </w:pPr>
            <w:r>
              <w:rPr>
                <w:rFonts w:cs="Times New Roman"/>
              </w:rPr>
              <w:t>NE</w:t>
            </w:r>
          </w:p>
        </w:tc>
        <w:tc>
          <w:tcPr>
            <w:tcW w:w="554" w:type="pct"/>
            <w:vAlign w:val="center"/>
          </w:tcPr>
          <w:p>
            <w:pPr>
              <w:pStyle w:val="39"/>
              <w:rPr>
                <w:rFonts w:cs="Times New Roman"/>
              </w:rPr>
            </w:pPr>
            <w:r>
              <w:rPr>
                <w:rFonts w:cs="Times New Roman"/>
              </w:rPr>
              <w:t>2.40</w:t>
            </w:r>
            <w:r>
              <w:rPr>
                <w:rFonts w:hint="eastAsia" w:cs="Times New Roman"/>
              </w:rPr>
              <w:t>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4" w:type="pct"/>
            <w:vAlign w:val="center"/>
          </w:tcPr>
          <w:p>
            <w:pPr>
              <w:pStyle w:val="39"/>
              <w:rPr>
                <w:rFonts w:cs="Times New Roman"/>
              </w:rPr>
            </w:pPr>
            <w:r>
              <w:rPr>
                <w:rFonts w:hint="eastAsia" w:cs="Times New Roman"/>
              </w:rPr>
              <w:t>廖</w:t>
            </w:r>
            <w:r>
              <w:rPr>
                <w:rFonts w:cs="Times New Roman"/>
              </w:rPr>
              <w:t>家门</w:t>
            </w:r>
          </w:p>
        </w:tc>
        <w:tc>
          <w:tcPr>
            <w:tcW w:w="965" w:type="pct"/>
            <w:vAlign w:val="center"/>
          </w:tcPr>
          <w:p>
            <w:pPr>
              <w:pStyle w:val="39"/>
              <w:rPr>
                <w:rFonts w:cs="Times New Roman"/>
              </w:rPr>
            </w:pPr>
            <w:r>
              <w:rPr>
                <w:rFonts w:cs="Times New Roman"/>
              </w:rPr>
              <w:t>112.401741422</w:t>
            </w:r>
          </w:p>
        </w:tc>
        <w:tc>
          <w:tcPr>
            <w:tcW w:w="833" w:type="pct"/>
            <w:vAlign w:val="center"/>
          </w:tcPr>
          <w:p>
            <w:pPr>
              <w:pStyle w:val="39"/>
              <w:rPr>
                <w:rFonts w:cs="Times New Roman"/>
              </w:rPr>
            </w:pPr>
            <w:r>
              <w:rPr>
                <w:rFonts w:cs="Times New Roman"/>
              </w:rPr>
              <w:t>27.087961437</w:t>
            </w:r>
          </w:p>
        </w:tc>
        <w:tc>
          <w:tcPr>
            <w:tcW w:w="510" w:type="pct"/>
            <w:vAlign w:val="center"/>
          </w:tcPr>
          <w:p>
            <w:pPr>
              <w:jc w:val="center"/>
              <w:rPr>
                <w:rFonts w:ascii="Times New Roman" w:hAnsi="Times New Roman" w:eastAsia="宋体" w:cs="Times New Roman"/>
              </w:rPr>
            </w:pPr>
            <w:r>
              <w:rPr>
                <w:rFonts w:ascii="Times New Roman" w:hAnsi="Times New Roman" w:eastAsia="宋体" w:cs="Times New Roman"/>
              </w:rPr>
              <w:t>居民点</w:t>
            </w:r>
          </w:p>
        </w:tc>
        <w:tc>
          <w:tcPr>
            <w:tcW w:w="509" w:type="pct"/>
            <w:vAlign w:val="center"/>
          </w:tcPr>
          <w:p>
            <w:pPr>
              <w:jc w:val="center"/>
              <w:rPr>
                <w:rFonts w:ascii="Times New Roman" w:hAnsi="Times New Roman" w:eastAsia="宋体" w:cs="Times New Roman"/>
              </w:rPr>
            </w:pPr>
            <w:r>
              <w:rPr>
                <w:rFonts w:ascii="Times New Roman" w:hAnsi="Times New Roman" w:eastAsia="宋体" w:cs="Times New Roman"/>
              </w:rPr>
              <w:t>人群</w:t>
            </w:r>
          </w:p>
        </w:tc>
        <w:tc>
          <w:tcPr>
            <w:tcW w:w="450" w:type="pct"/>
            <w:vMerge w:val="continue"/>
            <w:vAlign w:val="center"/>
          </w:tcPr>
          <w:p>
            <w:pPr>
              <w:pStyle w:val="39"/>
              <w:rPr>
                <w:rFonts w:cs="Times New Roman"/>
              </w:rPr>
            </w:pPr>
          </w:p>
        </w:tc>
        <w:tc>
          <w:tcPr>
            <w:tcW w:w="424" w:type="pct"/>
            <w:vAlign w:val="center"/>
          </w:tcPr>
          <w:p>
            <w:pPr>
              <w:pStyle w:val="39"/>
              <w:rPr>
                <w:rFonts w:cs="Times New Roman"/>
              </w:rPr>
            </w:pPr>
            <w:r>
              <w:rPr>
                <w:rFonts w:hint="eastAsia" w:cs="Times New Roman"/>
              </w:rPr>
              <w:t>N</w:t>
            </w:r>
            <w:r>
              <w:rPr>
                <w:rFonts w:cs="Times New Roman"/>
              </w:rPr>
              <w:t>E</w:t>
            </w:r>
          </w:p>
        </w:tc>
        <w:tc>
          <w:tcPr>
            <w:tcW w:w="554" w:type="pct"/>
            <w:vAlign w:val="center"/>
          </w:tcPr>
          <w:p>
            <w:pPr>
              <w:pStyle w:val="39"/>
              <w:rPr>
                <w:rFonts w:cs="Times New Roman"/>
              </w:rPr>
            </w:pPr>
            <w:r>
              <w:rPr>
                <w:rFonts w:hint="eastAsia" w:cs="Times New Roman"/>
              </w:rPr>
              <w:t>1.</w:t>
            </w:r>
            <w:r>
              <w:rPr>
                <w:rFonts w:cs="Times New Roman"/>
              </w:rPr>
              <w:t>19</w:t>
            </w:r>
            <w:r>
              <w:rPr>
                <w:rFonts w:hint="eastAsia" w:cs="Times New Roman"/>
              </w:rPr>
              <w:t>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4" w:type="pct"/>
            <w:vAlign w:val="center"/>
          </w:tcPr>
          <w:p>
            <w:pPr>
              <w:pStyle w:val="39"/>
              <w:rPr>
                <w:rFonts w:cs="Times New Roman"/>
              </w:rPr>
            </w:pPr>
            <w:r>
              <w:rPr>
                <w:rFonts w:hint="eastAsia" w:cs="Times New Roman"/>
              </w:rPr>
              <w:t>铁</w:t>
            </w:r>
            <w:r>
              <w:rPr>
                <w:rFonts w:cs="Times New Roman"/>
              </w:rPr>
              <w:t>湾</w:t>
            </w:r>
          </w:p>
        </w:tc>
        <w:tc>
          <w:tcPr>
            <w:tcW w:w="965" w:type="pct"/>
            <w:vAlign w:val="center"/>
          </w:tcPr>
          <w:p>
            <w:pPr>
              <w:pStyle w:val="39"/>
              <w:rPr>
                <w:rFonts w:cs="Times New Roman"/>
              </w:rPr>
            </w:pPr>
            <w:r>
              <w:rPr>
                <w:rFonts w:cs="Times New Roman"/>
              </w:rPr>
              <w:t>112.396591581</w:t>
            </w:r>
          </w:p>
        </w:tc>
        <w:tc>
          <w:tcPr>
            <w:tcW w:w="833" w:type="pct"/>
            <w:vAlign w:val="center"/>
          </w:tcPr>
          <w:p>
            <w:pPr>
              <w:pStyle w:val="39"/>
              <w:rPr>
                <w:rFonts w:cs="Times New Roman"/>
              </w:rPr>
            </w:pPr>
            <w:r>
              <w:rPr>
                <w:rFonts w:cs="Times New Roman"/>
              </w:rPr>
              <w:t>27.087403537</w:t>
            </w:r>
          </w:p>
        </w:tc>
        <w:tc>
          <w:tcPr>
            <w:tcW w:w="510" w:type="pct"/>
            <w:vAlign w:val="center"/>
          </w:tcPr>
          <w:p>
            <w:pPr>
              <w:jc w:val="center"/>
              <w:rPr>
                <w:rFonts w:ascii="Times New Roman" w:hAnsi="Times New Roman" w:eastAsia="宋体" w:cs="Times New Roman"/>
              </w:rPr>
            </w:pPr>
            <w:r>
              <w:rPr>
                <w:rFonts w:ascii="Times New Roman" w:hAnsi="Times New Roman" w:eastAsia="宋体" w:cs="Times New Roman"/>
              </w:rPr>
              <w:t>居民点</w:t>
            </w:r>
          </w:p>
        </w:tc>
        <w:tc>
          <w:tcPr>
            <w:tcW w:w="509" w:type="pct"/>
            <w:vAlign w:val="center"/>
          </w:tcPr>
          <w:p>
            <w:pPr>
              <w:jc w:val="center"/>
              <w:rPr>
                <w:rFonts w:ascii="Times New Roman" w:hAnsi="Times New Roman" w:eastAsia="宋体" w:cs="Times New Roman"/>
              </w:rPr>
            </w:pPr>
            <w:r>
              <w:rPr>
                <w:rFonts w:ascii="Times New Roman" w:hAnsi="Times New Roman" w:eastAsia="宋体" w:cs="Times New Roman"/>
              </w:rPr>
              <w:t>人群</w:t>
            </w:r>
          </w:p>
        </w:tc>
        <w:tc>
          <w:tcPr>
            <w:tcW w:w="450" w:type="pct"/>
            <w:vMerge w:val="continue"/>
            <w:vAlign w:val="center"/>
          </w:tcPr>
          <w:p>
            <w:pPr>
              <w:pStyle w:val="39"/>
              <w:rPr>
                <w:rFonts w:cs="Times New Roman"/>
              </w:rPr>
            </w:pPr>
          </w:p>
        </w:tc>
        <w:tc>
          <w:tcPr>
            <w:tcW w:w="424" w:type="pct"/>
            <w:vAlign w:val="center"/>
          </w:tcPr>
          <w:p>
            <w:pPr>
              <w:pStyle w:val="39"/>
              <w:rPr>
                <w:rFonts w:cs="Times New Roman"/>
              </w:rPr>
            </w:pPr>
            <w:r>
              <w:rPr>
                <w:rFonts w:hint="eastAsia" w:cs="Times New Roman"/>
              </w:rPr>
              <w:t>N</w:t>
            </w:r>
          </w:p>
        </w:tc>
        <w:tc>
          <w:tcPr>
            <w:tcW w:w="554" w:type="pct"/>
            <w:vAlign w:val="center"/>
          </w:tcPr>
          <w:p>
            <w:pPr>
              <w:pStyle w:val="39"/>
              <w:rPr>
                <w:rFonts w:cs="Times New Roman"/>
              </w:rPr>
            </w:pPr>
            <w:r>
              <w:rPr>
                <w:rFonts w:cs="Times New Roman"/>
              </w:rPr>
              <w:t>939</w:t>
            </w:r>
            <w:r>
              <w:rPr>
                <w:rFonts w:hint="eastAsia" w:cs="Times New Roman"/>
              </w:rPr>
              <w:t>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4" w:type="pct"/>
            <w:vAlign w:val="center"/>
          </w:tcPr>
          <w:p>
            <w:pPr>
              <w:pStyle w:val="39"/>
              <w:rPr>
                <w:rFonts w:cs="Times New Roman"/>
              </w:rPr>
            </w:pPr>
            <w:r>
              <w:rPr>
                <w:rFonts w:hint="eastAsia" w:cs="Times New Roman"/>
              </w:rPr>
              <w:t>大壁</w:t>
            </w:r>
            <w:r>
              <w:rPr>
                <w:rFonts w:cs="Times New Roman"/>
              </w:rPr>
              <w:t>村</w:t>
            </w:r>
          </w:p>
        </w:tc>
        <w:tc>
          <w:tcPr>
            <w:tcW w:w="965" w:type="pct"/>
            <w:vAlign w:val="center"/>
          </w:tcPr>
          <w:p>
            <w:pPr>
              <w:pStyle w:val="39"/>
              <w:rPr>
                <w:rFonts w:cs="Times New Roman"/>
                <w:b/>
              </w:rPr>
            </w:pPr>
            <w:r>
              <w:rPr>
                <w:rFonts w:cs="Times New Roman"/>
              </w:rPr>
              <w:t>112.396634496</w:t>
            </w:r>
          </w:p>
        </w:tc>
        <w:tc>
          <w:tcPr>
            <w:tcW w:w="833" w:type="pct"/>
            <w:vAlign w:val="center"/>
          </w:tcPr>
          <w:p>
            <w:pPr>
              <w:pStyle w:val="39"/>
              <w:rPr>
                <w:rFonts w:cs="Times New Roman"/>
              </w:rPr>
            </w:pPr>
            <w:r>
              <w:rPr>
                <w:rFonts w:cs="Times New Roman"/>
              </w:rPr>
              <w:t>27.092596294</w:t>
            </w:r>
          </w:p>
        </w:tc>
        <w:tc>
          <w:tcPr>
            <w:tcW w:w="510" w:type="pct"/>
            <w:vAlign w:val="center"/>
          </w:tcPr>
          <w:p>
            <w:pPr>
              <w:jc w:val="center"/>
              <w:rPr>
                <w:rFonts w:ascii="Times New Roman" w:hAnsi="Times New Roman" w:eastAsia="宋体" w:cs="Times New Roman"/>
              </w:rPr>
            </w:pPr>
            <w:r>
              <w:rPr>
                <w:rFonts w:ascii="Times New Roman" w:hAnsi="Times New Roman" w:eastAsia="宋体" w:cs="Times New Roman"/>
              </w:rPr>
              <w:t>居民点</w:t>
            </w:r>
          </w:p>
        </w:tc>
        <w:tc>
          <w:tcPr>
            <w:tcW w:w="509" w:type="pct"/>
            <w:vAlign w:val="center"/>
          </w:tcPr>
          <w:p>
            <w:pPr>
              <w:jc w:val="center"/>
              <w:rPr>
                <w:rFonts w:ascii="Times New Roman" w:hAnsi="Times New Roman" w:eastAsia="宋体" w:cs="Times New Roman"/>
              </w:rPr>
            </w:pPr>
            <w:r>
              <w:rPr>
                <w:rFonts w:ascii="Times New Roman" w:hAnsi="Times New Roman" w:eastAsia="宋体" w:cs="Times New Roman"/>
              </w:rPr>
              <w:t>人群</w:t>
            </w:r>
          </w:p>
        </w:tc>
        <w:tc>
          <w:tcPr>
            <w:tcW w:w="450" w:type="pct"/>
            <w:vMerge w:val="continue"/>
            <w:vAlign w:val="center"/>
          </w:tcPr>
          <w:p>
            <w:pPr>
              <w:pStyle w:val="39"/>
              <w:rPr>
                <w:rFonts w:cs="Times New Roman"/>
              </w:rPr>
            </w:pPr>
          </w:p>
        </w:tc>
        <w:tc>
          <w:tcPr>
            <w:tcW w:w="424" w:type="pct"/>
            <w:vAlign w:val="center"/>
          </w:tcPr>
          <w:p>
            <w:pPr>
              <w:pStyle w:val="39"/>
              <w:rPr>
                <w:rFonts w:cs="Times New Roman"/>
              </w:rPr>
            </w:pPr>
            <w:r>
              <w:rPr>
                <w:rFonts w:hint="eastAsia" w:cs="Times New Roman"/>
              </w:rPr>
              <w:t>N</w:t>
            </w:r>
          </w:p>
        </w:tc>
        <w:tc>
          <w:tcPr>
            <w:tcW w:w="554" w:type="pct"/>
            <w:vAlign w:val="center"/>
          </w:tcPr>
          <w:p>
            <w:pPr>
              <w:pStyle w:val="39"/>
              <w:rPr>
                <w:rFonts w:cs="Times New Roman"/>
              </w:rPr>
            </w:pPr>
            <w:r>
              <w:rPr>
                <w:rFonts w:cs="Times New Roman"/>
              </w:rPr>
              <w:t>1.57</w:t>
            </w:r>
            <w:r>
              <w:rPr>
                <w:rFonts w:hint="eastAsia" w:cs="Times New Roman"/>
              </w:rPr>
              <w:t>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4" w:type="pct"/>
            <w:vAlign w:val="center"/>
          </w:tcPr>
          <w:p>
            <w:pPr>
              <w:pStyle w:val="39"/>
              <w:rPr>
                <w:rFonts w:cs="Times New Roman"/>
              </w:rPr>
            </w:pPr>
            <w:r>
              <w:rPr>
                <w:rFonts w:hint="eastAsia" w:cs="Times New Roman"/>
              </w:rPr>
              <w:t>大碧</w:t>
            </w:r>
            <w:r>
              <w:rPr>
                <w:rFonts w:cs="Times New Roman"/>
              </w:rPr>
              <w:t>塘</w:t>
            </w:r>
          </w:p>
        </w:tc>
        <w:tc>
          <w:tcPr>
            <w:tcW w:w="965" w:type="pct"/>
            <w:vAlign w:val="center"/>
          </w:tcPr>
          <w:p>
            <w:pPr>
              <w:pStyle w:val="39"/>
              <w:rPr>
                <w:rFonts w:cs="Times New Roman"/>
              </w:rPr>
            </w:pPr>
            <w:r>
              <w:rPr>
                <w:rFonts w:cs="Times New Roman"/>
              </w:rPr>
              <w:t>112.401097692</w:t>
            </w:r>
          </w:p>
        </w:tc>
        <w:tc>
          <w:tcPr>
            <w:tcW w:w="833" w:type="pct"/>
            <w:vAlign w:val="center"/>
          </w:tcPr>
          <w:p>
            <w:pPr>
              <w:pStyle w:val="39"/>
              <w:rPr>
                <w:rFonts w:cs="Times New Roman"/>
              </w:rPr>
            </w:pPr>
            <w:r>
              <w:rPr>
                <w:rFonts w:cs="Times New Roman"/>
              </w:rPr>
              <w:t>27.095299961</w:t>
            </w:r>
          </w:p>
        </w:tc>
        <w:tc>
          <w:tcPr>
            <w:tcW w:w="510" w:type="pct"/>
            <w:vAlign w:val="center"/>
          </w:tcPr>
          <w:p>
            <w:pPr>
              <w:jc w:val="center"/>
              <w:rPr>
                <w:rFonts w:ascii="Times New Roman" w:hAnsi="Times New Roman" w:eastAsia="宋体" w:cs="Times New Roman"/>
              </w:rPr>
            </w:pPr>
            <w:r>
              <w:rPr>
                <w:rFonts w:ascii="Times New Roman" w:hAnsi="Times New Roman" w:eastAsia="宋体" w:cs="Times New Roman"/>
              </w:rPr>
              <w:t>居民点</w:t>
            </w:r>
          </w:p>
        </w:tc>
        <w:tc>
          <w:tcPr>
            <w:tcW w:w="509" w:type="pct"/>
            <w:vAlign w:val="center"/>
          </w:tcPr>
          <w:p>
            <w:pPr>
              <w:jc w:val="center"/>
              <w:rPr>
                <w:rFonts w:ascii="Times New Roman" w:hAnsi="Times New Roman" w:eastAsia="宋体" w:cs="Times New Roman"/>
              </w:rPr>
            </w:pPr>
            <w:r>
              <w:rPr>
                <w:rFonts w:ascii="Times New Roman" w:hAnsi="Times New Roman" w:eastAsia="宋体" w:cs="Times New Roman"/>
              </w:rPr>
              <w:t>人群</w:t>
            </w:r>
          </w:p>
        </w:tc>
        <w:tc>
          <w:tcPr>
            <w:tcW w:w="450" w:type="pct"/>
            <w:vMerge w:val="continue"/>
            <w:vAlign w:val="center"/>
          </w:tcPr>
          <w:p>
            <w:pPr>
              <w:pStyle w:val="39"/>
              <w:rPr>
                <w:rFonts w:cs="Times New Roman"/>
              </w:rPr>
            </w:pPr>
          </w:p>
        </w:tc>
        <w:tc>
          <w:tcPr>
            <w:tcW w:w="424" w:type="pct"/>
            <w:vAlign w:val="center"/>
          </w:tcPr>
          <w:p>
            <w:pPr>
              <w:pStyle w:val="39"/>
              <w:rPr>
                <w:rFonts w:cs="Times New Roman"/>
              </w:rPr>
            </w:pPr>
            <w:r>
              <w:rPr>
                <w:rFonts w:hint="eastAsia" w:cs="Times New Roman"/>
              </w:rPr>
              <w:t>N</w:t>
            </w:r>
          </w:p>
        </w:tc>
        <w:tc>
          <w:tcPr>
            <w:tcW w:w="554" w:type="pct"/>
            <w:vAlign w:val="center"/>
          </w:tcPr>
          <w:p>
            <w:pPr>
              <w:pStyle w:val="39"/>
              <w:rPr>
                <w:rFonts w:cs="Times New Roman"/>
              </w:rPr>
            </w:pPr>
            <w:r>
              <w:rPr>
                <w:rFonts w:cs="Times New Roman"/>
              </w:rPr>
              <w:t>1.84</w:t>
            </w:r>
            <w:r>
              <w:rPr>
                <w:rFonts w:hint="eastAsia" w:cs="Times New Roman"/>
              </w:rPr>
              <w:t>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4" w:type="pct"/>
            <w:vAlign w:val="center"/>
          </w:tcPr>
          <w:p>
            <w:pPr>
              <w:pStyle w:val="39"/>
              <w:rPr>
                <w:rFonts w:cs="Times New Roman"/>
              </w:rPr>
            </w:pPr>
            <w:r>
              <w:rPr>
                <w:rFonts w:hint="eastAsia" w:cs="Times New Roman"/>
              </w:rPr>
              <w:t>柿子</w:t>
            </w:r>
            <w:r>
              <w:rPr>
                <w:rFonts w:cs="Times New Roman"/>
              </w:rPr>
              <w:t>塆</w:t>
            </w:r>
          </w:p>
        </w:tc>
        <w:tc>
          <w:tcPr>
            <w:tcW w:w="965" w:type="pct"/>
            <w:vAlign w:val="center"/>
          </w:tcPr>
          <w:p>
            <w:pPr>
              <w:pStyle w:val="39"/>
              <w:rPr>
                <w:rFonts w:cs="Times New Roman"/>
              </w:rPr>
            </w:pPr>
            <w:r>
              <w:rPr>
                <w:rFonts w:cs="Times New Roman"/>
              </w:rPr>
              <w:t>112.397793211</w:t>
            </w:r>
          </w:p>
        </w:tc>
        <w:tc>
          <w:tcPr>
            <w:tcW w:w="833" w:type="pct"/>
            <w:vAlign w:val="center"/>
          </w:tcPr>
          <w:p>
            <w:pPr>
              <w:pStyle w:val="39"/>
              <w:rPr>
                <w:rFonts w:cs="Times New Roman"/>
              </w:rPr>
            </w:pPr>
            <w:r>
              <w:rPr>
                <w:rFonts w:cs="Times New Roman"/>
              </w:rPr>
              <w:t>27.099591495</w:t>
            </w:r>
          </w:p>
        </w:tc>
        <w:tc>
          <w:tcPr>
            <w:tcW w:w="510" w:type="pct"/>
            <w:vAlign w:val="center"/>
          </w:tcPr>
          <w:p>
            <w:pPr>
              <w:jc w:val="center"/>
              <w:rPr>
                <w:rFonts w:ascii="Times New Roman" w:hAnsi="Times New Roman" w:eastAsia="宋体" w:cs="Times New Roman"/>
              </w:rPr>
            </w:pPr>
            <w:r>
              <w:rPr>
                <w:rFonts w:ascii="Times New Roman" w:hAnsi="Times New Roman" w:eastAsia="宋体" w:cs="Times New Roman"/>
              </w:rPr>
              <w:t>居民点</w:t>
            </w:r>
          </w:p>
        </w:tc>
        <w:tc>
          <w:tcPr>
            <w:tcW w:w="509" w:type="pct"/>
            <w:vAlign w:val="center"/>
          </w:tcPr>
          <w:p>
            <w:pPr>
              <w:jc w:val="center"/>
              <w:rPr>
                <w:rFonts w:ascii="Times New Roman" w:hAnsi="Times New Roman" w:eastAsia="宋体" w:cs="Times New Roman"/>
              </w:rPr>
            </w:pPr>
            <w:r>
              <w:rPr>
                <w:rFonts w:ascii="Times New Roman" w:hAnsi="Times New Roman" w:eastAsia="宋体" w:cs="Times New Roman"/>
              </w:rPr>
              <w:t>人群</w:t>
            </w:r>
          </w:p>
        </w:tc>
        <w:tc>
          <w:tcPr>
            <w:tcW w:w="450" w:type="pct"/>
            <w:vMerge w:val="continue"/>
            <w:vAlign w:val="center"/>
          </w:tcPr>
          <w:p>
            <w:pPr>
              <w:pStyle w:val="39"/>
              <w:rPr>
                <w:rFonts w:cs="Times New Roman"/>
              </w:rPr>
            </w:pPr>
          </w:p>
        </w:tc>
        <w:tc>
          <w:tcPr>
            <w:tcW w:w="424" w:type="pct"/>
            <w:vAlign w:val="center"/>
          </w:tcPr>
          <w:p>
            <w:pPr>
              <w:pStyle w:val="39"/>
              <w:rPr>
                <w:rFonts w:cs="Times New Roman"/>
              </w:rPr>
            </w:pPr>
            <w:r>
              <w:rPr>
                <w:rFonts w:cs="Times New Roman"/>
              </w:rPr>
              <w:t>N</w:t>
            </w:r>
          </w:p>
        </w:tc>
        <w:tc>
          <w:tcPr>
            <w:tcW w:w="554" w:type="pct"/>
            <w:vAlign w:val="center"/>
          </w:tcPr>
          <w:p>
            <w:pPr>
              <w:pStyle w:val="39"/>
              <w:rPr>
                <w:rFonts w:cs="Times New Roman"/>
              </w:rPr>
            </w:pPr>
            <w:r>
              <w:rPr>
                <w:rFonts w:cs="Times New Roman"/>
              </w:rPr>
              <w:t>2.30</w:t>
            </w:r>
            <w:r>
              <w:rPr>
                <w:rFonts w:hint="eastAsia" w:cs="Times New Roman"/>
              </w:rPr>
              <w:t>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4" w:type="pct"/>
            <w:vAlign w:val="center"/>
          </w:tcPr>
          <w:p>
            <w:pPr>
              <w:pStyle w:val="39"/>
              <w:rPr>
                <w:rFonts w:cs="Times New Roman"/>
              </w:rPr>
            </w:pPr>
            <w:r>
              <w:rPr>
                <w:rFonts w:hint="eastAsia" w:cs="Times New Roman"/>
              </w:rPr>
              <w:t>刘公堂</w:t>
            </w:r>
          </w:p>
        </w:tc>
        <w:tc>
          <w:tcPr>
            <w:tcW w:w="965" w:type="pct"/>
            <w:vAlign w:val="center"/>
          </w:tcPr>
          <w:p>
            <w:pPr>
              <w:pStyle w:val="39"/>
              <w:rPr>
                <w:rFonts w:cs="Times New Roman"/>
              </w:rPr>
            </w:pPr>
            <w:r>
              <w:rPr>
                <w:rFonts w:cs="Times New Roman"/>
              </w:rPr>
              <w:t>112.391270078</w:t>
            </w:r>
          </w:p>
        </w:tc>
        <w:tc>
          <w:tcPr>
            <w:tcW w:w="833" w:type="pct"/>
            <w:vAlign w:val="center"/>
          </w:tcPr>
          <w:p>
            <w:pPr>
              <w:pStyle w:val="39"/>
              <w:rPr>
                <w:rFonts w:cs="Times New Roman"/>
              </w:rPr>
            </w:pPr>
            <w:r>
              <w:rPr>
                <w:rFonts w:cs="Times New Roman"/>
              </w:rPr>
              <w:t>27.097960712</w:t>
            </w:r>
          </w:p>
        </w:tc>
        <w:tc>
          <w:tcPr>
            <w:tcW w:w="510" w:type="pct"/>
            <w:vAlign w:val="center"/>
          </w:tcPr>
          <w:p>
            <w:pPr>
              <w:jc w:val="center"/>
              <w:rPr>
                <w:rFonts w:ascii="Times New Roman" w:hAnsi="Times New Roman" w:eastAsia="宋体" w:cs="Times New Roman"/>
              </w:rPr>
            </w:pPr>
            <w:r>
              <w:rPr>
                <w:rFonts w:ascii="Times New Roman" w:hAnsi="Times New Roman" w:eastAsia="宋体" w:cs="Times New Roman"/>
              </w:rPr>
              <w:t>居民点</w:t>
            </w:r>
          </w:p>
        </w:tc>
        <w:tc>
          <w:tcPr>
            <w:tcW w:w="509" w:type="pct"/>
            <w:vAlign w:val="center"/>
          </w:tcPr>
          <w:p>
            <w:pPr>
              <w:jc w:val="center"/>
              <w:rPr>
                <w:rFonts w:ascii="Times New Roman" w:hAnsi="Times New Roman" w:eastAsia="宋体" w:cs="Times New Roman"/>
              </w:rPr>
            </w:pPr>
            <w:r>
              <w:rPr>
                <w:rFonts w:ascii="Times New Roman" w:hAnsi="Times New Roman" w:eastAsia="宋体" w:cs="Times New Roman"/>
              </w:rPr>
              <w:t>人群</w:t>
            </w:r>
          </w:p>
        </w:tc>
        <w:tc>
          <w:tcPr>
            <w:tcW w:w="450" w:type="pct"/>
            <w:vMerge w:val="continue"/>
            <w:vAlign w:val="center"/>
          </w:tcPr>
          <w:p>
            <w:pPr>
              <w:pStyle w:val="39"/>
              <w:rPr>
                <w:rFonts w:cs="Times New Roman"/>
              </w:rPr>
            </w:pPr>
          </w:p>
        </w:tc>
        <w:tc>
          <w:tcPr>
            <w:tcW w:w="424" w:type="pct"/>
            <w:vAlign w:val="center"/>
          </w:tcPr>
          <w:p>
            <w:pPr>
              <w:pStyle w:val="39"/>
              <w:rPr>
                <w:rFonts w:cs="Times New Roman"/>
              </w:rPr>
            </w:pPr>
            <w:r>
              <w:rPr>
                <w:rFonts w:cs="Times New Roman"/>
              </w:rPr>
              <w:t>N</w:t>
            </w:r>
            <w:r>
              <w:rPr>
                <w:rFonts w:hint="eastAsia" w:cs="Times New Roman"/>
              </w:rPr>
              <w:t>W</w:t>
            </w:r>
          </w:p>
        </w:tc>
        <w:tc>
          <w:tcPr>
            <w:tcW w:w="554" w:type="pct"/>
            <w:vAlign w:val="center"/>
          </w:tcPr>
          <w:p>
            <w:pPr>
              <w:pStyle w:val="39"/>
              <w:rPr>
                <w:rFonts w:cs="Times New Roman"/>
              </w:rPr>
            </w:pPr>
            <w:r>
              <w:rPr>
                <w:rFonts w:cs="Times New Roman"/>
              </w:rPr>
              <w:t>2.17</w:t>
            </w:r>
            <w:r>
              <w:rPr>
                <w:rFonts w:hint="eastAsia" w:cs="Times New Roman"/>
              </w:rPr>
              <w:t>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4" w:type="pct"/>
            <w:vAlign w:val="center"/>
          </w:tcPr>
          <w:p>
            <w:pPr>
              <w:pStyle w:val="39"/>
              <w:rPr>
                <w:rFonts w:cs="Times New Roman"/>
              </w:rPr>
            </w:pPr>
            <w:r>
              <w:rPr>
                <w:rFonts w:hint="eastAsia" w:cs="Times New Roman"/>
              </w:rPr>
              <w:t>让</w:t>
            </w:r>
            <w:r>
              <w:rPr>
                <w:rFonts w:cs="Times New Roman"/>
              </w:rPr>
              <w:t>塘</w:t>
            </w:r>
          </w:p>
        </w:tc>
        <w:tc>
          <w:tcPr>
            <w:tcW w:w="965" w:type="pct"/>
            <w:vAlign w:val="center"/>
          </w:tcPr>
          <w:p>
            <w:pPr>
              <w:pStyle w:val="39"/>
              <w:rPr>
                <w:rFonts w:cs="Times New Roman"/>
              </w:rPr>
            </w:pPr>
            <w:r>
              <w:rPr>
                <w:rFonts w:cs="Times New Roman"/>
              </w:rPr>
              <w:t>112.385691084</w:t>
            </w:r>
          </w:p>
        </w:tc>
        <w:tc>
          <w:tcPr>
            <w:tcW w:w="833" w:type="pct"/>
            <w:vAlign w:val="center"/>
          </w:tcPr>
          <w:p>
            <w:pPr>
              <w:pStyle w:val="39"/>
              <w:rPr>
                <w:rFonts w:cs="Times New Roman"/>
              </w:rPr>
            </w:pPr>
            <w:r>
              <w:rPr>
                <w:rFonts w:cs="Times New Roman"/>
              </w:rPr>
              <w:t>27.098432781</w:t>
            </w:r>
          </w:p>
        </w:tc>
        <w:tc>
          <w:tcPr>
            <w:tcW w:w="510" w:type="pct"/>
            <w:vAlign w:val="center"/>
          </w:tcPr>
          <w:p>
            <w:pPr>
              <w:jc w:val="center"/>
              <w:rPr>
                <w:rFonts w:ascii="Times New Roman" w:hAnsi="Times New Roman" w:eastAsia="宋体" w:cs="Times New Roman"/>
              </w:rPr>
            </w:pPr>
            <w:r>
              <w:rPr>
                <w:rFonts w:ascii="Times New Roman" w:hAnsi="Times New Roman" w:eastAsia="宋体" w:cs="Times New Roman"/>
              </w:rPr>
              <w:t>居民点</w:t>
            </w:r>
          </w:p>
        </w:tc>
        <w:tc>
          <w:tcPr>
            <w:tcW w:w="509" w:type="pct"/>
            <w:vAlign w:val="center"/>
          </w:tcPr>
          <w:p>
            <w:pPr>
              <w:jc w:val="center"/>
              <w:rPr>
                <w:rFonts w:ascii="Times New Roman" w:hAnsi="Times New Roman" w:eastAsia="宋体" w:cs="Times New Roman"/>
              </w:rPr>
            </w:pPr>
            <w:r>
              <w:rPr>
                <w:rFonts w:ascii="Times New Roman" w:hAnsi="Times New Roman" w:eastAsia="宋体" w:cs="Times New Roman"/>
              </w:rPr>
              <w:t>人群</w:t>
            </w:r>
          </w:p>
        </w:tc>
        <w:tc>
          <w:tcPr>
            <w:tcW w:w="450" w:type="pct"/>
            <w:vMerge w:val="continue"/>
            <w:vAlign w:val="center"/>
          </w:tcPr>
          <w:p>
            <w:pPr>
              <w:pStyle w:val="39"/>
              <w:rPr>
                <w:rFonts w:cs="Times New Roman"/>
              </w:rPr>
            </w:pPr>
          </w:p>
        </w:tc>
        <w:tc>
          <w:tcPr>
            <w:tcW w:w="424" w:type="pct"/>
            <w:vAlign w:val="center"/>
          </w:tcPr>
          <w:p>
            <w:pPr>
              <w:pStyle w:val="39"/>
              <w:rPr>
                <w:rFonts w:cs="Times New Roman"/>
              </w:rPr>
            </w:pPr>
            <w:r>
              <w:rPr>
                <w:rFonts w:hint="eastAsia" w:cs="Times New Roman"/>
              </w:rPr>
              <w:t>N</w:t>
            </w:r>
            <w:r>
              <w:rPr>
                <w:rFonts w:cs="Times New Roman"/>
              </w:rPr>
              <w:t>W</w:t>
            </w:r>
          </w:p>
        </w:tc>
        <w:tc>
          <w:tcPr>
            <w:tcW w:w="554" w:type="pct"/>
            <w:vAlign w:val="center"/>
          </w:tcPr>
          <w:p>
            <w:pPr>
              <w:pStyle w:val="39"/>
              <w:rPr>
                <w:rFonts w:cs="Times New Roman"/>
              </w:rPr>
            </w:pPr>
            <w:r>
              <w:rPr>
                <w:rFonts w:hint="eastAsia" w:cs="Times New Roman"/>
              </w:rPr>
              <w:t>2.</w:t>
            </w:r>
            <w:r>
              <w:rPr>
                <w:rFonts w:cs="Times New Roman"/>
              </w:rPr>
              <w:t>42</w:t>
            </w:r>
            <w:r>
              <w:rPr>
                <w:rFonts w:hint="eastAsia" w:cs="Times New Roman"/>
              </w:rPr>
              <w:t>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4" w:type="pct"/>
            <w:vAlign w:val="center"/>
          </w:tcPr>
          <w:p>
            <w:pPr>
              <w:pStyle w:val="39"/>
              <w:rPr>
                <w:rFonts w:cs="Times New Roman"/>
              </w:rPr>
            </w:pPr>
            <w:r>
              <w:rPr>
                <w:rFonts w:hint="eastAsia" w:cs="Times New Roman"/>
              </w:rPr>
              <w:t>厂</w:t>
            </w:r>
            <w:r>
              <w:rPr>
                <w:rFonts w:cs="Times New Roman"/>
              </w:rPr>
              <w:t>里</w:t>
            </w:r>
          </w:p>
        </w:tc>
        <w:tc>
          <w:tcPr>
            <w:tcW w:w="965" w:type="pct"/>
            <w:vAlign w:val="center"/>
          </w:tcPr>
          <w:p>
            <w:pPr>
              <w:pStyle w:val="39"/>
              <w:rPr>
                <w:rFonts w:cs="Times New Roman"/>
              </w:rPr>
            </w:pPr>
            <w:r>
              <w:rPr>
                <w:rFonts w:cs="Times New Roman"/>
              </w:rPr>
              <w:t>112.383373655</w:t>
            </w:r>
          </w:p>
        </w:tc>
        <w:tc>
          <w:tcPr>
            <w:tcW w:w="833" w:type="pct"/>
            <w:vAlign w:val="center"/>
          </w:tcPr>
          <w:p>
            <w:pPr>
              <w:pStyle w:val="39"/>
              <w:rPr>
                <w:rFonts w:cs="Times New Roman"/>
              </w:rPr>
            </w:pPr>
            <w:r>
              <w:rPr>
                <w:rFonts w:cs="Times New Roman"/>
              </w:rPr>
              <w:t>27.091394664</w:t>
            </w:r>
          </w:p>
        </w:tc>
        <w:tc>
          <w:tcPr>
            <w:tcW w:w="510" w:type="pct"/>
            <w:vAlign w:val="center"/>
          </w:tcPr>
          <w:p>
            <w:pPr>
              <w:jc w:val="center"/>
              <w:rPr>
                <w:rFonts w:ascii="Times New Roman" w:hAnsi="Times New Roman" w:eastAsia="宋体" w:cs="Times New Roman"/>
              </w:rPr>
            </w:pPr>
            <w:r>
              <w:rPr>
                <w:rFonts w:ascii="Times New Roman" w:hAnsi="Times New Roman" w:eastAsia="宋体" w:cs="Times New Roman"/>
              </w:rPr>
              <w:t>居民点</w:t>
            </w:r>
          </w:p>
        </w:tc>
        <w:tc>
          <w:tcPr>
            <w:tcW w:w="509" w:type="pct"/>
            <w:vAlign w:val="center"/>
          </w:tcPr>
          <w:p>
            <w:pPr>
              <w:jc w:val="center"/>
              <w:rPr>
                <w:rFonts w:ascii="Times New Roman" w:hAnsi="Times New Roman" w:eastAsia="宋体" w:cs="Times New Roman"/>
              </w:rPr>
            </w:pPr>
            <w:r>
              <w:rPr>
                <w:rFonts w:ascii="Times New Roman" w:hAnsi="Times New Roman" w:eastAsia="宋体" w:cs="Times New Roman"/>
              </w:rPr>
              <w:t>人群</w:t>
            </w:r>
          </w:p>
        </w:tc>
        <w:tc>
          <w:tcPr>
            <w:tcW w:w="450" w:type="pct"/>
            <w:vMerge w:val="continue"/>
            <w:vAlign w:val="center"/>
          </w:tcPr>
          <w:p>
            <w:pPr>
              <w:pStyle w:val="39"/>
              <w:rPr>
                <w:rFonts w:cs="Times New Roman"/>
              </w:rPr>
            </w:pPr>
          </w:p>
        </w:tc>
        <w:tc>
          <w:tcPr>
            <w:tcW w:w="424" w:type="pct"/>
            <w:vAlign w:val="center"/>
          </w:tcPr>
          <w:p>
            <w:pPr>
              <w:pStyle w:val="39"/>
              <w:rPr>
                <w:rFonts w:cs="Times New Roman"/>
              </w:rPr>
            </w:pPr>
            <w:r>
              <w:rPr>
                <w:rFonts w:hint="eastAsia" w:cs="Times New Roman"/>
              </w:rPr>
              <w:t>N</w:t>
            </w:r>
            <w:r>
              <w:rPr>
                <w:rFonts w:cs="Times New Roman"/>
              </w:rPr>
              <w:t>W</w:t>
            </w:r>
          </w:p>
        </w:tc>
        <w:tc>
          <w:tcPr>
            <w:tcW w:w="554" w:type="pct"/>
            <w:vAlign w:val="center"/>
          </w:tcPr>
          <w:p>
            <w:pPr>
              <w:pStyle w:val="39"/>
              <w:rPr>
                <w:rFonts w:cs="Times New Roman"/>
              </w:rPr>
            </w:pPr>
            <w:r>
              <w:rPr>
                <w:rFonts w:cs="Times New Roman"/>
              </w:rPr>
              <w:t>1</w:t>
            </w:r>
            <w:r>
              <w:rPr>
                <w:rFonts w:hint="eastAsia" w:cs="Times New Roman"/>
              </w:rPr>
              <w:t>.67km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4" w:type="pct"/>
            <w:vAlign w:val="center"/>
          </w:tcPr>
          <w:p>
            <w:pPr>
              <w:pStyle w:val="39"/>
              <w:rPr>
                <w:rFonts w:cs="Times New Roman"/>
              </w:rPr>
            </w:pPr>
            <w:r>
              <w:rPr>
                <w:rFonts w:hint="eastAsia" w:cs="Times New Roman"/>
              </w:rPr>
              <w:t>高</w:t>
            </w:r>
            <w:r>
              <w:rPr>
                <w:rFonts w:cs="Times New Roman"/>
              </w:rPr>
              <w:t>木</w:t>
            </w:r>
          </w:p>
        </w:tc>
        <w:tc>
          <w:tcPr>
            <w:tcW w:w="965" w:type="pct"/>
            <w:vAlign w:val="center"/>
          </w:tcPr>
          <w:p>
            <w:pPr>
              <w:pStyle w:val="39"/>
              <w:rPr>
                <w:rFonts w:cs="Times New Roman"/>
              </w:rPr>
            </w:pPr>
            <w:r>
              <w:rPr>
                <w:rFonts w:cs="Times New Roman"/>
              </w:rPr>
              <w:t>112.390669263</w:t>
            </w:r>
          </w:p>
        </w:tc>
        <w:tc>
          <w:tcPr>
            <w:tcW w:w="833" w:type="pct"/>
            <w:vAlign w:val="center"/>
          </w:tcPr>
          <w:p>
            <w:pPr>
              <w:pStyle w:val="39"/>
              <w:rPr>
                <w:rFonts w:cs="Times New Roman"/>
              </w:rPr>
            </w:pPr>
            <w:r>
              <w:rPr>
                <w:rFonts w:cs="Times New Roman"/>
              </w:rPr>
              <w:t>27.088648082</w:t>
            </w:r>
          </w:p>
        </w:tc>
        <w:tc>
          <w:tcPr>
            <w:tcW w:w="510" w:type="pct"/>
            <w:vAlign w:val="center"/>
          </w:tcPr>
          <w:p>
            <w:pPr>
              <w:jc w:val="center"/>
              <w:rPr>
                <w:rFonts w:ascii="Times New Roman" w:hAnsi="Times New Roman" w:eastAsia="宋体" w:cs="Times New Roman"/>
              </w:rPr>
            </w:pPr>
            <w:r>
              <w:rPr>
                <w:rFonts w:ascii="Times New Roman" w:hAnsi="Times New Roman" w:eastAsia="宋体" w:cs="Times New Roman"/>
              </w:rPr>
              <w:t>居民点</w:t>
            </w:r>
          </w:p>
        </w:tc>
        <w:tc>
          <w:tcPr>
            <w:tcW w:w="509" w:type="pct"/>
            <w:vAlign w:val="center"/>
          </w:tcPr>
          <w:p>
            <w:pPr>
              <w:jc w:val="center"/>
              <w:rPr>
                <w:rFonts w:ascii="Times New Roman" w:hAnsi="Times New Roman" w:eastAsia="宋体" w:cs="Times New Roman"/>
              </w:rPr>
            </w:pPr>
            <w:r>
              <w:rPr>
                <w:rFonts w:ascii="Times New Roman" w:hAnsi="Times New Roman" w:eastAsia="宋体" w:cs="Times New Roman"/>
              </w:rPr>
              <w:t>人群</w:t>
            </w:r>
          </w:p>
        </w:tc>
        <w:tc>
          <w:tcPr>
            <w:tcW w:w="450" w:type="pct"/>
            <w:vMerge w:val="continue"/>
            <w:vAlign w:val="center"/>
          </w:tcPr>
          <w:p>
            <w:pPr>
              <w:pStyle w:val="39"/>
              <w:rPr>
                <w:rFonts w:cs="Times New Roman"/>
              </w:rPr>
            </w:pPr>
          </w:p>
        </w:tc>
        <w:tc>
          <w:tcPr>
            <w:tcW w:w="424" w:type="pct"/>
            <w:vAlign w:val="center"/>
          </w:tcPr>
          <w:p>
            <w:pPr>
              <w:pStyle w:val="39"/>
              <w:rPr>
                <w:rFonts w:cs="Times New Roman"/>
              </w:rPr>
            </w:pPr>
            <w:r>
              <w:rPr>
                <w:rFonts w:hint="eastAsia" w:cs="Times New Roman"/>
              </w:rPr>
              <w:t>N</w:t>
            </w:r>
            <w:r>
              <w:rPr>
                <w:rFonts w:cs="Times New Roman"/>
              </w:rPr>
              <w:t>W</w:t>
            </w:r>
          </w:p>
        </w:tc>
        <w:tc>
          <w:tcPr>
            <w:tcW w:w="554" w:type="pct"/>
            <w:vAlign w:val="center"/>
          </w:tcPr>
          <w:p>
            <w:pPr>
              <w:pStyle w:val="39"/>
              <w:rPr>
                <w:rFonts w:cs="Times New Roman"/>
              </w:rPr>
            </w:pPr>
            <w:r>
              <w:rPr>
                <w:rFonts w:cs="Times New Roman"/>
              </w:rPr>
              <w:t>1.21</w:t>
            </w:r>
            <w:r>
              <w:rPr>
                <w:rFonts w:hint="eastAsia" w:cs="Times New Roman"/>
              </w:rPr>
              <w:t>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4" w:type="pct"/>
            <w:vAlign w:val="center"/>
          </w:tcPr>
          <w:p>
            <w:pPr>
              <w:pStyle w:val="39"/>
              <w:rPr>
                <w:rFonts w:cs="Times New Roman"/>
              </w:rPr>
            </w:pPr>
            <w:r>
              <w:rPr>
                <w:rFonts w:hint="eastAsia" w:cs="Times New Roman"/>
              </w:rPr>
              <w:t>柳树塘</w:t>
            </w:r>
          </w:p>
        </w:tc>
        <w:tc>
          <w:tcPr>
            <w:tcW w:w="965" w:type="pct"/>
            <w:vAlign w:val="center"/>
          </w:tcPr>
          <w:p>
            <w:pPr>
              <w:pStyle w:val="39"/>
              <w:rPr>
                <w:rFonts w:cs="Times New Roman"/>
              </w:rPr>
            </w:pPr>
            <w:r>
              <w:rPr>
                <w:rFonts w:cs="Times New Roman"/>
              </w:rPr>
              <w:t>112.388995565</w:t>
            </w:r>
          </w:p>
        </w:tc>
        <w:tc>
          <w:tcPr>
            <w:tcW w:w="833" w:type="pct"/>
            <w:vAlign w:val="center"/>
          </w:tcPr>
          <w:p>
            <w:pPr>
              <w:pStyle w:val="39"/>
              <w:rPr>
                <w:rFonts w:cs="Times New Roman"/>
              </w:rPr>
            </w:pPr>
            <w:r>
              <w:rPr>
                <w:rFonts w:cs="Times New Roman"/>
              </w:rPr>
              <w:t>27.084099056</w:t>
            </w:r>
          </w:p>
        </w:tc>
        <w:tc>
          <w:tcPr>
            <w:tcW w:w="510" w:type="pct"/>
            <w:vAlign w:val="center"/>
          </w:tcPr>
          <w:p>
            <w:pPr>
              <w:jc w:val="center"/>
              <w:rPr>
                <w:rFonts w:ascii="Times New Roman" w:hAnsi="Times New Roman" w:eastAsia="宋体" w:cs="Times New Roman"/>
              </w:rPr>
            </w:pPr>
            <w:r>
              <w:rPr>
                <w:rFonts w:ascii="Times New Roman" w:hAnsi="Times New Roman" w:eastAsia="宋体" w:cs="Times New Roman"/>
              </w:rPr>
              <w:t>居民点</w:t>
            </w:r>
          </w:p>
        </w:tc>
        <w:tc>
          <w:tcPr>
            <w:tcW w:w="509" w:type="pct"/>
            <w:vAlign w:val="center"/>
          </w:tcPr>
          <w:p>
            <w:pPr>
              <w:jc w:val="center"/>
              <w:rPr>
                <w:rFonts w:ascii="Times New Roman" w:hAnsi="Times New Roman" w:eastAsia="宋体" w:cs="Times New Roman"/>
              </w:rPr>
            </w:pPr>
            <w:r>
              <w:rPr>
                <w:rFonts w:ascii="Times New Roman" w:hAnsi="Times New Roman" w:eastAsia="宋体" w:cs="Times New Roman"/>
              </w:rPr>
              <w:t>人群</w:t>
            </w:r>
          </w:p>
        </w:tc>
        <w:tc>
          <w:tcPr>
            <w:tcW w:w="450" w:type="pct"/>
            <w:vMerge w:val="continue"/>
            <w:vAlign w:val="center"/>
          </w:tcPr>
          <w:p>
            <w:pPr>
              <w:pStyle w:val="39"/>
              <w:rPr>
                <w:rFonts w:cs="Times New Roman"/>
              </w:rPr>
            </w:pPr>
          </w:p>
        </w:tc>
        <w:tc>
          <w:tcPr>
            <w:tcW w:w="424" w:type="pct"/>
            <w:vAlign w:val="center"/>
          </w:tcPr>
          <w:p>
            <w:pPr>
              <w:pStyle w:val="39"/>
              <w:rPr>
                <w:rFonts w:cs="Times New Roman"/>
              </w:rPr>
            </w:pPr>
            <w:r>
              <w:rPr>
                <w:rFonts w:hint="eastAsia" w:cs="Times New Roman"/>
              </w:rPr>
              <w:t>W</w:t>
            </w:r>
          </w:p>
        </w:tc>
        <w:tc>
          <w:tcPr>
            <w:tcW w:w="554" w:type="pct"/>
            <w:vAlign w:val="center"/>
          </w:tcPr>
          <w:p>
            <w:pPr>
              <w:pStyle w:val="39"/>
              <w:rPr>
                <w:rFonts w:cs="Times New Roman"/>
              </w:rPr>
            </w:pPr>
            <w:r>
              <w:rPr>
                <w:rFonts w:cs="Times New Roman"/>
              </w:rPr>
              <w:t>891</w:t>
            </w:r>
            <w:r>
              <w:rPr>
                <w:rFonts w:hint="eastAsia" w:cs="Times New Roma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4" w:type="pct"/>
            <w:vAlign w:val="center"/>
          </w:tcPr>
          <w:p>
            <w:pPr>
              <w:pStyle w:val="39"/>
              <w:rPr>
                <w:rFonts w:cs="Times New Roman"/>
              </w:rPr>
            </w:pPr>
            <w:r>
              <w:rPr>
                <w:rFonts w:hint="eastAsia" w:cs="Times New Roman"/>
              </w:rPr>
              <w:t>柳树村</w:t>
            </w:r>
          </w:p>
        </w:tc>
        <w:tc>
          <w:tcPr>
            <w:tcW w:w="965" w:type="pct"/>
            <w:vAlign w:val="center"/>
          </w:tcPr>
          <w:p>
            <w:pPr>
              <w:pStyle w:val="39"/>
              <w:rPr>
                <w:rFonts w:cs="Times New Roman"/>
              </w:rPr>
            </w:pPr>
            <w:r>
              <w:rPr>
                <w:rFonts w:cs="Times New Roman"/>
              </w:rPr>
              <w:t>112.383974470</w:t>
            </w:r>
          </w:p>
        </w:tc>
        <w:tc>
          <w:tcPr>
            <w:tcW w:w="833" w:type="pct"/>
            <w:vAlign w:val="center"/>
          </w:tcPr>
          <w:p>
            <w:pPr>
              <w:pStyle w:val="39"/>
              <w:rPr>
                <w:rFonts w:cs="Times New Roman"/>
              </w:rPr>
            </w:pPr>
            <w:r>
              <w:rPr>
                <w:rFonts w:cs="Times New Roman"/>
              </w:rPr>
              <w:t>27.080622913</w:t>
            </w:r>
          </w:p>
        </w:tc>
        <w:tc>
          <w:tcPr>
            <w:tcW w:w="510" w:type="pct"/>
            <w:vAlign w:val="center"/>
          </w:tcPr>
          <w:p>
            <w:pPr>
              <w:jc w:val="center"/>
              <w:rPr>
                <w:rFonts w:ascii="Times New Roman" w:hAnsi="Times New Roman" w:eastAsia="宋体" w:cs="Times New Roman"/>
              </w:rPr>
            </w:pPr>
            <w:r>
              <w:rPr>
                <w:rFonts w:ascii="Times New Roman" w:hAnsi="Times New Roman" w:eastAsia="宋体" w:cs="Times New Roman"/>
              </w:rPr>
              <w:t>居民点</w:t>
            </w:r>
          </w:p>
        </w:tc>
        <w:tc>
          <w:tcPr>
            <w:tcW w:w="509" w:type="pct"/>
            <w:vAlign w:val="center"/>
          </w:tcPr>
          <w:p>
            <w:pPr>
              <w:jc w:val="center"/>
              <w:rPr>
                <w:rFonts w:ascii="Times New Roman" w:hAnsi="Times New Roman" w:eastAsia="宋体" w:cs="Times New Roman"/>
              </w:rPr>
            </w:pPr>
            <w:r>
              <w:rPr>
                <w:rFonts w:ascii="Times New Roman" w:hAnsi="Times New Roman" w:eastAsia="宋体" w:cs="Times New Roman"/>
              </w:rPr>
              <w:t>人群</w:t>
            </w:r>
          </w:p>
        </w:tc>
        <w:tc>
          <w:tcPr>
            <w:tcW w:w="450" w:type="pct"/>
            <w:vMerge w:val="continue"/>
            <w:vAlign w:val="center"/>
          </w:tcPr>
          <w:p>
            <w:pPr>
              <w:pStyle w:val="39"/>
              <w:rPr>
                <w:rFonts w:cs="Times New Roman"/>
              </w:rPr>
            </w:pPr>
          </w:p>
        </w:tc>
        <w:tc>
          <w:tcPr>
            <w:tcW w:w="424" w:type="pct"/>
            <w:vAlign w:val="center"/>
          </w:tcPr>
          <w:p>
            <w:pPr>
              <w:pStyle w:val="39"/>
              <w:rPr>
                <w:rFonts w:cs="Times New Roman"/>
              </w:rPr>
            </w:pPr>
            <w:r>
              <w:rPr>
                <w:rFonts w:hint="eastAsia" w:cs="Times New Roman"/>
              </w:rPr>
              <w:t>W</w:t>
            </w:r>
          </w:p>
        </w:tc>
        <w:tc>
          <w:tcPr>
            <w:tcW w:w="554" w:type="pct"/>
            <w:vAlign w:val="center"/>
          </w:tcPr>
          <w:p>
            <w:pPr>
              <w:pStyle w:val="39"/>
              <w:rPr>
                <w:rFonts w:cs="Times New Roman"/>
              </w:rPr>
            </w:pPr>
            <w:r>
              <w:rPr>
                <w:rFonts w:cs="Times New Roman"/>
              </w:rPr>
              <w:t>1.07</w:t>
            </w:r>
            <w:r>
              <w:rPr>
                <w:rFonts w:hint="eastAsia" w:cs="Times New Roman"/>
              </w:rPr>
              <w:t>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4" w:type="pct"/>
            <w:vAlign w:val="center"/>
          </w:tcPr>
          <w:p>
            <w:pPr>
              <w:pStyle w:val="39"/>
              <w:rPr>
                <w:rFonts w:cs="Times New Roman"/>
              </w:rPr>
            </w:pPr>
            <w:r>
              <w:rPr>
                <w:rFonts w:hint="eastAsia" w:cs="Times New Roman"/>
              </w:rPr>
              <w:t>莫</w:t>
            </w:r>
            <w:r>
              <w:rPr>
                <w:rFonts w:cs="Times New Roman"/>
              </w:rPr>
              <w:t>乙</w:t>
            </w:r>
            <w:r>
              <w:rPr>
                <w:rFonts w:hint="eastAsia" w:cs="Times New Roman"/>
              </w:rPr>
              <w:t>塘</w:t>
            </w:r>
          </w:p>
        </w:tc>
        <w:tc>
          <w:tcPr>
            <w:tcW w:w="965" w:type="pct"/>
            <w:vAlign w:val="center"/>
          </w:tcPr>
          <w:p>
            <w:pPr>
              <w:pStyle w:val="39"/>
              <w:rPr>
                <w:rFonts w:cs="Times New Roman"/>
              </w:rPr>
            </w:pPr>
            <w:r>
              <w:rPr>
                <w:rFonts w:cs="Times New Roman"/>
              </w:rPr>
              <w:t>112.381657041</w:t>
            </w:r>
          </w:p>
        </w:tc>
        <w:tc>
          <w:tcPr>
            <w:tcW w:w="833" w:type="pct"/>
            <w:vAlign w:val="center"/>
          </w:tcPr>
          <w:p>
            <w:pPr>
              <w:pStyle w:val="39"/>
              <w:rPr>
                <w:rFonts w:cs="Times New Roman"/>
              </w:rPr>
            </w:pPr>
            <w:r>
              <w:rPr>
                <w:rFonts w:cs="Times New Roman"/>
              </w:rPr>
              <w:t>27.081352474</w:t>
            </w:r>
          </w:p>
        </w:tc>
        <w:tc>
          <w:tcPr>
            <w:tcW w:w="510" w:type="pct"/>
            <w:vAlign w:val="center"/>
          </w:tcPr>
          <w:p>
            <w:pPr>
              <w:jc w:val="center"/>
              <w:rPr>
                <w:rFonts w:ascii="Times New Roman" w:hAnsi="Times New Roman" w:eastAsia="宋体" w:cs="Times New Roman"/>
              </w:rPr>
            </w:pPr>
            <w:r>
              <w:rPr>
                <w:rFonts w:ascii="Times New Roman" w:hAnsi="Times New Roman" w:eastAsia="宋体" w:cs="Times New Roman"/>
              </w:rPr>
              <w:t>居民点</w:t>
            </w:r>
          </w:p>
        </w:tc>
        <w:tc>
          <w:tcPr>
            <w:tcW w:w="509" w:type="pct"/>
            <w:vAlign w:val="center"/>
          </w:tcPr>
          <w:p>
            <w:pPr>
              <w:jc w:val="center"/>
              <w:rPr>
                <w:rFonts w:ascii="Times New Roman" w:hAnsi="Times New Roman" w:eastAsia="宋体" w:cs="Times New Roman"/>
              </w:rPr>
            </w:pPr>
            <w:r>
              <w:rPr>
                <w:rFonts w:ascii="Times New Roman" w:hAnsi="Times New Roman" w:eastAsia="宋体" w:cs="Times New Roman"/>
              </w:rPr>
              <w:t>人群</w:t>
            </w:r>
          </w:p>
        </w:tc>
        <w:tc>
          <w:tcPr>
            <w:tcW w:w="450" w:type="pct"/>
            <w:vMerge w:val="continue"/>
            <w:vAlign w:val="center"/>
          </w:tcPr>
          <w:p>
            <w:pPr>
              <w:pStyle w:val="39"/>
              <w:rPr>
                <w:rFonts w:cs="Times New Roman"/>
              </w:rPr>
            </w:pPr>
          </w:p>
        </w:tc>
        <w:tc>
          <w:tcPr>
            <w:tcW w:w="424" w:type="pct"/>
            <w:vAlign w:val="center"/>
          </w:tcPr>
          <w:p>
            <w:pPr>
              <w:pStyle w:val="39"/>
              <w:rPr>
                <w:rFonts w:cs="Times New Roman"/>
              </w:rPr>
            </w:pPr>
            <w:r>
              <w:rPr>
                <w:rFonts w:cs="Times New Roman"/>
              </w:rPr>
              <w:t>W</w:t>
            </w:r>
          </w:p>
        </w:tc>
        <w:tc>
          <w:tcPr>
            <w:tcW w:w="554" w:type="pct"/>
            <w:vAlign w:val="center"/>
          </w:tcPr>
          <w:p>
            <w:pPr>
              <w:pStyle w:val="39"/>
              <w:rPr>
                <w:rFonts w:cs="Times New Roman"/>
              </w:rPr>
            </w:pPr>
            <w:r>
              <w:rPr>
                <w:rFonts w:cs="Times New Roman"/>
              </w:rPr>
              <w:t>1.51</w:t>
            </w:r>
            <w:r>
              <w:rPr>
                <w:rFonts w:hint="eastAsia" w:cs="Times New Roman"/>
              </w:rPr>
              <w:t>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4" w:type="pct"/>
            <w:vAlign w:val="center"/>
          </w:tcPr>
          <w:p>
            <w:pPr>
              <w:pStyle w:val="39"/>
              <w:rPr>
                <w:rFonts w:cs="Times New Roman"/>
              </w:rPr>
            </w:pPr>
            <w:r>
              <w:rPr>
                <w:rFonts w:hint="eastAsia" w:cs="Times New Roman"/>
              </w:rPr>
              <w:t>藤缠树</w:t>
            </w:r>
          </w:p>
        </w:tc>
        <w:tc>
          <w:tcPr>
            <w:tcW w:w="965" w:type="pct"/>
            <w:vAlign w:val="center"/>
          </w:tcPr>
          <w:p>
            <w:pPr>
              <w:pStyle w:val="39"/>
              <w:rPr>
                <w:rFonts w:cs="Times New Roman"/>
              </w:rPr>
            </w:pPr>
            <w:r>
              <w:rPr>
                <w:rFonts w:cs="Times New Roman"/>
              </w:rPr>
              <w:t>112.379382528</w:t>
            </w:r>
          </w:p>
        </w:tc>
        <w:tc>
          <w:tcPr>
            <w:tcW w:w="833" w:type="pct"/>
            <w:vAlign w:val="center"/>
          </w:tcPr>
          <w:p>
            <w:pPr>
              <w:pStyle w:val="39"/>
              <w:rPr>
                <w:rFonts w:cs="Times New Roman"/>
              </w:rPr>
            </w:pPr>
            <w:r>
              <w:rPr>
                <w:rFonts w:cs="Times New Roman"/>
              </w:rPr>
              <w:t>27.086116077</w:t>
            </w:r>
          </w:p>
        </w:tc>
        <w:tc>
          <w:tcPr>
            <w:tcW w:w="510" w:type="pct"/>
            <w:vAlign w:val="center"/>
          </w:tcPr>
          <w:p>
            <w:pPr>
              <w:jc w:val="center"/>
              <w:rPr>
                <w:rFonts w:ascii="Times New Roman" w:hAnsi="Times New Roman" w:eastAsia="宋体" w:cs="Times New Roman"/>
              </w:rPr>
            </w:pPr>
            <w:r>
              <w:rPr>
                <w:rFonts w:ascii="Times New Roman" w:hAnsi="Times New Roman" w:eastAsia="宋体" w:cs="Times New Roman"/>
              </w:rPr>
              <w:t>居民点</w:t>
            </w:r>
          </w:p>
        </w:tc>
        <w:tc>
          <w:tcPr>
            <w:tcW w:w="509" w:type="pct"/>
            <w:vAlign w:val="center"/>
          </w:tcPr>
          <w:p>
            <w:pPr>
              <w:jc w:val="center"/>
              <w:rPr>
                <w:rFonts w:ascii="Times New Roman" w:hAnsi="Times New Roman" w:eastAsia="宋体" w:cs="Times New Roman"/>
              </w:rPr>
            </w:pPr>
            <w:r>
              <w:rPr>
                <w:rFonts w:ascii="Times New Roman" w:hAnsi="Times New Roman" w:eastAsia="宋体" w:cs="Times New Roman"/>
              </w:rPr>
              <w:t>人群</w:t>
            </w:r>
          </w:p>
        </w:tc>
        <w:tc>
          <w:tcPr>
            <w:tcW w:w="450" w:type="pct"/>
            <w:vMerge w:val="continue"/>
            <w:vAlign w:val="center"/>
          </w:tcPr>
          <w:p>
            <w:pPr>
              <w:pStyle w:val="39"/>
              <w:rPr>
                <w:rFonts w:cs="Times New Roman"/>
              </w:rPr>
            </w:pPr>
          </w:p>
        </w:tc>
        <w:tc>
          <w:tcPr>
            <w:tcW w:w="424" w:type="pct"/>
            <w:vAlign w:val="center"/>
          </w:tcPr>
          <w:p>
            <w:pPr>
              <w:pStyle w:val="39"/>
              <w:rPr>
                <w:rFonts w:cs="Times New Roman"/>
              </w:rPr>
            </w:pPr>
            <w:r>
              <w:rPr>
                <w:rFonts w:hint="eastAsia" w:cs="Times New Roman"/>
              </w:rPr>
              <w:t>N</w:t>
            </w:r>
            <w:r>
              <w:rPr>
                <w:rFonts w:cs="Times New Roman"/>
              </w:rPr>
              <w:t>W</w:t>
            </w:r>
          </w:p>
        </w:tc>
        <w:tc>
          <w:tcPr>
            <w:tcW w:w="554" w:type="pct"/>
            <w:vAlign w:val="center"/>
          </w:tcPr>
          <w:p>
            <w:pPr>
              <w:pStyle w:val="39"/>
              <w:rPr>
                <w:rFonts w:cs="Times New Roman"/>
              </w:rPr>
            </w:pPr>
            <w:r>
              <w:rPr>
                <w:rFonts w:hint="eastAsia" w:cs="Times New Roman"/>
              </w:rPr>
              <w:t>1.</w:t>
            </w:r>
            <w:r>
              <w:rPr>
                <w:rFonts w:cs="Times New Roman"/>
              </w:rPr>
              <w:t>76</w:t>
            </w:r>
            <w:r>
              <w:rPr>
                <w:rFonts w:hint="eastAsia" w:cs="Times New Roman"/>
              </w:rPr>
              <w:t>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4" w:type="pct"/>
            <w:vAlign w:val="center"/>
          </w:tcPr>
          <w:p>
            <w:pPr>
              <w:pStyle w:val="39"/>
              <w:rPr>
                <w:rFonts w:cs="Times New Roman"/>
              </w:rPr>
            </w:pPr>
            <w:r>
              <w:rPr>
                <w:rFonts w:hint="eastAsia"/>
              </w:rPr>
              <w:t>周子光</w:t>
            </w:r>
          </w:p>
        </w:tc>
        <w:tc>
          <w:tcPr>
            <w:tcW w:w="965" w:type="pct"/>
            <w:vAlign w:val="center"/>
          </w:tcPr>
          <w:p>
            <w:pPr>
              <w:pStyle w:val="39"/>
              <w:rPr>
                <w:rFonts w:cs="Times New Roman"/>
              </w:rPr>
            </w:pPr>
            <w:r>
              <w:rPr>
                <w:rFonts w:cs="Times New Roman"/>
              </w:rPr>
              <w:t>112.372902311</w:t>
            </w:r>
          </w:p>
        </w:tc>
        <w:tc>
          <w:tcPr>
            <w:tcW w:w="833" w:type="pct"/>
            <w:vAlign w:val="center"/>
          </w:tcPr>
          <w:p>
            <w:pPr>
              <w:pStyle w:val="39"/>
              <w:rPr>
                <w:rFonts w:cs="Times New Roman"/>
              </w:rPr>
            </w:pPr>
            <w:r>
              <w:rPr>
                <w:rFonts w:cs="Times New Roman"/>
              </w:rPr>
              <w:t>27.083326580</w:t>
            </w:r>
          </w:p>
        </w:tc>
        <w:tc>
          <w:tcPr>
            <w:tcW w:w="510" w:type="pct"/>
            <w:vAlign w:val="center"/>
          </w:tcPr>
          <w:p>
            <w:pPr>
              <w:jc w:val="center"/>
              <w:rPr>
                <w:rFonts w:ascii="Times New Roman" w:hAnsi="Times New Roman" w:eastAsia="宋体" w:cs="Times New Roman"/>
              </w:rPr>
            </w:pPr>
            <w:r>
              <w:rPr>
                <w:rFonts w:ascii="Times New Roman" w:hAnsi="Times New Roman" w:eastAsia="宋体" w:cs="Times New Roman"/>
              </w:rPr>
              <w:t>居民点</w:t>
            </w:r>
          </w:p>
        </w:tc>
        <w:tc>
          <w:tcPr>
            <w:tcW w:w="509" w:type="pct"/>
            <w:vAlign w:val="center"/>
          </w:tcPr>
          <w:p>
            <w:pPr>
              <w:jc w:val="center"/>
              <w:rPr>
                <w:rFonts w:ascii="Times New Roman" w:hAnsi="Times New Roman" w:eastAsia="宋体" w:cs="Times New Roman"/>
              </w:rPr>
            </w:pPr>
            <w:r>
              <w:rPr>
                <w:rFonts w:ascii="Times New Roman" w:hAnsi="Times New Roman" w:eastAsia="宋体" w:cs="Times New Roman"/>
              </w:rPr>
              <w:t>人群</w:t>
            </w:r>
          </w:p>
        </w:tc>
        <w:tc>
          <w:tcPr>
            <w:tcW w:w="450" w:type="pct"/>
            <w:vMerge w:val="continue"/>
            <w:vAlign w:val="center"/>
          </w:tcPr>
          <w:p>
            <w:pPr>
              <w:pStyle w:val="39"/>
              <w:rPr>
                <w:rFonts w:cs="Times New Roman"/>
              </w:rPr>
            </w:pPr>
          </w:p>
        </w:tc>
        <w:tc>
          <w:tcPr>
            <w:tcW w:w="424" w:type="pct"/>
            <w:vAlign w:val="center"/>
          </w:tcPr>
          <w:p>
            <w:pPr>
              <w:pStyle w:val="39"/>
              <w:rPr>
                <w:rFonts w:cs="Times New Roman"/>
              </w:rPr>
            </w:pPr>
            <w:r>
              <w:rPr>
                <w:rFonts w:hint="eastAsia" w:cs="Times New Roman"/>
              </w:rPr>
              <w:t>N</w:t>
            </w:r>
            <w:r>
              <w:rPr>
                <w:rFonts w:cs="Times New Roman"/>
              </w:rPr>
              <w:t>W</w:t>
            </w:r>
          </w:p>
        </w:tc>
        <w:tc>
          <w:tcPr>
            <w:tcW w:w="554" w:type="pct"/>
            <w:vAlign w:val="center"/>
          </w:tcPr>
          <w:p>
            <w:pPr>
              <w:pStyle w:val="39"/>
              <w:rPr>
                <w:rFonts w:cs="Times New Roman"/>
              </w:rPr>
            </w:pPr>
            <w:r>
              <w:rPr>
                <w:rFonts w:cs="Times New Roman"/>
              </w:rPr>
              <w:t>2.21</w:t>
            </w:r>
            <w:r>
              <w:rPr>
                <w:rFonts w:hint="eastAsia" w:cs="Times New Roman"/>
              </w:rPr>
              <w:t>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4" w:type="pct"/>
            <w:vAlign w:val="center"/>
          </w:tcPr>
          <w:p>
            <w:pPr>
              <w:pStyle w:val="39"/>
              <w:rPr>
                <w:rFonts w:cs="Times New Roman"/>
              </w:rPr>
            </w:pPr>
            <w:r>
              <w:rPr>
                <w:rFonts w:hint="eastAsia" w:cs="Times New Roman"/>
              </w:rPr>
              <w:t>冲</w:t>
            </w:r>
            <w:r>
              <w:rPr>
                <w:rFonts w:cs="Times New Roman"/>
              </w:rPr>
              <w:t>山村</w:t>
            </w:r>
          </w:p>
        </w:tc>
        <w:tc>
          <w:tcPr>
            <w:tcW w:w="965" w:type="pct"/>
            <w:vAlign w:val="center"/>
          </w:tcPr>
          <w:p>
            <w:pPr>
              <w:pStyle w:val="39"/>
              <w:rPr>
                <w:rFonts w:cs="Times New Roman"/>
              </w:rPr>
            </w:pPr>
            <w:r>
              <w:rPr>
                <w:rFonts w:cs="Times New Roman"/>
              </w:rPr>
              <w:t>112.372601904</w:t>
            </w:r>
          </w:p>
        </w:tc>
        <w:tc>
          <w:tcPr>
            <w:tcW w:w="833" w:type="pct"/>
            <w:vAlign w:val="center"/>
          </w:tcPr>
          <w:p>
            <w:pPr>
              <w:pStyle w:val="39"/>
              <w:rPr>
                <w:rFonts w:cs="Times New Roman"/>
              </w:rPr>
            </w:pPr>
            <w:r>
              <w:rPr>
                <w:rFonts w:cs="Times New Roman"/>
              </w:rPr>
              <w:t>27.085858585</w:t>
            </w:r>
          </w:p>
        </w:tc>
        <w:tc>
          <w:tcPr>
            <w:tcW w:w="510" w:type="pct"/>
            <w:vAlign w:val="center"/>
          </w:tcPr>
          <w:p>
            <w:pPr>
              <w:jc w:val="center"/>
              <w:rPr>
                <w:rFonts w:ascii="Times New Roman" w:hAnsi="Times New Roman" w:eastAsia="宋体" w:cs="Times New Roman"/>
              </w:rPr>
            </w:pPr>
            <w:r>
              <w:rPr>
                <w:rFonts w:ascii="Times New Roman" w:hAnsi="Times New Roman" w:eastAsia="宋体" w:cs="Times New Roman"/>
              </w:rPr>
              <w:t>居民点</w:t>
            </w:r>
          </w:p>
        </w:tc>
        <w:tc>
          <w:tcPr>
            <w:tcW w:w="509" w:type="pct"/>
            <w:vAlign w:val="center"/>
          </w:tcPr>
          <w:p>
            <w:pPr>
              <w:jc w:val="center"/>
              <w:rPr>
                <w:rFonts w:ascii="Times New Roman" w:hAnsi="Times New Roman" w:eastAsia="宋体" w:cs="Times New Roman"/>
              </w:rPr>
            </w:pPr>
            <w:r>
              <w:rPr>
                <w:rFonts w:ascii="Times New Roman" w:hAnsi="Times New Roman" w:eastAsia="宋体" w:cs="Times New Roman"/>
              </w:rPr>
              <w:t>人群</w:t>
            </w:r>
          </w:p>
        </w:tc>
        <w:tc>
          <w:tcPr>
            <w:tcW w:w="450" w:type="pct"/>
            <w:vMerge w:val="continue"/>
            <w:vAlign w:val="center"/>
          </w:tcPr>
          <w:p>
            <w:pPr>
              <w:pStyle w:val="39"/>
              <w:rPr>
                <w:rFonts w:cs="Times New Roman"/>
              </w:rPr>
            </w:pPr>
          </w:p>
        </w:tc>
        <w:tc>
          <w:tcPr>
            <w:tcW w:w="424" w:type="pct"/>
            <w:vAlign w:val="center"/>
          </w:tcPr>
          <w:p>
            <w:pPr>
              <w:pStyle w:val="39"/>
              <w:rPr>
                <w:rFonts w:cs="Times New Roman"/>
              </w:rPr>
            </w:pPr>
            <w:r>
              <w:rPr>
                <w:rFonts w:hint="eastAsia" w:cs="Times New Roman"/>
              </w:rPr>
              <w:t>N</w:t>
            </w:r>
            <w:r>
              <w:rPr>
                <w:rFonts w:cs="Times New Roman"/>
              </w:rPr>
              <w:t>W</w:t>
            </w:r>
          </w:p>
        </w:tc>
        <w:tc>
          <w:tcPr>
            <w:tcW w:w="554" w:type="pct"/>
            <w:vAlign w:val="center"/>
          </w:tcPr>
          <w:p>
            <w:pPr>
              <w:pStyle w:val="39"/>
              <w:rPr>
                <w:rFonts w:cs="Times New Roman"/>
              </w:rPr>
            </w:pPr>
            <w:r>
              <w:rPr>
                <w:rFonts w:cs="Times New Roman"/>
              </w:rPr>
              <w:t>2.37</w:t>
            </w:r>
            <w:r>
              <w:rPr>
                <w:rFonts w:hint="eastAsia" w:cs="Times New Roman"/>
              </w:rPr>
              <w:t>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4" w:type="pct"/>
            <w:vAlign w:val="center"/>
          </w:tcPr>
          <w:p>
            <w:pPr>
              <w:pStyle w:val="39"/>
              <w:rPr>
                <w:rFonts w:cs="Times New Roman"/>
              </w:rPr>
            </w:pPr>
            <w:r>
              <w:rPr>
                <w:rFonts w:hint="eastAsia" w:cs="Times New Roman"/>
              </w:rPr>
              <w:t>大胜</w:t>
            </w:r>
            <w:r>
              <w:rPr>
                <w:rFonts w:cs="Times New Roman"/>
              </w:rPr>
              <w:t>村</w:t>
            </w:r>
          </w:p>
        </w:tc>
        <w:tc>
          <w:tcPr>
            <w:tcW w:w="965" w:type="pct"/>
            <w:vAlign w:val="center"/>
          </w:tcPr>
          <w:p>
            <w:pPr>
              <w:pStyle w:val="39"/>
              <w:rPr>
                <w:rFonts w:cs="Times New Roman"/>
              </w:rPr>
            </w:pPr>
            <w:r>
              <w:rPr>
                <w:rFonts w:cs="Times New Roman"/>
              </w:rPr>
              <w:t>112.369683660</w:t>
            </w:r>
          </w:p>
        </w:tc>
        <w:tc>
          <w:tcPr>
            <w:tcW w:w="833" w:type="pct"/>
            <w:vAlign w:val="center"/>
          </w:tcPr>
          <w:p>
            <w:pPr>
              <w:pStyle w:val="39"/>
              <w:rPr>
                <w:rFonts w:cs="Times New Roman"/>
              </w:rPr>
            </w:pPr>
            <w:r>
              <w:rPr>
                <w:rFonts w:cs="Times New Roman"/>
              </w:rPr>
              <w:t>27.090193035</w:t>
            </w:r>
          </w:p>
        </w:tc>
        <w:tc>
          <w:tcPr>
            <w:tcW w:w="510" w:type="pct"/>
            <w:vAlign w:val="center"/>
          </w:tcPr>
          <w:p>
            <w:pPr>
              <w:jc w:val="center"/>
              <w:rPr>
                <w:rFonts w:ascii="Times New Roman" w:hAnsi="Times New Roman" w:eastAsia="宋体" w:cs="Times New Roman"/>
              </w:rPr>
            </w:pPr>
            <w:r>
              <w:rPr>
                <w:rFonts w:ascii="Times New Roman" w:hAnsi="Times New Roman" w:eastAsia="宋体" w:cs="Times New Roman"/>
              </w:rPr>
              <w:t>居民点</w:t>
            </w:r>
          </w:p>
        </w:tc>
        <w:tc>
          <w:tcPr>
            <w:tcW w:w="509" w:type="pct"/>
            <w:vAlign w:val="center"/>
          </w:tcPr>
          <w:p>
            <w:pPr>
              <w:jc w:val="center"/>
              <w:rPr>
                <w:rFonts w:ascii="Times New Roman" w:hAnsi="Times New Roman" w:eastAsia="宋体" w:cs="Times New Roman"/>
              </w:rPr>
            </w:pPr>
            <w:r>
              <w:rPr>
                <w:rFonts w:ascii="Times New Roman" w:hAnsi="Times New Roman" w:eastAsia="宋体" w:cs="Times New Roman"/>
              </w:rPr>
              <w:t>人群</w:t>
            </w:r>
          </w:p>
        </w:tc>
        <w:tc>
          <w:tcPr>
            <w:tcW w:w="450" w:type="pct"/>
            <w:vMerge w:val="continue"/>
            <w:vAlign w:val="center"/>
          </w:tcPr>
          <w:p>
            <w:pPr>
              <w:pStyle w:val="39"/>
              <w:rPr>
                <w:rFonts w:cs="Times New Roman"/>
              </w:rPr>
            </w:pPr>
          </w:p>
        </w:tc>
        <w:tc>
          <w:tcPr>
            <w:tcW w:w="424" w:type="pct"/>
            <w:vAlign w:val="center"/>
          </w:tcPr>
          <w:p>
            <w:pPr>
              <w:pStyle w:val="39"/>
              <w:rPr>
                <w:rFonts w:cs="Times New Roman"/>
              </w:rPr>
            </w:pPr>
            <w:r>
              <w:rPr>
                <w:rFonts w:hint="eastAsia" w:cs="Times New Roman"/>
              </w:rPr>
              <w:t>N</w:t>
            </w:r>
            <w:r>
              <w:rPr>
                <w:rFonts w:cs="Times New Roman"/>
              </w:rPr>
              <w:t>W</w:t>
            </w:r>
          </w:p>
        </w:tc>
        <w:tc>
          <w:tcPr>
            <w:tcW w:w="554" w:type="pct"/>
            <w:vAlign w:val="center"/>
          </w:tcPr>
          <w:p>
            <w:pPr>
              <w:pStyle w:val="39"/>
              <w:rPr>
                <w:rFonts w:cs="Times New Roman"/>
              </w:rPr>
            </w:pPr>
            <w:r>
              <w:rPr>
                <w:rFonts w:hint="eastAsia" w:cs="Times New Roman"/>
              </w:rPr>
              <w:t>2.</w:t>
            </w:r>
            <w:r>
              <w:rPr>
                <w:rFonts w:cs="Times New Roman"/>
              </w:rPr>
              <w:t>76</w:t>
            </w:r>
            <w:r>
              <w:rPr>
                <w:rFonts w:hint="eastAsia" w:cs="Times New Roman"/>
              </w:rPr>
              <w:t>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4" w:type="pct"/>
            <w:vAlign w:val="center"/>
          </w:tcPr>
          <w:p>
            <w:pPr>
              <w:pStyle w:val="39"/>
              <w:rPr>
                <w:rFonts w:cs="Times New Roman"/>
              </w:rPr>
            </w:pPr>
            <w:r>
              <w:rPr>
                <w:rFonts w:hint="eastAsia" w:cs="Times New Roman"/>
              </w:rPr>
              <w:t>何</w:t>
            </w:r>
            <w:r>
              <w:rPr>
                <w:rFonts w:cs="Times New Roman"/>
              </w:rPr>
              <w:t>隆殿</w:t>
            </w:r>
          </w:p>
        </w:tc>
        <w:tc>
          <w:tcPr>
            <w:tcW w:w="965" w:type="pct"/>
            <w:vAlign w:val="center"/>
          </w:tcPr>
          <w:p>
            <w:pPr>
              <w:pStyle w:val="39"/>
              <w:rPr>
                <w:rFonts w:cs="Times New Roman"/>
              </w:rPr>
            </w:pPr>
            <w:r>
              <w:rPr>
                <w:rFonts w:cs="Times New Roman"/>
              </w:rPr>
              <w:t>112.375391401</w:t>
            </w:r>
          </w:p>
        </w:tc>
        <w:tc>
          <w:tcPr>
            <w:tcW w:w="833" w:type="pct"/>
            <w:vAlign w:val="center"/>
          </w:tcPr>
          <w:p>
            <w:pPr>
              <w:pStyle w:val="39"/>
              <w:rPr>
                <w:rFonts w:cs="Times New Roman"/>
              </w:rPr>
            </w:pPr>
            <w:r>
              <w:rPr>
                <w:rFonts w:cs="Times New Roman"/>
              </w:rPr>
              <w:t>27.094570400</w:t>
            </w:r>
          </w:p>
        </w:tc>
        <w:tc>
          <w:tcPr>
            <w:tcW w:w="510" w:type="pct"/>
            <w:vAlign w:val="center"/>
          </w:tcPr>
          <w:p>
            <w:pPr>
              <w:jc w:val="center"/>
              <w:rPr>
                <w:rFonts w:ascii="Times New Roman" w:hAnsi="Times New Roman" w:eastAsia="宋体" w:cs="Times New Roman"/>
              </w:rPr>
            </w:pPr>
            <w:r>
              <w:rPr>
                <w:rFonts w:ascii="Times New Roman" w:hAnsi="Times New Roman" w:eastAsia="宋体" w:cs="Times New Roman"/>
              </w:rPr>
              <w:t>居民点</w:t>
            </w:r>
          </w:p>
        </w:tc>
        <w:tc>
          <w:tcPr>
            <w:tcW w:w="509" w:type="pct"/>
            <w:vAlign w:val="center"/>
          </w:tcPr>
          <w:p>
            <w:pPr>
              <w:jc w:val="center"/>
              <w:rPr>
                <w:rFonts w:ascii="Times New Roman" w:hAnsi="Times New Roman" w:eastAsia="宋体" w:cs="Times New Roman"/>
              </w:rPr>
            </w:pPr>
            <w:r>
              <w:rPr>
                <w:rFonts w:ascii="Times New Roman" w:hAnsi="Times New Roman" w:eastAsia="宋体" w:cs="Times New Roman"/>
              </w:rPr>
              <w:t>人群</w:t>
            </w:r>
          </w:p>
        </w:tc>
        <w:tc>
          <w:tcPr>
            <w:tcW w:w="450" w:type="pct"/>
            <w:vMerge w:val="continue"/>
            <w:vAlign w:val="center"/>
          </w:tcPr>
          <w:p>
            <w:pPr>
              <w:pStyle w:val="39"/>
              <w:rPr>
                <w:rFonts w:cs="Times New Roman"/>
              </w:rPr>
            </w:pPr>
          </w:p>
        </w:tc>
        <w:tc>
          <w:tcPr>
            <w:tcW w:w="424" w:type="pct"/>
            <w:vAlign w:val="center"/>
          </w:tcPr>
          <w:p>
            <w:pPr>
              <w:pStyle w:val="39"/>
              <w:rPr>
                <w:rFonts w:cs="Times New Roman"/>
              </w:rPr>
            </w:pPr>
            <w:r>
              <w:rPr>
                <w:rFonts w:hint="eastAsia" w:cs="Times New Roman"/>
              </w:rPr>
              <w:t>N</w:t>
            </w:r>
            <w:r>
              <w:rPr>
                <w:rFonts w:cs="Times New Roman"/>
              </w:rPr>
              <w:t>W</w:t>
            </w:r>
          </w:p>
        </w:tc>
        <w:tc>
          <w:tcPr>
            <w:tcW w:w="554" w:type="pct"/>
            <w:vAlign w:val="center"/>
          </w:tcPr>
          <w:p>
            <w:pPr>
              <w:pStyle w:val="39"/>
              <w:rPr>
                <w:rFonts w:cs="Times New Roman"/>
              </w:rPr>
            </w:pPr>
            <w:r>
              <w:rPr>
                <w:rFonts w:hint="eastAsia" w:cs="Times New Roman"/>
              </w:rPr>
              <w:t>2.</w:t>
            </w:r>
            <w:r>
              <w:rPr>
                <w:rFonts w:cs="Times New Roman"/>
              </w:rPr>
              <w:t>60</w:t>
            </w:r>
            <w:r>
              <w:rPr>
                <w:rFonts w:hint="eastAsia" w:cs="Times New Roman"/>
              </w:rPr>
              <w:t>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4" w:type="pct"/>
            <w:vAlign w:val="center"/>
          </w:tcPr>
          <w:p>
            <w:pPr>
              <w:pStyle w:val="39"/>
              <w:rPr>
                <w:rFonts w:cs="Times New Roman"/>
              </w:rPr>
            </w:pPr>
            <w:r>
              <w:rPr>
                <w:rFonts w:hint="eastAsia" w:cs="Times New Roman"/>
              </w:rPr>
              <w:t>旧木</w:t>
            </w:r>
            <w:r>
              <w:rPr>
                <w:rFonts w:cs="Times New Roman"/>
              </w:rPr>
              <w:t>塘</w:t>
            </w:r>
          </w:p>
        </w:tc>
        <w:tc>
          <w:tcPr>
            <w:tcW w:w="965" w:type="pct"/>
            <w:vAlign w:val="center"/>
          </w:tcPr>
          <w:p>
            <w:pPr>
              <w:pStyle w:val="39"/>
              <w:rPr>
                <w:rFonts w:cs="Times New Roman"/>
              </w:rPr>
            </w:pPr>
            <w:r>
              <w:rPr>
                <w:rFonts w:cs="Times New Roman"/>
              </w:rPr>
              <w:t>112.371614851</w:t>
            </w:r>
          </w:p>
        </w:tc>
        <w:tc>
          <w:tcPr>
            <w:tcW w:w="833" w:type="pct"/>
            <w:vAlign w:val="center"/>
          </w:tcPr>
          <w:p>
            <w:pPr>
              <w:pStyle w:val="39"/>
              <w:rPr>
                <w:rFonts w:cs="Times New Roman"/>
              </w:rPr>
            </w:pPr>
            <w:r>
              <w:rPr>
                <w:rFonts w:cs="Times New Roman"/>
              </w:rPr>
              <w:t>27.098604442</w:t>
            </w:r>
          </w:p>
        </w:tc>
        <w:tc>
          <w:tcPr>
            <w:tcW w:w="510" w:type="pct"/>
            <w:vAlign w:val="center"/>
          </w:tcPr>
          <w:p>
            <w:pPr>
              <w:jc w:val="center"/>
              <w:rPr>
                <w:rFonts w:ascii="Times New Roman" w:hAnsi="Times New Roman" w:eastAsia="宋体" w:cs="Times New Roman"/>
              </w:rPr>
            </w:pPr>
            <w:r>
              <w:rPr>
                <w:rFonts w:ascii="Times New Roman" w:hAnsi="Times New Roman" w:eastAsia="宋体" w:cs="Times New Roman"/>
              </w:rPr>
              <w:t>居民点</w:t>
            </w:r>
          </w:p>
        </w:tc>
        <w:tc>
          <w:tcPr>
            <w:tcW w:w="509" w:type="pct"/>
            <w:vAlign w:val="center"/>
          </w:tcPr>
          <w:p>
            <w:pPr>
              <w:jc w:val="center"/>
              <w:rPr>
                <w:rFonts w:ascii="Times New Roman" w:hAnsi="Times New Roman" w:eastAsia="宋体" w:cs="Times New Roman"/>
              </w:rPr>
            </w:pPr>
            <w:r>
              <w:rPr>
                <w:rFonts w:ascii="Times New Roman" w:hAnsi="Times New Roman" w:eastAsia="宋体" w:cs="Times New Roman"/>
              </w:rPr>
              <w:t>人群</w:t>
            </w:r>
          </w:p>
        </w:tc>
        <w:tc>
          <w:tcPr>
            <w:tcW w:w="450" w:type="pct"/>
            <w:vMerge w:val="continue"/>
            <w:vAlign w:val="center"/>
          </w:tcPr>
          <w:p>
            <w:pPr>
              <w:pStyle w:val="39"/>
              <w:rPr>
                <w:rFonts w:cs="Times New Roman"/>
              </w:rPr>
            </w:pPr>
          </w:p>
        </w:tc>
        <w:tc>
          <w:tcPr>
            <w:tcW w:w="424" w:type="pct"/>
            <w:vAlign w:val="center"/>
          </w:tcPr>
          <w:p>
            <w:pPr>
              <w:pStyle w:val="39"/>
              <w:rPr>
                <w:rFonts w:cs="Times New Roman"/>
              </w:rPr>
            </w:pPr>
            <w:r>
              <w:rPr>
                <w:rFonts w:cs="Times New Roman"/>
              </w:rPr>
              <w:t>N</w:t>
            </w:r>
            <w:r>
              <w:rPr>
                <w:rFonts w:hint="eastAsia" w:cs="Times New Roman"/>
              </w:rPr>
              <w:t>W</w:t>
            </w:r>
          </w:p>
        </w:tc>
        <w:tc>
          <w:tcPr>
            <w:tcW w:w="554" w:type="pct"/>
            <w:vAlign w:val="center"/>
          </w:tcPr>
          <w:p>
            <w:pPr>
              <w:pStyle w:val="39"/>
              <w:rPr>
                <w:rFonts w:cs="Times New Roman"/>
              </w:rPr>
            </w:pPr>
            <w:r>
              <w:rPr>
                <w:rFonts w:hint="eastAsia" w:cs="Times New Roman"/>
              </w:rPr>
              <w:t>1.4km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4" w:type="pct"/>
            <w:vAlign w:val="center"/>
          </w:tcPr>
          <w:p>
            <w:pPr>
              <w:pStyle w:val="39"/>
              <w:rPr>
                <w:rFonts w:cs="Times New Roman"/>
              </w:rPr>
            </w:pPr>
            <w:r>
              <w:rPr>
                <w:rFonts w:hint="eastAsia" w:cs="Times New Roman"/>
              </w:rPr>
              <w:t>关</w:t>
            </w:r>
            <w:r>
              <w:rPr>
                <w:rFonts w:cs="Times New Roman"/>
              </w:rPr>
              <w:t>塘村</w:t>
            </w:r>
          </w:p>
        </w:tc>
        <w:tc>
          <w:tcPr>
            <w:tcW w:w="965" w:type="pct"/>
            <w:vAlign w:val="center"/>
          </w:tcPr>
          <w:p>
            <w:pPr>
              <w:pStyle w:val="39"/>
              <w:rPr>
                <w:rFonts w:cs="Times New Roman"/>
              </w:rPr>
            </w:pPr>
            <w:r>
              <w:rPr>
                <w:rFonts w:cs="Times New Roman"/>
              </w:rPr>
              <w:t>112.376120962</w:t>
            </w:r>
          </w:p>
        </w:tc>
        <w:tc>
          <w:tcPr>
            <w:tcW w:w="833" w:type="pct"/>
            <w:vAlign w:val="center"/>
          </w:tcPr>
          <w:p>
            <w:pPr>
              <w:pStyle w:val="39"/>
              <w:rPr>
                <w:rFonts w:cs="Times New Roman"/>
              </w:rPr>
            </w:pPr>
            <w:r>
              <w:rPr>
                <w:rFonts w:cs="Times New Roman"/>
              </w:rPr>
              <w:t>27.099334003</w:t>
            </w:r>
          </w:p>
        </w:tc>
        <w:tc>
          <w:tcPr>
            <w:tcW w:w="510" w:type="pct"/>
            <w:vAlign w:val="center"/>
          </w:tcPr>
          <w:p>
            <w:pPr>
              <w:jc w:val="center"/>
              <w:rPr>
                <w:rFonts w:ascii="Times New Roman" w:hAnsi="Times New Roman" w:eastAsia="宋体" w:cs="Times New Roman"/>
              </w:rPr>
            </w:pPr>
            <w:r>
              <w:rPr>
                <w:rFonts w:ascii="Times New Roman" w:hAnsi="Times New Roman" w:eastAsia="宋体" w:cs="Times New Roman"/>
              </w:rPr>
              <w:t>居民点</w:t>
            </w:r>
          </w:p>
        </w:tc>
        <w:tc>
          <w:tcPr>
            <w:tcW w:w="509" w:type="pct"/>
            <w:vAlign w:val="center"/>
          </w:tcPr>
          <w:p>
            <w:pPr>
              <w:jc w:val="center"/>
              <w:rPr>
                <w:rFonts w:ascii="Times New Roman" w:hAnsi="Times New Roman" w:eastAsia="宋体" w:cs="Times New Roman"/>
              </w:rPr>
            </w:pPr>
            <w:r>
              <w:rPr>
                <w:rFonts w:ascii="Times New Roman" w:hAnsi="Times New Roman" w:eastAsia="宋体" w:cs="Times New Roman"/>
              </w:rPr>
              <w:t>人群</w:t>
            </w:r>
          </w:p>
        </w:tc>
        <w:tc>
          <w:tcPr>
            <w:tcW w:w="450" w:type="pct"/>
            <w:vMerge w:val="continue"/>
            <w:vAlign w:val="center"/>
          </w:tcPr>
          <w:p>
            <w:pPr>
              <w:pStyle w:val="39"/>
              <w:rPr>
                <w:rFonts w:cs="Times New Roman"/>
              </w:rPr>
            </w:pPr>
          </w:p>
        </w:tc>
        <w:tc>
          <w:tcPr>
            <w:tcW w:w="424" w:type="pct"/>
            <w:vAlign w:val="center"/>
          </w:tcPr>
          <w:p>
            <w:pPr>
              <w:pStyle w:val="39"/>
              <w:rPr>
                <w:rFonts w:cs="Times New Roman"/>
              </w:rPr>
            </w:pPr>
            <w:r>
              <w:rPr>
                <w:rFonts w:cs="Times New Roman"/>
              </w:rPr>
              <w:t>N</w:t>
            </w:r>
            <w:r>
              <w:rPr>
                <w:rFonts w:hint="eastAsia" w:cs="Times New Roman"/>
              </w:rPr>
              <w:t>W</w:t>
            </w:r>
          </w:p>
        </w:tc>
        <w:tc>
          <w:tcPr>
            <w:tcW w:w="554" w:type="pct"/>
            <w:vAlign w:val="center"/>
          </w:tcPr>
          <w:p>
            <w:pPr>
              <w:pStyle w:val="39"/>
              <w:rPr>
                <w:rFonts w:cs="Times New Roman"/>
              </w:rPr>
            </w:pPr>
            <w:r>
              <w:rPr>
                <w:rFonts w:cs="Times New Roman"/>
              </w:rPr>
              <w:t>3.13</w:t>
            </w:r>
            <w:r>
              <w:rPr>
                <w:rFonts w:hint="eastAsia" w:cs="Times New Roman"/>
              </w:rPr>
              <w:t>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4" w:type="pct"/>
            <w:vAlign w:val="center"/>
          </w:tcPr>
          <w:p>
            <w:pPr>
              <w:pStyle w:val="39"/>
              <w:rPr>
                <w:rFonts w:cs="Times New Roman"/>
              </w:rPr>
            </w:pPr>
            <w:r>
              <w:rPr>
                <w:rFonts w:hint="eastAsia" w:cs="Times New Roman"/>
              </w:rPr>
              <w:t>罗</w:t>
            </w:r>
            <w:r>
              <w:rPr>
                <w:rFonts w:cs="Times New Roman"/>
              </w:rPr>
              <w:t>必</w:t>
            </w:r>
            <w:r>
              <w:rPr>
                <w:rFonts w:hint="eastAsia" w:cs="Times New Roman"/>
              </w:rPr>
              <w:t>塘</w:t>
            </w:r>
          </w:p>
        </w:tc>
        <w:tc>
          <w:tcPr>
            <w:tcW w:w="965" w:type="pct"/>
            <w:vAlign w:val="center"/>
          </w:tcPr>
          <w:p>
            <w:pPr>
              <w:pStyle w:val="39"/>
              <w:rPr>
                <w:rFonts w:cs="Times New Roman"/>
              </w:rPr>
            </w:pPr>
            <w:r>
              <w:rPr>
                <w:rFonts w:cs="Times New Roman"/>
              </w:rPr>
              <w:t>112.388566412</w:t>
            </w:r>
          </w:p>
        </w:tc>
        <w:tc>
          <w:tcPr>
            <w:tcW w:w="833" w:type="pct"/>
            <w:vAlign w:val="center"/>
          </w:tcPr>
          <w:p>
            <w:pPr>
              <w:pStyle w:val="39"/>
              <w:rPr>
                <w:rFonts w:cs="Times New Roman"/>
              </w:rPr>
            </w:pPr>
            <w:r>
              <w:rPr>
                <w:rFonts w:cs="Times New Roman"/>
              </w:rPr>
              <w:t>27.080494167</w:t>
            </w:r>
          </w:p>
        </w:tc>
        <w:tc>
          <w:tcPr>
            <w:tcW w:w="510" w:type="pct"/>
            <w:vAlign w:val="center"/>
          </w:tcPr>
          <w:p>
            <w:pPr>
              <w:jc w:val="center"/>
              <w:rPr>
                <w:rFonts w:ascii="Times New Roman" w:hAnsi="Times New Roman" w:eastAsia="宋体" w:cs="Times New Roman"/>
              </w:rPr>
            </w:pPr>
            <w:r>
              <w:rPr>
                <w:rFonts w:ascii="Times New Roman" w:hAnsi="Times New Roman" w:eastAsia="宋体" w:cs="Times New Roman"/>
              </w:rPr>
              <w:t>居民点</w:t>
            </w:r>
          </w:p>
        </w:tc>
        <w:tc>
          <w:tcPr>
            <w:tcW w:w="509" w:type="pct"/>
            <w:vAlign w:val="center"/>
          </w:tcPr>
          <w:p>
            <w:pPr>
              <w:jc w:val="center"/>
              <w:rPr>
                <w:rFonts w:ascii="Times New Roman" w:hAnsi="Times New Roman" w:eastAsia="宋体" w:cs="Times New Roman"/>
              </w:rPr>
            </w:pPr>
            <w:r>
              <w:rPr>
                <w:rFonts w:ascii="Times New Roman" w:hAnsi="Times New Roman" w:eastAsia="宋体" w:cs="Times New Roman"/>
              </w:rPr>
              <w:t>人群</w:t>
            </w:r>
          </w:p>
        </w:tc>
        <w:tc>
          <w:tcPr>
            <w:tcW w:w="450" w:type="pct"/>
            <w:vMerge w:val="continue"/>
            <w:vAlign w:val="center"/>
          </w:tcPr>
          <w:p>
            <w:pPr>
              <w:pStyle w:val="39"/>
              <w:rPr>
                <w:rFonts w:cs="Times New Roman"/>
              </w:rPr>
            </w:pPr>
          </w:p>
        </w:tc>
        <w:tc>
          <w:tcPr>
            <w:tcW w:w="424" w:type="pct"/>
            <w:vAlign w:val="center"/>
          </w:tcPr>
          <w:p>
            <w:pPr>
              <w:pStyle w:val="39"/>
              <w:rPr>
                <w:rFonts w:cs="Times New Roman"/>
              </w:rPr>
            </w:pPr>
            <w:r>
              <w:rPr>
                <w:rFonts w:cs="Times New Roman"/>
              </w:rPr>
              <w:t>W</w:t>
            </w:r>
          </w:p>
        </w:tc>
        <w:tc>
          <w:tcPr>
            <w:tcW w:w="554" w:type="pct"/>
            <w:vAlign w:val="center"/>
          </w:tcPr>
          <w:p>
            <w:pPr>
              <w:pStyle w:val="39"/>
              <w:rPr>
                <w:rFonts w:cs="Times New Roman"/>
              </w:rPr>
            </w:pPr>
            <w:r>
              <w:rPr>
                <w:rFonts w:cs="Times New Roman"/>
              </w:rPr>
              <w:t>473</w:t>
            </w:r>
            <w:r>
              <w:rPr>
                <w:rFonts w:hint="eastAsia" w:cs="Times New Roma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4" w:type="pct"/>
            <w:vAlign w:val="center"/>
          </w:tcPr>
          <w:p>
            <w:pPr>
              <w:pStyle w:val="39"/>
              <w:rPr>
                <w:rFonts w:cs="Times New Roman"/>
              </w:rPr>
            </w:pPr>
            <w:r>
              <w:rPr>
                <w:rFonts w:hint="eastAsia" w:cs="Times New Roman"/>
              </w:rPr>
              <w:t>长</w:t>
            </w:r>
            <w:r>
              <w:rPr>
                <w:rFonts w:cs="Times New Roman"/>
              </w:rPr>
              <w:t>岭</w:t>
            </w:r>
          </w:p>
        </w:tc>
        <w:tc>
          <w:tcPr>
            <w:tcW w:w="965" w:type="pct"/>
            <w:vAlign w:val="center"/>
          </w:tcPr>
          <w:p>
            <w:pPr>
              <w:pStyle w:val="39"/>
              <w:rPr>
                <w:rFonts w:cs="Times New Roman"/>
              </w:rPr>
            </w:pPr>
            <w:r>
              <w:rPr>
                <w:rFonts w:cs="Times New Roman"/>
              </w:rPr>
              <w:t>112.389210142</w:t>
            </w:r>
          </w:p>
        </w:tc>
        <w:tc>
          <w:tcPr>
            <w:tcW w:w="833" w:type="pct"/>
            <w:vAlign w:val="center"/>
          </w:tcPr>
          <w:p>
            <w:pPr>
              <w:pStyle w:val="39"/>
              <w:rPr>
                <w:rFonts w:cs="Times New Roman"/>
              </w:rPr>
            </w:pPr>
            <w:r>
              <w:rPr>
                <w:rFonts w:cs="Times New Roman"/>
              </w:rPr>
              <w:t>27.076803447</w:t>
            </w:r>
          </w:p>
        </w:tc>
        <w:tc>
          <w:tcPr>
            <w:tcW w:w="510" w:type="pct"/>
            <w:vAlign w:val="center"/>
          </w:tcPr>
          <w:p>
            <w:pPr>
              <w:jc w:val="center"/>
              <w:rPr>
                <w:rFonts w:ascii="Times New Roman" w:hAnsi="Times New Roman" w:eastAsia="宋体" w:cs="Times New Roman"/>
              </w:rPr>
            </w:pPr>
            <w:r>
              <w:rPr>
                <w:rFonts w:ascii="Times New Roman" w:hAnsi="Times New Roman" w:eastAsia="宋体" w:cs="Times New Roman"/>
              </w:rPr>
              <w:t>居民点</w:t>
            </w:r>
          </w:p>
        </w:tc>
        <w:tc>
          <w:tcPr>
            <w:tcW w:w="509" w:type="pct"/>
            <w:vAlign w:val="center"/>
          </w:tcPr>
          <w:p>
            <w:pPr>
              <w:jc w:val="center"/>
              <w:rPr>
                <w:rFonts w:ascii="Times New Roman" w:hAnsi="Times New Roman" w:eastAsia="宋体" w:cs="Times New Roman"/>
              </w:rPr>
            </w:pPr>
            <w:r>
              <w:rPr>
                <w:rFonts w:ascii="Times New Roman" w:hAnsi="Times New Roman" w:eastAsia="宋体" w:cs="Times New Roman"/>
              </w:rPr>
              <w:t>人群</w:t>
            </w:r>
          </w:p>
        </w:tc>
        <w:tc>
          <w:tcPr>
            <w:tcW w:w="450" w:type="pct"/>
            <w:vMerge w:val="continue"/>
            <w:vAlign w:val="center"/>
          </w:tcPr>
          <w:p>
            <w:pPr>
              <w:pStyle w:val="39"/>
              <w:rPr>
                <w:rFonts w:cs="Times New Roman"/>
              </w:rPr>
            </w:pPr>
          </w:p>
        </w:tc>
        <w:tc>
          <w:tcPr>
            <w:tcW w:w="424" w:type="pct"/>
            <w:vAlign w:val="center"/>
          </w:tcPr>
          <w:p>
            <w:pPr>
              <w:pStyle w:val="39"/>
              <w:rPr>
                <w:rFonts w:cs="Times New Roman"/>
              </w:rPr>
            </w:pPr>
            <w:r>
              <w:rPr>
                <w:rFonts w:hint="eastAsia" w:cs="Times New Roman"/>
              </w:rPr>
              <w:t>SW</w:t>
            </w:r>
          </w:p>
        </w:tc>
        <w:tc>
          <w:tcPr>
            <w:tcW w:w="554" w:type="pct"/>
            <w:vAlign w:val="center"/>
          </w:tcPr>
          <w:p>
            <w:pPr>
              <w:pStyle w:val="39"/>
              <w:rPr>
                <w:rFonts w:cs="Times New Roman"/>
              </w:rPr>
            </w:pPr>
            <w:r>
              <w:rPr>
                <w:rFonts w:cs="Times New Roman"/>
              </w:rPr>
              <w:t>543</w:t>
            </w:r>
            <w:r>
              <w:rPr>
                <w:rFonts w:hint="eastAsia" w:cs="Times New Roma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4" w:type="pct"/>
            <w:vAlign w:val="center"/>
          </w:tcPr>
          <w:p>
            <w:pPr>
              <w:pStyle w:val="39"/>
              <w:rPr>
                <w:rFonts w:cs="Times New Roman"/>
              </w:rPr>
            </w:pPr>
            <w:r>
              <w:rPr>
                <w:rFonts w:hint="eastAsia" w:cs="Times New Roman"/>
              </w:rPr>
              <w:t>塔桥村</w:t>
            </w:r>
          </w:p>
        </w:tc>
        <w:tc>
          <w:tcPr>
            <w:tcW w:w="965" w:type="pct"/>
            <w:vAlign w:val="center"/>
          </w:tcPr>
          <w:p>
            <w:pPr>
              <w:pStyle w:val="39"/>
              <w:rPr>
                <w:rFonts w:cs="Times New Roman"/>
              </w:rPr>
            </w:pPr>
            <w:r>
              <w:rPr>
                <w:rFonts w:cs="Times New Roman"/>
              </w:rPr>
              <w:t>112.379082121</w:t>
            </w:r>
          </w:p>
        </w:tc>
        <w:tc>
          <w:tcPr>
            <w:tcW w:w="833" w:type="pct"/>
            <w:vAlign w:val="center"/>
          </w:tcPr>
          <w:p>
            <w:pPr>
              <w:pStyle w:val="39"/>
              <w:rPr>
                <w:rFonts w:cs="Times New Roman"/>
              </w:rPr>
            </w:pPr>
            <w:r>
              <w:rPr>
                <w:rFonts w:cs="Times New Roman"/>
              </w:rPr>
              <w:t>27.075515987</w:t>
            </w:r>
          </w:p>
        </w:tc>
        <w:tc>
          <w:tcPr>
            <w:tcW w:w="510" w:type="pct"/>
            <w:vAlign w:val="center"/>
          </w:tcPr>
          <w:p>
            <w:pPr>
              <w:jc w:val="center"/>
              <w:rPr>
                <w:rFonts w:ascii="Times New Roman" w:hAnsi="Times New Roman" w:eastAsia="宋体" w:cs="Times New Roman"/>
              </w:rPr>
            </w:pPr>
            <w:r>
              <w:rPr>
                <w:rFonts w:ascii="Times New Roman" w:hAnsi="Times New Roman" w:eastAsia="宋体" w:cs="Times New Roman"/>
              </w:rPr>
              <w:t>居民点</w:t>
            </w:r>
          </w:p>
        </w:tc>
        <w:tc>
          <w:tcPr>
            <w:tcW w:w="509" w:type="pct"/>
            <w:vAlign w:val="center"/>
          </w:tcPr>
          <w:p>
            <w:pPr>
              <w:jc w:val="center"/>
              <w:rPr>
                <w:rFonts w:ascii="Times New Roman" w:hAnsi="Times New Roman" w:eastAsia="宋体" w:cs="Times New Roman"/>
              </w:rPr>
            </w:pPr>
            <w:r>
              <w:rPr>
                <w:rFonts w:ascii="Times New Roman" w:hAnsi="Times New Roman" w:eastAsia="宋体" w:cs="Times New Roman"/>
              </w:rPr>
              <w:t>人群</w:t>
            </w:r>
          </w:p>
        </w:tc>
        <w:tc>
          <w:tcPr>
            <w:tcW w:w="450" w:type="pct"/>
            <w:vMerge w:val="continue"/>
            <w:vAlign w:val="center"/>
          </w:tcPr>
          <w:p>
            <w:pPr>
              <w:pStyle w:val="39"/>
              <w:rPr>
                <w:rFonts w:cs="Times New Roman"/>
              </w:rPr>
            </w:pPr>
          </w:p>
        </w:tc>
        <w:tc>
          <w:tcPr>
            <w:tcW w:w="424" w:type="pct"/>
            <w:vAlign w:val="center"/>
          </w:tcPr>
          <w:p>
            <w:pPr>
              <w:pStyle w:val="39"/>
              <w:rPr>
                <w:rFonts w:cs="Times New Roman"/>
              </w:rPr>
            </w:pPr>
            <w:r>
              <w:rPr>
                <w:rFonts w:hint="eastAsia" w:cs="Times New Roman"/>
              </w:rPr>
              <w:t>SW</w:t>
            </w:r>
          </w:p>
        </w:tc>
        <w:tc>
          <w:tcPr>
            <w:tcW w:w="554" w:type="pct"/>
            <w:vAlign w:val="center"/>
          </w:tcPr>
          <w:p>
            <w:pPr>
              <w:pStyle w:val="39"/>
              <w:rPr>
                <w:rFonts w:cs="Times New Roman"/>
              </w:rPr>
            </w:pPr>
            <w:r>
              <w:rPr>
                <w:rFonts w:cs="Times New Roman"/>
              </w:rPr>
              <w:t>1.38</w:t>
            </w:r>
            <w:r>
              <w:rPr>
                <w:rFonts w:hint="eastAsia" w:cs="Times New Roman"/>
              </w:rPr>
              <w:t>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4" w:type="pct"/>
            <w:vAlign w:val="center"/>
          </w:tcPr>
          <w:p>
            <w:pPr>
              <w:pStyle w:val="39"/>
              <w:rPr>
                <w:rFonts w:cs="Times New Roman"/>
              </w:rPr>
            </w:pPr>
            <w:r>
              <w:rPr>
                <w:rFonts w:hint="eastAsia" w:cs="Times New Roman"/>
              </w:rPr>
              <w:t>井</w:t>
            </w:r>
            <w:r>
              <w:rPr>
                <w:rFonts w:cs="Times New Roman"/>
              </w:rPr>
              <w:t>公</w:t>
            </w:r>
            <w:r>
              <w:rPr>
                <w:rFonts w:hint="eastAsia" w:cs="Times New Roman"/>
              </w:rPr>
              <w:t>塘</w:t>
            </w:r>
          </w:p>
        </w:tc>
        <w:tc>
          <w:tcPr>
            <w:tcW w:w="965" w:type="pct"/>
            <w:vAlign w:val="center"/>
          </w:tcPr>
          <w:p>
            <w:pPr>
              <w:pStyle w:val="39"/>
              <w:rPr>
                <w:rFonts w:cs="Times New Roman"/>
              </w:rPr>
            </w:pPr>
            <w:r>
              <w:rPr>
                <w:rFonts w:cs="Times New Roman"/>
              </w:rPr>
              <w:t>112.380455412</w:t>
            </w:r>
          </w:p>
        </w:tc>
        <w:tc>
          <w:tcPr>
            <w:tcW w:w="833" w:type="pct"/>
            <w:vAlign w:val="center"/>
          </w:tcPr>
          <w:p>
            <w:pPr>
              <w:pStyle w:val="39"/>
              <w:rPr>
                <w:rFonts w:cs="Times New Roman"/>
              </w:rPr>
            </w:pPr>
            <w:r>
              <w:rPr>
                <w:rFonts w:cs="Times New Roman"/>
              </w:rPr>
              <w:t>27.071825267</w:t>
            </w:r>
          </w:p>
        </w:tc>
        <w:tc>
          <w:tcPr>
            <w:tcW w:w="510" w:type="pct"/>
            <w:vAlign w:val="center"/>
          </w:tcPr>
          <w:p>
            <w:pPr>
              <w:jc w:val="center"/>
              <w:rPr>
                <w:rFonts w:ascii="Times New Roman" w:hAnsi="Times New Roman" w:eastAsia="宋体" w:cs="Times New Roman"/>
              </w:rPr>
            </w:pPr>
            <w:r>
              <w:rPr>
                <w:rFonts w:ascii="Times New Roman" w:hAnsi="Times New Roman" w:eastAsia="宋体" w:cs="Times New Roman"/>
              </w:rPr>
              <w:t>居民点</w:t>
            </w:r>
          </w:p>
        </w:tc>
        <w:tc>
          <w:tcPr>
            <w:tcW w:w="509" w:type="pct"/>
            <w:vAlign w:val="center"/>
          </w:tcPr>
          <w:p>
            <w:pPr>
              <w:jc w:val="center"/>
              <w:rPr>
                <w:rFonts w:ascii="Times New Roman" w:hAnsi="Times New Roman" w:eastAsia="宋体" w:cs="Times New Roman"/>
              </w:rPr>
            </w:pPr>
            <w:r>
              <w:rPr>
                <w:rFonts w:ascii="Times New Roman" w:hAnsi="Times New Roman" w:eastAsia="宋体" w:cs="Times New Roman"/>
              </w:rPr>
              <w:t>人群</w:t>
            </w:r>
          </w:p>
        </w:tc>
        <w:tc>
          <w:tcPr>
            <w:tcW w:w="450" w:type="pct"/>
            <w:vMerge w:val="continue"/>
            <w:vAlign w:val="center"/>
          </w:tcPr>
          <w:p>
            <w:pPr>
              <w:pStyle w:val="39"/>
              <w:rPr>
                <w:rFonts w:cs="Times New Roman"/>
              </w:rPr>
            </w:pPr>
          </w:p>
        </w:tc>
        <w:tc>
          <w:tcPr>
            <w:tcW w:w="424" w:type="pct"/>
            <w:vAlign w:val="center"/>
          </w:tcPr>
          <w:p>
            <w:pPr>
              <w:pStyle w:val="39"/>
              <w:rPr>
                <w:rFonts w:cs="Times New Roman"/>
              </w:rPr>
            </w:pPr>
            <w:r>
              <w:rPr>
                <w:rFonts w:hint="eastAsia" w:cs="Times New Roman"/>
              </w:rPr>
              <w:t>SW</w:t>
            </w:r>
          </w:p>
        </w:tc>
        <w:tc>
          <w:tcPr>
            <w:tcW w:w="554" w:type="pct"/>
            <w:vAlign w:val="center"/>
          </w:tcPr>
          <w:p>
            <w:pPr>
              <w:pStyle w:val="39"/>
              <w:rPr>
                <w:rFonts w:cs="Times New Roman"/>
              </w:rPr>
            </w:pPr>
            <w:r>
              <w:rPr>
                <w:rFonts w:cs="Times New Roman"/>
              </w:rPr>
              <w:t>1.37</w:t>
            </w:r>
            <w:r>
              <w:rPr>
                <w:rFonts w:hint="eastAsia" w:cs="Times New Roman"/>
              </w:rPr>
              <w:t>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4" w:type="pct"/>
            <w:vAlign w:val="center"/>
          </w:tcPr>
          <w:p>
            <w:pPr>
              <w:pStyle w:val="39"/>
              <w:rPr>
                <w:rFonts w:cs="Times New Roman"/>
              </w:rPr>
            </w:pPr>
            <w:r>
              <w:rPr>
                <w:rFonts w:hint="eastAsia" w:cs="Times New Roman"/>
              </w:rPr>
              <w:t>八</w:t>
            </w:r>
            <w:r>
              <w:rPr>
                <w:rFonts w:cs="Times New Roman"/>
              </w:rPr>
              <w:t>乙塘</w:t>
            </w:r>
          </w:p>
        </w:tc>
        <w:tc>
          <w:tcPr>
            <w:tcW w:w="965" w:type="pct"/>
            <w:vAlign w:val="center"/>
          </w:tcPr>
          <w:p>
            <w:pPr>
              <w:pStyle w:val="39"/>
              <w:rPr>
                <w:rFonts w:cs="Times New Roman"/>
              </w:rPr>
            </w:pPr>
            <w:r>
              <w:rPr>
                <w:rFonts w:cs="Times New Roman"/>
              </w:rPr>
              <w:t>112.372344411</w:t>
            </w:r>
          </w:p>
        </w:tc>
        <w:tc>
          <w:tcPr>
            <w:tcW w:w="833" w:type="pct"/>
            <w:vAlign w:val="center"/>
          </w:tcPr>
          <w:p>
            <w:pPr>
              <w:pStyle w:val="39"/>
              <w:rPr>
                <w:rFonts w:cs="Times New Roman"/>
              </w:rPr>
            </w:pPr>
            <w:r>
              <w:rPr>
                <w:rFonts w:cs="Times New Roman"/>
              </w:rPr>
              <w:t>27.073456050</w:t>
            </w:r>
          </w:p>
        </w:tc>
        <w:tc>
          <w:tcPr>
            <w:tcW w:w="510" w:type="pct"/>
            <w:vAlign w:val="center"/>
          </w:tcPr>
          <w:p>
            <w:pPr>
              <w:jc w:val="center"/>
              <w:rPr>
                <w:rFonts w:ascii="Times New Roman" w:hAnsi="Times New Roman" w:eastAsia="宋体" w:cs="Times New Roman"/>
              </w:rPr>
            </w:pPr>
            <w:r>
              <w:rPr>
                <w:rFonts w:ascii="Times New Roman" w:hAnsi="Times New Roman" w:eastAsia="宋体" w:cs="Times New Roman"/>
              </w:rPr>
              <w:t>居民点</w:t>
            </w:r>
          </w:p>
        </w:tc>
        <w:tc>
          <w:tcPr>
            <w:tcW w:w="509" w:type="pct"/>
            <w:vAlign w:val="center"/>
          </w:tcPr>
          <w:p>
            <w:pPr>
              <w:jc w:val="center"/>
              <w:rPr>
                <w:rFonts w:ascii="Times New Roman" w:hAnsi="Times New Roman" w:eastAsia="宋体" w:cs="Times New Roman"/>
              </w:rPr>
            </w:pPr>
            <w:r>
              <w:rPr>
                <w:rFonts w:ascii="Times New Roman" w:hAnsi="Times New Roman" w:eastAsia="宋体" w:cs="Times New Roman"/>
              </w:rPr>
              <w:t>人群</w:t>
            </w:r>
          </w:p>
        </w:tc>
        <w:tc>
          <w:tcPr>
            <w:tcW w:w="450" w:type="pct"/>
            <w:vMerge w:val="continue"/>
            <w:vAlign w:val="center"/>
          </w:tcPr>
          <w:p>
            <w:pPr>
              <w:pStyle w:val="39"/>
              <w:rPr>
                <w:rFonts w:cs="Times New Roman"/>
              </w:rPr>
            </w:pPr>
          </w:p>
        </w:tc>
        <w:tc>
          <w:tcPr>
            <w:tcW w:w="424" w:type="pct"/>
            <w:vAlign w:val="center"/>
          </w:tcPr>
          <w:p>
            <w:pPr>
              <w:pStyle w:val="39"/>
              <w:rPr>
                <w:rFonts w:cs="Times New Roman"/>
              </w:rPr>
            </w:pPr>
            <w:r>
              <w:rPr>
                <w:rFonts w:hint="eastAsia" w:cs="Times New Roman"/>
              </w:rPr>
              <w:t>SW</w:t>
            </w:r>
          </w:p>
        </w:tc>
        <w:tc>
          <w:tcPr>
            <w:tcW w:w="554" w:type="pct"/>
            <w:vAlign w:val="center"/>
          </w:tcPr>
          <w:p>
            <w:pPr>
              <w:pStyle w:val="39"/>
              <w:rPr>
                <w:rFonts w:cs="Times New Roman"/>
              </w:rPr>
            </w:pPr>
            <w:r>
              <w:rPr>
                <w:rFonts w:hint="eastAsia" w:cs="Times New Roman"/>
              </w:rPr>
              <w:t>2.</w:t>
            </w:r>
            <w:r>
              <w:rPr>
                <w:rFonts w:cs="Times New Roman"/>
              </w:rPr>
              <w:t>05</w:t>
            </w:r>
            <w:r>
              <w:rPr>
                <w:rFonts w:hint="eastAsia" w:cs="Times New Roman"/>
              </w:rPr>
              <w:t>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4" w:type="pct"/>
            <w:vAlign w:val="center"/>
          </w:tcPr>
          <w:p>
            <w:pPr>
              <w:pStyle w:val="39"/>
              <w:rPr>
                <w:rFonts w:cs="Times New Roman"/>
              </w:rPr>
            </w:pPr>
            <w:r>
              <w:rPr>
                <w:rFonts w:hint="eastAsia" w:cs="Times New Roman"/>
              </w:rPr>
              <w:t>封</w:t>
            </w:r>
            <w:r>
              <w:rPr>
                <w:rFonts w:cs="Times New Roman"/>
              </w:rPr>
              <w:t>老屋</w:t>
            </w:r>
          </w:p>
        </w:tc>
        <w:tc>
          <w:tcPr>
            <w:tcW w:w="965" w:type="pct"/>
            <w:vAlign w:val="center"/>
          </w:tcPr>
          <w:p>
            <w:pPr>
              <w:pStyle w:val="39"/>
              <w:rPr>
                <w:rFonts w:cs="Times New Roman"/>
              </w:rPr>
            </w:pPr>
            <w:r>
              <w:rPr>
                <w:rFonts w:cs="Times New Roman"/>
              </w:rPr>
              <w:t>112.373889364</w:t>
            </w:r>
          </w:p>
        </w:tc>
        <w:tc>
          <w:tcPr>
            <w:tcW w:w="833" w:type="pct"/>
            <w:vAlign w:val="center"/>
          </w:tcPr>
          <w:p>
            <w:pPr>
              <w:pStyle w:val="39"/>
              <w:rPr>
                <w:rFonts w:cs="Times New Roman"/>
              </w:rPr>
            </w:pPr>
            <w:r>
              <w:rPr>
                <w:rFonts w:cs="Times New Roman"/>
              </w:rPr>
              <w:t>27.068005802</w:t>
            </w:r>
          </w:p>
        </w:tc>
        <w:tc>
          <w:tcPr>
            <w:tcW w:w="510" w:type="pct"/>
            <w:vAlign w:val="center"/>
          </w:tcPr>
          <w:p>
            <w:pPr>
              <w:jc w:val="center"/>
              <w:rPr>
                <w:rFonts w:ascii="Times New Roman" w:hAnsi="Times New Roman" w:eastAsia="宋体" w:cs="Times New Roman"/>
              </w:rPr>
            </w:pPr>
            <w:r>
              <w:rPr>
                <w:rFonts w:ascii="Times New Roman" w:hAnsi="Times New Roman" w:eastAsia="宋体" w:cs="Times New Roman"/>
              </w:rPr>
              <w:t>居民点</w:t>
            </w:r>
          </w:p>
        </w:tc>
        <w:tc>
          <w:tcPr>
            <w:tcW w:w="509" w:type="pct"/>
            <w:vAlign w:val="center"/>
          </w:tcPr>
          <w:p>
            <w:pPr>
              <w:jc w:val="center"/>
              <w:rPr>
                <w:rFonts w:ascii="Times New Roman" w:hAnsi="Times New Roman" w:eastAsia="宋体" w:cs="Times New Roman"/>
              </w:rPr>
            </w:pPr>
            <w:r>
              <w:rPr>
                <w:rFonts w:ascii="Times New Roman" w:hAnsi="Times New Roman" w:eastAsia="宋体" w:cs="Times New Roman"/>
              </w:rPr>
              <w:t>人群</w:t>
            </w:r>
          </w:p>
        </w:tc>
        <w:tc>
          <w:tcPr>
            <w:tcW w:w="450" w:type="pct"/>
            <w:vMerge w:val="continue"/>
            <w:vAlign w:val="center"/>
          </w:tcPr>
          <w:p>
            <w:pPr>
              <w:pStyle w:val="39"/>
              <w:rPr>
                <w:rFonts w:cs="Times New Roman"/>
              </w:rPr>
            </w:pPr>
          </w:p>
        </w:tc>
        <w:tc>
          <w:tcPr>
            <w:tcW w:w="424" w:type="pct"/>
            <w:vAlign w:val="center"/>
          </w:tcPr>
          <w:p>
            <w:pPr>
              <w:pStyle w:val="39"/>
              <w:rPr>
                <w:rFonts w:cs="Times New Roman"/>
              </w:rPr>
            </w:pPr>
            <w:r>
              <w:rPr>
                <w:rFonts w:hint="eastAsia" w:cs="Times New Roman"/>
              </w:rPr>
              <w:t>SW</w:t>
            </w:r>
          </w:p>
        </w:tc>
        <w:tc>
          <w:tcPr>
            <w:tcW w:w="554" w:type="pct"/>
            <w:vAlign w:val="center"/>
          </w:tcPr>
          <w:p>
            <w:pPr>
              <w:pStyle w:val="39"/>
              <w:rPr>
                <w:rFonts w:cs="Times New Roman"/>
              </w:rPr>
            </w:pPr>
            <w:r>
              <w:rPr>
                <w:rFonts w:cs="Times New Roman"/>
              </w:rPr>
              <w:t>2.09</w:t>
            </w:r>
            <w:r>
              <w:rPr>
                <w:rFonts w:hint="eastAsia" w:cs="Times New Roman"/>
              </w:rPr>
              <w:t>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4" w:type="pct"/>
            <w:vAlign w:val="center"/>
          </w:tcPr>
          <w:p>
            <w:pPr>
              <w:pStyle w:val="39"/>
              <w:rPr>
                <w:rFonts w:cs="Times New Roman"/>
              </w:rPr>
            </w:pPr>
            <w:r>
              <w:rPr>
                <w:rFonts w:hint="eastAsia" w:cs="Times New Roman"/>
              </w:rPr>
              <w:t>楼堂</w:t>
            </w:r>
          </w:p>
        </w:tc>
        <w:tc>
          <w:tcPr>
            <w:tcW w:w="965" w:type="pct"/>
            <w:vAlign w:val="center"/>
          </w:tcPr>
          <w:p>
            <w:pPr>
              <w:pStyle w:val="39"/>
              <w:rPr>
                <w:rFonts w:cs="Times New Roman"/>
              </w:rPr>
            </w:pPr>
            <w:r>
              <w:rPr>
                <w:rFonts w:cs="Times New Roman"/>
              </w:rPr>
              <w:t>112.394113220</w:t>
            </w:r>
          </w:p>
        </w:tc>
        <w:tc>
          <w:tcPr>
            <w:tcW w:w="833" w:type="pct"/>
            <w:vAlign w:val="center"/>
          </w:tcPr>
          <w:p>
            <w:pPr>
              <w:pStyle w:val="39"/>
              <w:rPr>
                <w:rFonts w:cs="Times New Roman"/>
              </w:rPr>
            </w:pPr>
            <w:r>
              <w:rPr>
                <w:rFonts w:cs="Times New Roman"/>
              </w:rPr>
              <w:t>27.074121238</w:t>
            </w:r>
          </w:p>
        </w:tc>
        <w:tc>
          <w:tcPr>
            <w:tcW w:w="510" w:type="pct"/>
            <w:vAlign w:val="center"/>
          </w:tcPr>
          <w:p>
            <w:pPr>
              <w:jc w:val="center"/>
              <w:rPr>
                <w:rFonts w:ascii="Times New Roman" w:hAnsi="Times New Roman" w:eastAsia="宋体" w:cs="Times New Roman"/>
              </w:rPr>
            </w:pPr>
            <w:r>
              <w:rPr>
                <w:rFonts w:ascii="Times New Roman" w:hAnsi="Times New Roman" w:eastAsia="宋体" w:cs="Times New Roman"/>
              </w:rPr>
              <w:t>居民点</w:t>
            </w:r>
          </w:p>
        </w:tc>
        <w:tc>
          <w:tcPr>
            <w:tcW w:w="509" w:type="pct"/>
            <w:vAlign w:val="center"/>
          </w:tcPr>
          <w:p>
            <w:pPr>
              <w:jc w:val="center"/>
              <w:rPr>
                <w:rFonts w:ascii="Times New Roman" w:hAnsi="Times New Roman" w:eastAsia="宋体" w:cs="Times New Roman"/>
              </w:rPr>
            </w:pPr>
            <w:r>
              <w:rPr>
                <w:rFonts w:ascii="Times New Roman" w:hAnsi="Times New Roman" w:eastAsia="宋体" w:cs="Times New Roman"/>
              </w:rPr>
              <w:t>人群</w:t>
            </w:r>
          </w:p>
        </w:tc>
        <w:tc>
          <w:tcPr>
            <w:tcW w:w="450" w:type="pct"/>
            <w:vMerge w:val="continue"/>
            <w:vAlign w:val="center"/>
          </w:tcPr>
          <w:p>
            <w:pPr>
              <w:pStyle w:val="39"/>
              <w:rPr>
                <w:rFonts w:cs="Times New Roman"/>
              </w:rPr>
            </w:pPr>
          </w:p>
        </w:tc>
        <w:tc>
          <w:tcPr>
            <w:tcW w:w="424" w:type="pct"/>
            <w:vAlign w:val="center"/>
          </w:tcPr>
          <w:p>
            <w:pPr>
              <w:pStyle w:val="39"/>
              <w:rPr>
                <w:rFonts w:cs="Times New Roman"/>
              </w:rPr>
            </w:pPr>
            <w:r>
              <w:rPr>
                <w:rFonts w:cs="Times New Roman"/>
              </w:rPr>
              <w:t>S</w:t>
            </w:r>
          </w:p>
        </w:tc>
        <w:tc>
          <w:tcPr>
            <w:tcW w:w="554" w:type="pct"/>
            <w:vAlign w:val="center"/>
          </w:tcPr>
          <w:p>
            <w:pPr>
              <w:pStyle w:val="39"/>
              <w:rPr>
                <w:rFonts w:cs="Times New Roman"/>
              </w:rPr>
            </w:pPr>
            <w:r>
              <w:rPr>
                <w:rFonts w:cs="Times New Roman"/>
              </w:rPr>
              <w:t>289</w:t>
            </w:r>
            <w:r>
              <w:rPr>
                <w:rFonts w:hint="eastAsia" w:cs="Times New Roma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4" w:type="pct"/>
            <w:vAlign w:val="center"/>
          </w:tcPr>
          <w:p>
            <w:pPr>
              <w:pStyle w:val="39"/>
              <w:rPr>
                <w:rFonts w:cs="Times New Roman"/>
              </w:rPr>
            </w:pPr>
            <w:r>
              <w:rPr>
                <w:rFonts w:hint="eastAsia" w:cs="Times New Roman"/>
              </w:rPr>
              <w:t>演陂</w:t>
            </w:r>
            <w:r>
              <w:rPr>
                <w:rFonts w:cs="Times New Roman"/>
              </w:rPr>
              <w:t>村</w:t>
            </w:r>
          </w:p>
        </w:tc>
        <w:tc>
          <w:tcPr>
            <w:tcW w:w="965" w:type="pct"/>
            <w:vAlign w:val="center"/>
          </w:tcPr>
          <w:p>
            <w:pPr>
              <w:pStyle w:val="39"/>
              <w:rPr>
                <w:rFonts w:cs="Times New Roman"/>
              </w:rPr>
            </w:pPr>
            <w:r>
              <w:rPr>
                <w:rFonts w:cs="Times New Roman"/>
              </w:rPr>
              <w:t>112.394199051</w:t>
            </w:r>
          </w:p>
        </w:tc>
        <w:tc>
          <w:tcPr>
            <w:tcW w:w="833" w:type="pct"/>
            <w:vAlign w:val="center"/>
          </w:tcPr>
          <w:p>
            <w:pPr>
              <w:pStyle w:val="39"/>
              <w:rPr>
                <w:rFonts w:cs="Times New Roman"/>
              </w:rPr>
            </w:pPr>
            <w:r>
              <w:rPr>
                <w:rFonts w:cs="Times New Roman"/>
              </w:rPr>
              <w:t>27.070087196</w:t>
            </w:r>
          </w:p>
        </w:tc>
        <w:tc>
          <w:tcPr>
            <w:tcW w:w="510" w:type="pct"/>
            <w:vAlign w:val="center"/>
          </w:tcPr>
          <w:p>
            <w:pPr>
              <w:jc w:val="center"/>
              <w:rPr>
                <w:rFonts w:ascii="Times New Roman" w:hAnsi="Times New Roman" w:eastAsia="宋体" w:cs="Times New Roman"/>
              </w:rPr>
            </w:pPr>
            <w:r>
              <w:rPr>
                <w:rFonts w:ascii="Times New Roman" w:hAnsi="Times New Roman" w:eastAsia="宋体" w:cs="Times New Roman"/>
              </w:rPr>
              <w:t>居民点</w:t>
            </w:r>
          </w:p>
        </w:tc>
        <w:tc>
          <w:tcPr>
            <w:tcW w:w="509" w:type="pct"/>
            <w:vAlign w:val="center"/>
          </w:tcPr>
          <w:p>
            <w:pPr>
              <w:jc w:val="center"/>
              <w:rPr>
                <w:rFonts w:ascii="Times New Roman" w:hAnsi="Times New Roman" w:eastAsia="宋体" w:cs="Times New Roman"/>
              </w:rPr>
            </w:pPr>
            <w:r>
              <w:rPr>
                <w:rFonts w:ascii="Times New Roman" w:hAnsi="Times New Roman" w:eastAsia="宋体" w:cs="Times New Roman"/>
              </w:rPr>
              <w:t>人群</w:t>
            </w:r>
          </w:p>
        </w:tc>
        <w:tc>
          <w:tcPr>
            <w:tcW w:w="450" w:type="pct"/>
            <w:vMerge w:val="continue"/>
            <w:vAlign w:val="center"/>
          </w:tcPr>
          <w:p>
            <w:pPr>
              <w:pStyle w:val="39"/>
              <w:rPr>
                <w:rFonts w:cs="Times New Roman"/>
              </w:rPr>
            </w:pPr>
          </w:p>
        </w:tc>
        <w:tc>
          <w:tcPr>
            <w:tcW w:w="424" w:type="pct"/>
            <w:vAlign w:val="center"/>
          </w:tcPr>
          <w:p>
            <w:pPr>
              <w:pStyle w:val="39"/>
              <w:rPr>
                <w:rFonts w:cs="Times New Roman"/>
              </w:rPr>
            </w:pPr>
            <w:r>
              <w:rPr>
                <w:rFonts w:cs="Times New Roman"/>
              </w:rPr>
              <w:t>S</w:t>
            </w:r>
          </w:p>
        </w:tc>
        <w:tc>
          <w:tcPr>
            <w:tcW w:w="554" w:type="pct"/>
            <w:vAlign w:val="center"/>
          </w:tcPr>
          <w:p>
            <w:pPr>
              <w:pStyle w:val="39"/>
              <w:rPr>
                <w:rFonts w:cs="Times New Roman"/>
              </w:rPr>
            </w:pPr>
            <w:r>
              <w:rPr>
                <w:rFonts w:cs="Times New Roman"/>
              </w:rPr>
              <w:t>740</w:t>
            </w:r>
            <w:r>
              <w:rPr>
                <w:rFonts w:hint="eastAsia" w:cs="Times New Roma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4" w:type="pct"/>
            <w:vAlign w:val="center"/>
          </w:tcPr>
          <w:p>
            <w:pPr>
              <w:pStyle w:val="39"/>
              <w:rPr>
                <w:rFonts w:cs="Times New Roman"/>
              </w:rPr>
            </w:pPr>
            <w:r>
              <w:rPr>
                <w:rFonts w:hint="eastAsia" w:cs="Times New Roman"/>
              </w:rPr>
              <w:t>洗牛</w:t>
            </w:r>
            <w:r>
              <w:rPr>
                <w:rFonts w:cs="Times New Roman"/>
              </w:rPr>
              <w:t>塘</w:t>
            </w:r>
          </w:p>
        </w:tc>
        <w:tc>
          <w:tcPr>
            <w:tcW w:w="965" w:type="pct"/>
            <w:vAlign w:val="center"/>
          </w:tcPr>
          <w:p>
            <w:pPr>
              <w:pStyle w:val="39"/>
              <w:rPr>
                <w:rFonts w:cs="Times New Roman"/>
              </w:rPr>
            </w:pPr>
            <w:r>
              <w:rPr>
                <w:rFonts w:cs="Times New Roman"/>
              </w:rPr>
              <w:t>112.388748802</w:t>
            </w:r>
          </w:p>
        </w:tc>
        <w:tc>
          <w:tcPr>
            <w:tcW w:w="833" w:type="pct"/>
            <w:vAlign w:val="center"/>
          </w:tcPr>
          <w:p>
            <w:pPr>
              <w:pStyle w:val="39"/>
              <w:rPr>
                <w:rFonts w:cs="Times New Roman"/>
              </w:rPr>
            </w:pPr>
            <w:r>
              <w:rPr>
                <w:rFonts w:cs="Times New Roman"/>
              </w:rPr>
              <w:t>27.070087196</w:t>
            </w:r>
          </w:p>
        </w:tc>
        <w:tc>
          <w:tcPr>
            <w:tcW w:w="510" w:type="pct"/>
            <w:vAlign w:val="center"/>
          </w:tcPr>
          <w:p>
            <w:pPr>
              <w:jc w:val="center"/>
              <w:rPr>
                <w:rFonts w:ascii="Times New Roman" w:hAnsi="Times New Roman" w:eastAsia="宋体" w:cs="Times New Roman"/>
              </w:rPr>
            </w:pPr>
            <w:r>
              <w:rPr>
                <w:rFonts w:ascii="Times New Roman" w:hAnsi="Times New Roman" w:eastAsia="宋体" w:cs="Times New Roman"/>
              </w:rPr>
              <w:t>居民点</w:t>
            </w:r>
          </w:p>
        </w:tc>
        <w:tc>
          <w:tcPr>
            <w:tcW w:w="509" w:type="pct"/>
            <w:vAlign w:val="center"/>
          </w:tcPr>
          <w:p>
            <w:pPr>
              <w:jc w:val="center"/>
              <w:rPr>
                <w:rFonts w:ascii="Times New Roman" w:hAnsi="Times New Roman" w:eastAsia="宋体" w:cs="Times New Roman"/>
              </w:rPr>
            </w:pPr>
            <w:r>
              <w:rPr>
                <w:rFonts w:ascii="Times New Roman" w:hAnsi="Times New Roman" w:eastAsia="宋体" w:cs="Times New Roman"/>
              </w:rPr>
              <w:t>人群</w:t>
            </w:r>
          </w:p>
        </w:tc>
        <w:tc>
          <w:tcPr>
            <w:tcW w:w="450" w:type="pct"/>
            <w:vMerge w:val="continue"/>
            <w:vAlign w:val="center"/>
          </w:tcPr>
          <w:p>
            <w:pPr>
              <w:pStyle w:val="39"/>
              <w:rPr>
                <w:rFonts w:cs="Times New Roman"/>
              </w:rPr>
            </w:pPr>
          </w:p>
        </w:tc>
        <w:tc>
          <w:tcPr>
            <w:tcW w:w="424" w:type="pct"/>
            <w:vAlign w:val="center"/>
          </w:tcPr>
          <w:p>
            <w:pPr>
              <w:pStyle w:val="39"/>
              <w:rPr>
                <w:rFonts w:cs="Times New Roman"/>
              </w:rPr>
            </w:pPr>
            <w:r>
              <w:rPr>
                <w:rFonts w:hint="eastAsia" w:cs="Times New Roman"/>
              </w:rPr>
              <w:t>SW</w:t>
            </w:r>
          </w:p>
        </w:tc>
        <w:tc>
          <w:tcPr>
            <w:tcW w:w="554" w:type="pct"/>
            <w:vAlign w:val="center"/>
          </w:tcPr>
          <w:p>
            <w:pPr>
              <w:pStyle w:val="39"/>
              <w:rPr>
                <w:rFonts w:cs="Times New Roman"/>
              </w:rPr>
            </w:pPr>
            <w:r>
              <w:rPr>
                <w:rFonts w:cs="Times New Roman"/>
              </w:rPr>
              <w:t>855</w:t>
            </w:r>
            <w:r>
              <w:rPr>
                <w:rFonts w:hint="eastAsia" w:cs="Times New Roma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4" w:type="pct"/>
            <w:vAlign w:val="center"/>
          </w:tcPr>
          <w:p>
            <w:pPr>
              <w:pStyle w:val="39"/>
              <w:rPr>
                <w:rFonts w:cs="Times New Roman"/>
              </w:rPr>
            </w:pPr>
            <w:r>
              <w:rPr>
                <w:rFonts w:hint="eastAsia" w:cs="Times New Roman"/>
              </w:rPr>
              <w:t>余家</w:t>
            </w:r>
            <w:r>
              <w:rPr>
                <w:rFonts w:cs="Times New Roman"/>
              </w:rPr>
              <w:t>垅</w:t>
            </w:r>
          </w:p>
        </w:tc>
        <w:tc>
          <w:tcPr>
            <w:tcW w:w="965" w:type="pct"/>
            <w:vAlign w:val="center"/>
          </w:tcPr>
          <w:p>
            <w:pPr>
              <w:pStyle w:val="39"/>
              <w:rPr>
                <w:rFonts w:cs="Times New Roman"/>
              </w:rPr>
            </w:pPr>
            <w:r>
              <w:rPr>
                <w:rFonts w:cs="Times New Roman"/>
              </w:rPr>
              <w:t>112.387418426</w:t>
            </w:r>
          </w:p>
        </w:tc>
        <w:tc>
          <w:tcPr>
            <w:tcW w:w="833" w:type="pct"/>
            <w:vAlign w:val="center"/>
          </w:tcPr>
          <w:p>
            <w:pPr>
              <w:pStyle w:val="39"/>
              <w:rPr>
                <w:rFonts w:cs="Times New Roman"/>
              </w:rPr>
            </w:pPr>
            <w:r>
              <w:rPr>
                <w:rFonts w:cs="Times New Roman"/>
              </w:rPr>
              <w:t>27.065752746</w:t>
            </w:r>
          </w:p>
        </w:tc>
        <w:tc>
          <w:tcPr>
            <w:tcW w:w="510" w:type="pct"/>
            <w:vAlign w:val="center"/>
          </w:tcPr>
          <w:p>
            <w:pPr>
              <w:jc w:val="center"/>
              <w:rPr>
                <w:rFonts w:ascii="Times New Roman" w:hAnsi="Times New Roman" w:eastAsia="宋体" w:cs="Times New Roman"/>
              </w:rPr>
            </w:pPr>
            <w:r>
              <w:rPr>
                <w:rFonts w:ascii="Times New Roman" w:hAnsi="Times New Roman" w:eastAsia="宋体" w:cs="Times New Roman"/>
              </w:rPr>
              <w:t>居民点</w:t>
            </w:r>
          </w:p>
        </w:tc>
        <w:tc>
          <w:tcPr>
            <w:tcW w:w="509" w:type="pct"/>
            <w:vAlign w:val="center"/>
          </w:tcPr>
          <w:p>
            <w:pPr>
              <w:jc w:val="center"/>
              <w:rPr>
                <w:rFonts w:ascii="Times New Roman" w:hAnsi="Times New Roman" w:eastAsia="宋体" w:cs="Times New Roman"/>
              </w:rPr>
            </w:pPr>
            <w:r>
              <w:rPr>
                <w:rFonts w:ascii="Times New Roman" w:hAnsi="Times New Roman" w:eastAsia="宋体" w:cs="Times New Roman"/>
              </w:rPr>
              <w:t>人群</w:t>
            </w:r>
          </w:p>
        </w:tc>
        <w:tc>
          <w:tcPr>
            <w:tcW w:w="450" w:type="pct"/>
            <w:vMerge w:val="continue"/>
            <w:vAlign w:val="center"/>
          </w:tcPr>
          <w:p>
            <w:pPr>
              <w:pStyle w:val="39"/>
              <w:rPr>
                <w:rFonts w:cs="Times New Roman"/>
              </w:rPr>
            </w:pPr>
          </w:p>
        </w:tc>
        <w:tc>
          <w:tcPr>
            <w:tcW w:w="424" w:type="pct"/>
            <w:vAlign w:val="center"/>
          </w:tcPr>
          <w:p>
            <w:pPr>
              <w:pStyle w:val="39"/>
              <w:rPr>
                <w:rFonts w:cs="Times New Roman"/>
              </w:rPr>
            </w:pPr>
            <w:r>
              <w:rPr>
                <w:rFonts w:hint="eastAsia" w:cs="Times New Roman"/>
              </w:rPr>
              <w:t>SW</w:t>
            </w:r>
          </w:p>
        </w:tc>
        <w:tc>
          <w:tcPr>
            <w:tcW w:w="554" w:type="pct"/>
            <w:vAlign w:val="center"/>
          </w:tcPr>
          <w:p>
            <w:pPr>
              <w:pStyle w:val="39"/>
              <w:rPr>
                <w:rFonts w:cs="Times New Roman"/>
              </w:rPr>
            </w:pPr>
            <w:r>
              <w:rPr>
                <w:rFonts w:cs="Times New Roman"/>
              </w:rPr>
              <w:t>1.37</w:t>
            </w:r>
            <w:r>
              <w:rPr>
                <w:rFonts w:hint="eastAsia" w:cs="Times New Roman"/>
              </w:rPr>
              <w:t>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4" w:type="pct"/>
            <w:vAlign w:val="center"/>
          </w:tcPr>
          <w:p>
            <w:pPr>
              <w:pStyle w:val="39"/>
              <w:rPr>
                <w:rFonts w:cs="Times New Roman"/>
              </w:rPr>
            </w:pPr>
            <w:r>
              <w:rPr>
                <w:rFonts w:hint="eastAsia" w:cs="Times New Roman"/>
              </w:rPr>
              <w:t>老屋</w:t>
            </w:r>
            <w:r>
              <w:rPr>
                <w:rFonts w:cs="Times New Roman"/>
              </w:rPr>
              <w:t>塘</w:t>
            </w:r>
          </w:p>
        </w:tc>
        <w:tc>
          <w:tcPr>
            <w:tcW w:w="965" w:type="pct"/>
            <w:vAlign w:val="center"/>
          </w:tcPr>
          <w:p>
            <w:pPr>
              <w:pStyle w:val="39"/>
              <w:rPr>
                <w:rFonts w:cs="Times New Roman"/>
              </w:rPr>
            </w:pPr>
            <w:r>
              <w:rPr>
                <w:rFonts w:cs="Times New Roman"/>
              </w:rPr>
              <w:t>112.381066955</w:t>
            </w:r>
          </w:p>
        </w:tc>
        <w:tc>
          <w:tcPr>
            <w:tcW w:w="833" w:type="pct"/>
            <w:vAlign w:val="center"/>
          </w:tcPr>
          <w:p>
            <w:pPr>
              <w:pStyle w:val="39"/>
              <w:rPr>
                <w:rFonts w:cs="Times New Roman"/>
              </w:rPr>
            </w:pPr>
            <w:r>
              <w:rPr>
                <w:rFonts w:cs="Times New Roman"/>
              </w:rPr>
              <w:t>27.063564064</w:t>
            </w:r>
          </w:p>
        </w:tc>
        <w:tc>
          <w:tcPr>
            <w:tcW w:w="510" w:type="pct"/>
            <w:vAlign w:val="center"/>
          </w:tcPr>
          <w:p>
            <w:pPr>
              <w:jc w:val="center"/>
              <w:rPr>
                <w:rFonts w:ascii="Times New Roman" w:hAnsi="Times New Roman" w:eastAsia="宋体" w:cs="Times New Roman"/>
              </w:rPr>
            </w:pPr>
            <w:r>
              <w:rPr>
                <w:rFonts w:ascii="Times New Roman" w:hAnsi="Times New Roman" w:eastAsia="宋体" w:cs="Times New Roman"/>
              </w:rPr>
              <w:t>居民点</w:t>
            </w:r>
          </w:p>
        </w:tc>
        <w:tc>
          <w:tcPr>
            <w:tcW w:w="509" w:type="pct"/>
            <w:vAlign w:val="center"/>
          </w:tcPr>
          <w:p>
            <w:pPr>
              <w:jc w:val="center"/>
              <w:rPr>
                <w:rFonts w:ascii="Times New Roman" w:hAnsi="Times New Roman" w:eastAsia="宋体" w:cs="Times New Roman"/>
              </w:rPr>
            </w:pPr>
            <w:r>
              <w:rPr>
                <w:rFonts w:ascii="Times New Roman" w:hAnsi="Times New Roman" w:eastAsia="宋体" w:cs="Times New Roman"/>
              </w:rPr>
              <w:t>人群</w:t>
            </w:r>
          </w:p>
        </w:tc>
        <w:tc>
          <w:tcPr>
            <w:tcW w:w="450" w:type="pct"/>
            <w:vMerge w:val="continue"/>
            <w:vAlign w:val="center"/>
          </w:tcPr>
          <w:p>
            <w:pPr>
              <w:pStyle w:val="39"/>
              <w:rPr>
                <w:rFonts w:cs="Times New Roman"/>
              </w:rPr>
            </w:pPr>
          </w:p>
        </w:tc>
        <w:tc>
          <w:tcPr>
            <w:tcW w:w="424" w:type="pct"/>
            <w:vAlign w:val="center"/>
          </w:tcPr>
          <w:p>
            <w:pPr>
              <w:pStyle w:val="39"/>
              <w:rPr>
                <w:rFonts w:cs="Times New Roman"/>
              </w:rPr>
            </w:pPr>
            <w:r>
              <w:rPr>
                <w:rFonts w:hint="eastAsia" w:cs="Times New Roman"/>
              </w:rPr>
              <w:t>SW</w:t>
            </w:r>
          </w:p>
        </w:tc>
        <w:tc>
          <w:tcPr>
            <w:tcW w:w="554" w:type="pct"/>
            <w:vAlign w:val="center"/>
          </w:tcPr>
          <w:p>
            <w:pPr>
              <w:pStyle w:val="39"/>
              <w:rPr>
                <w:rFonts w:cs="Times New Roman"/>
              </w:rPr>
            </w:pPr>
            <w:r>
              <w:rPr>
                <w:rFonts w:cs="Times New Roman"/>
              </w:rPr>
              <w:t>1.90</w:t>
            </w:r>
            <w:r>
              <w:rPr>
                <w:rFonts w:hint="eastAsia" w:cs="Times New Roman"/>
              </w:rPr>
              <w:t>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4" w:type="pct"/>
            <w:vAlign w:val="center"/>
          </w:tcPr>
          <w:p>
            <w:pPr>
              <w:pStyle w:val="39"/>
              <w:rPr>
                <w:rFonts w:cs="Times New Roman"/>
              </w:rPr>
            </w:pPr>
            <w:r>
              <w:rPr>
                <w:rFonts w:hint="eastAsia" w:cs="Times New Roman"/>
              </w:rPr>
              <w:t>云峰村</w:t>
            </w:r>
          </w:p>
        </w:tc>
        <w:tc>
          <w:tcPr>
            <w:tcW w:w="965" w:type="pct"/>
            <w:vAlign w:val="center"/>
          </w:tcPr>
          <w:p>
            <w:pPr>
              <w:pStyle w:val="39"/>
              <w:rPr>
                <w:rFonts w:cs="Times New Roman"/>
              </w:rPr>
            </w:pPr>
            <w:r>
              <w:rPr>
                <w:rFonts w:cs="Times New Roman"/>
              </w:rPr>
              <w:t>112.374758400</w:t>
            </w:r>
          </w:p>
        </w:tc>
        <w:tc>
          <w:tcPr>
            <w:tcW w:w="833" w:type="pct"/>
            <w:vAlign w:val="center"/>
          </w:tcPr>
          <w:p>
            <w:pPr>
              <w:pStyle w:val="39"/>
              <w:rPr>
                <w:rFonts w:cs="Times New Roman"/>
              </w:rPr>
            </w:pPr>
            <w:r>
              <w:rPr>
                <w:rFonts w:cs="Times New Roman"/>
              </w:rPr>
              <w:t>27.063134910</w:t>
            </w:r>
          </w:p>
        </w:tc>
        <w:tc>
          <w:tcPr>
            <w:tcW w:w="510" w:type="pct"/>
            <w:vAlign w:val="center"/>
          </w:tcPr>
          <w:p>
            <w:pPr>
              <w:jc w:val="center"/>
              <w:rPr>
                <w:rFonts w:ascii="Times New Roman" w:hAnsi="Times New Roman" w:eastAsia="宋体" w:cs="Times New Roman"/>
              </w:rPr>
            </w:pPr>
            <w:r>
              <w:rPr>
                <w:rFonts w:ascii="Times New Roman" w:hAnsi="Times New Roman" w:eastAsia="宋体" w:cs="Times New Roman"/>
              </w:rPr>
              <w:t>居民点</w:t>
            </w:r>
          </w:p>
        </w:tc>
        <w:tc>
          <w:tcPr>
            <w:tcW w:w="509" w:type="pct"/>
            <w:vAlign w:val="center"/>
          </w:tcPr>
          <w:p>
            <w:pPr>
              <w:jc w:val="center"/>
              <w:rPr>
                <w:rFonts w:ascii="Times New Roman" w:hAnsi="Times New Roman" w:eastAsia="宋体" w:cs="Times New Roman"/>
              </w:rPr>
            </w:pPr>
            <w:r>
              <w:rPr>
                <w:rFonts w:ascii="Times New Roman" w:hAnsi="Times New Roman" w:eastAsia="宋体" w:cs="Times New Roman"/>
              </w:rPr>
              <w:t>人群</w:t>
            </w:r>
          </w:p>
        </w:tc>
        <w:tc>
          <w:tcPr>
            <w:tcW w:w="450" w:type="pct"/>
            <w:vMerge w:val="restart"/>
            <w:vAlign w:val="center"/>
          </w:tcPr>
          <w:p>
            <w:pPr>
              <w:pStyle w:val="39"/>
              <w:rPr>
                <w:rFonts w:cs="Times New Roman"/>
              </w:rPr>
            </w:pPr>
            <w:r>
              <w:rPr>
                <w:rFonts w:cs="Times New Roman"/>
              </w:rPr>
              <w:t>大气环境功能二类区</w:t>
            </w:r>
          </w:p>
        </w:tc>
        <w:tc>
          <w:tcPr>
            <w:tcW w:w="424" w:type="pct"/>
            <w:vAlign w:val="center"/>
          </w:tcPr>
          <w:p>
            <w:pPr>
              <w:pStyle w:val="39"/>
              <w:rPr>
                <w:rFonts w:cs="Times New Roman"/>
              </w:rPr>
            </w:pPr>
            <w:r>
              <w:rPr>
                <w:rFonts w:hint="eastAsia" w:cs="Times New Roman"/>
              </w:rPr>
              <w:t>SW</w:t>
            </w:r>
          </w:p>
        </w:tc>
        <w:tc>
          <w:tcPr>
            <w:tcW w:w="554" w:type="pct"/>
            <w:vAlign w:val="center"/>
          </w:tcPr>
          <w:p>
            <w:pPr>
              <w:pStyle w:val="39"/>
              <w:rPr>
                <w:rFonts w:cs="Times New Roman"/>
              </w:rPr>
            </w:pPr>
            <w:r>
              <w:rPr>
                <w:rFonts w:cs="Times New Roman"/>
              </w:rPr>
              <w:t>2.39</w:t>
            </w:r>
            <w:r>
              <w:rPr>
                <w:rFonts w:hint="eastAsia" w:cs="Times New Roman"/>
              </w:rPr>
              <w:t>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4" w:type="pct"/>
            <w:vAlign w:val="center"/>
          </w:tcPr>
          <w:p>
            <w:pPr>
              <w:pStyle w:val="39"/>
              <w:rPr>
                <w:rFonts w:cs="Times New Roman"/>
              </w:rPr>
            </w:pPr>
            <w:r>
              <w:rPr>
                <w:rFonts w:hint="eastAsia" w:cs="Times New Roman"/>
              </w:rPr>
              <w:t>司林</w:t>
            </w:r>
            <w:r>
              <w:rPr>
                <w:rFonts w:cs="Times New Roman"/>
              </w:rPr>
              <w:t>村</w:t>
            </w:r>
          </w:p>
        </w:tc>
        <w:tc>
          <w:tcPr>
            <w:tcW w:w="965" w:type="pct"/>
            <w:vAlign w:val="center"/>
          </w:tcPr>
          <w:p>
            <w:pPr>
              <w:pStyle w:val="39"/>
              <w:rPr>
                <w:rFonts w:cs="Times New Roman"/>
              </w:rPr>
            </w:pPr>
            <w:r>
              <w:rPr>
                <w:rFonts w:cs="Times New Roman"/>
              </w:rPr>
              <w:t>112.386367000</w:t>
            </w:r>
          </w:p>
        </w:tc>
        <w:tc>
          <w:tcPr>
            <w:tcW w:w="833" w:type="pct"/>
            <w:vAlign w:val="center"/>
          </w:tcPr>
          <w:p>
            <w:pPr>
              <w:pStyle w:val="39"/>
              <w:rPr>
                <w:rFonts w:cs="Times New Roman"/>
              </w:rPr>
            </w:pPr>
            <w:r>
              <w:rPr>
                <w:rFonts w:cs="Times New Roman"/>
              </w:rPr>
              <w:t>27.058542968</w:t>
            </w:r>
          </w:p>
        </w:tc>
        <w:tc>
          <w:tcPr>
            <w:tcW w:w="510" w:type="pct"/>
            <w:vAlign w:val="center"/>
          </w:tcPr>
          <w:p>
            <w:pPr>
              <w:jc w:val="center"/>
              <w:rPr>
                <w:rFonts w:ascii="Times New Roman" w:hAnsi="Times New Roman" w:eastAsia="宋体" w:cs="Times New Roman"/>
              </w:rPr>
            </w:pPr>
            <w:r>
              <w:rPr>
                <w:rFonts w:ascii="Times New Roman" w:hAnsi="Times New Roman" w:eastAsia="宋体" w:cs="Times New Roman"/>
              </w:rPr>
              <w:t>居民点</w:t>
            </w:r>
          </w:p>
        </w:tc>
        <w:tc>
          <w:tcPr>
            <w:tcW w:w="509" w:type="pct"/>
            <w:vAlign w:val="center"/>
          </w:tcPr>
          <w:p>
            <w:pPr>
              <w:jc w:val="center"/>
              <w:rPr>
                <w:rFonts w:ascii="Times New Roman" w:hAnsi="Times New Roman" w:eastAsia="宋体" w:cs="Times New Roman"/>
              </w:rPr>
            </w:pPr>
            <w:r>
              <w:rPr>
                <w:rFonts w:ascii="Times New Roman" w:hAnsi="Times New Roman" w:eastAsia="宋体" w:cs="Times New Roman"/>
              </w:rPr>
              <w:t>人群</w:t>
            </w:r>
          </w:p>
        </w:tc>
        <w:tc>
          <w:tcPr>
            <w:tcW w:w="450" w:type="pct"/>
            <w:vMerge w:val="continue"/>
            <w:vAlign w:val="center"/>
          </w:tcPr>
          <w:p>
            <w:pPr>
              <w:pStyle w:val="39"/>
              <w:rPr>
                <w:rFonts w:cs="Times New Roman"/>
              </w:rPr>
            </w:pPr>
          </w:p>
        </w:tc>
        <w:tc>
          <w:tcPr>
            <w:tcW w:w="424" w:type="pct"/>
            <w:vAlign w:val="center"/>
          </w:tcPr>
          <w:p>
            <w:pPr>
              <w:pStyle w:val="39"/>
              <w:rPr>
                <w:rFonts w:cs="Times New Roman"/>
              </w:rPr>
            </w:pPr>
            <w:r>
              <w:rPr>
                <w:rFonts w:hint="eastAsia" w:cs="Times New Roman"/>
              </w:rPr>
              <w:t>SW</w:t>
            </w:r>
          </w:p>
        </w:tc>
        <w:tc>
          <w:tcPr>
            <w:tcW w:w="554" w:type="pct"/>
            <w:vAlign w:val="center"/>
          </w:tcPr>
          <w:p>
            <w:pPr>
              <w:pStyle w:val="39"/>
              <w:rPr>
                <w:rFonts w:cs="Times New Roman"/>
              </w:rPr>
            </w:pPr>
            <w:r>
              <w:rPr>
                <w:rFonts w:hint="eastAsia" w:cs="Times New Roman"/>
              </w:rPr>
              <w:t>2.</w:t>
            </w:r>
            <w:r>
              <w:rPr>
                <w:rFonts w:cs="Times New Roman"/>
              </w:rPr>
              <w:t>12</w:t>
            </w:r>
            <w:r>
              <w:rPr>
                <w:rFonts w:hint="eastAsia" w:cs="Times New Roman"/>
              </w:rPr>
              <w:t>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4" w:type="pct"/>
            <w:vAlign w:val="center"/>
          </w:tcPr>
          <w:p>
            <w:pPr>
              <w:pStyle w:val="39"/>
              <w:rPr>
                <w:rFonts w:cs="Times New Roman"/>
              </w:rPr>
            </w:pPr>
            <w:r>
              <w:rPr>
                <w:rFonts w:hint="eastAsia" w:cs="Times New Roman"/>
              </w:rPr>
              <w:t>易家岭</w:t>
            </w:r>
          </w:p>
        </w:tc>
        <w:tc>
          <w:tcPr>
            <w:tcW w:w="965" w:type="pct"/>
            <w:vAlign w:val="center"/>
          </w:tcPr>
          <w:p>
            <w:pPr>
              <w:pStyle w:val="39"/>
              <w:rPr>
                <w:rFonts w:cs="Times New Roman"/>
              </w:rPr>
            </w:pPr>
            <w:r>
              <w:rPr>
                <w:rFonts w:cs="Times New Roman"/>
              </w:rPr>
              <w:t>112.392804302</w:t>
            </w:r>
          </w:p>
        </w:tc>
        <w:tc>
          <w:tcPr>
            <w:tcW w:w="833" w:type="pct"/>
            <w:vAlign w:val="center"/>
          </w:tcPr>
          <w:p>
            <w:pPr>
              <w:pStyle w:val="39"/>
              <w:rPr>
                <w:rFonts w:cs="Times New Roman"/>
              </w:rPr>
            </w:pPr>
            <w:r>
              <w:rPr>
                <w:rFonts w:cs="Times New Roman"/>
              </w:rPr>
              <w:t>27.059959175</w:t>
            </w:r>
          </w:p>
        </w:tc>
        <w:tc>
          <w:tcPr>
            <w:tcW w:w="510" w:type="pct"/>
            <w:vAlign w:val="center"/>
          </w:tcPr>
          <w:p>
            <w:pPr>
              <w:jc w:val="center"/>
              <w:rPr>
                <w:rFonts w:ascii="Times New Roman" w:hAnsi="Times New Roman" w:eastAsia="宋体" w:cs="Times New Roman"/>
              </w:rPr>
            </w:pPr>
            <w:r>
              <w:rPr>
                <w:rFonts w:ascii="Times New Roman" w:hAnsi="Times New Roman" w:eastAsia="宋体" w:cs="Times New Roman"/>
              </w:rPr>
              <w:t>居民点</w:t>
            </w:r>
          </w:p>
        </w:tc>
        <w:tc>
          <w:tcPr>
            <w:tcW w:w="509" w:type="pct"/>
            <w:vAlign w:val="center"/>
          </w:tcPr>
          <w:p>
            <w:pPr>
              <w:jc w:val="center"/>
              <w:rPr>
                <w:rFonts w:ascii="Times New Roman" w:hAnsi="Times New Roman" w:eastAsia="宋体" w:cs="Times New Roman"/>
              </w:rPr>
            </w:pPr>
            <w:r>
              <w:rPr>
                <w:rFonts w:ascii="Times New Roman" w:hAnsi="Times New Roman" w:eastAsia="宋体" w:cs="Times New Roman"/>
              </w:rPr>
              <w:t>人群</w:t>
            </w:r>
          </w:p>
        </w:tc>
        <w:tc>
          <w:tcPr>
            <w:tcW w:w="450" w:type="pct"/>
            <w:vMerge w:val="continue"/>
            <w:vAlign w:val="center"/>
          </w:tcPr>
          <w:p>
            <w:pPr>
              <w:pStyle w:val="39"/>
              <w:rPr>
                <w:rFonts w:cs="Times New Roman"/>
              </w:rPr>
            </w:pPr>
          </w:p>
        </w:tc>
        <w:tc>
          <w:tcPr>
            <w:tcW w:w="424" w:type="pct"/>
            <w:vAlign w:val="center"/>
          </w:tcPr>
          <w:p>
            <w:pPr>
              <w:pStyle w:val="39"/>
              <w:rPr>
                <w:rFonts w:cs="Times New Roman"/>
              </w:rPr>
            </w:pPr>
            <w:r>
              <w:rPr>
                <w:rFonts w:hint="eastAsia" w:cs="Times New Roman"/>
              </w:rPr>
              <w:t>S</w:t>
            </w:r>
          </w:p>
        </w:tc>
        <w:tc>
          <w:tcPr>
            <w:tcW w:w="554" w:type="pct"/>
            <w:vAlign w:val="center"/>
          </w:tcPr>
          <w:p>
            <w:pPr>
              <w:pStyle w:val="39"/>
              <w:rPr>
                <w:rFonts w:cs="Times New Roman"/>
              </w:rPr>
            </w:pPr>
            <w:r>
              <w:rPr>
                <w:rFonts w:cs="Times New Roman"/>
              </w:rPr>
              <w:t>1.83</w:t>
            </w:r>
            <w:r>
              <w:rPr>
                <w:rFonts w:hint="eastAsia" w:cs="Times New Roman"/>
              </w:rPr>
              <w:t>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4" w:type="pct"/>
            <w:vAlign w:val="center"/>
          </w:tcPr>
          <w:p>
            <w:pPr>
              <w:pStyle w:val="39"/>
              <w:rPr>
                <w:rFonts w:cs="Times New Roman"/>
              </w:rPr>
            </w:pPr>
            <w:r>
              <w:rPr>
                <w:rFonts w:hint="eastAsia" w:cs="Times New Roman"/>
              </w:rPr>
              <w:t>虾</w:t>
            </w:r>
            <w:r>
              <w:rPr>
                <w:rFonts w:cs="Times New Roman"/>
              </w:rPr>
              <w:t>陂塘</w:t>
            </w:r>
          </w:p>
        </w:tc>
        <w:tc>
          <w:tcPr>
            <w:tcW w:w="965" w:type="pct"/>
            <w:vAlign w:val="center"/>
          </w:tcPr>
          <w:p>
            <w:pPr>
              <w:pStyle w:val="39"/>
              <w:rPr>
                <w:rFonts w:cs="Times New Roman"/>
              </w:rPr>
            </w:pPr>
            <w:r>
              <w:rPr>
                <w:rFonts w:cs="Times New Roman"/>
              </w:rPr>
              <w:t>112.396623767</w:t>
            </w:r>
          </w:p>
        </w:tc>
        <w:tc>
          <w:tcPr>
            <w:tcW w:w="833" w:type="pct"/>
            <w:vAlign w:val="center"/>
          </w:tcPr>
          <w:p>
            <w:pPr>
              <w:pStyle w:val="39"/>
              <w:rPr>
                <w:rFonts w:cs="Times New Roman"/>
              </w:rPr>
            </w:pPr>
            <w:r>
              <w:rPr>
                <w:rFonts w:cs="Times New Roman"/>
              </w:rPr>
              <w:t>27.065323593</w:t>
            </w:r>
          </w:p>
        </w:tc>
        <w:tc>
          <w:tcPr>
            <w:tcW w:w="510" w:type="pct"/>
            <w:vAlign w:val="center"/>
          </w:tcPr>
          <w:p>
            <w:pPr>
              <w:jc w:val="center"/>
              <w:rPr>
                <w:rFonts w:ascii="Times New Roman" w:hAnsi="Times New Roman" w:eastAsia="宋体" w:cs="Times New Roman"/>
              </w:rPr>
            </w:pPr>
            <w:r>
              <w:rPr>
                <w:rFonts w:ascii="Times New Roman" w:hAnsi="Times New Roman" w:eastAsia="宋体" w:cs="Times New Roman"/>
              </w:rPr>
              <w:t>居民点</w:t>
            </w:r>
          </w:p>
        </w:tc>
        <w:tc>
          <w:tcPr>
            <w:tcW w:w="509" w:type="pct"/>
            <w:vAlign w:val="center"/>
          </w:tcPr>
          <w:p>
            <w:pPr>
              <w:jc w:val="center"/>
              <w:rPr>
                <w:rFonts w:ascii="Times New Roman" w:hAnsi="Times New Roman" w:eastAsia="宋体" w:cs="Times New Roman"/>
              </w:rPr>
            </w:pPr>
            <w:r>
              <w:rPr>
                <w:rFonts w:ascii="Times New Roman" w:hAnsi="Times New Roman" w:eastAsia="宋体" w:cs="Times New Roman"/>
              </w:rPr>
              <w:t>人群</w:t>
            </w:r>
          </w:p>
        </w:tc>
        <w:tc>
          <w:tcPr>
            <w:tcW w:w="450" w:type="pct"/>
            <w:vMerge w:val="continue"/>
            <w:vAlign w:val="center"/>
          </w:tcPr>
          <w:p>
            <w:pPr>
              <w:pStyle w:val="39"/>
              <w:rPr>
                <w:rFonts w:cs="Times New Roman"/>
              </w:rPr>
            </w:pPr>
          </w:p>
        </w:tc>
        <w:tc>
          <w:tcPr>
            <w:tcW w:w="424" w:type="pct"/>
            <w:vAlign w:val="center"/>
          </w:tcPr>
          <w:p>
            <w:pPr>
              <w:pStyle w:val="39"/>
              <w:rPr>
                <w:rFonts w:cs="Times New Roman"/>
              </w:rPr>
            </w:pPr>
            <w:r>
              <w:rPr>
                <w:rFonts w:hint="eastAsia" w:cs="Times New Roman"/>
              </w:rPr>
              <w:t>S</w:t>
            </w:r>
            <w:r>
              <w:rPr>
                <w:rFonts w:cs="Times New Roman"/>
              </w:rPr>
              <w:t>E</w:t>
            </w:r>
          </w:p>
        </w:tc>
        <w:tc>
          <w:tcPr>
            <w:tcW w:w="554" w:type="pct"/>
            <w:vAlign w:val="center"/>
          </w:tcPr>
          <w:p>
            <w:pPr>
              <w:pStyle w:val="39"/>
              <w:rPr>
                <w:rFonts w:cs="Times New Roman"/>
              </w:rPr>
            </w:pPr>
            <w:r>
              <w:rPr>
                <w:rFonts w:cs="Times New Roman"/>
              </w:rPr>
              <w:t>1.30</w:t>
            </w:r>
            <w:r>
              <w:rPr>
                <w:rFonts w:hint="eastAsia" w:cs="Times New Roman"/>
              </w:rPr>
              <w:t>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4" w:type="pct"/>
            <w:vAlign w:val="center"/>
          </w:tcPr>
          <w:p>
            <w:pPr>
              <w:pStyle w:val="39"/>
              <w:rPr>
                <w:rFonts w:cs="Times New Roman"/>
              </w:rPr>
            </w:pPr>
            <w:r>
              <w:rPr>
                <w:rFonts w:hint="eastAsia" w:cs="Times New Roman"/>
              </w:rPr>
              <w:t>庆明村</w:t>
            </w:r>
          </w:p>
        </w:tc>
        <w:tc>
          <w:tcPr>
            <w:tcW w:w="965" w:type="pct"/>
            <w:vAlign w:val="center"/>
          </w:tcPr>
          <w:p>
            <w:pPr>
              <w:pStyle w:val="39"/>
              <w:rPr>
                <w:rFonts w:cs="Times New Roman"/>
              </w:rPr>
            </w:pPr>
            <w:r>
              <w:rPr>
                <w:rFonts w:cs="Times New Roman"/>
              </w:rPr>
              <w:t>112.399284519</w:t>
            </w:r>
          </w:p>
        </w:tc>
        <w:tc>
          <w:tcPr>
            <w:tcW w:w="833" w:type="pct"/>
            <w:vAlign w:val="center"/>
          </w:tcPr>
          <w:p>
            <w:pPr>
              <w:pStyle w:val="39"/>
              <w:rPr>
                <w:rFonts w:cs="Times New Roman"/>
              </w:rPr>
            </w:pPr>
            <w:r>
              <w:rPr>
                <w:rFonts w:cs="Times New Roman"/>
              </w:rPr>
              <w:t>27.060302497</w:t>
            </w:r>
          </w:p>
        </w:tc>
        <w:tc>
          <w:tcPr>
            <w:tcW w:w="510" w:type="pct"/>
            <w:vAlign w:val="center"/>
          </w:tcPr>
          <w:p>
            <w:pPr>
              <w:jc w:val="center"/>
              <w:rPr>
                <w:rFonts w:ascii="Times New Roman" w:hAnsi="Times New Roman" w:eastAsia="宋体" w:cs="Times New Roman"/>
              </w:rPr>
            </w:pPr>
            <w:r>
              <w:rPr>
                <w:rFonts w:ascii="Times New Roman" w:hAnsi="Times New Roman" w:eastAsia="宋体" w:cs="Times New Roman"/>
              </w:rPr>
              <w:t>居民点</w:t>
            </w:r>
          </w:p>
        </w:tc>
        <w:tc>
          <w:tcPr>
            <w:tcW w:w="509" w:type="pct"/>
            <w:vAlign w:val="center"/>
          </w:tcPr>
          <w:p>
            <w:pPr>
              <w:jc w:val="center"/>
              <w:rPr>
                <w:rFonts w:ascii="Times New Roman" w:hAnsi="Times New Roman" w:eastAsia="宋体" w:cs="Times New Roman"/>
              </w:rPr>
            </w:pPr>
            <w:r>
              <w:rPr>
                <w:rFonts w:ascii="Times New Roman" w:hAnsi="Times New Roman" w:eastAsia="宋体" w:cs="Times New Roman"/>
              </w:rPr>
              <w:t>人群</w:t>
            </w:r>
          </w:p>
        </w:tc>
        <w:tc>
          <w:tcPr>
            <w:tcW w:w="450" w:type="pct"/>
            <w:vMerge w:val="continue"/>
            <w:vAlign w:val="center"/>
          </w:tcPr>
          <w:p>
            <w:pPr>
              <w:pStyle w:val="39"/>
              <w:rPr>
                <w:rFonts w:cs="Times New Roman"/>
              </w:rPr>
            </w:pPr>
          </w:p>
        </w:tc>
        <w:tc>
          <w:tcPr>
            <w:tcW w:w="424" w:type="pct"/>
            <w:vAlign w:val="center"/>
          </w:tcPr>
          <w:p>
            <w:pPr>
              <w:pStyle w:val="39"/>
              <w:rPr>
                <w:rFonts w:cs="Times New Roman"/>
              </w:rPr>
            </w:pPr>
            <w:r>
              <w:rPr>
                <w:rFonts w:hint="eastAsia" w:cs="Times New Roman"/>
              </w:rPr>
              <w:t>S</w:t>
            </w:r>
            <w:r>
              <w:rPr>
                <w:rFonts w:cs="Times New Roman"/>
              </w:rPr>
              <w:t>E</w:t>
            </w:r>
          </w:p>
        </w:tc>
        <w:tc>
          <w:tcPr>
            <w:tcW w:w="554" w:type="pct"/>
            <w:vAlign w:val="center"/>
          </w:tcPr>
          <w:p>
            <w:pPr>
              <w:pStyle w:val="39"/>
              <w:rPr>
                <w:rFonts w:cs="Times New Roman"/>
              </w:rPr>
            </w:pPr>
            <w:r>
              <w:rPr>
                <w:rFonts w:cs="Times New Roman"/>
              </w:rPr>
              <w:t>1.88</w:t>
            </w:r>
            <w:r>
              <w:rPr>
                <w:rFonts w:hint="eastAsia" w:cs="Times New Roman"/>
              </w:rPr>
              <w:t>km</w:t>
            </w:r>
          </w:p>
        </w:tc>
      </w:tr>
    </w:tbl>
    <w:p>
      <w:pPr>
        <w:pStyle w:val="3"/>
        <w:ind w:firstLine="480"/>
        <w:rPr>
          <w:rFonts w:cs="Times New Roman"/>
        </w:rPr>
      </w:pPr>
    </w:p>
    <w:p>
      <w:pPr>
        <w:pStyle w:val="15"/>
        <w:rPr>
          <w:rFonts w:cs="Times New Roman"/>
        </w:rPr>
      </w:pPr>
      <w:r>
        <w:rPr>
          <w:rFonts w:cs="Times New Roman"/>
        </w:rPr>
        <w:t>表2.7-2 其他环境保护目标一览表</w:t>
      </w:r>
    </w:p>
    <w:tbl>
      <w:tblPr>
        <w:tblStyle w:val="26"/>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2"/>
        <w:gridCol w:w="993"/>
        <w:gridCol w:w="1134"/>
        <w:gridCol w:w="1701"/>
        <w:gridCol w:w="1134"/>
        <w:gridCol w:w="850"/>
        <w:gridCol w:w="2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32" w:type="dxa"/>
            <w:shd w:val="clear" w:color="auto" w:fill="FFFFFF"/>
            <w:tcMar>
              <w:top w:w="0" w:type="dxa"/>
              <w:left w:w="57" w:type="dxa"/>
              <w:bottom w:w="0" w:type="dxa"/>
              <w:right w:w="57" w:type="dxa"/>
            </w:tcMar>
            <w:vAlign w:val="center"/>
          </w:tcPr>
          <w:p>
            <w:pPr>
              <w:pStyle w:val="39"/>
              <w:rPr>
                <w:rFonts w:cs="Times New Roman"/>
              </w:rPr>
            </w:pPr>
            <w:r>
              <w:rPr>
                <w:rFonts w:cs="Times New Roman"/>
              </w:rPr>
              <w:t>环境要素</w:t>
            </w:r>
          </w:p>
        </w:tc>
        <w:tc>
          <w:tcPr>
            <w:tcW w:w="2127" w:type="dxa"/>
            <w:gridSpan w:val="2"/>
            <w:shd w:val="clear" w:color="auto" w:fill="FFFFFF"/>
            <w:tcMar>
              <w:top w:w="0" w:type="dxa"/>
              <w:left w:w="57" w:type="dxa"/>
              <w:bottom w:w="0" w:type="dxa"/>
              <w:right w:w="57" w:type="dxa"/>
            </w:tcMar>
            <w:vAlign w:val="center"/>
          </w:tcPr>
          <w:p>
            <w:pPr>
              <w:pStyle w:val="39"/>
              <w:rPr>
                <w:rFonts w:cs="Times New Roman"/>
              </w:rPr>
            </w:pPr>
            <w:r>
              <w:rPr>
                <w:rFonts w:cs="Times New Roman"/>
              </w:rPr>
              <w:t>敏感目标</w:t>
            </w:r>
          </w:p>
        </w:tc>
        <w:tc>
          <w:tcPr>
            <w:tcW w:w="1701" w:type="dxa"/>
            <w:shd w:val="clear" w:color="auto" w:fill="FFFFFF"/>
            <w:tcMar>
              <w:top w:w="0" w:type="dxa"/>
              <w:left w:w="57" w:type="dxa"/>
              <w:bottom w:w="0" w:type="dxa"/>
              <w:right w:w="57" w:type="dxa"/>
            </w:tcMar>
            <w:vAlign w:val="center"/>
          </w:tcPr>
          <w:p>
            <w:pPr>
              <w:pStyle w:val="39"/>
              <w:rPr>
                <w:rFonts w:cs="Times New Roman"/>
              </w:rPr>
            </w:pPr>
            <w:r>
              <w:rPr>
                <w:rFonts w:cs="Times New Roman"/>
              </w:rPr>
              <w:t>坐标</w:t>
            </w:r>
          </w:p>
        </w:tc>
        <w:tc>
          <w:tcPr>
            <w:tcW w:w="1984" w:type="dxa"/>
            <w:gridSpan w:val="2"/>
            <w:shd w:val="clear" w:color="auto" w:fill="FFFFFF"/>
            <w:tcMar>
              <w:top w:w="0" w:type="dxa"/>
              <w:left w:w="57" w:type="dxa"/>
              <w:bottom w:w="0" w:type="dxa"/>
              <w:right w:w="57" w:type="dxa"/>
            </w:tcMar>
            <w:vAlign w:val="center"/>
          </w:tcPr>
          <w:p>
            <w:pPr>
              <w:pStyle w:val="39"/>
              <w:rPr>
                <w:rFonts w:cs="Times New Roman"/>
              </w:rPr>
            </w:pPr>
            <w:r>
              <w:rPr>
                <w:rFonts w:cs="Times New Roman"/>
              </w:rPr>
              <w:t>与项目的相对方位、距离、规模</w:t>
            </w:r>
          </w:p>
        </w:tc>
        <w:tc>
          <w:tcPr>
            <w:tcW w:w="2742" w:type="dxa"/>
            <w:shd w:val="clear" w:color="auto" w:fill="FFFFFF"/>
            <w:tcMar>
              <w:top w:w="0" w:type="dxa"/>
              <w:left w:w="57" w:type="dxa"/>
              <w:bottom w:w="0" w:type="dxa"/>
              <w:right w:w="57" w:type="dxa"/>
            </w:tcMar>
            <w:vAlign w:val="center"/>
          </w:tcPr>
          <w:p>
            <w:pPr>
              <w:pStyle w:val="39"/>
              <w:rPr>
                <w:rFonts w:cs="Times New Roman"/>
              </w:rPr>
            </w:pPr>
            <w:r>
              <w:rPr>
                <w:rFonts w:cs="Times New Roman"/>
              </w:rPr>
              <w:t>保护级别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32" w:type="dxa"/>
            <w:shd w:val="clear" w:color="auto" w:fill="FFFFFF"/>
            <w:tcMar>
              <w:top w:w="0" w:type="dxa"/>
              <w:left w:w="57" w:type="dxa"/>
              <w:bottom w:w="0" w:type="dxa"/>
              <w:right w:w="57" w:type="dxa"/>
            </w:tcMar>
            <w:vAlign w:val="center"/>
          </w:tcPr>
          <w:p>
            <w:pPr>
              <w:pStyle w:val="39"/>
              <w:rPr>
                <w:rFonts w:cs="Times New Roman"/>
              </w:rPr>
            </w:pPr>
            <w:r>
              <w:rPr>
                <w:rFonts w:cs="Times New Roman"/>
              </w:rPr>
              <w:t>声环境</w:t>
            </w:r>
          </w:p>
        </w:tc>
        <w:tc>
          <w:tcPr>
            <w:tcW w:w="993" w:type="dxa"/>
            <w:shd w:val="clear" w:color="auto" w:fill="FFFFFF"/>
            <w:tcMar>
              <w:top w:w="0" w:type="dxa"/>
              <w:left w:w="57" w:type="dxa"/>
              <w:bottom w:w="0" w:type="dxa"/>
              <w:right w:w="57" w:type="dxa"/>
            </w:tcMar>
            <w:vAlign w:val="center"/>
          </w:tcPr>
          <w:p>
            <w:pPr>
              <w:pStyle w:val="39"/>
              <w:rPr>
                <w:rFonts w:cs="Times New Roman"/>
              </w:rPr>
            </w:pPr>
            <w:r>
              <w:rPr>
                <w:rFonts w:cs="Times New Roman"/>
              </w:rPr>
              <w:t>进场道路</w:t>
            </w:r>
            <w:r>
              <w:rPr>
                <w:rFonts w:hint="eastAsia" w:cs="Times New Roman"/>
              </w:rPr>
              <w:t>200m范围</w:t>
            </w:r>
          </w:p>
        </w:tc>
        <w:tc>
          <w:tcPr>
            <w:tcW w:w="1134" w:type="dxa"/>
            <w:shd w:val="clear" w:color="auto" w:fill="FFFFFF"/>
            <w:vAlign w:val="center"/>
          </w:tcPr>
          <w:p>
            <w:pPr>
              <w:pStyle w:val="39"/>
              <w:rPr>
                <w:rFonts w:cs="Times New Roman"/>
              </w:rPr>
            </w:pPr>
            <w:r>
              <w:rPr>
                <w:rFonts w:cs="Times New Roman"/>
              </w:rPr>
              <w:t>前进村</w:t>
            </w:r>
          </w:p>
        </w:tc>
        <w:tc>
          <w:tcPr>
            <w:tcW w:w="1701" w:type="dxa"/>
            <w:shd w:val="clear" w:color="auto" w:fill="FFFFFF"/>
            <w:tcMar>
              <w:top w:w="0" w:type="dxa"/>
              <w:left w:w="57" w:type="dxa"/>
              <w:bottom w:w="0" w:type="dxa"/>
              <w:right w:w="57" w:type="dxa"/>
            </w:tcMar>
            <w:vAlign w:val="center"/>
          </w:tcPr>
          <w:p>
            <w:pPr>
              <w:pStyle w:val="39"/>
              <w:rPr>
                <w:rFonts w:cs="Times New Roman"/>
              </w:rPr>
            </w:pPr>
            <w:r>
              <w:rPr>
                <w:rFonts w:cs="Times New Roman"/>
              </w:rPr>
              <w:t>112.397235311</w:t>
            </w:r>
          </w:p>
          <w:p>
            <w:pPr>
              <w:pStyle w:val="39"/>
              <w:rPr>
                <w:rFonts w:cs="Times New Roman"/>
              </w:rPr>
            </w:pPr>
            <w:r>
              <w:rPr>
                <w:rFonts w:cs="Times New Roman"/>
              </w:rPr>
              <w:t>27.078884842</w:t>
            </w:r>
          </w:p>
        </w:tc>
        <w:tc>
          <w:tcPr>
            <w:tcW w:w="1984" w:type="dxa"/>
            <w:gridSpan w:val="2"/>
            <w:shd w:val="clear" w:color="auto" w:fill="FFFFFF"/>
            <w:tcMar>
              <w:top w:w="0" w:type="dxa"/>
              <w:left w:w="57" w:type="dxa"/>
              <w:bottom w:w="0" w:type="dxa"/>
              <w:right w:w="57" w:type="dxa"/>
            </w:tcMar>
            <w:vAlign w:val="center"/>
          </w:tcPr>
          <w:p>
            <w:pPr>
              <w:pStyle w:val="39"/>
              <w:rPr>
                <w:rFonts w:cs="Times New Roman"/>
              </w:rPr>
            </w:pPr>
            <w:r>
              <w:rPr>
                <w:rFonts w:hint="eastAsia" w:cs="Times New Roman"/>
              </w:rPr>
              <w:t xml:space="preserve">E  </w:t>
            </w:r>
            <w:r>
              <w:rPr>
                <w:rFonts w:cs="Times New Roman"/>
              </w:rPr>
              <w:t>16</w:t>
            </w:r>
            <w:r>
              <w:rPr>
                <w:rFonts w:hint="eastAsia" w:cs="Times New Roman"/>
              </w:rPr>
              <w:t>0m</w:t>
            </w:r>
          </w:p>
        </w:tc>
        <w:tc>
          <w:tcPr>
            <w:tcW w:w="2742" w:type="dxa"/>
            <w:shd w:val="clear" w:color="auto" w:fill="FFFFFF"/>
            <w:tcMar>
              <w:top w:w="0" w:type="dxa"/>
              <w:left w:w="57" w:type="dxa"/>
              <w:bottom w:w="0" w:type="dxa"/>
              <w:right w:w="57" w:type="dxa"/>
            </w:tcMar>
            <w:vAlign w:val="center"/>
          </w:tcPr>
          <w:p>
            <w:pPr>
              <w:pStyle w:val="39"/>
              <w:rPr>
                <w:rFonts w:cs="Times New Roman"/>
              </w:rPr>
            </w:pPr>
            <w:r>
              <w:rPr>
                <w:rFonts w:cs="Times New Roman"/>
              </w:rPr>
              <w:t>《声环境质量标准》（GB3096-2008）2类标准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32" w:type="dxa"/>
            <w:vMerge w:val="restart"/>
            <w:shd w:val="clear" w:color="auto" w:fill="FFFFFF"/>
            <w:tcMar>
              <w:top w:w="0" w:type="dxa"/>
              <w:left w:w="57" w:type="dxa"/>
              <w:bottom w:w="0" w:type="dxa"/>
              <w:right w:w="57" w:type="dxa"/>
            </w:tcMar>
            <w:vAlign w:val="center"/>
          </w:tcPr>
          <w:p>
            <w:pPr>
              <w:pStyle w:val="39"/>
              <w:rPr>
                <w:rFonts w:cs="Times New Roman"/>
              </w:rPr>
            </w:pPr>
            <w:r>
              <w:rPr>
                <w:rFonts w:cs="Times New Roman"/>
              </w:rPr>
              <w:t>地表水环境</w:t>
            </w:r>
          </w:p>
        </w:tc>
        <w:tc>
          <w:tcPr>
            <w:tcW w:w="2127" w:type="dxa"/>
            <w:gridSpan w:val="2"/>
            <w:shd w:val="clear" w:color="auto" w:fill="FFFFFF"/>
            <w:tcMar>
              <w:top w:w="0" w:type="dxa"/>
              <w:left w:w="57" w:type="dxa"/>
              <w:bottom w:w="0" w:type="dxa"/>
              <w:right w:w="57" w:type="dxa"/>
            </w:tcMar>
            <w:vAlign w:val="center"/>
          </w:tcPr>
          <w:p>
            <w:pPr>
              <w:pStyle w:val="39"/>
              <w:rPr>
                <w:rFonts w:cs="Times New Roman"/>
              </w:rPr>
            </w:pPr>
            <w:r>
              <w:rPr>
                <w:rFonts w:hint="eastAsia" w:cs="Times New Roman"/>
              </w:rPr>
              <w:t>板</w:t>
            </w:r>
            <w:r>
              <w:rPr>
                <w:rFonts w:cs="Times New Roman"/>
              </w:rPr>
              <w:t>陂塘</w:t>
            </w:r>
          </w:p>
        </w:tc>
        <w:tc>
          <w:tcPr>
            <w:tcW w:w="1701" w:type="dxa"/>
            <w:shd w:val="clear" w:color="auto" w:fill="FFFFFF"/>
            <w:tcMar>
              <w:top w:w="0" w:type="dxa"/>
              <w:left w:w="57" w:type="dxa"/>
              <w:bottom w:w="0" w:type="dxa"/>
              <w:right w:w="57" w:type="dxa"/>
            </w:tcMar>
            <w:vAlign w:val="center"/>
          </w:tcPr>
          <w:p>
            <w:pPr>
              <w:pStyle w:val="39"/>
              <w:rPr>
                <w:rFonts w:cs="Times New Roman"/>
              </w:rPr>
            </w:pPr>
            <w:r>
              <w:rPr>
                <w:rFonts w:cs="Times New Roman"/>
              </w:rPr>
              <w:t>112.395003713</w:t>
            </w:r>
          </w:p>
          <w:p>
            <w:pPr>
              <w:pStyle w:val="39"/>
              <w:rPr>
                <w:rFonts w:cs="Times New Roman"/>
              </w:rPr>
            </w:pPr>
            <w:r>
              <w:rPr>
                <w:rFonts w:cs="Times New Roman"/>
              </w:rPr>
              <w:t>27.080236675</w:t>
            </w:r>
          </w:p>
        </w:tc>
        <w:tc>
          <w:tcPr>
            <w:tcW w:w="1134" w:type="dxa"/>
            <w:shd w:val="clear" w:color="auto" w:fill="FFFFFF"/>
            <w:tcMar>
              <w:top w:w="0" w:type="dxa"/>
              <w:left w:w="57" w:type="dxa"/>
              <w:bottom w:w="0" w:type="dxa"/>
              <w:right w:w="57" w:type="dxa"/>
            </w:tcMar>
            <w:vAlign w:val="center"/>
          </w:tcPr>
          <w:p>
            <w:pPr>
              <w:pStyle w:val="39"/>
              <w:rPr>
                <w:rFonts w:cs="Times New Roman"/>
              </w:rPr>
            </w:pPr>
            <w:r>
              <w:rPr>
                <w:snapToGrid w:val="0"/>
              </w:rPr>
              <w:t>东460</w:t>
            </w:r>
            <w:r>
              <w:rPr>
                <w:rFonts w:cs="Times New Roman"/>
              </w:rPr>
              <w:t>m</w:t>
            </w:r>
          </w:p>
        </w:tc>
        <w:tc>
          <w:tcPr>
            <w:tcW w:w="850" w:type="dxa"/>
            <w:vMerge w:val="restart"/>
            <w:shd w:val="clear" w:color="auto" w:fill="FFFFFF"/>
            <w:tcMar>
              <w:top w:w="0" w:type="dxa"/>
              <w:left w:w="57" w:type="dxa"/>
              <w:bottom w:w="0" w:type="dxa"/>
              <w:right w:w="57" w:type="dxa"/>
            </w:tcMar>
            <w:vAlign w:val="center"/>
          </w:tcPr>
          <w:p>
            <w:pPr>
              <w:pStyle w:val="39"/>
              <w:rPr>
                <w:rFonts w:cs="Times New Roman"/>
              </w:rPr>
            </w:pPr>
            <w:r>
              <w:rPr>
                <w:rFonts w:cs="Times New Roman"/>
              </w:rPr>
              <w:t>农业用水区</w:t>
            </w:r>
          </w:p>
        </w:tc>
        <w:tc>
          <w:tcPr>
            <w:tcW w:w="2742" w:type="dxa"/>
            <w:vMerge w:val="restart"/>
            <w:shd w:val="clear" w:color="auto" w:fill="FFFFFF"/>
            <w:tcMar>
              <w:top w:w="0" w:type="dxa"/>
              <w:left w:w="57" w:type="dxa"/>
              <w:bottom w:w="0" w:type="dxa"/>
              <w:right w:w="57" w:type="dxa"/>
            </w:tcMar>
            <w:vAlign w:val="center"/>
          </w:tcPr>
          <w:p>
            <w:pPr>
              <w:pStyle w:val="39"/>
              <w:rPr>
                <w:rFonts w:cs="Times New Roman"/>
              </w:rPr>
            </w:pPr>
            <w:r>
              <w:rPr>
                <w:rFonts w:cs="Times New Roman"/>
              </w:rPr>
              <w:t>《地表水环境质量标准》（GB3838-2002）</w:t>
            </w:r>
            <w:r>
              <w:rPr>
                <w:rFonts w:hint="eastAsia" w:ascii="宋体" w:hAnsi="宋体" w:cs="宋体"/>
              </w:rPr>
              <w:t>Ⅲ</w:t>
            </w:r>
            <w:r>
              <w:rPr>
                <w:rFonts w:cs="Times New Roman"/>
              </w:rPr>
              <w:t>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32" w:type="dxa"/>
            <w:vMerge w:val="continue"/>
            <w:shd w:val="clear" w:color="auto" w:fill="FFFFFF"/>
            <w:tcMar>
              <w:top w:w="0" w:type="dxa"/>
              <w:left w:w="57" w:type="dxa"/>
              <w:bottom w:w="0" w:type="dxa"/>
              <w:right w:w="57" w:type="dxa"/>
            </w:tcMar>
            <w:vAlign w:val="center"/>
          </w:tcPr>
          <w:p>
            <w:pPr>
              <w:pStyle w:val="39"/>
              <w:rPr>
                <w:rFonts w:cs="Times New Roman"/>
              </w:rPr>
            </w:pPr>
          </w:p>
        </w:tc>
        <w:tc>
          <w:tcPr>
            <w:tcW w:w="2127" w:type="dxa"/>
            <w:gridSpan w:val="2"/>
            <w:shd w:val="clear" w:color="auto" w:fill="FFFFFF"/>
            <w:tcMar>
              <w:top w:w="0" w:type="dxa"/>
              <w:left w:w="57" w:type="dxa"/>
              <w:bottom w:w="0" w:type="dxa"/>
              <w:right w:w="57" w:type="dxa"/>
            </w:tcMar>
            <w:vAlign w:val="center"/>
          </w:tcPr>
          <w:p>
            <w:pPr>
              <w:pStyle w:val="39"/>
              <w:rPr>
                <w:rFonts w:cs="Times New Roman"/>
                <w:snapToGrid w:val="0"/>
              </w:rPr>
            </w:pPr>
            <w:r>
              <w:rPr>
                <w:rFonts w:hint="eastAsia" w:cs="Times New Roman"/>
                <w:snapToGrid w:val="0"/>
              </w:rPr>
              <w:t>贤陂</w:t>
            </w:r>
            <w:r>
              <w:rPr>
                <w:rFonts w:cs="Times New Roman"/>
                <w:snapToGrid w:val="0"/>
              </w:rPr>
              <w:t>水库</w:t>
            </w:r>
          </w:p>
        </w:tc>
        <w:tc>
          <w:tcPr>
            <w:tcW w:w="1701" w:type="dxa"/>
            <w:shd w:val="clear" w:color="auto" w:fill="FFFFFF"/>
            <w:tcMar>
              <w:top w:w="0" w:type="dxa"/>
              <w:left w:w="57" w:type="dxa"/>
              <w:bottom w:w="0" w:type="dxa"/>
              <w:right w:w="57" w:type="dxa"/>
            </w:tcMar>
            <w:vAlign w:val="center"/>
          </w:tcPr>
          <w:p>
            <w:pPr>
              <w:pStyle w:val="39"/>
              <w:rPr>
                <w:rFonts w:cs="Times New Roman"/>
              </w:rPr>
            </w:pPr>
            <w:r>
              <w:rPr>
                <w:rFonts w:cs="Times New Roman"/>
              </w:rPr>
              <w:t>112.403973020</w:t>
            </w:r>
          </w:p>
          <w:p>
            <w:pPr>
              <w:pStyle w:val="39"/>
              <w:rPr>
                <w:rFonts w:cs="Times New Roman"/>
              </w:rPr>
            </w:pPr>
            <w:r>
              <w:rPr>
                <w:rFonts w:cs="Times New Roman"/>
              </w:rPr>
              <w:t>27.087317707</w:t>
            </w:r>
          </w:p>
        </w:tc>
        <w:tc>
          <w:tcPr>
            <w:tcW w:w="1134" w:type="dxa"/>
            <w:shd w:val="clear" w:color="auto" w:fill="FFFFFF"/>
            <w:tcMar>
              <w:top w:w="0" w:type="dxa"/>
              <w:left w:w="57" w:type="dxa"/>
              <w:bottom w:w="0" w:type="dxa"/>
              <w:right w:w="57" w:type="dxa"/>
            </w:tcMar>
            <w:vAlign w:val="center"/>
          </w:tcPr>
          <w:p>
            <w:pPr>
              <w:pStyle w:val="39"/>
              <w:rPr>
                <w:rFonts w:cs="Times New Roman"/>
              </w:rPr>
            </w:pPr>
            <w:r>
              <w:rPr>
                <w:rFonts w:hint="eastAsia" w:cs="Times New Roman"/>
              </w:rPr>
              <w:t>东</w:t>
            </w:r>
            <w:r>
              <w:rPr>
                <w:rFonts w:cs="Times New Roman"/>
              </w:rPr>
              <w:t>3.1km</w:t>
            </w:r>
          </w:p>
        </w:tc>
        <w:tc>
          <w:tcPr>
            <w:tcW w:w="850" w:type="dxa"/>
            <w:vMerge w:val="continue"/>
            <w:shd w:val="clear" w:color="auto" w:fill="FFFFFF"/>
            <w:tcMar>
              <w:top w:w="0" w:type="dxa"/>
              <w:left w:w="57" w:type="dxa"/>
              <w:bottom w:w="0" w:type="dxa"/>
              <w:right w:w="57" w:type="dxa"/>
            </w:tcMar>
            <w:vAlign w:val="center"/>
          </w:tcPr>
          <w:p>
            <w:pPr>
              <w:pStyle w:val="39"/>
              <w:rPr>
                <w:rFonts w:cs="Times New Roman"/>
              </w:rPr>
            </w:pPr>
          </w:p>
        </w:tc>
        <w:tc>
          <w:tcPr>
            <w:tcW w:w="2742" w:type="dxa"/>
            <w:vMerge w:val="continue"/>
            <w:shd w:val="clear" w:color="auto" w:fill="FFFFFF"/>
            <w:tcMar>
              <w:top w:w="0" w:type="dxa"/>
              <w:left w:w="57" w:type="dxa"/>
              <w:bottom w:w="0" w:type="dxa"/>
              <w:right w:w="57" w:type="dxa"/>
            </w:tcMar>
            <w:vAlign w:val="center"/>
          </w:tcPr>
          <w:p>
            <w:pPr>
              <w:pStyle w:val="3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32" w:type="dxa"/>
            <w:vMerge w:val="restart"/>
            <w:shd w:val="clear" w:color="auto" w:fill="FFFFFF"/>
            <w:tcMar>
              <w:top w:w="0" w:type="dxa"/>
              <w:left w:w="57" w:type="dxa"/>
              <w:bottom w:w="0" w:type="dxa"/>
              <w:right w:w="57" w:type="dxa"/>
            </w:tcMar>
            <w:vAlign w:val="center"/>
          </w:tcPr>
          <w:p>
            <w:pPr>
              <w:pStyle w:val="39"/>
              <w:rPr>
                <w:rFonts w:cs="Times New Roman"/>
              </w:rPr>
            </w:pPr>
            <w:r>
              <w:rPr>
                <w:rFonts w:cs="Times New Roman"/>
              </w:rPr>
              <w:t>地下水环境</w:t>
            </w:r>
          </w:p>
        </w:tc>
        <w:tc>
          <w:tcPr>
            <w:tcW w:w="993" w:type="dxa"/>
            <w:vMerge w:val="restart"/>
            <w:shd w:val="clear" w:color="auto" w:fill="FFFFFF"/>
            <w:tcMar>
              <w:top w:w="0" w:type="dxa"/>
              <w:left w:w="57" w:type="dxa"/>
              <w:bottom w:w="0" w:type="dxa"/>
              <w:right w:w="57" w:type="dxa"/>
            </w:tcMar>
            <w:vAlign w:val="center"/>
          </w:tcPr>
          <w:p>
            <w:pPr>
              <w:pStyle w:val="39"/>
              <w:rPr>
                <w:rFonts w:cs="Times New Roman"/>
              </w:rPr>
            </w:pPr>
            <w:r>
              <w:rPr>
                <w:rFonts w:cs="Times New Roman"/>
              </w:rPr>
              <w:t>居民水井</w:t>
            </w:r>
          </w:p>
        </w:tc>
        <w:tc>
          <w:tcPr>
            <w:tcW w:w="1134" w:type="dxa"/>
            <w:shd w:val="clear" w:color="auto" w:fill="FFFFFF"/>
            <w:vAlign w:val="center"/>
          </w:tcPr>
          <w:p>
            <w:pPr>
              <w:pStyle w:val="39"/>
              <w:rPr>
                <w:rFonts w:cs="Times New Roman"/>
              </w:rPr>
            </w:pPr>
            <w:r>
              <w:t>北侧</w:t>
            </w:r>
            <w:r>
              <w:rPr>
                <w:rFonts w:hint="eastAsia"/>
              </w:rPr>
              <w:t>散户居民点</w:t>
            </w:r>
            <w:r>
              <w:rPr>
                <w:rFonts w:cs="Times New Roman"/>
              </w:rPr>
              <w:t>水井</w:t>
            </w:r>
          </w:p>
        </w:tc>
        <w:tc>
          <w:tcPr>
            <w:tcW w:w="1701" w:type="dxa"/>
            <w:shd w:val="clear" w:color="auto" w:fill="FFFFFF"/>
            <w:tcMar>
              <w:top w:w="0" w:type="dxa"/>
              <w:left w:w="57" w:type="dxa"/>
              <w:bottom w:w="0" w:type="dxa"/>
              <w:right w:w="57" w:type="dxa"/>
            </w:tcMar>
            <w:vAlign w:val="center"/>
          </w:tcPr>
          <w:p>
            <w:pPr>
              <w:pStyle w:val="39"/>
              <w:rPr>
                <w:rFonts w:cs="Times New Roman"/>
              </w:rPr>
            </w:pPr>
            <w:r>
              <w:rPr>
                <w:rFonts w:cs="Times New Roman"/>
              </w:rPr>
              <w:t>112.393287099</w:t>
            </w:r>
          </w:p>
          <w:p>
            <w:pPr>
              <w:pStyle w:val="39"/>
              <w:rPr>
                <w:rFonts w:cs="Times New Roman"/>
              </w:rPr>
            </w:pPr>
            <w:r>
              <w:rPr>
                <w:rFonts w:cs="Times New Roman"/>
              </w:rPr>
              <w:t>27.080354692</w:t>
            </w:r>
          </w:p>
        </w:tc>
        <w:tc>
          <w:tcPr>
            <w:tcW w:w="1134" w:type="dxa"/>
            <w:shd w:val="clear" w:color="auto" w:fill="FFFFFF"/>
            <w:tcMar>
              <w:top w:w="0" w:type="dxa"/>
              <w:left w:w="57" w:type="dxa"/>
              <w:bottom w:w="0" w:type="dxa"/>
              <w:right w:w="57" w:type="dxa"/>
            </w:tcMar>
            <w:vAlign w:val="center"/>
          </w:tcPr>
          <w:p>
            <w:pPr>
              <w:pStyle w:val="39"/>
              <w:rPr>
                <w:rFonts w:cs="Times New Roman"/>
              </w:rPr>
            </w:pPr>
            <w:r>
              <w:rPr>
                <w:rFonts w:cs="Times New Roman"/>
                <w:snapToGrid w:val="0"/>
                <w:kern w:val="0"/>
              </w:rPr>
              <w:t>北</w:t>
            </w:r>
            <w:r>
              <w:rPr>
                <w:rFonts w:hint="eastAsia" w:cs="Times New Roman"/>
                <w:snapToGrid w:val="0"/>
                <w:kern w:val="0"/>
              </w:rPr>
              <w:t xml:space="preserve"> </w:t>
            </w:r>
            <w:r>
              <w:rPr>
                <w:rFonts w:cs="Times New Roman"/>
                <w:snapToGrid w:val="0"/>
                <w:kern w:val="0"/>
              </w:rPr>
              <w:t>250m</w:t>
            </w:r>
          </w:p>
        </w:tc>
        <w:tc>
          <w:tcPr>
            <w:tcW w:w="850" w:type="dxa"/>
            <w:vMerge w:val="restart"/>
            <w:shd w:val="clear" w:color="auto" w:fill="FFFFFF"/>
            <w:tcMar>
              <w:top w:w="0" w:type="dxa"/>
              <w:left w:w="57" w:type="dxa"/>
              <w:bottom w:w="0" w:type="dxa"/>
              <w:right w:w="57" w:type="dxa"/>
            </w:tcMar>
            <w:vAlign w:val="center"/>
          </w:tcPr>
          <w:p>
            <w:pPr>
              <w:pStyle w:val="39"/>
              <w:rPr>
                <w:rFonts w:cs="Times New Roman"/>
              </w:rPr>
            </w:pPr>
            <w:r>
              <w:rPr>
                <w:rFonts w:cs="Times New Roman"/>
              </w:rPr>
              <w:t>居民自打水井</w:t>
            </w:r>
            <w:r>
              <w:rPr>
                <w:rFonts w:hint="eastAsia"/>
                <w:kern w:val="0"/>
              </w:rPr>
              <w:t>；用作</w:t>
            </w:r>
            <w:r>
              <w:rPr>
                <w:kern w:val="0"/>
              </w:rPr>
              <w:t>洗菜等</w:t>
            </w:r>
            <w:r>
              <w:rPr>
                <w:rFonts w:hint="eastAsia"/>
                <w:kern w:val="0"/>
              </w:rPr>
              <w:t>，作为居民</w:t>
            </w:r>
            <w:r>
              <w:rPr>
                <w:kern w:val="0"/>
              </w:rPr>
              <w:t>生活备用水源</w:t>
            </w:r>
          </w:p>
        </w:tc>
        <w:tc>
          <w:tcPr>
            <w:tcW w:w="2742" w:type="dxa"/>
            <w:vMerge w:val="restart"/>
            <w:shd w:val="clear" w:color="auto" w:fill="FFFFFF"/>
            <w:tcMar>
              <w:top w:w="0" w:type="dxa"/>
              <w:left w:w="57" w:type="dxa"/>
              <w:bottom w:w="0" w:type="dxa"/>
              <w:right w:w="57" w:type="dxa"/>
            </w:tcMar>
            <w:vAlign w:val="center"/>
          </w:tcPr>
          <w:p>
            <w:pPr>
              <w:pStyle w:val="39"/>
              <w:rPr>
                <w:rFonts w:cs="Times New Roman"/>
              </w:rPr>
            </w:pPr>
            <w:r>
              <w:rPr>
                <w:rFonts w:cs="Times New Roman"/>
              </w:rPr>
              <w:t>《地下水质量标准》（GB/T 14848—2017）</w:t>
            </w:r>
            <w:r>
              <w:rPr>
                <w:rFonts w:hint="eastAsia" w:ascii="宋体" w:hAnsi="宋体" w:cs="宋体"/>
              </w:rPr>
              <w:t>Ⅲ</w:t>
            </w:r>
            <w:r>
              <w:rPr>
                <w:rFonts w:cs="Times New Roman"/>
              </w:rPr>
              <w:t>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32" w:type="dxa"/>
            <w:vMerge w:val="continue"/>
            <w:shd w:val="clear" w:color="auto" w:fill="FFFFFF"/>
            <w:tcMar>
              <w:top w:w="0" w:type="dxa"/>
              <w:left w:w="57" w:type="dxa"/>
              <w:bottom w:w="0" w:type="dxa"/>
              <w:right w:w="57" w:type="dxa"/>
            </w:tcMar>
            <w:vAlign w:val="center"/>
          </w:tcPr>
          <w:p>
            <w:pPr>
              <w:pStyle w:val="39"/>
              <w:rPr>
                <w:rFonts w:cs="Times New Roman"/>
              </w:rPr>
            </w:pPr>
          </w:p>
        </w:tc>
        <w:tc>
          <w:tcPr>
            <w:tcW w:w="993" w:type="dxa"/>
            <w:vMerge w:val="continue"/>
            <w:shd w:val="clear" w:color="auto" w:fill="FFFFFF"/>
            <w:tcMar>
              <w:top w:w="0" w:type="dxa"/>
              <w:left w:w="57" w:type="dxa"/>
              <w:bottom w:w="0" w:type="dxa"/>
              <w:right w:w="57" w:type="dxa"/>
            </w:tcMar>
            <w:vAlign w:val="center"/>
          </w:tcPr>
          <w:p>
            <w:pPr>
              <w:pStyle w:val="39"/>
              <w:rPr>
                <w:rFonts w:cs="Times New Roman"/>
              </w:rPr>
            </w:pPr>
          </w:p>
        </w:tc>
        <w:tc>
          <w:tcPr>
            <w:tcW w:w="1134" w:type="dxa"/>
            <w:shd w:val="clear" w:color="auto" w:fill="FFFFFF"/>
            <w:vAlign w:val="center"/>
          </w:tcPr>
          <w:p>
            <w:pPr>
              <w:pStyle w:val="39"/>
              <w:rPr>
                <w:rFonts w:cs="Times New Roman"/>
              </w:rPr>
            </w:pPr>
            <w:r>
              <w:rPr>
                <w:rFonts w:hint="eastAsia"/>
              </w:rPr>
              <w:t>西</w:t>
            </w:r>
            <w:r>
              <w:t>南侧</w:t>
            </w:r>
            <w:r>
              <w:rPr>
                <w:rFonts w:hint="eastAsia"/>
              </w:rPr>
              <w:t>散户居民点</w:t>
            </w:r>
            <w:r>
              <w:rPr>
                <w:rFonts w:cs="Times New Roman"/>
              </w:rPr>
              <w:t>水井</w:t>
            </w:r>
          </w:p>
        </w:tc>
        <w:tc>
          <w:tcPr>
            <w:tcW w:w="1701" w:type="dxa"/>
            <w:shd w:val="clear" w:color="auto" w:fill="FFFFFF"/>
            <w:tcMar>
              <w:top w:w="0" w:type="dxa"/>
              <w:left w:w="57" w:type="dxa"/>
              <w:bottom w:w="0" w:type="dxa"/>
              <w:right w:w="57" w:type="dxa"/>
            </w:tcMar>
            <w:vAlign w:val="center"/>
          </w:tcPr>
          <w:p>
            <w:pPr>
              <w:pStyle w:val="39"/>
              <w:rPr>
                <w:rFonts w:cs="Times New Roman"/>
              </w:rPr>
            </w:pPr>
            <w:r>
              <w:rPr>
                <w:rFonts w:cs="Times New Roman"/>
              </w:rPr>
              <w:t>112.391452468</w:t>
            </w:r>
          </w:p>
          <w:p>
            <w:pPr>
              <w:pStyle w:val="39"/>
              <w:rPr>
                <w:rFonts w:cs="Times New Roman"/>
              </w:rPr>
            </w:pPr>
            <w:r>
              <w:rPr>
                <w:rFonts w:cs="Times New Roman"/>
              </w:rPr>
              <w:t>27.075923683</w:t>
            </w:r>
          </w:p>
        </w:tc>
        <w:tc>
          <w:tcPr>
            <w:tcW w:w="1134" w:type="dxa"/>
            <w:shd w:val="clear" w:color="auto" w:fill="FFFFFF"/>
            <w:tcMar>
              <w:top w:w="0" w:type="dxa"/>
              <w:left w:w="57" w:type="dxa"/>
              <w:bottom w:w="0" w:type="dxa"/>
              <w:right w:w="57" w:type="dxa"/>
            </w:tcMar>
            <w:vAlign w:val="center"/>
          </w:tcPr>
          <w:p>
            <w:pPr>
              <w:pStyle w:val="39"/>
              <w:rPr>
                <w:rFonts w:cs="Times New Roman"/>
              </w:rPr>
            </w:pPr>
            <w:r>
              <w:rPr>
                <w:rFonts w:cs="Times New Roman"/>
                <w:snapToGrid w:val="0"/>
                <w:kern w:val="0"/>
              </w:rPr>
              <w:t>东</w:t>
            </w:r>
            <w:r>
              <w:rPr>
                <w:rFonts w:hint="eastAsia" w:cs="Times New Roman"/>
                <w:snapToGrid w:val="0"/>
                <w:kern w:val="0"/>
              </w:rPr>
              <w:t xml:space="preserve"> </w:t>
            </w:r>
            <w:r>
              <w:rPr>
                <w:rFonts w:cs="Times New Roman"/>
                <w:snapToGrid w:val="0"/>
                <w:kern w:val="0"/>
              </w:rPr>
              <w:t>300m</w:t>
            </w:r>
          </w:p>
        </w:tc>
        <w:tc>
          <w:tcPr>
            <w:tcW w:w="850" w:type="dxa"/>
            <w:vMerge w:val="continue"/>
            <w:shd w:val="clear" w:color="auto" w:fill="FFFFFF"/>
            <w:tcMar>
              <w:top w:w="0" w:type="dxa"/>
              <w:left w:w="57" w:type="dxa"/>
              <w:bottom w:w="0" w:type="dxa"/>
              <w:right w:w="57" w:type="dxa"/>
            </w:tcMar>
            <w:vAlign w:val="center"/>
          </w:tcPr>
          <w:p>
            <w:pPr>
              <w:pStyle w:val="39"/>
              <w:rPr>
                <w:rFonts w:cs="Times New Roman"/>
              </w:rPr>
            </w:pPr>
          </w:p>
        </w:tc>
        <w:tc>
          <w:tcPr>
            <w:tcW w:w="2742" w:type="dxa"/>
            <w:vMerge w:val="continue"/>
            <w:shd w:val="clear" w:color="auto" w:fill="FFFFFF"/>
            <w:tcMar>
              <w:top w:w="0" w:type="dxa"/>
              <w:left w:w="57" w:type="dxa"/>
              <w:bottom w:w="0" w:type="dxa"/>
              <w:right w:w="57" w:type="dxa"/>
            </w:tcMar>
            <w:vAlign w:val="center"/>
          </w:tcPr>
          <w:p>
            <w:pPr>
              <w:pStyle w:val="3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32" w:type="dxa"/>
            <w:vMerge w:val="continue"/>
            <w:shd w:val="clear" w:color="auto" w:fill="FFFFFF"/>
            <w:tcMar>
              <w:top w:w="0" w:type="dxa"/>
              <w:left w:w="57" w:type="dxa"/>
              <w:bottom w:w="0" w:type="dxa"/>
              <w:right w:w="57" w:type="dxa"/>
            </w:tcMar>
            <w:vAlign w:val="center"/>
          </w:tcPr>
          <w:p>
            <w:pPr>
              <w:pStyle w:val="39"/>
              <w:rPr>
                <w:rFonts w:cs="Times New Roman"/>
              </w:rPr>
            </w:pPr>
          </w:p>
        </w:tc>
        <w:tc>
          <w:tcPr>
            <w:tcW w:w="993" w:type="dxa"/>
            <w:vMerge w:val="continue"/>
            <w:shd w:val="clear" w:color="auto" w:fill="FFFFFF"/>
            <w:tcMar>
              <w:top w:w="0" w:type="dxa"/>
              <w:left w:w="57" w:type="dxa"/>
              <w:bottom w:w="0" w:type="dxa"/>
              <w:right w:w="57" w:type="dxa"/>
            </w:tcMar>
            <w:vAlign w:val="center"/>
          </w:tcPr>
          <w:p>
            <w:pPr>
              <w:pStyle w:val="39"/>
              <w:rPr>
                <w:rFonts w:cs="Times New Roman"/>
              </w:rPr>
            </w:pPr>
          </w:p>
        </w:tc>
        <w:tc>
          <w:tcPr>
            <w:tcW w:w="1134" w:type="dxa"/>
            <w:shd w:val="clear" w:color="auto" w:fill="FFFFFF"/>
            <w:vAlign w:val="center"/>
          </w:tcPr>
          <w:p>
            <w:pPr>
              <w:pStyle w:val="39"/>
              <w:rPr>
                <w:rFonts w:cs="Times New Roman"/>
              </w:rPr>
            </w:pPr>
            <w:r>
              <w:rPr>
                <w:rFonts w:hint="eastAsia"/>
              </w:rPr>
              <w:t>东南侧</w:t>
            </w:r>
            <w:r>
              <w:rPr>
                <w:rFonts w:cs="Times New Roman"/>
              </w:rPr>
              <w:t>居民点水井</w:t>
            </w:r>
          </w:p>
        </w:tc>
        <w:tc>
          <w:tcPr>
            <w:tcW w:w="1701" w:type="dxa"/>
            <w:shd w:val="clear" w:color="auto" w:fill="FFFFFF"/>
            <w:tcMar>
              <w:top w:w="0" w:type="dxa"/>
              <w:left w:w="57" w:type="dxa"/>
              <w:bottom w:w="0" w:type="dxa"/>
              <w:right w:w="57" w:type="dxa"/>
            </w:tcMar>
            <w:vAlign w:val="center"/>
          </w:tcPr>
          <w:p>
            <w:pPr>
              <w:pStyle w:val="39"/>
              <w:rPr>
                <w:rFonts w:cs="Times New Roman"/>
              </w:rPr>
            </w:pPr>
            <w:r>
              <w:rPr>
                <w:rFonts w:cs="Times New Roman"/>
              </w:rPr>
              <w:t>112.397460617</w:t>
            </w:r>
          </w:p>
          <w:p>
            <w:pPr>
              <w:pStyle w:val="39"/>
              <w:rPr>
                <w:rFonts w:cs="Times New Roman"/>
              </w:rPr>
            </w:pPr>
            <w:r>
              <w:rPr>
                <w:rFonts w:cs="Times New Roman"/>
              </w:rPr>
              <w:t>27.077865602</w:t>
            </w:r>
          </w:p>
        </w:tc>
        <w:tc>
          <w:tcPr>
            <w:tcW w:w="1134" w:type="dxa"/>
            <w:shd w:val="clear" w:color="auto" w:fill="FFFFFF"/>
            <w:tcMar>
              <w:top w:w="0" w:type="dxa"/>
              <w:left w:w="57" w:type="dxa"/>
              <w:bottom w:w="0" w:type="dxa"/>
              <w:right w:w="57" w:type="dxa"/>
            </w:tcMar>
            <w:vAlign w:val="center"/>
          </w:tcPr>
          <w:p>
            <w:pPr>
              <w:pStyle w:val="39"/>
              <w:rPr>
                <w:rFonts w:cs="Times New Roman"/>
              </w:rPr>
            </w:pPr>
            <w:r>
              <w:rPr>
                <w:rFonts w:hint="eastAsia" w:cs="Times New Roman"/>
                <w:snapToGrid w:val="0"/>
                <w:kern w:val="0"/>
              </w:rPr>
              <w:t>东</w:t>
            </w:r>
            <w:r>
              <w:rPr>
                <w:rFonts w:cs="Times New Roman"/>
                <w:snapToGrid w:val="0"/>
                <w:kern w:val="0"/>
              </w:rPr>
              <w:t>南</w:t>
            </w:r>
            <w:r>
              <w:rPr>
                <w:rFonts w:hint="eastAsia" w:cs="Times New Roman"/>
                <w:snapToGrid w:val="0"/>
                <w:kern w:val="0"/>
              </w:rPr>
              <w:t xml:space="preserve"> </w:t>
            </w:r>
            <w:r>
              <w:rPr>
                <w:rFonts w:cs="Times New Roman"/>
                <w:snapToGrid w:val="0"/>
                <w:kern w:val="0"/>
              </w:rPr>
              <w:t>80m</w:t>
            </w:r>
          </w:p>
        </w:tc>
        <w:tc>
          <w:tcPr>
            <w:tcW w:w="850" w:type="dxa"/>
            <w:vMerge w:val="continue"/>
            <w:shd w:val="clear" w:color="auto" w:fill="FFFFFF"/>
            <w:tcMar>
              <w:top w:w="0" w:type="dxa"/>
              <w:left w:w="57" w:type="dxa"/>
              <w:bottom w:w="0" w:type="dxa"/>
              <w:right w:w="57" w:type="dxa"/>
            </w:tcMar>
            <w:vAlign w:val="center"/>
          </w:tcPr>
          <w:p>
            <w:pPr>
              <w:pStyle w:val="39"/>
              <w:rPr>
                <w:rFonts w:cs="Times New Roman"/>
              </w:rPr>
            </w:pPr>
          </w:p>
        </w:tc>
        <w:tc>
          <w:tcPr>
            <w:tcW w:w="2742" w:type="dxa"/>
            <w:vMerge w:val="continue"/>
            <w:shd w:val="clear" w:color="auto" w:fill="FFFFFF"/>
            <w:tcMar>
              <w:top w:w="0" w:type="dxa"/>
              <w:left w:w="57" w:type="dxa"/>
              <w:bottom w:w="0" w:type="dxa"/>
              <w:right w:w="57" w:type="dxa"/>
            </w:tcMar>
            <w:vAlign w:val="center"/>
          </w:tcPr>
          <w:p>
            <w:pPr>
              <w:pStyle w:val="3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32" w:type="dxa"/>
            <w:vMerge w:val="continue"/>
            <w:shd w:val="clear" w:color="auto" w:fill="FFFFFF"/>
            <w:tcMar>
              <w:top w:w="0" w:type="dxa"/>
              <w:left w:w="57" w:type="dxa"/>
              <w:bottom w:w="0" w:type="dxa"/>
              <w:right w:w="57" w:type="dxa"/>
            </w:tcMar>
            <w:vAlign w:val="center"/>
          </w:tcPr>
          <w:p>
            <w:pPr>
              <w:pStyle w:val="39"/>
              <w:rPr>
                <w:rFonts w:cs="Times New Roman"/>
              </w:rPr>
            </w:pPr>
          </w:p>
        </w:tc>
        <w:tc>
          <w:tcPr>
            <w:tcW w:w="5812" w:type="dxa"/>
            <w:gridSpan w:val="5"/>
            <w:shd w:val="clear" w:color="auto" w:fill="FFFFFF"/>
            <w:tcMar>
              <w:top w:w="0" w:type="dxa"/>
              <w:left w:w="57" w:type="dxa"/>
              <w:bottom w:w="0" w:type="dxa"/>
              <w:right w:w="57" w:type="dxa"/>
            </w:tcMar>
            <w:vAlign w:val="center"/>
          </w:tcPr>
          <w:p>
            <w:pPr>
              <w:pStyle w:val="39"/>
              <w:rPr>
                <w:rFonts w:cs="Times New Roman"/>
              </w:rPr>
            </w:pPr>
            <w:r>
              <w:rPr>
                <w:rFonts w:cs="Times New Roman"/>
              </w:rPr>
              <w:t>以及项目所在地周边≤3.5km</w:t>
            </w:r>
            <w:r>
              <w:rPr>
                <w:rFonts w:cs="Times New Roman"/>
                <w:vertAlign w:val="superscript"/>
              </w:rPr>
              <w:t>2</w:t>
            </w:r>
            <w:r>
              <w:rPr>
                <w:rFonts w:cs="Times New Roman"/>
              </w:rPr>
              <w:t>范围</w:t>
            </w:r>
          </w:p>
        </w:tc>
        <w:tc>
          <w:tcPr>
            <w:tcW w:w="2742" w:type="dxa"/>
            <w:vMerge w:val="continue"/>
            <w:shd w:val="clear" w:color="auto" w:fill="FFFFFF"/>
            <w:tcMar>
              <w:top w:w="0" w:type="dxa"/>
              <w:left w:w="57" w:type="dxa"/>
              <w:bottom w:w="0" w:type="dxa"/>
              <w:right w:w="57" w:type="dxa"/>
            </w:tcMar>
            <w:vAlign w:val="center"/>
          </w:tcPr>
          <w:p>
            <w:pPr>
              <w:pStyle w:val="3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32" w:type="dxa"/>
            <w:shd w:val="clear" w:color="auto" w:fill="FFFFFF"/>
            <w:tcMar>
              <w:top w:w="0" w:type="dxa"/>
              <w:left w:w="57" w:type="dxa"/>
              <w:bottom w:w="0" w:type="dxa"/>
              <w:right w:w="57" w:type="dxa"/>
            </w:tcMar>
            <w:vAlign w:val="center"/>
          </w:tcPr>
          <w:p>
            <w:pPr>
              <w:pStyle w:val="39"/>
              <w:rPr>
                <w:rFonts w:cs="Times New Roman"/>
              </w:rPr>
            </w:pPr>
            <w:r>
              <w:rPr>
                <w:rFonts w:cs="Times New Roman"/>
              </w:rPr>
              <w:t>土壤环境</w:t>
            </w:r>
          </w:p>
        </w:tc>
        <w:tc>
          <w:tcPr>
            <w:tcW w:w="5812" w:type="dxa"/>
            <w:gridSpan w:val="5"/>
            <w:shd w:val="clear" w:color="auto" w:fill="FFFFFF"/>
            <w:tcMar>
              <w:top w:w="0" w:type="dxa"/>
              <w:left w:w="57" w:type="dxa"/>
              <w:bottom w:w="0" w:type="dxa"/>
              <w:right w:w="57" w:type="dxa"/>
            </w:tcMar>
            <w:vAlign w:val="center"/>
          </w:tcPr>
          <w:p>
            <w:pPr>
              <w:pStyle w:val="39"/>
              <w:rPr>
                <w:rFonts w:cs="Times New Roman"/>
              </w:rPr>
            </w:pPr>
            <w:r>
              <w:rPr>
                <w:rFonts w:cs="Times New Roman"/>
              </w:rPr>
              <w:t>项目厂区及周边50米范围内的土壤</w:t>
            </w:r>
          </w:p>
        </w:tc>
        <w:tc>
          <w:tcPr>
            <w:tcW w:w="2742" w:type="dxa"/>
            <w:shd w:val="clear" w:color="auto" w:fill="FFFFFF"/>
            <w:tcMar>
              <w:top w:w="0" w:type="dxa"/>
              <w:left w:w="57" w:type="dxa"/>
              <w:bottom w:w="0" w:type="dxa"/>
              <w:right w:w="57" w:type="dxa"/>
            </w:tcMar>
            <w:vAlign w:val="center"/>
          </w:tcPr>
          <w:p>
            <w:pPr>
              <w:pStyle w:val="39"/>
              <w:rPr>
                <w:rFonts w:cs="Times New Roman"/>
              </w:rPr>
            </w:pPr>
            <w:r>
              <w:rPr>
                <w:rFonts w:cs="Times New Roman"/>
              </w:rPr>
              <w:t>土壤环境质量农用地土壤污染风险管控标准（试行）》（GB15618-2018）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32" w:type="dxa"/>
            <w:shd w:val="clear" w:color="auto" w:fill="FFFFFF"/>
            <w:tcMar>
              <w:top w:w="0" w:type="dxa"/>
              <w:left w:w="57" w:type="dxa"/>
              <w:bottom w:w="0" w:type="dxa"/>
              <w:right w:w="57" w:type="dxa"/>
            </w:tcMar>
            <w:vAlign w:val="center"/>
          </w:tcPr>
          <w:p>
            <w:pPr>
              <w:pStyle w:val="39"/>
              <w:rPr>
                <w:rFonts w:cs="Times New Roman"/>
              </w:rPr>
            </w:pPr>
            <w:r>
              <w:rPr>
                <w:rFonts w:cs="Times New Roman"/>
              </w:rPr>
              <w:t>生态环境</w:t>
            </w:r>
          </w:p>
        </w:tc>
        <w:tc>
          <w:tcPr>
            <w:tcW w:w="5812" w:type="dxa"/>
            <w:gridSpan w:val="5"/>
            <w:shd w:val="clear" w:color="auto" w:fill="FFFFFF"/>
            <w:tcMar>
              <w:top w:w="0" w:type="dxa"/>
              <w:left w:w="57" w:type="dxa"/>
              <w:bottom w:w="0" w:type="dxa"/>
              <w:right w:w="57" w:type="dxa"/>
            </w:tcMar>
            <w:vAlign w:val="center"/>
          </w:tcPr>
          <w:p>
            <w:pPr>
              <w:pStyle w:val="39"/>
              <w:rPr>
                <w:rFonts w:cs="Times New Roman"/>
              </w:rPr>
            </w:pPr>
            <w:r>
              <w:rPr>
                <w:rFonts w:cs="Times New Roman"/>
              </w:rPr>
              <w:t>项目厂区及周边500米范围内的农田、植被、土壤、景观等</w:t>
            </w:r>
          </w:p>
        </w:tc>
        <w:tc>
          <w:tcPr>
            <w:tcW w:w="2742" w:type="dxa"/>
            <w:shd w:val="clear" w:color="auto" w:fill="FFFFFF"/>
            <w:tcMar>
              <w:top w:w="0" w:type="dxa"/>
              <w:left w:w="57" w:type="dxa"/>
              <w:bottom w:w="0" w:type="dxa"/>
              <w:right w:w="57" w:type="dxa"/>
            </w:tcMar>
            <w:vAlign w:val="center"/>
          </w:tcPr>
          <w:p>
            <w:pPr>
              <w:pStyle w:val="39"/>
              <w:rPr>
                <w:rFonts w:cs="Times New Roman"/>
              </w:rPr>
            </w:pPr>
            <w:r>
              <w:rPr>
                <w:rFonts w:cs="Times New Roman"/>
              </w:rPr>
              <w:t>保持水土，维持生态平衡，农业种植等</w:t>
            </w:r>
          </w:p>
        </w:tc>
      </w:tr>
    </w:tbl>
    <w:p>
      <w:pPr>
        <w:pStyle w:val="3"/>
        <w:ind w:firstLine="480"/>
      </w:pPr>
    </w:p>
    <w:p>
      <w:pPr>
        <w:pStyle w:val="5"/>
      </w:pPr>
      <w:bookmarkStart w:id="15" w:name="_Toc80889076"/>
      <w:r>
        <w:rPr>
          <w:rFonts w:hint="eastAsia"/>
        </w:rPr>
        <w:t>环境</w:t>
      </w:r>
      <w:r>
        <w:t>功能区划</w:t>
      </w:r>
      <w:bookmarkEnd w:id="15"/>
    </w:p>
    <w:p>
      <w:pPr>
        <w:pStyle w:val="3"/>
        <w:ind w:firstLine="480"/>
        <w:rPr>
          <w:rFonts w:cs="Times New Roman"/>
        </w:rPr>
      </w:pPr>
      <w:r>
        <w:rPr>
          <w:rFonts w:cs="Times New Roman"/>
        </w:rPr>
        <w:t>（1）大气环境功能区</w:t>
      </w:r>
    </w:p>
    <w:p>
      <w:pPr>
        <w:pStyle w:val="3"/>
        <w:ind w:firstLine="480"/>
        <w:rPr>
          <w:rFonts w:cs="Times New Roman"/>
        </w:rPr>
      </w:pPr>
      <w:r>
        <w:rPr>
          <w:rFonts w:cs="Times New Roman"/>
        </w:rPr>
        <w:t>本项目所在地属于典型的农村环境，根据《环境空气质量标准》中环境空气质量功能区分类，属于二类区，执行《环境空气质量标准》（GB3095-2012）中二级标准。</w:t>
      </w:r>
    </w:p>
    <w:p>
      <w:pPr>
        <w:pStyle w:val="3"/>
        <w:ind w:firstLine="480"/>
        <w:rPr>
          <w:rFonts w:cs="Times New Roman"/>
        </w:rPr>
      </w:pPr>
      <w:r>
        <w:rPr>
          <w:rFonts w:cs="Times New Roman"/>
        </w:rPr>
        <w:t>（2）地表水环境功能区</w:t>
      </w:r>
    </w:p>
    <w:p>
      <w:pPr>
        <w:pStyle w:val="3"/>
        <w:ind w:firstLine="480"/>
        <w:rPr>
          <w:rFonts w:cs="Times New Roman"/>
        </w:rPr>
      </w:pPr>
      <w:r>
        <w:rPr>
          <w:rFonts w:cs="Times New Roman"/>
        </w:rPr>
        <w:t>本项目</w:t>
      </w:r>
      <w:r>
        <w:rPr>
          <w:rFonts w:hint="eastAsia" w:cs="Times New Roman"/>
        </w:rPr>
        <w:t>鸡舍冲洗废水及职工生活污水经过化粪池处理后用作农肥，不外排至地表水</w:t>
      </w:r>
      <w:r>
        <w:rPr>
          <w:rFonts w:cs="Times New Roman"/>
        </w:rPr>
        <w:t>。项目附近地表水体为</w:t>
      </w:r>
      <w:r>
        <w:rPr>
          <w:rFonts w:hint="eastAsia"/>
        </w:rPr>
        <w:t>板陂塘</w:t>
      </w:r>
      <w:r>
        <w:rPr>
          <w:rFonts w:cs="Times New Roman"/>
        </w:rPr>
        <w:t>，水域主要功能为灌溉，执行《地表水环境质量标准》（GB3838-2002）</w:t>
      </w:r>
      <w:r>
        <w:rPr>
          <w:rFonts w:hint="eastAsia" w:ascii="宋体" w:hAnsi="宋体" w:cs="宋体"/>
        </w:rPr>
        <w:t>Ⅲ</w:t>
      </w:r>
      <w:r>
        <w:rPr>
          <w:rFonts w:cs="Times New Roman"/>
        </w:rPr>
        <w:t>类水质标准。</w:t>
      </w:r>
    </w:p>
    <w:p>
      <w:pPr>
        <w:pStyle w:val="3"/>
        <w:ind w:firstLine="480"/>
        <w:rPr>
          <w:rFonts w:cs="Times New Roman"/>
        </w:rPr>
      </w:pPr>
      <w:r>
        <w:rPr>
          <w:rFonts w:cs="Times New Roman"/>
        </w:rPr>
        <w:t>（3）声环境功能区</w:t>
      </w:r>
    </w:p>
    <w:p>
      <w:pPr>
        <w:pStyle w:val="3"/>
        <w:ind w:firstLine="480"/>
        <w:rPr>
          <w:rFonts w:cs="Times New Roman"/>
        </w:rPr>
      </w:pPr>
      <w:r>
        <w:rPr>
          <w:rFonts w:cs="Times New Roman"/>
        </w:rPr>
        <w:t>根据《声环境质量标准》（GB3096-2008）中对噪声区域的划分，本项目养殖场为2类声环境功能区，执行2类环境噪声限值。</w:t>
      </w:r>
    </w:p>
    <w:p>
      <w:pPr>
        <w:pStyle w:val="3"/>
        <w:ind w:firstLine="480"/>
        <w:rPr>
          <w:rFonts w:cs="Times New Roman"/>
        </w:rPr>
      </w:pPr>
      <w:r>
        <w:rPr>
          <w:rFonts w:cs="Times New Roman"/>
        </w:rPr>
        <w:t>（4）项目所在区域环境功能属性汇总</w:t>
      </w:r>
    </w:p>
    <w:p>
      <w:pPr>
        <w:pStyle w:val="3"/>
        <w:ind w:firstLine="480"/>
        <w:rPr>
          <w:rFonts w:cs="Times New Roman"/>
        </w:rPr>
      </w:pPr>
      <w:r>
        <w:rPr>
          <w:rFonts w:cs="Times New Roman"/>
        </w:rPr>
        <w:t>本项目所在地区域功能属性见表2.8-1。</w:t>
      </w:r>
    </w:p>
    <w:p>
      <w:pPr>
        <w:pStyle w:val="15"/>
        <w:rPr>
          <w:rFonts w:cs="Times New Roman"/>
        </w:rPr>
      </w:pPr>
      <w:r>
        <w:rPr>
          <w:rFonts w:cs="Times New Roman"/>
        </w:rPr>
        <w:t>表2.8-1  项目所在地环境功能属性</w:t>
      </w:r>
    </w:p>
    <w:tbl>
      <w:tblPr>
        <w:tblStyle w:val="26"/>
        <w:tblW w:w="89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2897"/>
        <w:gridCol w:w="5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2" w:type="dxa"/>
            <w:vAlign w:val="center"/>
          </w:tcPr>
          <w:p>
            <w:pPr>
              <w:pStyle w:val="39"/>
              <w:rPr>
                <w:rFonts w:cs="Times New Roman"/>
              </w:rPr>
            </w:pPr>
            <w:r>
              <w:rPr>
                <w:rFonts w:cs="Times New Roman"/>
              </w:rPr>
              <w:t>编号</w:t>
            </w:r>
          </w:p>
        </w:tc>
        <w:tc>
          <w:tcPr>
            <w:tcW w:w="2897" w:type="dxa"/>
            <w:vAlign w:val="center"/>
          </w:tcPr>
          <w:p>
            <w:pPr>
              <w:pStyle w:val="39"/>
              <w:rPr>
                <w:rFonts w:cs="Times New Roman"/>
              </w:rPr>
            </w:pPr>
            <w:r>
              <w:rPr>
                <w:rFonts w:cs="Times New Roman"/>
              </w:rPr>
              <w:t>项目</w:t>
            </w:r>
          </w:p>
        </w:tc>
        <w:tc>
          <w:tcPr>
            <w:tcW w:w="5318" w:type="dxa"/>
            <w:vAlign w:val="center"/>
          </w:tcPr>
          <w:p>
            <w:pPr>
              <w:pStyle w:val="39"/>
              <w:rPr>
                <w:rFonts w:cs="Times New Roman"/>
              </w:rPr>
            </w:pPr>
            <w:r>
              <w:rPr>
                <w:rFonts w:cs="Times New Roman"/>
              </w:rPr>
              <w:t>功能属性及执行标准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2" w:type="dxa"/>
            <w:vAlign w:val="center"/>
          </w:tcPr>
          <w:p>
            <w:pPr>
              <w:pStyle w:val="39"/>
              <w:rPr>
                <w:rFonts w:cs="Times New Roman"/>
              </w:rPr>
            </w:pPr>
            <w:r>
              <w:rPr>
                <w:rFonts w:cs="Times New Roman"/>
              </w:rPr>
              <w:t>1</w:t>
            </w:r>
          </w:p>
        </w:tc>
        <w:tc>
          <w:tcPr>
            <w:tcW w:w="2897" w:type="dxa"/>
            <w:vAlign w:val="center"/>
          </w:tcPr>
          <w:p>
            <w:pPr>
              <w:pStyle w:val="39"/>
              <w:rPr>
                <w:rFonts w:cs="Times New Roman"/>
              </w:rPr>
            </w:pPr>
            <w:r>
              <w:rPr>
                <w:rFonts w:cs="Times New Roman"/>
              </w:rPr>
              <w:t>水环境功能区</w:t>
            </w:r>
          </w:p>
        </w:tc>
        <w:tc>
          <w:tcPr>
            <w:tcW w:w="5318" w:type="dxa"/>
            <w:vAlign w:val="center"/>
          </w:tcPr>
          <w:p>
            <w:pPr>
              <w:pStyle w:val="39"/>
              <w:rPr>
                <w:rFonts w:cs="Times New Roman"/>
              </w:rPr>
            </w:pPr>
            <w:r>
              <w:rPr>
                <w:rFonts w:cs="Times New Roman"/>
              </w:rPr>
              <w:t>执行《地表水环境质量标准》（GB3838-2002）</w:t>
            </w:r>
            <w:r>
              <w:rPr>
                <w:rFonts w:hint="eastAsia" w:ascii="宋体" w:hAnsi="宋体" w:cs="宋体"/>
              </w:rPr>
              <w:t>Ⅲ</w:t>
            </w:r>
            <w:r>
              <w:rPr>
                <w:rFonts w:cs="Times New Roman"/>
              </w:rPr>
              <w:t>类水质标准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2" w:type="dxa"/>
            <w:vAlign w:val="center"/>
          </w:tcPr>
          <w:p>
            <w:pPr>
              <w:pStyle w:val="39"/>
              <w:rPr>
                <w:rFonts w:cs="Times New Roman"/>
              </w:rPr>
            </w:pPr>
            <w:r>
              <w:rPr>
                <w:rFonts w:cs="Times New Roman"/>
              </w:rPr>
              <w:t>2</w:t>
            </w:r>
          </w:p>
        </w:tc>
        <w:tc>
          <w:tcPr>
            <w:tcW w:w="2897" w:type="dxa"/>
            <w:vAlign w:val="center"/>
          </w:tcPr>
          <w:p>
            <w:pPr>
              <w:pStyle w:val="39"/>
              <w:rPr>
                <w:rFonts w:cs="Times New Roman"/>
              </w:rPr>
            </w:pPr>
            <w:r>
              <w:rPr>
                <w:rFonts w:cs="Times New Roman"/>
              </w:rPr>
              <w:t>环境空气质量功能区</w:t>
            </w:r>
          </w:p>
        </w:tc>
        <w:tc>
          <w:tcPr>
            <w:tcW w:w="5318" w:type="dxa"/>
            <w:vAlign w:val="center"/>
          </w:tcPr>
          <w:p>
            <w:pPr>
              <w:pStyle w:val="39"/>
              <w:rPr>
                <w:rFonts w:cs="Times New Roman"/>
              </w:rPr>
            </w:pPr>
            <w:r>
              <w:rPr>
                <w:rFonts w:cs="Times New Roman"/>
              </w:rPr>
              <w:t>二类区，环境空气质量执行《环境空气质量标准》</w:t>
            </w:r>
          </w:p>
          <w:p>
            <w:pPr>
              <w:pStyle w:val="39"/>
              <w:rPr>
                <w:rFonts w:cs="Times New Roman"/>
              </w:rPr>
            </w:pPr>
            <w:r>
              <w:rPr>
                <w:rFonts w:cs="Times New Roman"/>
              </w:rPr>
              <w:t>（GB3095-2012）中二级标准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2" w:type="dxa"/>
            <w:vAlign w:val="center"/>
          </w:tcPr>
          <w:p>
            <w:pPr>
              <w:pStyle w:val="39"/>
              <w:rPr>
                <w:rFonts w:cs="Times New Roman"/>
              </w:rPr>
            </w:pPr>
            <w:r>
              <w:rPr>
                <w:rFonts w:cs="Times New Roman"/>
              </w:rPr>
              <w:t>3</w:t>
            </w:r>
          </w:p>
        </w:tc>
        <w:tc>
          <w:tcPr>
            <w:tcW w:w="2897" w:type="dxa"/>
            <w:vAlign w:val="center"/>
          </w:tcPr>
          <w:p>
            <w:pPr>
              <w:pStyle w:val="39"/>
              <w:rPr>
                <w:rFonts w:cs="Times New Roman"/>
              </w:rPr>
            </w:pPr>
            <w:r>
              <w:rPr>
                <w:rFonts w:cs="Times New Roman"/>
              </w:rPr>
              <w:t>声环境功能区</w:t>
            </w:r>
          </w:p>
        </w:tc>
        <w:tc>
          <w:tcPr>
            <w:tcW w:w="5318" w:type="dxa"/>
            <w:vAlign w:val="center"/>
          </w:tcPr>
          <w:p>
            <w:pPr>
              <w:pStyle w:val="39"/>
              <w:rPr>
                <w:rFonts w:cs="Times New Roman"/>
              </w:rPr>
            </w:pPr>
            <w:r>
              <w:rPr>
                <w:rFonts w:cs="Times New Roman"/>
              </w:rPr>
              <w:t>2类声环境功能区，执行《声环境质量标准》</w:t>
            </w:r>
          </w:p>
          <w:p>
            <w:pPr>
              <w:pStyle w:val="39"/>
              <w:rPr>
                <w:rFonts w:cs="Times New Roman"/>
              </w:rPr>
            </w:pPr>
            <w:r>
              <w:rPr>
                <w:rFonts w:cs="Times New Roman"/>
              </w:rPr>
              <w:t>（GB3096-2008）2类环境噪声限值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2" w:type="dxa"/>
            <w:vAlign w:val="center"/>
          </w:tcPr>
          <w:p>
            <w:pPr>
              <w:pStyle w:val="39"/>
              <w:rPr>
                <w:rFonts w:cs="Times New Roman"/>
              </w:rPr>
            </w:pPr>
            <w:r>
              <w:rPr>
                <w:rFonts w:cs="Times New Roman"/>
              </w:rPr>
              <w:t>4</w:t>
            </w:r>
          </w:p>
        </w:tc>
        <w:tc>
          <w:tcPr>
            <w:tcW w:w="2897" w:type="dxa"/>
            <w:vAlign w:val="center"/>
          </w:tcPr>
          <w:p>
            <w:pPr>
              <w:pStyle w:val="39"/>
              <w:rPr>
                <w:rFonts w:cs="Times New Roman"/>
              </w:rPr>
            </w:pPr>
            <w:r>
              <w:rPr>
                <w:rFonts w:cs="Times New Roman"/>
              </w:rPr>
              <w:t>是否基本农田保护区</w:t>
            </w:r>
          </w:p>
        </w:tc>
        <w:tc>
          <w:tcPr>
            <w:tcW w:w="5318" w:type="dxa"/>
            <w:vAlign w:val="center"/>
          </w:tcPr>
          <w:p>
            <w:pPr>
              <w:pStyle w:val="39"/>
              <w:rPr>
                <w:rFonts w:cs="Times New Roman"/>
              </w:rPr>
            </w:pPr>
            <w:r>
              <w:rPr>
                <w:rFonts w:cs="Times New Roma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2" w:type="dxa"/>
            <w:vAlign w:val="center"/>
          </w:tcPr>
          <w:p>
            <w:pPr>
              <w:pStyle w:val="39"/>
              <w:rPr>
                <w:rFonts w:cs="Times New Roman"/>
              </w:rPr>
            </w:pPr>
            <w:r>
              <w:rPr>
                <w:rFonts w:cs="Times New Roman"/>
              </w:rPr>
              <w:t>5</w:t>
            </w:r>
          </w:p>
        </w:tc>
        <w:tc>
          <w:tcPr>
            <w:tcW w:w="2897" w:type="dxa"/>
            <w:vAlign w:val="center"/>
          </w:tcPr>
          <w:p>
            <w:pPr>
              <w:pStyle w:val="39"/>
              <w:rPr>
                <w:rFonts w:cs="Times New Roman"/>
              </w:rPr>
            </w:pPr>
            <w:r>
              <w:rPr>
                <w:rFonts w:cs="Times New Roman"/>
              </w:rPr>
              <w:t>是否森林公园</w:t>
            </w:r>
          </w:p>
        </w:tc>
        <w:tc>
          <w:tcPr>
            <w:tcW w:w="5318" w:type="dxa"/>
            <w:vAlign w:val="center"/>
          </w:tcPr>
          <w:p>
            <w:pPr>
              <w:pStyle w:val="39"/>
              <w:rPr>
                <w:rFonts w:cs="Times New Roman"/>
              </w:rPr>
            </w:pPr>
            <w:r>
              <w:rPr>
                <w:rFonts w:cs="Times New Roma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2" w:type="dxa"/>
            <w:vAlign w:val="center"/>
          </w:tcPr>
          <w:p>
            <w:pPr>
              <w:pStyle w:val="39"/>
              <w:rPr>
                <w:rFonts w:cs="Times New Roman"/>
              </w:rPr>
            </w:pPr>
            <w:r>
              <w:rPr>
                <w:rFonts w:cs="Times New Roman"/>
              </w:rPr>
              <w:t>6</w:t>
            </w:r>
          </w:p>
        </w:tc>
        <w:tc>
          <w:tcPr>
            <w:tcW w:w="2897" w:type="dxa"/>
            <w:vAlign w:val="center"/>
          </w:tcPr>
          <w:p>
            <w:pPr>
              <w:pStyle w:val="39"/>
              <w:rPr>
                <w:rFonts w:cs="Times New Roman"/>
              </w:rPr>
            </w:pPr>
            <w:r>
              <w:rPr>
                <w:rFonts w:cs="Times New Roman"/>
              </w:rPr>
              <w:t>是否生态功能保护区</w:t>
            </w:r>
          </w:p>
        </w:tc>
        <w:tc>
          <w:tcPr>
            <w:tcW w:w="5318" w:type="dxa"/>
            <w:vAlign w:val="center"/>
          </w:tcPr>
          <w:p>
            <w:pPr>
              <w:pStyle w:val="39"/>
              <w:rPr>
                <w:rFonts w:cs="Times New Roman"/>
              </w:rPr>
            </w:pPr>
            <w:r>
              <w:rPr>
                <w:rFonts w:cs="Times New Roma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2" w:type="dxa"/>
            <w:vAlign w:val="center"/>
          </w:tcPr>
          <w:p>
            <w:pPr>
              <w:pStyle w:val="39"/>
              <w:rPr>
                <w:rFonts w:cs="Times New Roman"/>
              </w:rPr>
            </w:pPr>
            <w:r>
              <w:rPr>
                <w:rFonts w:cs="Times New Roman"/>
              </w:rPr>
              <w:t>7</w:t>
            </w:r>
          </w:p>
        </w:tc>
        <w:tc>
          <w:tcPr>
            <w:tcW w:w="2897" w:type="dxa"/>
            <w:vAlign w:val="center"/>
          </w:tcPr>
          <w:p>
            <w:pPr>
              <w:pStyle w:val="39"/>
              <w:rPr>
                <w:rFonts w:cs="Times New Roman"/>
              </w:rPr>
            </w:pPr>
            <w:r>
              <w:rPr>
                <w:rFonts w:cs="Times New Roman"/>
              </w:rPr>
              <w:t>是否水土流失重点防治区</w:t>
            </w:r>
          </w:p>
        </w:tc>
        <w:tc>
          <w:tcPr>
            <w:tcW w:w="5318" w:type="dxa"/>
            <w:vAlign w:val="center"/>
          </w:tcPr>
          <w:p>
            <w:pPr>
              <w:pStyle w:val="39"/>
              <w:rPr>
                <w:rFonts w:cs="Times New Roman"/>
              </w:rPr>
            </w:pPr>
            <w:r>
              <w:rPr>
                <w:rFonts w:hint="eastAsia" w:cs="Times New Roma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2" w:type="dxa"/>
            <w:vAlign w:val="center"/>
          </w:tcPr>
          <w:p>
            <w:pPr>
              <w:pStyle w:val="39"/>
              <w:rPr>
                <w:rFonts w:cs="Times New Roman"/>
              </w:rPr>
            </w:pPr>
            <w:r>
              <w:rPr>
                <w:rFonts w:cs="Times New Roman"/>
              </w:rPr>
              <w:t>8</w:t>
            </w:r>
          </w:p>
        </w:tc>
        <w:tc>
          <w:tcPr>
            <w:tcW w:w="2897" w:type="dxa"/>
            <w:vAlign w:val="center"/>
          </w:tcPr>
          <w:p>
            <w:pPr>
              <w:pStyle w:val="39"/>
              <w:rPr>
                <w:rFonts w:cs="Times New Roman"/>
              </w:rPr>
            </w:pPr>
            <w:r>
              <w:rPr>
                <w:rFonts w:cs="Times New Roman"/>
              </w:rPr>
              <w:t>是否人口密集区</w:t>
            </w:r>
          </w:p>
        </w:tc>
        <w:tc>
          <w:tcPr>
            <w:tcW w:w="5318" w:type="dxa"/>
            <w:vAlign w:val="center"/>
          </w:tcPr>
          <w:p>
            <w:pPr>
              <w:pStyle w:val="39"/>
              <w:rPr>
                <w:rFonts w:cs="Times New Roman"/>
              </w:rPr>
            </w:pPr>
            <w:r>
              <w:rPr>
                <w:rFonts w:cs="Times New Roma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2" w:type="dxa"/>
            <w:vAlign w:val="center"/>
          </w:tcPr>
          <w:p>
            <w:pPr>
              <w:pStyle w:val="39"/>
              <w:rPr>
                <w:rFonts w:cs="Times New Roman"/>
              </w:rPr>
            </w:pPr>
            <w:r>
              <w:rPr>
                <w:rFonts w:cs="Times New Roman"/>
              </w:rPr>
              <w:t>9</w:t>
            </w:r>
          </w:p>
        </w:tc>
        <w:tc>
          <w:tcPr>
            <w:tcW w:w="2897" w:type="dxa"/>
            <w:vAlign w:val="center"/>
          </w:tcPr>
          <w:p>
            <w:pPr>
              <w:pStyle w:val="39"/>
              <w:rPr>
                <w:rFonts w:cs="Times New Roman"/>
              </w:rPr>
            </w:pPr>
            <w:r>
              <w:rPr>
                <w:rFonts w:cs="Times New Roman"/>
              </w:rPr>
              <w:t>是否重点文物保护单位</w:t>
            </w:r>
          </w:p>
        </w:tc>
        <w:tc>
          <w:tcPr>
            <w:tcW w:w="5318" w:type="dxa"/>
            <w:vAlign w:val="center"/>
          </w:tcPr>
          <w:p>
            <w:pPr>
              <w:pStyle w:val="39"/>
              <w:rPr>
                <w:rFonts w:cs="Times New Roman"/>
              </w:rPr>
            </w:pPr>
            <w:r>
              <w:rPr>
                <w:rFonts w:cs="Times New Roma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2" w:type="dxa"/>
            <w:vAlign w:val="center"/>
          </w:tcPr>
          <w:p>
            <w:pPr>
              <w:pStyle w:val="39"/>
              <w:rPr>
                <w:rFonts w:cs="Times New Roman"/>
              </w:rPr>
            </w:pPr>
            <w:r>
              <w:rPr>
                <w:rFonts w:cs="Times New Roman"/>
              </w:rPr>
              <w:t>10</w:t>
            </w:r>
          </w:p>
        </w:tc>
        <w:tc>
          <w:tcPr>
            <w:tcW w:w="2897" w:type="dxa"/>
            <w:vAlign w:val="center"/>
          </w:tcPr>
          <w:p>
            <w:pPr>
              <w:pStyle w:val="39"/>
              <w:rPr>
                <w:rFonts w:cs="Times New Roman"/>
              </w:rPr>
            </w:pPr>
            <w:r>
              <w:rPr>
                <w:rFonts w:cs="Times New Roman"/>
              </w:rPr>
              <w:t>是否三河、三湖、两控区</w:t>
            </w:r>
          </w:p>
        </w:tc>
        <w:tc>
          <w:tcPr>
            <w:tcW w:w="5318" w:type="dxa"/>
            <w:vAlign w:val="center"/>
          </w:tcPr>
          <w:p>
            <w:pPr>
              <w:pStyle w:val="39"/>
              <w:rPr>
                <w:rFonts w:cs="Times New Roman"/>
              </w:rPr>
            </w:pPr>
            <w:r>
              <w:rPr>
                <w:rFonts w:hint="eastAsia" w:cs="Times New Roma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2" w:type="dxa"/>
            <w:vAlign w:val="center"/>
          </w:tcPr>
          <w:p>
            <w:pPr>
              <w:pStyle w:val="39"/>
              <w:rPr>
                <w:rFonts w:cs="Times New Roman"/>
              </w:rPr>
            </w:pPr>
            <w:r>
              <w:rPr>
                <w:rFonts w:cs="Times New Roman"/>
              </w:rPr>
              <w:t>11</w:t>
            </w:r>
          </w:p>
        </w:tc>
        <w:tc>
          <w:tcPr>
            <w:tcW w:w="2897" w:type="dxa"/>
            <w:vAlign w:val="center"/>
          </w:tcPr>
          <w:p>
            <w:pPr>
              <w:pStyle w:val="39"/>
              <w:rPr>
                <w:rFonts w:cs="Times New Roman"/>
              </w:rPr>
            </w:pPr>
            <w:r>
              <w:rPr>
                <w:rFonts w:cs="Times New Roman"/>
              </w:rPr>
              <w:t>是否污水处理厂集水范围</w:t>
            </w:r>
          </w:p>
        </w:tc>
        <w:tc>
          <w:tcPr>
            <w:tcW w:w="5318" w:type="dxa"/>
            <w:vAlign w:val="center"/>
          </w:tcPr>
          <w:p>
            <w:pPr>
              <w:pStyle w:val="39"/>
              <w:rPr>
                <w:rFonts w:cs="Times New Roman"/>
              </w:rPr>
            </w:pPr>
            <w:r>
              <w:rPr>
                <w:rFonts w:cs="Times New Roma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2" w:type="dxa"/>
            <w:vAlign w:val="center"/>
          </w:tcPr>
          <w:p>
            <w:pPr>
              <w:pStyle w:val="39"/>
              <w:rPr>
                <w:rFonts w:cs="Times New Roman"/>
              </w:rPr>
            </w:pPr>
            <w:r>
              <w:rPr>
                <w:rFonts w:cs="Times New Roman"/>
              </w:rPr>
              <w:t>12</w:t>
            </w:r>
          </w:p>
        </w:tc>
        <w:tc>
          <w:tcPr>
            <w:tcW w:w="2897" w:type="dxa"/>
            <w:vAlign w:val="center"/>
          </w:tcPr>
          <w:p>
            <w:pPr>
              <w:pStyle w:val="39"/>
              <w:rPr>
                <w:rFonts w:cs="Times New Roman"/>
              </w:rPr>
            </w:pPr>
            <w:r>
              <w:rPr>
                <w:rFonts w:cs="Times New Roman"/>
              </w:rPr>
              <w:t>是否属于生态敏感与脆弱区</w:t>
            </w:r>
          </w:p>
        </w:tc>
        <w:tc>
          <w:tcPr>
            <w:tcW w:w="5318" w:type="dxa"/>
            <w:vAlign w:val="center"/>
          </w:tcPr>
          <w:p>
            <w:pPr>
              <w:pStyle w:val="39"/>
              <w:rPr>
                <w:rFonts w:cs="Times New Roman"/>
              </w:rPr>
            </w:pPr>
            <w:r>
              <w:rPr>
                <w:rFonts w:cs="Times New Roman"/>
              </w:rPr>
              <w:t>否</w:t>
            </w:r>
          </w:p>
        </w:tc>
      </w:tr>
    </w:tbl>
    <w:p>
      <w:pPr>
        <w:pStyle w:val="3"/>
        <w:ind w:firstLine="480"/>
        <w:rPr>
          <w:rFonts w:cs="Times New Roman"/>
        </w:rPr>
      </w:pPr>
    </w:p>
    <w:p>
      <w:pPr>
        <w:pStyle w:val="3"/>
        <w:ind w:firstLine="480"/>
      </w:pPr>
    </w:p>
    <w:p>
      <w:pPr>
        <w:pStyle w:val="3"/>
        <w:ind w:firstLine="480"/>
      </w:pPr>
      <w:r>
        <w:br w:type="page"/>
      </w:r>
    </w:p>
    <w:p>
      <w:pPr>
        <w:pStyle w:val="2"/>
      </w:pPr>
      <w:bookmarkStart w:id="16" w:name="_Toc80889077"/>
      <w:r>
        <w:rPr>
          <w:rFonts w:hint="eastAsia"/>
        </w:rPr>
        <w:t>工程</w:t>
      </w:r>
      <w:r>
        <w:t>概况及工程分析</w:t>
      </w:r>
      <w:bookmarkEnd w:id="16"/>
    </w:p>
    <w:p>
      <w:pPr>
        <w:pStyle w:val="5"/>
      </w:pPr>
      <w:bookmarkStart w:id="17" w:name="_Toc80889078"/>
      <w:r>
        <w:rPr>
          <w:rFonts w:hint="eastAsia"/>
        </w:rPr>
        <w:t>工程</w:t>
      </w:r>
      <w:r>
        <w:t>概况</w:t>
      </w:r>
      <w:bookmarkEnd w:id="17"/>
    </w:p>
    <w:p>
      <w:pPr>
        <w:pStyle w:val="6"/>
        <w:rPr>
          <w:rFonts w:cs="Times New Roman"/>
        </w:rPr>
      </w:pPr>
      <w:r>
        <w:rPr>
          <w:rFonts w:cs="Times New Roman"/>
        </w:rPr>
        <w:t>项目基本情况</w:t>
      </w:r>
    </w:p>
    <w:p>
      <w:pPr>
        <w:pStyle w:val="3"/>
        <w:ind w:firstLine="480"/>
        <w:rPr>
          <w:rFonts w:cs="Times New Roman"/>
        </w:rPr>
      </w:pPr>
      <w:r>
        <w:rPr>
          <w:rFonts w:cs="Times New Roman"/>
        </w:rPr>
        <w:t>（1）项目名称：</w:t>
      </w:r>
      <w:r>
        <w:rPr>
          <w:rFonts w:hint="eastAsia" w:cs="Times New Roman"/>
        </w:rPr>
        <w:t>湖南安发</w:t>
      </w:r>
      <w:r>
        <w:rPr>
          <w:rFonts w:cs="Times New Roman"/>
        </w:rPr>
        <w:t>原生态农业旅游开发有限公司养鸡场项目；</w:t>
      </w:r>
    </w:p>
    <w:p>
      <w:pPr>
        <w:pStyle w:val="3"/>
        <w:ind w:firstLine="480"/>
        <w:rPr>
          <w:rFonts w:cs="Times New Roman"/>
        </w:rPr>
      </w:pPr>
      <w:r>
        <w:rPr>
          <w:rFonts w:cs="Times New Roman"/>
        </w:rPr>
        <w:t>（2）建设单位：</w:t>
      </w:r>
      <w:r>
        <w:rPr>
          <w:rFonts w:hint="eastAsia" w:cs="Times New Roman"/>
        </w:rPr>
        <w:t>湖南安发</w:t>
      </w:r>
      <w:r>
        <w:rPr>
          <w:rFonts w:cs="Times New Roman"/>
        </w:rPr>
        <w:t>原生态农业旅游开发有限公司</w:t>
      </w:r>
    </w:p>
    <w:p>
      <w:pPr>
        <w:pStyle w:val="3"/>
        <w:ind w:firstLine="480"/>
        <w:rPr>
          <w:rFonts w:cs="Times New Roman"/>
        </w:rPr>
      </w:pPr>
      <w:r>
        <w:rPr>
          <w:rFonts w:cs="Times New Roman"/>
        </w:rPr>
        <w:t>（3）项目性质：新建；</w:t>
      </w:r>
    </w:p>
    <w:p>
      <w:pPr>
        <w:pStyle w:val="3"/>
        <w:ind w:firstLine="480"/>
        <w:rPr>
          <w:rFonts w:cs="Times New Roman"/>
        </w:rPr>
      </w:pPr>
      <w:r>
        <w:rPr>
          <w:rFonts w:cs="Times New Roman"/>
        </w:rPr>
        <w:t>（4）项目投资：总投资6000万元，企业自筹；</w:t>
      </w:r>
    </w:p>
    <w:p>
      <w:pPr>
        <w:pStyle w:val="3"/>
        <w:ind w:firstLine="480"/>
        <w:rPr>
          <w:rFonts w:cs="Times New Roman"/>
        </w:rPr>
      </w:pPr>
      <w:r>
        <w:rPr>
          <w:rFonts w:cs="Times New Roman"/>
        </w:rPr>
        <w:t>（5）建设地点：</w:t>
      </w:r>
      <w:r>
        <w:rPr>
          <w:rFonts w:hint="eastAsia" w:cs="Times New Roman"/>
        </w:rPr>
        <w:t>衡阳县台</w:t>
      </w:r>
      <w:r>
        <w:rPr>
          <w:rFonts w:cs="Times New Roman"/>
        </w:rPr>
        <w:t>源镇前进村财冲组和东湖寺村近</w:t>
      </w:r>
      <w:r>
        <w:rPr>
          <w:rFonts w:hint="eastAsia" w:cs="Times New Roman"/>
        </w:rPr>
        <w:t>斯</w:t>
      </w:r>
      <w:r>
        <w:rPr>
          <w:rFonts w:cs="Times New Roman"/>
        </w:rPr>
        <w:t>塘组（2000坐标系厂区中心经纬度，东经：112°23'40.7382"、北纬：27°4'39.6789</w:t>
      </w:r>
      <w:r>
        <w:rPr>
          <w:rFonts w:hint="eastAsia" w:cs="Times New Roman"/>
        </w:rPr>
        <w:t>″</w:t>
      </w:r>
      <w:r>
        <w:rPr>
          <w:rFonts w:cs="Times New Roman"/>
        </w:rPr>
        <w:t>），项目地理位置见附图1；</w:t>
      </w:r>
    </w:p>
    <w:p>
      <w:pPr>
        <w:pStyle w:val="3"/>
        <w:ind w:firstLine="480"/>
        <w:rPr>
          <w:rFonts w:cs="Times New Roman"/>
        </w:rPr>
      </w:pPr>
      <w:r>
        <w:rPr>
          <w:rFonts w:cs="Times New Roman"/>
        </w:rPr>
        <w:t>（6）建设规模：存栏</w:t>
      </w:r>
      <w:r>
        <w:rPr>
          <w:rFonts w:hint="eastAsia" w:cs="Times New Roman"/>
        </w:rPr>
        <w:t>蛋</w:t>
      </w:r>
      <w:r>
        <w:rPr>
          <w:rFonts w:cs="Times New Roman"/>
        </w:rPr>
        <w:t>鸡60万</w:t>
      </w:r>
      <w:r>
        <w:rPr>
          <w:rFonts w:hint="eastAsia" w:cs="Times New Roman"/>
        </w:rPr>
        <w:t>羽/</w:t>
      </w:r>
      <w:r>
        <w:rPr>
          <w:rFonts w:cs="Times New Roman"/>
        </w:rPr>
        <w:t>a</w:t>
      </w:r>
      <w:r>
        <w:rPr>
          <w:rFonts w:hint="eastAsia" w:cs="Times New Roman"/>
        </w:rPr>
        <w:t>，</w:t>
      </w:r>
      <w:r>
        <w:rPr>
          <w:rFonts w:cs="Times New Roman"/>
        </w:rPr>
        <w:t>鸡蛋</w:t>
      </w:r>
      <w:r>
        <w:rPr>
          <w:rFonts w:hint="eastAsia" w:cs="Times New Roman"/>
        </w:rPr>
        <w:t>12312.5t/a</w:t>
      </w:r>
      <w:r>
        <w:rPr>
          <w:rFonts w:cs="Times New Roman"/>
        </w:rPr>
        <w:t>；分两期建设，</w:t>
      </w:r>
      <w:r>
        <w:rPr>
          <w:rFonts w:hint="eastAsia" w:cs="Times New Roman"/>
        </w:rPr>
        <w:t>一</w:t>
      </w:r>
      <w:r>
        <w:rPr>
          <w:rFonts w:cs="Times New Roman"/>
        </w:rPr>
        <w:t>期存栏</w:t>
      </w:r>
      <w:r>
        <w:rPr>
          <w:rFonts w:hint="eastAsia" w:cs="Times New Roman"/>
        </w:rPr>
        <w:t>蛋</w:t>
      </w:r>
      <w:r>
        <w:rPr>
          <w:rFonts w:cs="Times New Roman"/>
        </w:rPr>
        <w:t>鸡20万</w:t>
      </w:r>
      <w:r>
        <w:rPr>
          <w:rFonts w:hint="eastAsia" w:cs="Times New Roman"/>
        </w:rPr>
        <w:t>羽/</w:t>
      </w:r>
      <w:r>
        <w:rPr>
          <w:rFonts w:cs="Times New Roman"/>
        </w:rPr>
        <w:t>a</w:t>
      </w:r>
      <w:r>
        <w:rPr>
          <w:rFonts w:hint="eastAsia" w:cs="Times New Roman"/>
        </w:rPr>
        <w:t>，</w:t>
      </w:r>
      <w:r>
        <w:rPr>
          <w:rFonts w:cs="Times New Roman"/>
        </w:rPr>
        <w:t>鸡蛋</w:t>
      </w:r>
      <w:r>
        <w:rPr>
          <w:rFonts w:hint="eastAsia" w:cs="Times New Roman"/>
        </w:rPr>
        <w:t>4104.2t/a；二期存栏</w:t>
      </w:r>
      <w:r>
        <w:rPr>
          <w:rFonts w:cs="Times New Roman"/>
        </w:rPr>
        <w:t>蛋鸡</w:t>
      </w:r>
      <w:r>
        <w:rPr>
          <w:rFonts w:hint="eastAsia" w:cs="Times New Roman"/>
        </w:rPr>
        <w:t>40万羽/</w:t>
      </w:r>
      <w:r>
        <w:rPr>
          <w:rFonts w:cs="Times New Roman"/>
        </w:rPr>
        <w:t>a</w:t>
      </w:r>
      <w:r>
        <w:rPr>
          <w:rFonts w:hint="eastAsia" w:cs="Times New Roman"/>
        </w:rPr>
        <w:t>，</w:t>
      </w:r>
      <w:r>
        <w:rPr>
          <w:rFonts w:cs="Times New Roman"/>
        </w:rPr>
        <w:t>鸡蛋</w:t>
      </w:r>
      <w:r>
        <w:rPr>
          <w:rFonts w:hint="eastAsia" w:cs="Times New Roman"/>
        </w:rPr>
        <w:t>8208.3t/a</w:t>
      </w:r>
      <w:r>
        <w:rPr>
          <w:rFonts w:cs="Times New Roman"/>
        </w:rPr>
        <w:t>；</w:t>
      </w:r>
      <w:r>
        <w:rPr>
          <w:rFonts w:hint="eastAsia" w:cs="Times New Roman"/>
        </w:rPr>
        <w:t>育雏鸡存栏20万羽/a。</w:t>
      </w:r>
    </w:p>
    <w:p>
      <w:pPr>
        <w:pStyle w:val="3"/>
        <w:ind w:firstLine="480"/>
        <w:rPr>
          <w:rFonts w:cs="Times New Roman"/>
        </w:rPr>
      </w:pPr>
      <w:r>
        <w:rPr>
          <w:rFonts w:cs="Times New Roman"/>
        </w:rPr>
        <w:t>（7）劳动定员：职工</w:t>
      </w:r>
      <w:r>
        <w:rPr>
          <w:rFonts w:hint="eastAsia" w:cs="Times New Roman"/>
        </w:rPr>
        <w:t>5</w:t>
      </w:r>
      <w:r>
        <w:rPr>
          <w:rFonts w:cs="Times New Roman"/>
        </w:rPr>
        <w:t>0人，</w:t>
      </w:r>
      <w:r>
        <w:rPr>
          <w:rFonts w:hint="eastAsia" w:cs="Times New Roman"/>
        </w:rPr>
        <w:t>一半职工在厂内食宿，一半仅在厂内用餐不住宿</w:t>
      </w:r>
      <w:r>
        <w:rPr>
          <w:rFonts w:cs="Times New Roman"/>
        </w:rPr>
        <w:t>。</w:t>
      </w:r>
    </w:p>
    <w:p>
      <w:pPr>
        <w:pStyle w:val="3"/>
        <w:ind w:firstLine="480"/>
        <w:rPr>
          <w:rFonts w:cs="Times New Roman"/>
        </w:rPr>
      </w:pPr>
      <w:r>
        <w:rPr>
          <w:rFonts w:cs="Times New Roman"/>
        </w:rPr>
        <w:t>（8）工作制度：年运营365天，每天1班，日工作8小时；夜间不进行喂料等工作。</w:t>
      </w:r>
    </w:p>
    <w:p>
      <w:pPr>
        <w:pStyle w:val="6"/>
        <w:rPr>
          <w:rFonts w:cs="Times New Roman"/>
        </w:rPr>
      </w:pPr>
      <w:r>
        <w:rPr>
          <w:rFonts w:cs="Times New Roman"/>
        </w:rPr>
        <w:t>建设内容及建设规模</w:t>
      </w:r>
    </w:p>
    <w:p>
      <w:pPr>
        <w:pStyle w:val="3"/>
        <w:ind w:firstLine="480"/>
        <w:rPr>
          <w:rFonts w:cs="Times New Roman"/>
        </w:rPr>
      </w:pPr>
      <w:r>
        <w:rPr>
          <w:rFonts w:cs="Times New Roman"/>
        </w:rPr>
        <w:t>本项目规划总用地面积为</w:t>
      </w:r>
      <w:r>
        <w:rPr>
          <w:rFonts w:cs="Times New Roman"/>
          <w:szCs w:val="24"/>
          <w:shd w:val="clear" w:color="auto" w:fill="FFFFFF"/>
        </w:rPr>
        <w:t>126508.27</w:t>
      </w:r>
      <w:r>
        <w:rPr>
          <w:rFonts w:cs="Times New Roman"/>
        </w:rPr>
        <w:t>m</w:t>
      </w:r>
      <w:r>
        <w:rPr>
          <w:rFonts w:cs="Times New Roman"/>
          <w:vertAlign w:val="superscript"/>
        </w:rPr>
        <w:t>2</w:t>
      </w:r>
      <w:r>
        <w:rPr>
          <w:rFonts w:hint="eastAsia" w:cs="Times New Roman"/>
          <w:szCs w:val="24"/>
          <w:shd w:val="clear" w:color="auto" w:fill="FFFFFF"/>
        </w:rPr>
        <w:t>（约189.8亩）</w:t>
      </w:r>
      <w:r>
        <w:rPr>
          <w:rFonts w:cs="Times New Roman"/>
        </w:rPr>
        <w:t>，总建筑面积约</w:t>
      </w:r>
      <w:r>
        <w:rPr>
          <w:rFonts w:cs="Times New Roman"/>
          <w:szCs w:val="24"/>
          <w:shd w:val="clear" w:color="auto" w:fill="FFFFFF"/>
        </w:rPr>
        <w:t>19944.97</w:t>
      </w:r>
      <w:r>
        <w:rPr>
          <w:rFonts w:hint="eastAsia" w:cs="Times New Roman"/>
          <w:szCs w:val="24"/>
          <w:shd w:val="clear" w:color="auto" w:fill="FFFFFF"/>
        </w:rPr>
        <w:t>m</w:t>
      </w:r>
      <w:r>
        <w:rPr>
          <w:rFonts w:cs="Times New Roman"/>
          <w:szCs w:val="24"/>
          <w:shd w:val="clear" w:color="auto" w:fill="FFFFFF"/>
          <w:vertAlign w:val="superscript"/>
        </w:rPr>
        <w:t>2</w:t>
      </w:r>
      <w:r>
        <w:rPr>
          <w:rFonts w:cs="Times New Roman"/>
        </w:rPr>
        <w:t>；其中一期用地面积约</w:t>
      </w:r>
      <w:r>
        <w:rPr>
          <w:rFonts w:hint="eastAsia"/>
        </w:rPr>
        <w:t>70150.18</w:t>
      </w:r>
      <w:r>
        <w:rPr>
          <w:rFonts w:cs="Times New Roman"/>
        </w:rPr>
        <w:t>m</w:t>
      </w:r>
      <w:r>
        <w:rPr>
          <w:rFonts w:cs="Times New Roman"/>
          <w:vertAlign w:val="superscript"/>
        </w:rPr>
        <w:t>2</w:t>
      </w:r>
      <w:r>
        <w:rPr>
          <w:rFonts w:cs="Times New Roman"/>
        </w:rPr>
        <w:t>，建筑面积</w:t>
      </w:r>
      <w:r>
        <w:rPr>
          <w:rFonts w:cs="Times New Roman"/>
          <w:szCs w:val="24"/>
          <w:shd w:val="clear" w:color="auto" w:fill="FFFFFF"/>
        </w:rPr>
        <w:t>7903.53</w:t>
      </w:r>
      <w:r>
        <w:rPr>
          <w:rFonts w:hint="eastAsia" w:cs="Times New Roman"/>
          <w:szCs w:val="24"/>
          <w:shd w:val="clear" w:color="auto" w:fill="FFFFFF"/>
        </w:rPr>
        <w:t>m</w:t>
      </w:r>
      <w:r>
        <w:rPr>
          <w:rFonts w:cs="Times New Roman"/>
          <w:szCs w:val="24"/>
          <w:shd w:val="clear" w:color="auto" w:fill="FFFFFF"/>
          <w:vertAlign w:val="superscript"/>
        </w:rPr>
        <w:t>2</w:t>
      </w:r>
      <w:r>
        <w:rPr>
          <w:rFonts w:hint="eastAsia" w:cs="Times New Roman"/>
          <w:szCs w:val="24"/>
          <w:shd w:val="clear" w:color="auto" w:fill="FFFFFF"/>
        </w:rPr>
        <w:t>，</w:t>
      </w:r>
      <w:r>
        <w:rPr>
          <w:rFonts w:cs="Times New Roman"/>
          <w:szCs w:val="24"/>
          <w:shd w:val="clear" w:color="auto" w:fill="FFFFFF"/>
        </w:rPr>
        <w:t>主要建设内容包括</w:t>
      </w:r>
      <w:r>
        <w:rPr>
          <w:rFonts w:hint="eastAsia" w:cs="Times New Roman"/>
          <w:szCs w:val="24"/>
          <w:shd w:val="clear" w:color="auto" w:fill="FFFFFF"/>
        </w:rPr>
        <w:t>2栋</w:t>
      </w:r>
      <w:r>
        <w:rPr>
          <w:rFonts w:cs="Times New Roman"/>
          <w:szCs w:val="24"/>
          <w:shd w:val="clear" w:color="auto" w:fill="FFFFFF"/>
        </w:rPr>
        <w:t>产蛋舍、蛋库及其配套的办公生活管理区、鸡粪储存仓库、</w:t>
      </w:r>
      <w:r>
        <w:rPr>
          <w:rFonts w:hint="eastAsia" w:cs="Times New Roman"/>
          <w:szCs w:val="24"/>
          <w:shd w:val="clear" w:color="auto" w:fill="FFFFFF"/>
        </w:rPr>
        <w:t>辅助</w:t>
      </w:r>
      <w:r>
        <w:rPr>
          <w:rFonts w:cs="Times New Roman"/>
          <w:szCs w:val="24"/>
          <w:shd w:val="clear" w:color="auto" w:fill="FFFFFF"/>
        </w:rPr>
        <w:t>用房等</w:t>
      </w:r>
      <w:r>
        <w:rPr>
          <w:rFonts w:cs="Times New Roman"/>
        </w:rPr>
        <w:t>；二期用地面积约</w:t>
      </w:r>
      <w:r>
        <w:rPr>
          <w:rFonts w:hint="eastAsia"/>
        </w:rPr>
        <w:t>56358.09</w:t>
      </w:r>
      <w:r>
        <w:rPr>
          <w:rFonts w:cs="Times New Roman"/>
        </w:rPr>
        <w:t>m</w:t>
      </w:r>
      <w:r>
        <w:rPr>
          <w:rFonts w:cs="Times New Roman"/>
          <w:vertAlign w:val="superscript"/>
        </w:rPr>
        <w:t>2</w:t>
      </w:r>
      <w:r>
        <w:rPr>
          <w:rFonts w:cs="Times New Roman"/>
        </w:rPr>
        <w:t>；建筑面积</w:t>
      </w:r>
      <w:r>
        <w:rPr>
          <w:rFonts w:cs="Times New Roman"/>
          <w:szCs w:val="24"/>
          <w:shd w:val="clear" w:color="auto" w:fill="FFFFFF"/>
        </w:rPr>
        <w:t>12041.44</w:t>
      </w:r>
      <w:r>
        <w:rPr>
          <w:rFonts w:hint="eastAsia" w:cs="Times New Roman"/>
          <w:szCs w:val="24"/>
          <w:shd w:val="clear" w:color="auto" w:fill="FFFFFF"/>
        </w:rPr>
        <w:t>m</w:t>
      </w:r>
      <w:r>
        <w:rPr>
          <w:rFonts w:cs="Times New Roman"/>
          <w:szCs w:val="24"/>
          <w:shd w:val="clear" w:color="auto" w:fill="FFFFFF"/>
          <w:vertAlign w:val="superscript"/>
        </w:rPr>
        <w:t>2</w:t>
      </w:r>
      <w:r>
        <w:rPr>
          <w:rFonts w:hint="eastAsia" w:cs="Times New Roman"/>
        </w:rPr>
        <w:t>，主要建设</w:t>
      </w:r>
      <w:r>
        <w:rPr>
          <w:rFonts w:cs="Times New Roman"/>
        </w:rPr>
        <w:t>内容包括</w:t>
      </w:r>
      <w:r>
        <w:rPr>
          <w:rFonts w:hint="eastAsia" w:cs="Times New Roman"/>
        </w:rPr>
        <w:t>4栋</w:t>
      </w:r>
      <w:r>
        <w:rPr>
          <w:rFonts w:cs="Times New Roman"/>
        </w:rPr>
        <w:t>产蛋舍、</w:t>
      </w:r>
      <w:r>
        <w:rPr>
          <w:rFonts w:hint="eastAsia" w:cs="Times New Roman"/>
        </w:rPr>
        <w:t>3栋</w:t>
      </w:r>
      <w:r>
        <w:rPr>
          <w:rFonts w:cs="Times New Roman"/>
        </w:rPr>
        <w:t>育雏舍</w:t>
      </w:r>
      <w:r>
        <w:rPr>
          <w:rFonts w:hint="eastAsia" w:cs="Times New Roman"/>
        </w:rPr>
        <w:t>等</w:t>
      </w:r>
      <w:r>
        <w:rPr>
          <w:rFonts w:cs="Times New Roman"/>
        </w:rPr>
        <w:t>。</w:t>
      </w:r>
    </w:p>
    <w:p>
      <w:pPr>
        <w:pStyle w:val="3"/>
        <w:ind w:firstLine="480"/>
        <w:rPr>
          <w:rFonts w:cs="Times New Roman"/>
        </w:rPr>
      </w:pPr>
      <w:r>
        <w:rPr>
          <w:rFonts w:cs="Times New Roman"/>
        </w:rPr>
        <w:t>项目建成满负荷生产后，存栏</w:t>
      </w:r>
      <w:r>
        <w:rPr>
          <w:rFonts w:hint="eastAsia" w:cs="Times New Roman"/>
        </w:rPr>
        <w:t>蛋</w:t>
      </w:r>
      <w:r>
        <w:rPr>
          <w:rFonts w:cs="Times New Roman"/>
        </w:rPr>
        <w:t>鸡60万</w:t>
      </w:r>
      <w:r>
        <w:rPr>
          <w:rFonts w:hint="eastAsia" w:cs="Times New Roman"/>
        </w:rPr>
        <w:t>羽/</w:t>
      </w:r>
      <w:r>
        <w:rPr>
          <w:rFonts w:cs="Times New Roman"/>
        </w:rPr>
        <w:t>a</w:t>
      </w:r>
      <w:r>
        <w:rPr>
          <w:rFonts w:hint="eastAsia" w:cs="Times New Roman"/>
        </w:rPr>
        <w:t>，</w:t>
      </w:r>
      <w:r>
        <w:rPr>
          <w:rFonts w:cs="Times New Roman"/>
        </w:rPr>
        <w:t>鸡蛋</w:t>
      </w:r>
      <w:r>
        <w:rPr>
          <w:rFonts w:hint="eastAsia" w:cs="Times New Roman"/>
        </w:rPr>
        <w:t>12312.5t/a</w:t>
      </w:r>
      <w:r>
        <w:rPr>
          <w:rFonts w:cs="Times New Roman"/>
        </w:rPr>
        <w:t>；分两期建设，</w:t>
      </w:r>
      <w:r>
        <w:rPr>
          <w:rFonts w:hint="eastAsia" w:cs="Times New Roman"/>
        </w:rPr>
        <w:t>一</w:t>
      </w:r>
      <w:r>
        <w:rPr>
          <w:rFonts w:cs="Times New Roman"/>
        </w:rPr>
        <w:t>期存栏</w:t>
      </w:r>
      <w:r>
        <w:rPr>
          <w:rFonts w:hint="eastAsia" w:cs="Times New Roman"/>
        </w:rPr>
        <w:t>蛋</w:t>
      </w:r>
      <w:r>
        <w:rPr>
          <w:rFonts w:cs="Times New Roman"/>
        </w:rPr>
        <w:t>鸡20万</w:t>
      </w:r>
      <w:r>
        <w:rPr>
          <w:rFonts w:hint="eastAsia" w:cs="Times New Roman"/>
        </w:rPr>
        <w:t>羽/</w:t>
      </w:r>
      <w:r>
        <w:rPr>
          <w:rFonts w:cs="Times New Roman"/>
        </w:rPr>
        <w:t>a</w:t>
      </w:r>
      <w:r>
        <w:rPr>
          <w:rFonts w:hint="eastAsia" w:cs="Times New Roman"/>
        </w:rPr>
        <w:t>，</w:t>
      </w:r>
      <w:r>
        <w:rPr>
          <w:rFonts w:cs="Times New Roman"/>
        </w:rPr>
        <w:t>鸡蛋</w:t>
      </w:r>
      <w:r>
        <w:rPr>
          <w:rFonts w:hint="eastAsia" w:cs="Times New Roman"/>
        </w:rPr>
        <w:t>4104.2t/a；二期存栏</w:t>
      </w:r>
      <w:r>
        <w:rPr>
          <w:rFonts w:cs="Times New Roman"/>
        </w:rPr>
        <w:t>蛋鸡</w:t>
      </w:r>
      <w:r>
        <w:rPr>
          <w:rFonts w:hint="eastAsia" w:cs="Times New Roman"/>
        </w:rPr>
        <w:t>40万羽/</w:t>
      </w:r>
      <w:r>
        <w:rPr>
          <w:rFonts w:cs="Times New Roman"/>
        </w:rPr>
        <w:t>a</w:t>
      </w:r>
      <w:r>
        <w:rPr>
          <w:rFonts w:hint="eastAsia" w:cs="Times New Roman"/>
        </w:rPr>
        <w:t>，</w:t>
      </w:r>
      <w:r>
        <w:rPr>
          <w:rFonts w:cs="Times New Roman"/>
        </w:rPr>
        <w:t>鸡蛋</w:t>
      </w:r>
      <w:r>
        <w:rPr>
          <w:rFonts w:hint="eastAsia" w:cs="Times New Roman"/>
        </w:rPr>
        <w:t>8208.3t/a</w:t>
      </w:r>
      <w:r>
        <w:rPr>
          <w:rFonts w:cs="Times New Roman"/>
        </w:rPr>
        <w:t>；</w:t>
      </w:r>
      <w:r>
        <w:rPr>
          <w:rFonts w:hint="eastAsia" w:cs="Times New Roman"/>
        </w:rPr>
        <w:t>育雏鸡存栏20万羽/a。</w:t>
      </w:r>
    </w:p>
    <w:p>
      <w:pPr>
        <w:pStyle w:val="3"/>
        <w:ind w:firstLine="480"/>
        <w:rPr>
          <w:rFonts w:cs="Times New Roman"/>
        </w:rPr>
      </w:pPr>
      <w:r>
        <w:rPr>
          <w:rFonts w:cs="Times New Roman"/>
        </w:rPr>
        <w:t>项目</w:t>
      </w:r>
      <w:r>
        <w:rPr>
          <w:rFonts w:hint="eastAsia" w:cs="Times New Roman"/>
        </w:rPr>
        <w:t>组成</w:t>
      </w:r>
      <w:r>
        <w:rPr>
          <w:rFonts w:cs="Times New Roman"/>
        </w:rPr>
        <w:t>见表3.1-1。</w:t>
      </w:r>
    </w:p>
    <w:p>
      <w:pPr>
        <w:pStyle w:val="3"/>
        <w:ind w:firstLine="480"/>
        <w:rPr>
          <w:rFonts w:cs="Times New Roman"/>
        </w:rPr>
      </w:pPr>
      <w:r>
        <w:rPr>
          <w:rFonts w:cs="Times New Roman"/>
        </w:rPr>
        <w:br w:type="page"/>
      </w:r>
    </w:p>
    <w:p>
      <w:pPr>
        <w:pStyle w:val="15"/>
        <w:rPr>
          <w:rFonts w:hAnsi="宋体"/>
        </w:rPr>
      </w:pPr>
      <w:r>
        <w:rPr>
          <w:rFonts w:hint="eastAsia" w:hAnsi="宋体"/>
        </w:rPr>
        <w:t>表</w:t>
      </w:r>
      <w:r>
        <w:t>3</w:t>
      </w:r>
      <w:r>
        <w:rPr>
          <w:rFonts w:hint="eastAsia"/>
        </w:rPr>
        <w:t>.1</w:t>
      </w:r>
      <w:r>
        <w:t>-</w:t>
      </w:r>
      <w:r>
        <w:rPr>
          <w:rFonts w:hint="eastAsia"/>
        </w:rPr>
        <w:t>1</w:t>
      </w:r>
      <w:r>
        <w:t xml:space="preserve">   </w:t>
      </w:r>
      <w:r>
        <w:rPr>
          <w:rFonts w:hint="eastAsia" w:hAnsi="宋体"/>
        </w:rPr>
        <w:t>工程组成一览表</w:t>
      </w:r>
    </w:p>
    <w:tbl>
      <w:tblPr>
        <w:tblStyle w:val="27"/>
        <w:tblW w:w="9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426"/>
        <w:gridCol w:w="708"/>
        <w:gridCol w:w="709"/>
        <w:gridCol w:w="2268"/>
        <w:gridCol w:w="2693"/>
        <w:gridCol w:w="1134"/>
        <w:gridCol w:w="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trPr>
        <w:tc>
          <w:tcPr>
            <w:tcW w:w="675" w:type="dxa"/>
            <w:vAlign w:val="center"/>
          </w:tcPr>
          <w:p>
            <w:pPr>
              <w:pStyle w:val="39"/>
              <w:rPr>
                <w:rFonts w:cs="Times New Roman"/>
              </w:rPr>
            </w:pPr>
            <w:r>
              <w:rPr>
                <w:rFonts w:cs="Times New Roman"/>
              </w:rPr>
              <w:t>项目组成</w:t>
            </w:r>
          </w:p>
        </w:tc>
        <w:tc>
          <w:tcPr>
            <w:tcW w:w="6804" w:type="dxa"/>
            <w:gridSpan w:val="5"/>
            <w:vAlign w:val="center"/>
          </w:tcPr>
          <w:p>
            <w:pPr>
              <w:pStyle w:val="39"/>
              <w:rPr>
                <w:rFonts w:cs="Times New Roman"/>
              </w:rPr>
            </w:pPr>
            <w:r>
              <w:rPr>
                <w:rFonts w:cs="Times New Roman"/>
              </w:rPr>
              <w:t>主要内容</w:t>
            </w:r>
          </w:p>
        </w:tc>
        <w:tc>
          <w:tcPr>
            <w:tcW w:w="1134" w:type="dxa"/>
            <w:vAlign w:val="center"/>
          </w:tcPr>
          <w:p>
            <w:pPr>
              <w:pStyle w:val="39"/>
              <w:rPr>
                <w:rFonts w:cs="Times New Roman"/>
              </w:rPr>
            </w:pPr>
            <w:r>
              <w:rPr>
                <w:rFonts w:cs="Times New Roman"/>
              </w:rPr>
              <w:t>规模</w:t>
            </w:r>
          </w:p>
          <w:p>
            <w:pPr>
              <w:pStyle w:val="39"/>
              <w:rPr>
                <w:rFonts w:cs="Times New Roman"/>
              </w:rPr>
            </w:pPr>
            <w:r>
              <w:rPr>
                <w:rFonts w:cs="Times New Roman"/>
              </w:rPr>
              <w:t>（m</w:t>
            </w:r>
            <w:r>
              <w:rPr>
                <w:rFonts w:cs="Times New Roman"/>
                <w:vertAlign w:val="superscript"/>
              </w:rPr>
              <w:t>2</w:t>
            </w:r>
            <w:r>
              <w:rPr>
                <w:rFonts w:cs="Times New Roman"/>
              </w:rPr>
              <w:t>）</w:t>
            </w:r>
          </w:p>
        </w:tc>
        <w:tc>
          <w:tcPr>
            <w:tcW w:w="560" w:type="dxa"/>
            <w:vAlign w:val="center"/>
          </w:tcPr>
          <w:p>
            <w:pPr>
              <w:pStyle w:val="39"/>
              <w:rPr>
                <w:rFonts w:cs="Times New Roman"/>
              </w:rPr>
            </w:pPr>
            <w:r>
              <w:rPr>
                <w:rFonts w:cs="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75" w:type="dxa"/>
            <w:vMerge w:val="restart"/>
            <w:vAlign w:val="center"/>
          </w:tcPr>
          <w:p>
            <w:pPr>
              <w:pStyle w:val="39"/>
              <w:rPr>
                <w:rFonts w:cs="Times New Roman"/>
              </w:rPr>
            </w:pPr>
            <w:r>
              <w:rPr>
                <w:rFonts w:cs="Times New Roman"/>
              </w:rPr>
              <w:t>主体工程</w:t>
            </w:r>
          </w:p>
        </w:tc>
        <w:tc>
          <w:tcPr>
            <w:tcW w:w="426" w:type="dxa"/>
            <w:vMerge w:val="restart"/>
            <w:vAlign w:val="center"/>
          </w:tcPr>
          <w:p>
            <w:pPr>
              <w:pStyle w:val="39"/>
              <w:rPr>
                <w:rFonts w:cs="Times New Roman"/>
              </w:rPr>
            </w:pPr>
            <w:r>
              <w:rPr>
                <w:rFonts w:cs="Times New Roman"/>
              </w:rPr>
              <w:t>生产区</w:t>
            </w:r>
          </w:p>
        </w:tc>
        <w:tc>
          <w:tcPr>
            <w:tcW w:w="708" w:type="dxa"/>
            <w:vMerge w:val="restart"/>
            <w:vAlign w:val="center"/>
          </w:tcPr>
          <w:p>
            <w:pPr>
              <w:pStyle w:val="39"/>
              <w:rPr>
                <w:rFonts w:cs="Times New Roman"/>
              </w:rPr>
            </w:pPr>
            <w:r>
              <w:rPr>
                <w:rFonts w:cs="Times New Roman"/>
              </w:rPr>
              <w:t>产蛋舍</w:t>
            </w:r>
          </w:p>
        </w:tc>
        <w:tc>
          <w:tcPr>
            <w:tcW w:w="709" w:type="dxa"/>
            <w:vAlign w:val="center"/>
          </w:tcPr>
          <w:p>
            <w:pPr>
              <w:pStyle w:val="39"/>
              <w:rPr>
                <w:rFonts w:cs="Times New Roman"/>
              </w:rPr>
            </w:pPr>
            <w:r>
              <w:rPr>
                <w:rFonts w:cs="Times New Roman"/>
              </w:rPr>
              <w:t>一期</w:t>
            </w:r>
          </w:p>
        </w:tc>
        <w:tc>
          <w:tcPr>
            <w:tcW w:w="2268" w:type="dxa"/>
            <w:vAlign w:val="center"/>
          </w:tcPr>
          <w:p>
            <w:pPr>
              <w:pStyle w:val="39"/>
              <w:rPr>
                <w:rFonts w:cs="Times New Roman"/>
              </w:rPr>
            </w:pPr>
            <w:r>
              <w:rPr>
                <w:rFonts w:hint="eastAsia" w:cs="Times New Roman"/>
              </w:rPr>
              <w:t>2</w:t>
            </w:r>
            <w:r>
              <w:rPr>
                <w:rFonts w:cs="Times New Roman"/>
              </w:rPr>
              <w:t>栋，每栋1</w:t>
            </w:r>
            <w:r>
              <w:rPr>
                <w:rFonts w:hint="eastAsia" w:cs="Times New Roman"/>
              </w:rPr>
              <w:t>813.61</w:t>
            </w:r>
            <w:r>
              <w:rPr>
                <w:rFonts w:cs="Times New Roman"/>
              </w:rPr>
              <w:t>m</w:t>
            </w:r>
            <w:r>
              <w:rPr>
                <w:rFonts w:cs="Times New Roman"/>
                <w:vertAlign w:val="superscript"/>
              </w:rPr>
              <w:t>2</w:t>
            </w:r>
          </w:p>
        </w:tc>
        <w:tc>
          <w:tcPr>
            <w:tcW w:w="2693" w:type="dxa"/>
            <w:vMerge w:val="restart"/>
            <w:vAlign w:val="center"/>
          </w:tcPr>
          <w:p>
            <w:pPr>
              <w:pStyle w:val="39"/>
              <w:rPr>
                <w:rFonts w:cs="Times New Roman"/>
              </w:rPr>
            </w:pPr>
            <w:r>
              <w:rPr>
                <w:rFonts w:hint="eastAsia" w:cs="Times New Roman"/>
              </w:rPr>
              <w:t>单层钢结构，层高约8m；</w:t>
            </w:r>
            <w:r>
              <w:rPr>
                <w:rFonts w:cs="Times New Roman"/>
              </w:rPr>
              <w:t>采用自动喂料、乳头式饮、自动送料、自动集粪、喷雾、驱槽、螺旋推进、水帘降温及电脑控制系统等</w:t>
            </w:r>
          </w:p>
        </w:tc>
        <w:tc>
          <w:tcPr>
            <w:tcW w:w="1134" w:type="dxa"/>
            <w:vMerge w:val="restart"/>
            <w:vAlign w:val="center"/>
          </w:tcPr>
          <w:p>
            <w:pPr>
              <w:pStyle w:val="39"/>
              <w:rPr>
                <w:rFonts w:cs="Times New Roman"/>
              </w:rPr>
            </w:pPr>
            <w:r>
              <w:rPr>
                <w:rFonts w:hint="eastAsia" w:cs="Times New Roman"/>
              </w:rPr>
              <w:t>10881.66</w:t>
            </w:r>
          </w:p>
        </w:tc>
        <w:tc>
          <w:tcPr>
            <w:tcW w:w="560" w:type="dxa"/>
            <w:vMerge w:val="restart"/>
            <w:vAlign w:val="center"/>
          </w:tcPr>
          <w:p>
            <w:pPr>
              <w:pStyle w:val="39"/>
              <w:rPr>
                <w:rFonts w:cs="Times New Roman"/>
              </w:rPr>
            </w:pPr>
            <w:r>
              <w:rPr>
                <w:rFonts w:cs="Times New Roman"/>
              </w:rPr>
              <w:t>分两期建设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75" w:type="dxa"/>
            <w:vMerge w:val="continue"/>
            <w:vAlign w:val="center"/>
          </w:tcPr>
          <w:p>
            <w:pPr>
              <w:pStyle w:val="39"/>
              <w:rPr>
                <w:rFonts w:cs="Times New Roman"/>
              </w:rPr>
            </w:pPr>
          </w:p>
        </w:tc>
        <w:tc>
          <w:tcPr>
            <w:tcW w:w="426" w:type="dxa"/>
            <w:vMerge w:val="continue"/>
            <w:vAlign w:val="center"/>
          </w:tcPr>
          <w:p>
            <w:pPr>
              <w:pStyle w:val="39"/>
              <w:rPr>
                <w:rFonts w:cs="Times New Roman"/>
              </w:rPr>
            </w:pPr>
          </w:p>
        </w:tc>
        <w:tc>
          <w:tcPr>
            <w:tcW w:w="708" w:type="dxa"/>
            <w:vMerge w:val="continue"/>
            <w:vAlign w:val="center"/>
          </w:tcPr>
          <w:p>
            <w:pPr>
              <w:pStyle w:val="39"/>
              <w:rPr>
                <w:rFonts w:cs="Times New Roman"/>
              </w:rPr>
            </w:pPr>
          </w:p>
        </w:tc>
        <w:tc>
          <w:tcPr>
            <w:tcW w:w="709" w:type="dxa"/>
            <w:vAlign w:val="center"/>
          </w:tcPr>
          <w:p>
            <w:pPr>
              <w:pStyle w:val="39"/>
              <w:rPr>
                <w:rFonts w:cs="Times New Roman"/>
              </w:rPr>
            </w:pPr>
            <w:r>
              <w:rPr>
                <w:rFonts w:cs="Times New Roman"/>
              </w:rPr>
              <w:t>二期</w:t>
            </w:r>
          </w:p>
        </w:tc>
        <w:tc>
          <w:tcPr>
            <w:tcW w:w="2268" w:type="dxa"/>
            <w:vAlign w:val="center"/>
          </w:tcPr>
          <w:p>
            <w:pPr>
              <w:pStyle w:val="39"/>
              <w:rPr>
                <w:rFonts w:cs="Times New Roman"/>
              </w:rPr>
            </w:pPr>
            <w:r>
              <w:rPr>
                <w:rFonts w:hint="eastAsia" w:cs="Times New Roman"/>
              </w:rPr>
              <w:t>4</w:t>
            </w:r>
            <w:r>
              <w:rPr>
                <w:rFonts w:cs="Times New Roman"/>
              </w:rPr>
              <w:t>栋，每栋1</w:t>
            </w:r>
            <w:r>
              <w:rPr>
                <w:rFonts w:hint="eastAsia" w:cs="Times New Roman"/>
              </w:rPr>
              <w:t>813.61</w:t>
            </w:r>
            <w:r>
              <w:rPr>
                <w:rFonts w:cs="Times New Roman"/>
              </w:rPr>
              <w:t>m</w:t>
            </w:r>
            <w:r>
              <w:rPr>
                <w:rFonts w:cs="Times New Roman"/>
                <w:vertAlign w:val="superscript"/>
              </w:rPr>
              <w:t>2</w:t>
            </w:r>
          </w:p>
        </w:tc>
        <w:tc>
          <w:tcPr>
            <w:tcW w:w="2693" w:type="dxa"/>
            <w:vMerge w:val="continue"/>
            <w:vAlign w:val="center"/>
          </w:tcPr>
          <w:p>
            <w:pPr>
              <w:pStyle w:val="39"/>
              <w:rPr>
                <w:rFonts w:cs="Times New Roman"/>
              </w:rPr>
            </w:pPr>
          </w:p>
        </w:tc>
        <w:tc>
          <w:tcPr>
            <w:tcW w:w="1134" w:type="dxa"/>
            <w:vMerge w:val="continue"/>
            <w:vAlign w:val="center"/>
          </w:tcPr>
          <w:p>
            <w:pPr>
              <w:pStyle w:val="39"/>
              <w:rPr>
                <w:rFonts w:cs="Times New Roman"/>
              </w:rPr>
            </w:pPr>
          </w:p>
        </w:tc>
        <w:tc>
          <w:tcPr>
            <w:tcW w:w="560" w:type="dxa"/>
            <w:vMerge w:val="continue"/>
            <w:vAlign w:val="center"/>
          </w:tcPr>
          <w:p>
            <w:pPr>
              <w:pStyle w:val="3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75" w:type="dxa"/>
            <w:vMerge w:val="continue"/>
            <w:vAlign w:val="center"/>
          </w:tcPr>
          <w:p>
            <w:pPr>
              <w:pStyle w:val="39"/>
              <w:rPr>
                <w:rFonts w:cs="Times New Roman"/>
              </w:rPr>
            </w:pPr>
          </w:p>
        </w:tc>
        <w:tc>
          <w:tcPr>
            <w:tcW w:w="426" w:type="dxa"/>
            <w:vMerge w:val="continue"/>
            <w:vAlign w:val="center"/>
          </w:tcPr>
          <w:p>
            <w:pPr>
              <w:pStyle w:val="39"/>
              <w:rPr>
                <w:rFonts w:cs="Times New Roman"/>
              </w:rPr>
            </w:pPr>
          </w:p>
        </w:tc>
        <w:tc>
          <w:tcPr>
            <w:tcW w:w="708" w:type="dxa"/>
            <w:vAlign w:val="center"/>
          </w:tcPr>
          <w:p>
            <w:pPr>
              <w:pStyle w:val="39"/>
              <w:rPr>
                <w:rFonts w:cs="Times New Roman"/>
              </w:rPr>
            </w:pPr>
            <w:r>
              <w:rPr>
                <w:rFonts w:hint="eastAsia"/>
              </w:rPr>
              <w:t>育雏舍</w:t>
            </w:r>
          </w:p>
        </w:tc>
        <w:tc>
          <w:tcPr>
            <w:tcW w:w="709" w:type="dxa"/>
            <w:vAlign w:val="center"/>
          </w:tcPr>
          <w:p>
            <w:pPr>
              <w:pStyle w:val="39"/>
              <w:rPr>
                <w:rFonts w:cs="Times New Roman"/>
              </w:rPr>
            </w:pPr>
            <w:r>
              <w:rPr>
                <w:rFonts w:hint="eastAsia" w:cs="Times New Roman"/>
              </w:rPr>
              <w:t>二</w:t>
            </w:r>
            <w:r>
              <w:rPr>
                <w:rFonts w:cs="Times New Roman"/>
              </w:rPr>
              <w:t>期</w:t>
            </w:r>
          </w:p>
        </w:tc>
        <w:tc>
          <w:tcPr>
            <w:tcW w:w="2268" w:type="dxa"/>
            <w:vAlign w:val="center"/>
          </w:tcPr>
          <w:p>
            <w:pPr>
              <w:pStyle w:val="39"/>
              <w:rPr>
                <w:rFonts w:cs="Times New Roman"/>
              </w:rPr>
            </w:pPr>
            <w:r>
              <w:rPr>
                <w:rFonts w:hint="eastAsia" w:cs="Times New Roman"/>
              </w:rPr>
              <w:t>3</w:t>
            </w:r>
            <w:r>
              <w:rPr>
                <w:rFonts w:cs="Times New Roman"/>
              </w:rPr>
              <w:t>栋，每栋</w:t>
            </w:r>
            <w:r>
              <w:rPr>
                <w:rFonts w:hint="eastAsia" w:cs="Times New Roman"/>
              </w:rPr>
              <w:t>1091.03</w:t>
            </w:r>
            <w:r>
              <w:rPr>
                <w:rFonts w:cs="Times New Roman"/>
              </w:rPr>
              <w:t>m</w:t>
            </w:r>
            <w:r>
              <w:rPr>
                <w:rFonts w:cs="Times New Roman"/>
                <w:vertAlign w:val="superscript"/>
              </w:rPr>
              <w:t>2</w:t>
            </w:r>
          </w:p>
        </w:tc>
        <w:tc>
          <w:tcPr>
            <w:tcW w:w="2693" w:type="dxa"/>
            <w:vMerge w:val="continue"/>
            <w:vAlign w:val="center"/>
          </w:tcPr>
          <w:p>
            <w:pPr>
              <w:pStyle w:val="39"/>
              <w:rPr>
                <w:rFonts w:cs="Times New Roman"/>
              </w:rPr>
            </w:pPr>
          </w:p>
        </w:tc>
        <w:tc>
          <w:tcPr>
            <w:tcW w:w="1134" w:type="dxa"/>
            <w:vAlign w:val="center"/>
          </w:tcPr>
          <w:p>
            <w:pPr>
              <w:pStyle w:val="39"/>
              <w:rPr>
                <w:rFonts w:cs="Times New Roman"/>
              </w:rPr>
            </w:pPr>
            <w:r>
              <w:rPr>
                <w:rFonts w:cs="Times New Roman"/>
              </w:rPr>
              <w:t>3273.09</w:t>
            </w:r>
          </w:p>
        </w:tc>
        <w:tc>
          <w:tcPr>
            <w:tcW w:w="560" w:type="dxa"/>
            <w:vMerge w:val="continue"/>
            <w:vAlign w:val="center"/>
          </w:tcPr>
          <w:p>
            <w:pPr>
              <w:pStyle w:val="3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75" w:type="dxa"/>
            <w:vMerge w:val="continue"/>
            <w:vAlign w:val="center"/>
          </w:tcPr>
          <w:p>
            <w:pPr>
              <w:pStyle w:val="39"/>
              <w:rPr>
                <w:rFonts w:cs="Times New Roman"/>
              </w:rPr>
            </w:pPr>
          </w:p>
        </w:tc>
        <w:tc>
          <w:tcPr>
            <w:tcW w:w="1134" w:type="dxa"/>
            <w:gridSpan w:val="2"/>
            <w:vAlign w:val="center"/>
          </w:tcPr>
          <w:p>
            <w:pPr>
              <w:pStyle w:val="39"/>
              <w:rPr>
                <w:rFonts w:cs="Times New Roman"/>
              </w:rPr>
            </w:pPr>
            <w:r>
              <w:rPr>
                <w:rFonts w:hint="eastAsia"/>
              </w:rPr>
              <w:t>蛋</w:t>
            </w:r>
            <w:r>
              <w:t>库</w:t>
            </w:r>
          </w:p>
        </w:tc>
        <w:tc>
          <w:tcPr>
            <w:tcW w:w="709" w:type="dxa"/>
            <w:vAlign w:val="center"/>
          </w:tcPr>
          <w:p>
            <w:pPr>
              <w:pStyle w:val="39"/>
              <w:rPr>
                <w:rFonts w:cs="Times New Roman"/>
              </w:rPr>
            </w:pPr>
            <w:r>
              <w:rPr>
                <w:rFonts w:hint="eastAsia" w:cs="Times New Roman"/>
              </w:rPr>
              <w:t>一期</w:t>
            </w:r>
          </w:p>
        </w:tc>
        <w:tc>
          <w:tcPr>
            <w:tcW w:w="4961" w:type="dxa"/>
            <w:gridSpan w:val="2"/>
            <w:vAlign w:val="center"/>
          </w:tcPr>
          <w:p>
            <w:pPr>
              <w:pStyle w:val="39"/>
              <w:rPr>
                <w:rFonts w:cs="Times New Roman"/>
              </w:rPr>
            </w:pPr>
            <w:r>
              <w:rPr>
                <w:rFonts w:hint="eastAsia"/>
              </w:rPr>
              <w:t>1栋1354.56m</w:t>
            </w:r>
            <w:r>
              <w:rPr>
                <w:rFonts w:hint="eastAsia"/>
                <w:vertAlign w:val="superscript"/>
              </w:rPr>
              <w:t>2</w:t>
            </w:r>
            <w:r>
              <w:rPr>
                <w:rFonts w:hint="eastAsia"/>
              </w:rPr>
              <w:t>，单层钢结构、层高约5</w:t>
            </w:r>
            <w:r>
              <w:t>m</w:t>
            </w:r>
          </w:p>
        </w:tc>
        <w:tc>
          <w:tcPr>
            <w:tcW w:w="1134" w:type="dxa"/>
            <w:vAlign w:val="center"/>
          </w:tcPr>
          <w:p>
            <w:pPr>
              <w:pStyle w:val="39"/>
              <w:rPr>
                <w:rFonts w:cs="Times New Roman"/>
              </w:rPr>
            </w:pPr>
            <w:r>
              <w:rPr>
                <w:rFonts w:hint="eastAsia"/>
              </w:rPr>
              <w:t>1354.56</w:t>
            </w:r>
          </w:p>
        </w:tc>
        <w:tc>
          <w:tcPr>
            <w:tcW w:w="560" w:type="dxa"/>
            <w:vMerge w:val="continue"/>
            <w:vAlign w:val="center"/>
          </w:tcPr>
          <w:p>
            <w:pPr>
              <w:pStyle w:val="3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75" w:type="dxa"/>
            <w:vMerge w:val="restart"/>
            <w:vAlign w:val="center"/>
          </w:tcPr>
          <w:p>
            <w:pPr>
              <w:pStyle w:val="39"/>
              <w:rPr>
                <w:rFonts w:cs="Times New Roman"/>
              </w:rPr>
            </w:pPr>
            <w:r>
              <w:rPr>
                <w:rFonts w:cs="Times New Roman"/>
              </w:rPr>
              <w:t>配套工程</w:t>
            </w:r>
          </w:p>
        </w:tc>
        <w:tc>
          <w:tcPr>
            <w:tcW w:w="1134" w:type="dxa"/>
            <w:gridSpan w:val="2"/>
            <w:vAlign w:val="center"/>
          </w:tcPr>
          <w:p>
            <w:pPr>
              <w:pStyle w:val="39"/>
            </w:pPr>
            <w:r>
              <w:rPr>
                <w:rFonts w:hint="eastAsia"/>
              </w:rPr>
              <w:t>办公</w:t>
            </w:r>
            <w:r>
              <w:t>及生活管理区</w:t>
            </w:r>
          </w:p>
        </w:tc>
        <w:tc>
          <w:tcPr>
            <w:tcW w:w="5670" w:type="dxa"/>
            <w:gridSpan w:val="3"/>
            <w:vAlign w:val="center"/>
          </w:tcPr>
          <w:p>
            <w:pPr>
              <w:pStyle w:val="39"/>
              <w:rPr>
                <w:rFonts w:cs="Times New Roman"/>
              </w:rPr>
            </w:pPr>
            <w:r>
              <w:rPr>
                <w:rFonts w:hint="eastAsia"/>
              </w:rPr>
              <w:t>拟建地南侧，2层、框架结构</w:t>
            </w:r>
            <w:r>
              <w:rPr>
                <w:rFonts w:cs="Times New Roman"/>
              </w:rPr>
              <w:t>，</w:t>
            </w:r>
            <w:r>
              <w:rPr>
                <w:rFonts w:hint="eastAsia" w:cs="Times New Roman"/>
              </w:rPr>
              <w:t>层</w:t>
            </w:r>
            <w:r>
              <w:rPr>
                <w:rFonts w:cs="Times New Roman"/>
              </w:rPr>
              <w:t>高3m</w:t>
            </w:r>
            <w:r>
              <w:rPr>
                <w:rFonts w:hint="eastAsia" w:cs="Times New Roman"/>
              </w:rPr>
              <w:t>，第一层为办公室及食堂；第二层为宿舍。</w:t>
            </w:r>
          </w:p>
        </w:tc>
        <w:tc>
          <w:tcPr>
            <w:tcW w:w="1134" w:type="dxa"/>
            <w:vAlign w:val="center"/>
          </w:tcPr>
          <w:p>
            <w:pPr>
              <w:pStyle w:val="39"/>
            </w:pPr>
            <w:r>
              <w:rPr>
                <w:rFonts w:hint="eastAsia"/>
              </w:rPr>
              <w:t>1227.84</w:t>
            </w:r>
          </w:p>
        </w:tc>
        <w:tc>
          <w:tcPr>
            <w:tcW w:w="560" w:type="dxa"/>
            <w:vMerge w:val="restart"/>
            <w:vAlign w:val="center"/>
          </w:tcPr>
          <w:p>
            <w:pPr>
              <w:pStyle w:val="39"/>
              <w:rPr>
                <w:rFonts w:cs="Times New Roman"/>
              </w:rPr>
            </w:pPr>
            <w:r>
              <w:rPr>
                <w:rFonts w:cs="Times New Roman"/>
              </w:rPr>
              <w:t>一期建设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75" w:type="dxa"/>
            <w:vMerge w:val="continue"/>
            <w:vAlign w:val="center"/>
          </w:tcPr>
          <w:p>
            <w:pPr>
              <w:pStyle w:val="39"/>
              <w:rPr>
                <w:rFonts w:cs="Times New Roman"/>
              </w:rPr>
            </w:pPr>
          </w:p>
        </w:tc>
        <w:tc>
          <w:tcPr>
            <w:tcW w:w="1134" w:type="dxa"/>
            <w:gridSpan w:val="2"/>
            <w:vAlign w:val="center"/>
          </w:tcPr>
          <w:p>
            <w:pPr>
              <w:pStyle w:val="39"/>
            </w:pPr>
            <w:r>
              <w:rPr>
                <w:rFonts w:hint="eastAsia"/>
              </w:rPr>
              <w:t>鸡粪储存仓库</w:t>
            </w:r>
          </w:p>
        </w:tc>
        <w:tc>
          <w:tcPr>
            <w:tcW w:w="5670" w:type="dxa"/>
            <w:gridSpan w:val="3"/>
            <w:vAlign w:val="center"/>
          </w:tcPr>
          <w:p>
            <w:pPr>
              <w:widowControl w:val="0"/>
              <w:autoSpaceDE w:val="0"/>
              <w:autoSpaceDN w:val="0"/>
              <w:snapToGrid/>
              <w:jc w:val="center"/>
              <w:rPr>
                <w:rFonts w:ascii="Times New Roman" w:hAnsi="Times New Roman" w:eastAsia="宋体" w:cs="Times New Roman"/>
              </w:rPr>
            </w:pPr>
            <w:r>
              <w:rPr>
                <w:rFonts w:hint="eastAsia" w:ascii="Times New Roman" w:hAnsi="Times New Roman" w:eastAsia="宋体"/>
              </w:rPr>
              <w:t>拟建地西北角，单层钢结构、层高6.5</w:t>
            </w:r>
            <w:r>
              <w:rPr>
                <w:rFonts w:ascii="Times New Roman" w:hAnsi="Times New Roman" w:eastAsia="宋体"/>
              </w:rPr>
              <w:t>m</w:t>
            </w:r>
          </w:p>
        </w:tc>
        <w:tc>
          <w:tcPr>
            <w:tcW w:w="1134" w:type="dxa"/>
            <w:vAlign w:val="center"/>
          </w:tcPr>
          <w:p>
            <w:pPr>
              <w:pStyle w:val="39"/>
            </w:pPr>
            <w:r>
              <w:rPr>
                <w:rFonts w:hint="eastAsia"/>
              </w:rPr>
              <w:t>1513.91</w:t>
            </w:r>
          </w:p>
        </w:tc>
        <w:tc>
          <w:tcPr>
            <w:tcW w:w="560" w:type="dxa"/>
            <w:vMerge w:val="continue"/>
            <w:vAlign w:val="center"/>
          </w:tcPr>
          <w:p>
            <w:pPr>
              <w:pStyle w:val="3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75" w:type="dxa"/>
            <w:vMerge w:val="continue"/>
            <w:vAlign w:val="center"/>
          </w:tcPr>
          <w:p>
            <w:pPr>
              <w:pStyle w:val="39"/>
              <w:rPr>
                <w:rFonts w:cs="Times New Roman"/>
              </w:rPr>
            </w:pPr>
          </w:p>
        </w:tc>
        <w:tc>
          <w:tcPr>
            <w:tcW w:w="1134" w:type="dxa"/>
            <w:gridSpan w:val="2"/>
            <w:vAlign w:val="center"/>
          </w:tcPr>
          <w:p>
            <w:pPr>
              <w:pStyle w:val="39"/>
            </w:pPr>
            <w:r>
              <w:rPr>
                <w:rFonts w:hint="eastAsia"/>
              </w:rPr>
              <w:t>辅助</w:t>
            </w:r>
            <w:r>
              <w:t>用房</w:t>
            </w:r>
          </w:p>
        </w:tc>
        <w:tc>
          <w:tcPr>
            <w:tcW w:w="5670" w:type="dxa"/>
            <w:gridSpan w:val="3"/>
            <w:vAlign w:val="center"/>
          </w:tcPr>
          <w:p>
            <w:pPr>
              <w:pStyle w:val="39"/>
            </w:pPr>
            <w:r>
              <w:rPr>
                <w:rFonts w:hint="eastAsia"/>
              </w:rPr>
              <w:t>包括</w:t>
            </w:r>
            <w:r>
              <w:t>备用发电机房、配电房、仓库、防疫室、工具室</w:t>
            </w:r>
            <w:r>
              <w:rPr>
                <w:rFonts w:hint="eastAsia"/>
              </w:rPr>
              <w:t>等</w:t>
            </w:r>
          </w:p>
        </w:tc>
        <w:tc>
          <w:tcPr>
            <w:tcW w:w="1134" w:type="dxa"/>
            <w:vAlign w:val="center"/>
          </w:tcPr>
          <w:p>
            <w:pPr>
              <w:pStyle w:val="39"/>
            </w:pPr>
            <w:r>
              <w:rPr>
                <w:rFonts w:hint="eastAsia"/>
              </w:rPr>
              <w:t>180</w:t>
            </w:r>
          </w:p>
        </w:tc>
        <w:tc>
          <w:tcPr>
            <w:tcW w:w="560" w:type="dxa"/>
            <w:vMerge w:val="continue"/>
            <w:vAlign w:val="center"/>
          </w:tcPr>
          <w:p>
            <w:pPr>
              <w:pStyle w:val="3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75" w:type="dxa"/>
            <w:vMerge w:val="restart"/>
            <w:vAlign w:val="center"/>
          </w:tcPr>
          <w:p>
            <w:pPr>
              <w:pStyle w:val="39"/>
              <w:rPr>
                <w:rFonts w:cs="Times New Roman"/>
              </w:rPr>
            </w:pPr>
            <w:r>
              <w:rPr>
                <w:rFonts w:cs="Times New Roman"/>
              </w:rPr>
              <w:t>公用工程</w:t>
            </w:r>
          </w:p>
        </w:tc>
        <w:tc>
          <w:tcPr>
            <w:tcW w:w="1134" w:type="dxa"/>
            <w:gridSpan w:val="2"/>
            <w:vAlign w:val="center"/>
          </w:tcPr>
          <w:p>
            <w:pPr>
              <w:pStyle w:val="39"/>
              <w:rPr>
                <w:rFonts w:cs="Times New Roman"/>
              </w:rPr>
            </w:pPr>
            <w:r>
              <w:rPr>
                <w:rFonts w:cs="Times New Roman"/>
              </w:rPr>
              <w:t>供电</w:t>
            </w:r>
          </w:p>
        </w:tc>
        <w:tc>
          <w:tcPr>
            <w:tcW w:w="7364" w:type="dxa"/>
            <w:gridSpan w:val="5"/>
            <w:vAlign w:val="center"/>
          </w:tcPr>
          <w:p>
            <w:pPr>
              <w:pStyle w:val="39"/>
              <w:rPr>
                <w:rFonts w:cs="Times New Roman"/>
              </w:rPr>
            </w:pPr>
            <w:r>
              <w:rPr>
                <w:rFonts w:cs="Times New Roman"/>
                <w:kern w:val="0"/>
              </w:rPr>
              <w:t>市政电网供电，设</w:t>
            </w:r>
            <w:r>
              <w:rPr>
                <w:rFonts w:hint="eastAsia" w:cs="Times New Roman"/>
                <w:kern w:val="0"/>
              </w:rPr>
              <w:t>2</w:t>
            </w:r>
            <w:r>
              <w:rPr>
                <w:rFonts w:cs="Times New Roman"/>
                <w:kern w:val="0"/>
              </w:rPr>
              <w:t>台柴油发电机组作为备用电源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75" w:type="dxa"/>
            <w:vMerge w:val="continue"/>
            <w:vAlign w:val="center"/>
          </w:tcPr>
          <w:p>
            <w:pPr>
              <w:pStyle w:val="39"/>
              <w:rPr>
                <w:rFonts w:cs="Times New Roman"/>
              </w:rPr>
            </w:pPr>
          </w:p>
        </w:tc>
        <w:tc>
          <w:tcPr>
            <w:tcW w:w="1134" w:type="dxa"/>
            <w:gridSpan w:val="2"/>
            <w:vAlign w:val="center"/>
          </w:tcPr>
          <w:p>
            <w:pPr>
              <w:pStyle w:val="39"/>
              <w:rPr>
                <w:rFonts w:cs="Times New Roman"/>
              </w:rPr>
            </w:pPr>
            <w:r>
              <w:rPr>
                <w:rFonts w:cs="Times New Roman"/>
              </w:rPr>
              <w:t>排水</w:t>
            </w:r>
          </w:p>
        </w:tc>
        <w:tc>
          <w:tcPr>
            <w:tcW w:w="7364" w:type="dxa"/>
            <w:gridSpan w:val="5"/>
            <w:vAlign w:val="center"/>
          </w:tcPr>
          <w:p>
            <w:pPr>
              <w:widowControl w:val="0"/>
              <w:jc w:val="left"/>
              <w:rPr>
                <w:rFonts w:ascii="Times New Roman" w:hAnsi="Times New Roman" w:eastAsia="宋体" w:cs="Times New Roman"/>
              </w:rPr>
            </w:pPr>
            <w:r>
              <w:rPr>
                <w:rFonts w:hint="eastAsia" w:ascii="Times New Roman" w:hAnsi="Times New Roman" w:eastAsia="宋体"/>
              </w:rPr>
              <w:t>①生产废水：</w:t>
            </w:r>
            <w:r>
              <w:rPr>
                <w:rFonts w:hint="eastAsia" w:ascii="Times New Roman" w:hAnsi="宋体" w:eastAsia="宋体"/>
              </w:rPr>
              <w:t>经废水收集池收集后，用泵将废水抽至化粪池，鸡舍冲洗废水和生活污水一起经化粪池处理后作为农肥；</w:t>
            </w:r>
          </w:p>
          <w:p>
            <w:pPr>
              <w:widowControl w:val="0"/>
              <w:autoSpaceDE w:val="0"/>
              <w:autoSpaceDN w:val="0"/>
              <w:snapToGrid/>
              <w:jc w:val="left"/>
              <w:rPr>
                <w:rFonts w:ascii="Times New Roman" w:hAnsi="Times New Roman" w:eastAsia="宋体" w:cs="Times New Roman"/>
                <w:kern w:val="0"/>
              </w:rPr>
            </w:pPr>
            <w:r>
              <w:rPr>
                <w:rFonts w:hint="eastAsia" w:ascii="Times New Roman" w:hAnsi="宋体" w:eastAsia="宋体"/>
              </w:rPr>
              <w:t>②初期雨水：经雨水收集管网收集后排入北侧水塘；</w:t>
            </w:r>
          </w:p>
          <w:p>
            <w:pPr>
              <w:widowControl w:val="0"/>
              <w:autoSpaceDE w:val="0"/>
              <w:autoSpaceDN w:val="0"/>
              <w:jc w:val="left"/>
              <w:rPr>
                <w:rFonts w:ascii="Times New Roman" w:hAnsi="Times New Roman" w:eastAsia="宋体" w:cs="Times New Roman"/>
              </w:rPr>
            </w:pPr>
            <w:r>
              <w:rPr>
                <w:rFonts w:hint="eastAsia" w:ascii="Times New Roman" w:hAnsi="宋体" w:eastAsia="宋体"/>
              </w:rPr>
              <w:t>③生活污水：隔油池及化粪池处理后用做农肥。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75" w:type="dxa"/>
            <w:vMerge w:val="continue"/>
            <w:vAlign w:val="center"/>
          </w:tcPr>
          <w:p>
            <w:pPr>
              <w:pStyle w:val="39"/>
              <w:rPr>
                <w:rFonts w:cs="Times New Roman"/>
              </w:rPr>
            </w:pPr>
          </w:p>
        </w:tc>
        <w:tc>
          <w:tcPr>
            <w:tcW w:w="1134" w:type="dxa"/>
            <w:gridSpan w:val="2"/>
            <w:vAlign w:val="center"/>
          </w:tcPr>
          <w:p>
            <w:pPr>
              <w:pStyle w:val="39"/>
              <w:rPr>
                <w:rFonts w:cs="Times New Roman"/>
              </w:rPr>
            </w:pPr>
            <w:r>
              <w:rPr>
                <w:rFonts w:cs="Times New Roman"/>
              </w:rPr>
              <w:t>供水</w:t>
            </w:r>
          </w:p>
        </w:tc>
        <w:tc>
          <w:tcPr>
            <w:tcW w:w="7364" w:type="dxa"/>
            <w:gridSpan w:val="5"/>
            <w:vAlign w:val="center"/>
          </w:tcPr>
          <w:p>
            <w:pPr>
              <w:pStyle w:val="39"/>
              <w:rPr>
                <w:rFonts w:cs="Times New Roman"/>
              </w:rPr>
            </w:pPr>
            <w:r>
              <w:rPr>
                <w:rFonts w:cs="Times New Roman"/>
                <w:kern w:val="0"/>
              </w:rPr>
              <w:t>水源：厂区地下水井，建设水井、水塔及供水管网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75" w:type="dxa"/>
            <w:vMerge w:val="continue"/>
            <w:vAlign w:val="center"/>
          </w:tcPr>
          <w:p>
            <w:pPr>
              <w:pStyle w:val="39"/>
              <w:rPr>
                <w:rFonts w:cs="Times New Roman"/>
              </w:rPr>
            </w:pPr>
          </w:p>
        </w:tc>
        <w:tc>
          <w:tcPr>
            <w:tcW w:w="1134" w:type="dxa"/>
            <w:gridSpan w:val="2"/>
            <w:vAlign w:val="center"/>
          </w:tcPr>
          <w:p>
            <w:pPr>
              <w:pStyle w:val="39"/>
              <w:rPr>
                <w:rFonts w:cs="Times New Roman"/>
              </w:rPr>
            </w:pPr>
            <w:r>
              <w:rPr>
                <w:rFonts w:hint="eastAsia" w:cs="Times New Roman"/>
              </w:rPr>
              <w:t>暖通</w:t>
            </w:r>
          </w:p>
        </w:tc>
        <w:tc>
          <w:tcPr>
            <w:tcW w:w="7364" w:type="dxa"/>
            <w:gridSpan w:val="5"/>
            <w:vAlign w:val="center"/>
          </w:tcPr>
          <w:p>
            <w:pPr>
              <w:pStyle w:val="39"/>
              <w:rPr>
                <w:rFonts w:cs="Times New Roman"/>
              </w:rPr>
            </w:pPr>
            <w:r>
              <w:rPr>
                <w:rFonts w:hint="eastAsia" w:cs="Times New Roman"/>
              </w:rPr>
              <w:t>鸡舍均安装水帘空调降温设备，主要夏季降低鸡舍内的温度；产蛋舍其它季节主要通过风机控制鸡舍温度；育雏舍冬季通过热水锅炉供热。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75" w:type="dxa"/>
            <w:vMerge w:val="restart"/>
            <w:vAlign w:val="center"/>
          </w:tcPr>
          <w:p>
            <w:pPr>
              <w:pStyle w:val="39"/>
              <w:rPr>
                <w:rFonts w:cs="Times New Roman"/>
              </w:rPr>
            </w:pPr>
            <w:r>
              <w:rPr>
                <w:rFonts w:cs="Times New Roman"/>
              </w:rPr>
              <w:t>环保工程</w:t>
            </w:r>
          </w:p>
        </w:tc>
        <w:tc>
          <w:tcPr>
            <w:tcW w:w="1134" w:type="dxa"/>
            <w:gridSpan w:val="2"/>
            <w:vAlign w:val="center"/>
          </w:tcPr>
          <w:p>
            <w:pPr>
              <w:pStyle w:val="39"/>
              <w:rPr>
                <w:rFonts w:cs="Times New Roman"/>
              </w:rPr>
            </w:pPr>
            <w:r>
              <w:rPr>
                <w:rFonts w:cs="Times New Roman"/>
              </w:rPr>
              <w:t>废水</w:t>
            </w:r>
          </w:p>
        </w:tc>
        <w:tc>
          <w:tcPr>
            <w:tcW w:w="7364" w:type="dxa"/>
            <w:gridSpan w:val="5"/>
            <w:vAlign w:val="center"/>
          </w:tcPr>
          <w:p>
            <w:pPr>
              <w:pStyle w:val="39"/>
              <w:jc w:val="left"/>
              <w:rPr>
                <w:rFonts w:cs="Times New Roman"/>
              </w:rPr>
            </w:pPr>
            <w:r>
              <w:rPr>
                <w:rFonts w:hint="eastAsia" w:ascii="宋体" w:hAnsi="宋体" w:cs="宋体"/>
                <w:kern w:val="0"/>
              </w:rPr>
              <w:t>①</w:t>
            </w:r>
            <w:r>
              <w:rPr>
                <w:rFonts w:cs="Times New Roman"/>
                <w:kern w:val="0"/>
              </w:rPr>
              <w:t>鸡舍冲洗废水</w:t>
            </w:r>
            <w:r>
              <w:rPr>
                <w:rFonts w:hint="eastAsia" w:cs="Times New Roman"/>
                <w:kern w:val="0"/>
              </w:rPr>
              <w:t>：</w:t>
            </w:r>
            <w:r>
              <w:rPr>
                <w:rFonts w:hint="eastAsia" w:hAnsi="宋体"/>
              </w:rPr>
              <w:t>经废水收集池收集后，用泵将废水抽至化粪池，鸡舍冲洗废水和生活污水一起经化粪池处理后作为农肥</w:t>
            </w:r>
            <w:r>
              <w:rPr>
                <w:rFonts w:cs="Times New Roman"/>
              </w:rPr>
              <w:t>；</w:t>
            </w:r>
          </w:p>
          <w:p>
            <w:pPr>
              <w:widowControl w:val="0"/>
              <w:autoSpaceDE w:val="0"/>
              <w:autoSpaceDN w:val="0"/>
              <w:snapToGrid/>
              <w:jc w:val="left"/>
              <w:rPr>
                <w:rFonts w:ascii="Times New Roman" w:hAnsi="Times New Roman" w:eastAsia="宋体" w:cs="Times New Roman"/>
                <w:kern w:val="0"/>
              </w:rPr>
            </w:pPr>
            <w:r>
              <w:rPr>
                <w:rFonts w:hint="eastAsia" w:ascii="Times New Roman" w:hAnsi="宋体" w:eastAsia="宋体"/>
              </w:rPr>
              <w:t>②初期雨水：经雨水收集管网收集后排入北侧水塘；</w:t>
            </w:r>
          </w:p>
          <w:p>
            <w:pPr>
              <w:pStyle w:val="39"/>
              <w:jc w:val="left"/>
              <w:rPr>
                <w:rFonts w:eastAsia="MS Mincho" w:cs="Times New Roman"/>
              </w:rPr>
            </w:pPr>
            <w:r>
              <w:rPr>
                <w:rFonts w:hint="eastAsia" w:hAnsi="宋体"/>
              </w:rPr>
              <w:t>③生活污水：隔油池及化粪池处理后用做农肥。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75" w:type="dxa"/>
            <w:vMerge w:val="continue"/>
            <w:vAlign w:val="center"/>
          </w:tcPr>
          <w:p>
            <w:pPr>
              <w:pStyle w:val="39"/>
              <w:rPr>
                <w:rFonts w:cs="Times New Roman"/>
              </w:rPr>
            </w:pPr>
          </w:p>
        </w:tc>
        <w:tc>
          <w:tcPr>
            <w:tcW w:w="1134" w:type="dxa"/>
            <w:gridSpan w:val="2"/>
            <w:vAlign w:val="center"/>
          </w:tcPr>
          <w:p>
            <w:pPr>
              <w:pStyle w:val="39"/>
              <w:rPr>
                <w:rFonts w:cs="Times New Roman"/>
              </w:rPr>
            </w:pPr>
            <w:r>
              <w:rPr>
                <w:rFonts w:cs="Times New Roman"/>
              </w:rPr>
              <w:t>废气</w:t>
            </w:r>
          </w:p>
        </w:tc>
        <w:tc>
          <w:tcPr>
            <w:tcW w:w="7364" w:type="dxa"/>
            <w:gridSpan w:val="5"/>
            <w:vAlign w:val="center"/>
          </w:tcPr>
          <w:p>
            <w:pPr>
              <w:pStyle w:val="39"/>
              <w:jc w:val="left"/>
              <w:rPr>
                <w:rFonts w:cs="Times New Roman"/>
                <w:kern w:val="0"/>
              </w:rPr>
            </w:pPr>
            <w:r>
              <w:rPr>
                <w:rFonts w:hint="eastAsia" w:ascii="宋体" w:hAnsi="宋体" w:cs="宋体"/>
                <w:kern w:val="0"/>
              </w:rPr>
              <w:t>①</w:t>
            </w:r>
            <w:r>
              <w:rPr>
                <w:rFonts w:cs="Times New Roman"/>
                <w:kern w:val="0"/>
              </w:rPr>
              <w:t>鸡舍：科学饲养，优化饲料等，鸡粪采用履带自动刮粪，喷洒除臭剂，加强通风换气；</w:t>
            </w:r>
          </w:p>
          <w:p>
            <w:pPr>
              <w:pStyle w:val="39"/>
              <w:jc w:val="left"/>
              <w:rPr>
                <w:rFonts w:cs="Times New Roman" w:eastAsiaTheme="minorEastAsia"/>
                <w:kern w:val="0"/>
              </w:rPr>
            </w:pPr>
            <w:r>
              <w:rPr>
                <w:rFonts w:hint="eastAsia" w:ascii="宋体" w:hAnsi="宋体" w:cs="宋体"/>
                <w:kern w:val="0"/>
              </w:rPr>
              <w:t>②</w:t>
            </w:r>
            <w:r>
              <w:rPr>
                <w:rFonts w:cs="Times New Roman"/>
                <w:kern w:val="0"/>
              </w:rPr>
              <w:t>鸡粪处理区：</w:t>
            </w:r>
            <w:r>
              <w:rPr>
                <w:rFonts w:hint="eastAsia" w:cs="Times New Roman"/>
                <w:kern w:val="0"/>
              </w:rPr>
              <w:t>采用多赛干燥机，利用鸡舍内的热气将新鲜鸡粪进行干燥成有机肥，避免鸡粪发酵产生恶臭</w:t>
            </w:r>
            <w:r>
              <w:rPr>
                <w:rStyle w:val="31"/>
                <w:rFonts w:cs="Times New Roman" w:eastAsiaTheme="minorEastAsia"/>
              </w:rPr>
              <w:t>。</w:t>
            </w:r>
          </w:p>
          <w:p>
            <w:pPr>
              <w:widowControl w:val="0"/>
              <w:autoSpaceDE w:val="0"/>
              <w:autoSpaceDN w:val="0"/>
              <w:snapToGrid/>
              <w:jc w:val="left"/>
              <w:rPr>
                <w:rFonts w:ascii="Times New Roman" w:hAnsi="Times New Roman" w:eastAsia="宋体" w:cs="Times New Roman"/>
                <w:kern w:val="0"/>
              </w:rPr>
            </w:pPr>
            <w:r>
              <w:rPr>
                <w:rFonts w:hint="eastAsia" w:ascii="宋体" w:hAnsi="宋体" w:eastAsia="宋体" w:cs="宋体"/>
                <w:kern w:val="0"/>
              </w:rPr>
              <w:t>③</w:t>
            </w:r>
            <w:r>
              <w:rPr>
                <w:rFonts w:hint="eastAsia" w:ascii="Times New Roman" w:hAnsi="宋体" w:eastAsia="宋体"/>
                <w:color w:val="000000"/>
              </w:rPr>
              <w:t>废水收集池</w:t>
            </w:r>
            <w:r>
              <w:rPr>
                <w:rFonts w:ascii="Times New Roman" w:hAnsi="Times New Roman" w:eastAsia="宋体" w:cs="Times New Roman"/>
                <w:kern w:val="0"/>
              </w:rPr>
              <w:t>恶臭：</w:t>
            </w:r>
            <w:r>
              <w:rPr>
                <w:rFonts w:hint="eastAsia" w:ascii="Times New Roman" w:hAnsi="Times New Roman" w:eastAsia="宋体"/>
                <w:color w:val="000000"/>
              </w:rPr>
              <w:t>加盖板密闭措施，喷洒微生物除臭剂，加强废水收集池周边绿化</w:t>
            </w:r>
            <w:r>
              <w:rPr>
                <w:rFonts w:ascii="Times New Roman" w:hAnsi="Times New Roman" w:eastAsia="宋体" w:cs="Times New Roman"/>
                <w:kern w:val="0"/>
              </w:rPr>
              <w:t>；</w:t>
            </w:r>
          </w:p>
          <w:p>
            <w:pPr>
              <w:widowControl w:val="0"/>
              <w:autoSpaceDE w:val="0"/>
              <w:autoSpaceDN w:val="0"/>
              <w:snapToGrid/>
              <w:jc w:val="left"/>
              <w:rPr>
                <w:rFonts w:ascii="Times New Roman" w:hAnsi="Times New Roman" w:eastAsia="宋体" w:cs="Times New Roman"/>
                <w:kern w:val="0"/>
              </w:rPr>
            </w:pPr>
            <w:r>
              <w:rPr>
                <w:rFonts w:hint="eastAsia" w:ascii="宋体" w:hAnsi="宋体" w:eastAsia="宋体" w:cs="宋体"/>
                <w:kern w:val="0"/>
                <w:lang w:eastAsia="ja-JP"/>
              </w:rPr>
              <w:t>④</w:t>
            </w:r>
            <w:r>
              <w:rPr>
                <w:rFonts w:ascii="Times New Roman" w:hAnsi="Times New Roman" w:eastAsia="宋体" w:cs="Times New Roman"/>
                <w:kern w:val="0"/>
              </w:rPr>
              <w:t>发电机燃烧废气：采用低硫柴油，产生的尾气由专用烟道引至屋外排放；</w:t>
            </w:r>
          </w:p>
          <w:p>
            <w:pPr>
              <w:widowControl w:val="0"/>
              <w:autoSpaceDE w:val="0"/>
              <w:autoSpaceDN w:val="0"/>
              <w:snapToGrid/>
              <w:jc w:val="left"/>
              <w:rPr>
                <w:rFonts w:ascii="Times New Roman" w:hAnsi="Times New Roman" w:eastAsia="宋体" w:cs="Times New Roman"/>
                <w:kern w:val="0"/>
              </w:rPr>
            </w:pPr>
            <w:r>
              <w:rPr>
                <w:rFonts w:hint="eastAsia" w:ascii="宋体" w:hAnsi="宋体" w:eastAsia="宋体" w:cs="宋体"/>
                <w:kern w:val="0"/>
              </w:rPr>
              <w:t>⑤</w:t>
            </w:r>
            <w:r>
              <w:rPr>
                <w:rFonts w:hint="eastAsia" w:ascii="Times New Roman" w:hAnsi="Times New Roman" w:eastAsia="宋体" w:cs="Times New Roman"/>
                <w:kern w:val="0"/>
              </w:rPr>
              <w:t>生物质颗粒锅炉燃烧废气：燃烧产生的尾气通过布袋除尘器+20m高的排气筒排放；</w:t>
            </w:r>
          </w:p>
          <w:p>
            <w:pPr>
              <w:widowControl w:val="0"/>
              <w:autoSpaceDE w:val="0"/>
              <w:autoSpaceDN w:val="0"/>
              <w:snapToGrid/>
              <w:jc w:val="left"/>
              <w:rPr>
                <w:rFonts w:ascii="Times New Roman" w:hAnsi="Times New Roman" w:eastAsia="宋体" w:cs="Times New Roman"/>
                <w:lang w:eastAsia="ja-JP"/>
              </w:rPr>
            </w:pPr>
            <w:r>
              <w:rPr>
                <w:rFonts w:hint="eastAsia" w:ascii="Times New Roman" w:hAnsi="Times New Roman" w:eastAsia="宋体" w:cs="Times New Roman"/>
                <w:kern w:val="0"/>
              </w:rPr>
              <w:t>⑥</w:t>
            </w:r>
            <w:r>
              <w:rPr>
                <w:rFonts w:ascii="Times New Roman" w:hAnsi="Times New Roman" w:eastAsia="宋体" w:cs="Times New Roman"/>
                <w:kern w:val="0"/>
                <w:lang w:eastAsia="ja-JP"/>
              </w:rPr>
              <w:t>食堂油烟由</w:t>
            </w:r>
            <w:r>
              <w:rPr>
                <w:rFonts w:ascii="Times New Roman" w:hAnsi="Times New Roman" w:eastAsia="宋体" w:cs="Times New Roman"/>
                <w:kern w:val="0"/>
              </w:rPr>
              <w:t>油烟净化器</w:t>
            </w:r>
            <w:r>
              <w:rPr>
                <w:rFonts w:ascii="Times New Roman" w:hAnsi="Times New Roman" w:eastAsia="宋体" w:cs="Times New Roman"/>
                <w:kern w:val="0"/>
                <w:lang w:eastAsia="ja-JP"/>
              </w:rPr>
              <w:t>处理后又将专用烟道引至食堂楼顶排放。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75" w:type="dxa"/>
            <w:vMerge w:val="continue"/>
            <w:vAlign w:val="center"/>
          </w:tcPr>
          <w:p>
            <w:pPr>
              <w:pStyle w:val="39"/>
              <w:rPr>
                <w:rFonts w:cs="Times New Roman"/>
              </w:rPr>
            </w:pPr>
          </w:p>
        </w:tc>
        <w:tc>
          <w:tcPr>
            <w:tcW w:w="1134" w:type="dxa"/>
            <w:gridSpan w:val="2"/>
            <w:vAlign w:val="center"/>
          </w:tcPr>
          <w:p>
            <w:pPr>
              <w:pStyle w:val="39"/>
              <w:rPr>
                <w:rFonts w:cs="Times New Roman"/>
              </w:rPr>
            </w:pPr>
            <w:r>
              <w:rPr>
                <w:rFonts w:cs="Times New Roman"/>
              </w:rPr>
              <w:t>固废</w:t>
            </w:r>
          </w:p>
        </w:tc>
        <w:tc>
          <w:tcPr>
            <w:tcW w:w="7364" w:type="dxa"/>
            <w:gridSpan w:val="5"/>
            <w:vAlign w:val="center"/>
          </w:tcPr>
          <w:p>
            <w:pPr>
              <w:widowControl w:val="0"/>
              <w:autoSpaceDE w:val="0"/>
              <w:autoSpaceDN w:val="0"/>
              <w:snapToGrid/>
              <w:jc w:val="left"/>
              <w:rPr>
                <w:rFonts w:ascii="Times New Roman" w:hAnsi="Times New Roman" w:eastAsia="宋体" w:cs="Times New Roman"/>
                <w:kern w:val="0"/>
              </w:rPr>
            </w:pPr>
            <w:r>
              <w:rPr>
                <w:rFonts w:hint="eastAsia" w:ascii="宋体" w:hAnsi="宋体" w:eastAsia="宋体" w:cs="宋体"/>
                <w:kern w:val="0"/>
              </w:rPr>
              <w:t>①</w:t>
            </w:r>
            <w:r>
              <w:rPr>
                <w:rFonts w:ascii="Times New Roman" w:hAnsi="Times New Roman" w:eastAsia="宋体" w:cs="Times New Roman"/>
                <w:kern w:val="0"/>
              </w:rPr>
              <w:t>鸡粪：</w:t>
            </w:r>
            <w:r>
              <w:rPr>
                <w:rFonts w:hint="eastAsia" w:ascii="Times New Roman" w:hAnsi="Times New Roman" w:eastAsia="宋体" w:cs="Times New Roman"/>
                <w:kern w:val="0"/>
              </w:rPr>
              <w:t>采用多赛干燥机，利用鸡舍内的热气将新鲜鸡粪进行干燥成有机肥，包装进入</w:t>
            </w:r>
            <w:r>
              <w:rPr>
                <w:rFonts w:hint="eastAsia" w:ascii="Times New Roman" w:hAnsi="Times New Roman" w:eastAsia="宋体"/>
              </w:rPr>
              <w:t>鸡粪储存仓库</w:t>
            </w:r>
            <w:r>
              <w:rPr>
                <w:rFonts w:hint="eastAsia" w:ascii="Times New Roman" w:hAnsi="Times New Roman" w:eastAsia="宋体" w:cs="Times New Roman"/>
                <w:kern w:val="0"/>
              </w:rPr>
              <w:t>，定期外售</w:t>
            </w:r>
            <w:r>
              <w:rPr>
                <w:rFonts w:ascii="Times New Roman" w:hAnsi="Times New Roman" w:eastAsia="宋体" w:cs="Times New Roman"/>
                <w:kern w:val="0"/>
              </w:rPr>
              <w:t>；</w:t>
            </w:r>
          </w:p>
          <w:p>
            <w:pPr>
              <w:widowControl w:val="0"/>
              <w:autoSpaceDE w:val="0"/>
              <w:autoSpaceDN w:val="0"/>
              <w:snapToGrid/>
              <w:jc w:val="left"/>
              <w:rPr>
                <w:rFonts w:ascii="Times New Roman" w:hAnsi="Times New Roman" w:eastAsia="宋体" w:cs="Times New Roman"/>
                <w:kern w:val="0"/>
                <w:u w:val="single"/>
              </w:rPr>
            </w:pPr>
            <w:r>
              <w:rPr>
                <w:rFonts w:hint="eastAsia" w:ascii="宋体" w:hAnsi="宋体" w:eastAsia="宋体" w:cs="宋体"/>
                <w:kern w:val="0"/>
                <w:u w:val="single"/>
              </w:rPr>
              <w:t>②</w:t>
            </w:r>
            <w:r>
              <w:rPr>
                <w:rFonts w:ascii="Times New Roman" w:hAnsi="Times New Roman" w:eastAsia="宋体" w:cs="Times New Roman"/>
                <w:kern w:val="0"/>
                <w:u w:val="single"/>
              </w:rPr>
              <w:t>病死鸡</w:t>
            </w:r>
            <w:r>
              <w:rPr>
                <w:rFonts w:hint="eastAsia" w:ascii="宋体" w:hAnsi="宋体" w:eastAsia="宋体" w:cs="宋体"/>
                <w:kern w:val="0"/>
                <w:szCs w:val="24"/>
                <w:u w:val="single"/>
              </w:rPr>
              <w:t>:暂存</w:t>
            </w:r>
            <w:r>
              <w:rPr>
                <w:rFonts w:ascii="宋体" w:hAnsi="宋体" w:eastAsia="宋体" w:cs="宋体"/>
                <w:kern w:val="0"/>
                <w:szCs w:val="24"/>
                <w:u w:val="single"/>
              </w:rPr>
              <w:t>至冰柜，定期</w:t>
            </w:r>
            <w:r>
              <w:rPr>
                <w:rFonts w:hint="eastAsia" w:ascii="宋体" w:hAnsi="宋体" w:eastAsia="宋体" w:cs="宋体"/>
                <w:kern w:val="0"/>
                <w:szCs w:val="24"/>
                <w:u w:val="single"/>
              </w:rPr>
              <w:t>委托</w:t>
            </w:r>
            <w:r>
              <w:rPr>
                <w:rFonts w:ascii="宋体" w:hAnsi="宋体" w:eastAsia="宋体" w:cs="宋体"/>
                <w:kern w:val="0"/>
                <w:szCs w:val="24"/>
                <w:u w:val="single"/>
              </w:rPr>
              <w:t>衡阳县畜牧水产局统一</w:t>
            </w:r>
            <w:r>
              <w:rPr>
                <w:rFonts w:hint="eastAsia" w:ascii="宋体" w:hAnsi="宋体" w:eastAsia="宋体" w:cs="宋体"/>
                <w:kern w:val="0"/>
                <w:szCs w:val="24"/>
                <w:u w:val="single"/>
              </w:rPr>
              <w:t>收集，再</w:t>
            </w:r>
            <w:r>
              <w:rPr>
                <w:rFonts w:ascii="宋体" w:hAnsi="宋体" w:eastAsia="宋体" w:cs="宋体"/>
                <w:kern w:val="0"/>
                <w:szCs w:val="24"/>
                <w:u w:val="single"/>
              </w:rPr>
              <w:t>运至衡阳</w:t>
            </w:r>
            <w:r>
              <w:rPr>
                <w:rFonts w:hint="eastAsia" w:ascii="宋体" w:hAnsi="宋体" w:eastAsia="宋体" w:cs="宋体"/>
                <w:kern w:val="0"/>
                <w:szCs w:val="24"/>
                <w:u w:val="single"/>
              </w:rPr>
              <w:t>市</w:t>
            </w:r>
            <w:r>
              <w:rPr>
                <w:rFonts w:ascii="宋体" w:hAnsi="宋体" w:eastAsia="宋体" w:cs="宋体"/>
                <w:kern w:val="0"/>
                <w:szCs w:val="24"/>
                <w:u w:val="single"/>
              </w:rPr>
              <w:t>禾和</w:t>
            </w:r>
            <w:r>
              <w:rPr>
                <w:rFonts w:hint="eastAsia" w:ascii="宋体" w:hAnsi="宋体" w:eastAsia="宋体" w:cs="宋体"/>
                <w:kern w:val="0"/>
                <w:szCs w:val="24"/>
                <w:u w:val="single"/>
              </w:rPr>
              <w:t>动物无害化处理有限</w:t>
            </w:r>
            <w:r>
              <w:rPr>
                <w:rFonts w:ascii="宋体" w:hAnsi="宋体" w:eastAsia="宋体" w:cs="宋体"/>
                <w:kern w:val="0"/>
                <w:szCs w:val="24"/>
                <w:u w:val="single"/>
              </w:rPr>
              <w:t>公司无害化处置</w:t>
            </w:r>
            <w:r>
              <w:rPr>
                <w:rFonts w:hint="eastAsia" w:ascii="宋体" w:hAnsi="宋体" w:eastAsia="宋体" w:cs="宋体"/>
                <w:kern w:val="0"/>
                <w:szCs w:val="24"/>
                <w:u w:val="single"/>
              </w:rPr>
              <w:t>；</w:t>
            </w:r>
          </w:p>
          <w:p>
            <w:pPr>
              <w:widowControl w:val="0"/>
              <w:autoSpaceDE w:val="0"/>
              <w:autoSpaceDN w:val="0"/>
              <w:snapToGrid/>
              <w:jc w:val="left"/>
              <w:rPr>
                <w:rFonts w:ascii="Times New Roman" w:hAnsi="Times New Roman" w:eastAsia="宋体" w:cs="Times New Roman"/>
                <w:kern w:val="0"/>
              </w:rPr>
            </w:pPr>
            <w:r>
              <w:rPr>
                <w:rFonts w:hint="eastAsia" w:ascii="宋体" w:hAnsi="宋体" w:eastAsia="宋体" w:cs="宋体"/>
                <w:kern w:val="0"/>
              </w:rPr>
              <w:t>③</w:t>
            </w:r>
            <w:r>
              <w:rPr>
                <w:rFonts w:hint="eastAsia" w:ascii="Times New Roman" w:hAnsi="Times New Roman" w:eastAsia="宋体" w:cs="Times New Roman"/>
                <w:kern w:val="0"/>
              </w:rPr>
              <w:t>蛋壳</w:t>
            </w:r>
            <w:r>
              <w:rPr>
                <w:rFonts w:ascii="Times New Roman" w:hAnsi="Times New Roman" w:eastAsia="宋体" w:cs="Times New Roman"/>
                <w:kern w:val="0"/>
              </w:rPr>
              <w:t>：</w:t>
            </w:r>
            <w:r>
              <w:rPr>
                <w:rFonts w:hint="eastAsia" w:ascii="Times New Roman" w:hAnsi="Times New Roman" w:eastAsia="宋体" w:cs="Times New Roman"/>
              </w:rPr>
              <w:t>粉碎后加入</w:t>
            </w:r>
            <w:r>
              <w:rPr>
                <w:rFonts w:ascii="Times New Roman" w:hAnsi="Times New Roman" w:eastAsia="宋体" w:cs="Times New Roman"/>
              </w:rPr>
              <w:t>鸡粪中</w:t>
            </w:r>
            <w:r>
              <w:rPr>
                <w:rFonts w:hint="eastAsia" w:ascii="Times New Roman" w:hAnsi="Times New Roman" w:eastAsia="宋体" w:cs="Times New Roman"/>
              </w:rPr>
              <w:t>制成有机肥</w:t>
            </w:r>
            <w:r>
              <w:rPr>
                <w:rFonts w:ascii="Times New Roman" w:hAnsi="Times New Roman" w:eastAsia="宋体" w:cs="Times New Roman"/>
              </w:rPr>
              <w:t>外售</w:t>
            </w:r>
            <w:r>
              <w:rPr>
                <w:rFonts w:ascii="Times New Roman" w:hAnsi="Times New Roman" w:eastAsia="宋体" w:cs="Times New Roman"/>
                <w:kern w:val="0"/>
              </w:rPr>
              <w:t>；</w:t>
            </w:r>
          </w:p>
          <w:p>
            <w:pPr>
              <w:widowControl w:val="0"/>
              <w:autoSpaceDE w:val="0"/>
              <w:autoSpaceDN w:val="0"/>
              <w:snapToGrid/>
              <w:jc w:val="left"/>
              <w:rPr>
                <w:rFonts w:ascii="Times New Roman" w:hAnsi="Times New Roman" w:eastAsia="宋体" w:cs="Times New Roman"/>
                <w:kern w:val="0"/>
              </w:rPr>
            </w:pPr>
            <w:r>
              <w:rPr>
                <w:rFonts w:hint="eastAsia" w:ascii="宋体" w:hAnsi="宋体" w:eastAsia="宋体" w:cs="宋体"/>
                <w:kern w:val="0"/>
              </w:rPr>
              <w:t>④</w:t>
            </w:r>
            <w:r>
              <w:rPr>
                <w:rFonts w:ascii="Times New Roman" w:hAnsi="Times New Roman" w:eastAsia="宋体" w:cs="Times New Roman"/>
                <w:kern w:val="0"/>
              </w:rPr>
              <w:t>废包装物料：交由供应商回收处理；</w:t>
            </w:r>
          </w:p>
          <w:p>
            <w:pPr>
              <w:widowControl w:val="0"/>
              <w:autoSpaceDE w:val="0"/>
              <w:autoSpaceDN w:val="0"/>
              <w:snapToGrid/>
              <w:jc w:val="left"/>
              <w:rPr>
                <w:rFonts w:ascii="Times New Roman" w:hAnsi="Times New Roman" w:eastAsia="宋体" w:cs="Times New Roman"/>
                <w:kern w:val="0"/>
              </w:rPr>
            </w:pPr>
            <w:r>
              <w:rPr>
                <w:rFonts w:hint="eastAsia" w:ascii="宋体" w:hAnsi="宋体" w:eastAsia="宋体" w:cs="宋体"/>
                <w:kern w:val="0"/>
                <w:lang w:eastAsia="ja-JP"/>
              </w:rPr>
              <w:t>⑤</w:t>
            </w:r>
            <w:r>
              <w:rPr>
                <w:rFonts w:ascii="Times New Roman" w:hAnsi="Times New Roman" w:eastAsia="宋体" w:cs="Times New Roman"/>
                <w:kern w:val="0"/>
              </w:rPr>
              <w:t>医疗垃圾：</w:t>
            </w:r>
            <w:r>
              <w:rPr>
                <w:rFonts w:hint="eastAsia" w:ascii="Times New Roman" w:hAnsi="Times New Roman" w:eastAsia="宋体" w:cs="Times New Roman"/>
                <w:kern w:val="0"/>
              </w:rPr>
              <w:t>危废暂存间分类暂存，并</w:t>
            </w:r>
            <w:r>
              <w:rPr>
                <w:rFonts w:ascii="Times New Roman" w:hAnsi="Times New Roman" w:eastAsia="宋体" w:cs="Times New Roman"/>
                <w:kern w:val="0"/>
              </w:rPr>
              <w:t>交由有资质单位处置</w:t>
            </w:r>
            <w:r>
              <w:rPr>
                <w:rFonts w:hint="eastAsia" w:ascii="Times New Roman" w:hAnsi="Times New Roman" w:eastAsia="宋体" w:cs="Times New Roman"/>
                <w:kern w:val="0"/>
              </w:rPr>
              <w:t>；</w:t>
            </w:r>
          </w:p>
          <w:p>
            <w:pPr>
              <w:pStyle w:val="39"/>
              <w:jc w:val="left"/>
              <w:rPr>
                <w:rFonts w:ascii="宋体" w:hAnsi="宋体" w:cs="宋体"/>
                <w:kern w:val="0"/>
              </w:rPr>
            </w:pPr>
            <w:r>
              <w:rPr>
                <w:rFonts w:hint="eastAsia" w:cs="Times New Roman"/>
                <w:kern w:val="0"/>
              </w:rPr>
              <w:t>⑥</w:t>
            </w:r>
            <w:r>
              <w:rPr>
                <w:rFonts w:hint="eastAsia" w:ascii="宋体" w:hAnsi="宋体" w:cs="宋体"/>
                <w:kern w:val="0"/>
              </w:rPr>
              <w:t>锅炉灰渣及布袋除尘器灰尘：收集后用作农肥；</w:t>
            </w:r>
          </w:p>
          <w:p>
            <w:pPr>
              <w:pStyle w:val="39"/>
              <w:jc w:val="left"/>
              <w:rPr>
                <w:rFonts w:cs="Times New Roman"/>
              </w:rPr>
            </w:pPr>
            <w:r>
              <w:rPr>
                <w:rFonts w:hint="eastAsia" w:cs="Times New Roman"/>
                <w:kern w:val="0"/>
              </w:rPr>
              <w:t>⑦</w:t>
            </w:r>
            <w:r>
              <w:rPr>
                <w:rFonts w:cs="Times New Roman"/>
                <w:kern w:val="0"/>
              </w:rPr>
              <w:t>生活垃圾：垃圾收集后由环卫部门统一清运处置。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75" w:type="dxa"/>
            <w:vMerge w:val="continue"/>
            <w:vAlign w:val="center"/>
          </w:tcPr>
          <w:p>
            <w:pPr>
              <w:pStyle w:val="39"/>
              <w:rPr>
                <w:rFonts w:cs="Times New Roman"/>
              </w:rPr>
            </w:pPr>
          </w:p>
        </w:tc>
        <w:tc>
          <w:tcPr>
            <w:tcW w:w="1134" w:type="dxa"/>
            <w:gridSpan w:val="2"/>
            <w:vAlign w:val="center"/>
          </w:tcPr>
          <w:p>
            <w:pPr>
              <w:pStyle w:val="39"/>
              <w:rPr>
                <w:rFonts w:cs="Times New Roman"/>
              </w:rPr>
            </w:pPr>
            <w:r>
              <w:rPr>
                <w:rFonts w:cs="Times New Roman"/>
              </w:rPr>
              <w:t>噪声</w:t>
            </w:r>
          </w:p>
        </w:tc>
        <w:tc>
          <w:tcPr>
            <w:tcW w:w="7364" w:type="dxa"/>
            <w:gridSpan w:val="5"/>
            <w:vAlign w:val="center"/>
          </w:tcPr>
          <w:p>
            <w:pPr>
              <w:widowControl w:val="0"/>
              <w:autoSpaceDE w:val="0"/>
              <w:autoSpaceDN w:val="0"/>
              <w:snapToGrid/>
              <w:jc w:val="left"/>
              <w:rPr>
                <w:rFonts w:ascii="Times New Roman" w:hAnsi="Times New Roman" w:eastAsia="宋体" w:cs="Times New Roman"/>
                <w:kern w:val="0"/>
              </w:rPr>
            </w:pPr>
            <w:r>
              <w:rPr>
                <w:rFonts w:hint="eastAsia" w:ascii="宋体" w:hAnsi="宋体" w:eastAsia="宋体" w:cs="宋体"/>
                <w:kern w:val="0"/>
              </w:rPr>
              <w:t>①</w:t>
            </w:r>
            <w:r>
              <w:rPr>
                <w:rFonts w:ascii="Times New Roman" w:hAnsi="Times New Roman" w:eastAsia="宋体" w:cs="Times New Roman"/>
                <w:kern w:val="0"/>
              </w:rPr>
              <w:t>各类机械、风机、水泵等：选用低噪声设备，落实减振、隔声等措施；</w:t>
            </w:r>
          </w:p>
          <w:p>
            <w:pPr>
              <w:widowControl w:val="0"/>
              <w:autoSpaceDE w:val="0"/>
              <w:autoSpaceDN w:val="0"/>
              <w:snapToGrid/>
              <w:jc w:val="left"/>
              <w:rPr>
                <w:rFonts w:ascii="Times New Roman" w:hAnsi="Times New Roman" w:eastAsia="宋体" w:cs="Times New Roman"/>
              </w:rPr>
            </w:pPr>
            <w:r>
              <w:rPr>
                <w:rFonts w:hint="eastAsia" w:ascii="宋体" w:hAnsi="宋体" w:eastAsia="宋体" w:cs="宋体"/>
                <w:kern w:val="0"/>
              </w:rPr>
              <w:t>②</w:t>
            </w:r>
            <w:r>
              <w:rPr>
                <w:rFonts w:ascii="Times New Roman" w:hAnsi="Times New Roman" w:eastAsia="宋体" w:cs="Times New Roman"/>
                <w:kern w:val="0"/>
              </w:rPr>
              <w:t>运输机械噪声：减速慢行、禁止鸣笛。</w:t>
            </w:r>
          </w:p>
        </w:tc>
      </w:tr>
    </w:tbl>
    <w:p>
      <w:pPr>
        <w:pStyle w:val="6"/>
      </w:pPr>
      <w:r>
        <w:rPr>
          <w:rFonts w:hint="eastAsia"/>
        </w:rPr>
        <w:t>项目规模及产品方案</w:t>
      </w:r>
    </w:p>
    <w:p>
      <w:pPr>
        <w:pStyle w:val="3"/>
        <w:ind w:firstLine="480"/>
      </w:pPr>
      <w:r>
        <w:rPr>
          <w:rFonts w:hint="eastAsia"/>
        </w:rPr>
        <w:t>本项目根据衡阳县及周边城市蛋品市场需求量建设60万只蛋鸡规模的生产基地。项目建成后年存栏量为60万只，蛋鸡500天出栏一次，</w:t>
      </w:r>
      <w:r>
        <w:rPr>
          <w:rFonts w:hint="eastAsia" w:cs="Times New Roman"/>
        </w:rPr>
        <w:t>育雏鸡存栏20万羽/a。</w:t>
      </w:r>
      <w:r>
        <w:rPr>
          <w:rFonts w:hint="eastAsia"/>
        </w:rPr>
        <w:t>对照《畜禽养殖业污染物排放标准》（GB18596-2001），项目为集约化畜禽养殖场Ⅰ级规模（存栏量≥100000）；</w:t>
      </w:r>
      <w:r>
        <w:rPr>
          <w:rFonts w:hint="eastAsia" w:cs="Times New Roman"/>
          <w:szCs w:val="24"/>
        </w:rPr>
        <w:t>仅进行鸡饲养，不涉及孵化、屠宰、饲料粉碎工艺环节。养殖过程中产生的鸡粪由法国多赛干燥机利用鸡舍热风烘干成有机肥外售。</w:t>
      </w:r>
    </w:p>
    <w:p>
      <w:pPr>
        <w:pStyle w:val="3"/>
        <w:ind w:firstLine="480"/>
      </w:pPr>
      <w:r>
        <w:rPr>
          <w:rFonts w:hint="eastAsia"/>
        </w:rPr>
        <w:t>项目选择品种为罗曼粉粉壳蛋鸡，罗曼粉粉壳蛋鸡是德国罗曼家禽育种有限公司培育的粉壳蛋鸡配套系。我国从20世纪80年代引进。罗曼粉粉壳蛋鸡具有饲料报酬高、产蛋多和成活率高的优良特点。罗曼粉粉壳蛋鸡在全国很多地区都可饲养，适宜集约化养鸡场、规模鸡场、专业户和农户饲养。</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本项目为，产品方案如下表所示。</w:t>
      </w:r>
    </w:p>
    <w:p>
      <w:pPr>
        <w:pStyle w:val="15"/>
      </w:pPr>
      <w:r>
        <w:rPr>
          <w:rFonts w:hint="eastAsia"/>
        </w:rPr>
        <w:t>表3.1-2 产品方案一览表</w:t>
      </w:r>
    </w:p>
    <w:tbl>
      <w:tblPr>
        <w:tblStyle w:val="26"/>
        <w:tblW w:w="86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1134"/>
        <w:gridCol w:w="992"/>
        <w:gridCol w:w="992"/>
        <w:gridCol w:w="1183"/>
        <w:gridCol w:w="3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815" w:type="dxa"/>
            <w:gridSpan w:val="2"/>
            <w:vAlign w:val="center"/>
          </w:tcPr>
          <w:p>
            <w:pPr>
              <w:widowControl w:val="0"/>
              <w:ind w:firstLine="102" w:firstLineChars="49"/>
              <w:jc w:val="center"/>
              <w:rPr>
                <w:rFonts w:ascii="Times New Roman" w:hAnsi="Times New Roman" w:cs="Times New Roman"/>
              </w:rPr>
            </w:pPr>
            <w:r>
              <w:rPr>
                <w:rFonts w:ascii="Times New Roman" w:hAnsi="Times New Roman" w:cs="Times New Roman"/>
              </w:rPr>
              <w:t>产品名称</w:t>
            </w:r>
          </w:p>
        </w:tc>
        <w:tc>
          <w:tcPr>
            <w:tcW w:w="992" w:type="dxa"/>
            <w:vAlign w:val="center"/>
          </w:tcPr>
          <w:p>
            <w:pPr>
              <w:widowControl w:val="0"/>
              <w:jc w:val="center"/>
              <w:rPr>
                <w:rFonts w:ascii="Times New Roman" w:hAnsi="Times New Roman" w:cs="Times New Roman"/>
              </w:rPr>
            </w:pPr>
            <w:r>
              <w:rPr>
                <w:rFonts w:ascii="Times New Roman" w:hAnsi="Times New Roman" w:cs="Times New Roman"/>
              </w:rPr>
              <w:t>单位</w:t>
            </w:r>
          </w:p>
        </w:tc>
        <w:tc>
          <w:tcPr>
            <w:tcW w:w="992" w:type="dxa"/>
            <w:vAlign w:val="center"/>
          </w:tcPr>
          <w:p>
            <w:pPr>
              <w:widowControl w:val="0"/>
              <w:jc w:val="center"/>
              <w:rPr>
                <w:rFonts w:ascii="Times New Roman" w:hAnsi="Times New Roman" w:cs="Times New Roman"/>
              </w:rPr>
            </w:pPr>
            <w:r>
              <w:rPr>
                <w:rFonts w:ascii="Times New Roman" w:hAnsi="Times New Roman" w:cs="Times New Roman"/>
              </w:rPr>
              <w:t>产量</w:t>
            </w:r>
          </w:p>
        </w:tc>
        <w:tc>
          <w:tcPr>
            <w:tcW w:w="1183" w:type="dxa"/>
            <w:vAlign w:val="center"/>
          </w:tcPr>
          <w:p>
            <w:pPr>
              <w:widowControl w:val="0"/>
              <w:jc w:val="center"/>
              <w:rPr>
                <w:rFonts w:ascii="Times New Roman" w:hAnsi="Times New Roman" w:cs="Times New Roman"/>
              </w:rPr>
            </w:pPr>
            <w:r>
              <w:rPr>
                <w:rFonts w:ascii="Times New Roman" w:hAnsi="Times New Roman" w:cs="Times New Roman"/>
              </w:rPr>
              <w:t>包装方式</w:t>
            </w:r>
          </w:p>
        </w:tc>
        <w:tc>
          <w:tcPr>
            <w:tcW w:w="3634" w:type="dxa"/>
            <w:vAlign w:val="center"/>
          </w:tcPr>
          <w:p>
            <w:pPr>
              <w:widowControl w:val="0"/>
              <w:jc w:val="center"/>
              <w:rPr>
                <w:rFonts w:ascii="Times New Roman" w:hAnsi="Times New Roman" w:cs="Times New Roman"/>
              </w:rPr>
            </w:pPr>
            <w:r>
              <w:rPr>
                <w:rFonts w:ascii="Times New Roman" w:hAnsi="Times New Roman" w:cs="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1" w:type="dxa"/>
            <w:vAlign w:val="center"/>
          </w:tcPr>
          <w:p>
            <w:pPr>
              <w:widowControl w:val="0"/>
              <w:jc w:val="center"/>
              <w:rPr>
                <w:rFonts w:ascii="Times New Roman" w:hAnsi="Times New Roman" w:cs="Times New Roman"/>
              </w:rPr>
            </w:pPr>
            <w:r>
              <w:rPr>
                <w:rFonts w:ascii="Times New Roman" w:hAnsi="Times New Roman" w:cs="Times New Roman"/>
              </w:rPr>
              <w:t>主产品</w:t>
            </w:r>
          </w:p>
        </w:tc>
        <w:tc>
          <w:tcPr>
            <w:tcW w:w="1134" w:type="dxa"/>
            <w:vAlign w:val="center"/>
          </w:tcPr>
          <w:p>
            <w:pPr>
              <w:widowControl w:val="0"/>
              <w:jc w:val="center"/>
              <w:rPr>
                <w:rFonts w:ascii="Times New Roman" w:hAnsi="Times New Roman" w:cs="Times New Roman"/>
              </w:rPr>
            </w:pPr>
            <w:r>
              <w:rPr>
                <w:rFonts w:ascii="Times New Roman" w:hAnsi="Times New Roman" w:cs="Times New Roman"/>
              </w:rPr>
              <w:t>商品鸡蛋</w:t>
            </w:r>
          </w:p>
        </w:tc>
        <w:tc>
          <w:tcPr>
            <w:tcW w:w="992" w:type="dxa"/>
            <w:vAlign w:val="center"/>
          </w:tcPr>
          <w:p>
            <w:pPr>
              <w:widowControl w:val="0"/>
              <w:jc w:val="center"/>
              <w:rPr>
                <w:rFonts w:ascii="Times New Roman" w:hAnsi="Times New Roman" w:cs="Times New Roman"/>
              </w:rPr>
            </w:pPr>
            <w:r>
              <w:rPr>
                <w:rFonts w:hint="eastAsia" w:ascii="Times New Roman" w:hAnsi="Times New Roman" w:cs="Times New Roman"/>
              </w:rPr>
              <w:t>亿</w:t>
            </w:r>
            <w:r>
              <w:rPr>
                <w:rFonts w:ascii="Times New Roman" w:hAnsi="Times New Roman" w:cs="Times New Roman"/>
              </w:rPr>
              <w:t>枚/年</w:t>
            </w:r>
          </w:p>
        </w:tc>
        <w:tc>
          <w:tcPr>
            <w:tcW w:w="992" w:type="dxa"/>
            <w:vAlign w:val="center"/>
          </w:tcPr>
          <w:p>
            <w:pPr>
              <w:widowControl w:val="0"/>
              <w:jc w:val="center"/>
              <w:rPr>
                <w:rFonts w:ascii="Times New Roman" w:hAnsi="Times New Roman" w:cs="Times New Roman"/>
              </w:rPr>
            </w:pPr>
            <w:r>
              <w:rPr>
                <w:rFonts w:hint="eastAsia" w:ascii="Times New Roman" w:hAnsi="Times New Roman" w:cs="Times New Roman"/>
              </w:rPr>
              <w:t>1.97</w:t>
            </w:r>
          </w:p>
        </w:tc>
        <w:tc>
          <w:tcPr>
            <w:tcW w:w="1183" w:type="dxa"/>
            <w:vAlign w:val="center"/>
          </w:tcPr>
          <w:p>
            <w:pPr>
              <w:widowControl w:val="0"/>
              <w:jc w:val="center"/>
              <w:rPr>
                <w:rFonts w:ascii="Times New Roman" w:hAnsi="Times New Roman" w:cs="Times New Roman"/>
              </w:rPr>
            </w:pPr>
            <w:r>
              <w:rPr>
                <w:rFonts w:ascii="Times New Roman" w:hAnsi="Times New Roman" w:cs="Times New Roman"/>
              </w:rPr>
              <w:t>塑料筐</w:t>
            </w:r>
          </w:p>
        </w:tc>
        <w:tc>
          <w:tcPr>
            <w:tcW w:w="3634" w:type="dxa"/>
            <w:vAlign w:val="center"/>
          </w:tcPr>
          <w:p>
            <w:pPr>
              <w:widowControl w:val="0"/>
              <w:jc w:val="center"/>
              <w:rPr>
                <w:rFonts w:ascii="Times New Roman" w:hAnsi="Times New Roman" w:cs="Times New Roman"/>
              </w:rPr>
            </w:pPr>
            <w:r>
              <w:rPr>
                <w:rFonts w:hint="eastAsia" w:ascii="Times New Roman" w:hAnsi="Times New Roman" w:cs="Times New Roman"/>
              </w:rPr>
              <w:t>约1‰的蛋（即20</w:t>
            </w:r>
            <w:r>
              <w:rPr>
                <w:rFonts w:ascii="Times New Roman" w:hAnsi="Times New Roman" w:cs="Times New Roman"/>
              </w:rPr>
              <w:t>万枚</w:t>
            </w:r>
            <w:r>
              <w:rPr>
                <w:rFonts w:hint="eastAsia" w:ascii="Times New Roman" w:hAnsi="Times New Roman" w:cs="Times New Roman"/>
              </w:rPr>
              <w:t>）为</w:t>
            </w:r>
            <w:r>
              <w:rPr>
                <w:rFonts w:ascii="Times New Roman" w:hAnsi="Times New Roman" w:cs="Times New Roman"/>
              </w:rPr>
              <w:t>劣质蛋和破壳蛋制成蛋液</w:t>
            </w:r>
            <w:r>
              <w:rPr>
                <w:rFonts w:hint="eastAsia" w:ascii="Times New Roman" w:hAnsi="Times New Roman" w:cs="Times New Roman"/>
              </w:rPr>
              <w:t>作为企业自养甲鱼饲料</w:t>
            </w:r>
            <w:r>
              <w:rPr>
                <w:rFonts w:ascii="Times New Roman" w:hAnsi="Times New Roman" w:cs="Times New Roman"/>
              </w:rPr>
              <w:t>，</w:t>
            </w:r>
            <w:r>
              <w:rPr>
                <w:rFonts w:hint="eastAsia" w:ascii="Times New Roman" w:hAnsi="Times New Roman" w:cs="Times New Roman"/>
              </w:rPr>
              <w:t>其余均为</w:t>
            </w:r>
            <w:r>
              <w:rPr>
                <w:rFonts w:ascii="Times New Roman" w:hAnsi="Times New Roman" w:cs="Times New Roman"/>
              </w:rPr>
              <w:t>商品鸡蛋出售。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1" w:type="dxa"/>
            <w:vMerge w:val="restart"/>
            <w:vAlign w:val="center"/>
          </w:tcPr>
          <w:p>
            <w:pPr>
              <w:widowControl w:val="0"/>
              <w:jc w:val="center"/>
              <w:rPr>
                <w:rFonts w:ascii="Times New Roman" w:hAnsi="Times New Roman" w:cs="Times New Roman"/>
              </w:rPr>
            </w:pPr>
            <w:r>
              <w:rPr>
                <w:rFonts w:ascii="Times New Roman" w:hAnsi="Times New Roman" w:cs="Times New Roman"/>
              </w:rPr>
              <w:t>副产品</w:t>
            </w:r>
          </w:p>
        </w:tc>
        <w:tc>
          <w:tcPr>
            <w:tcW w:w="1134" w:type="dxa"/>
            <w:vAlign w:val="center"/>
          </w:tcPr>
          <w:p>
            <w:pPr>
              <w:widowControl w:val="0"/>
              <w:jc w:val="center"/>
              <w:rPr>
                <w:rFonts w:ascii="Times New Roman" w:hAnsi="Times New Roman" w:cs="Times New Roman"/>
              </w:rPr>
            </w:pPr>
            <w:r>
              <w:rPr>
                <w:rFonts w:ascii="Times New Roman" w:hAnsi="Times New Roman" w:cs="Times New Roman"/>
              </w:rPr>
              <w:t>蛋液</w:t>
            </w:r>
          </w:p>
        </w:tc>
        <w:tc>
          <w:tcPr>
            <w:tcW w:w="992" w:type="dxa"/>
            <w:vAlign w:val="center"/>
          </w:tcPr>
          <w:p>
            <w:pPr>
              <w:widowControl w:val="0"/>
              <w:jc w:val="center"/>
              <w:rPr>
                <w:rFonts w:ascii="Times New Roman" w:hAnsi="Times New Roman" w:cs="Times New Roman"/>
              </w:rPr>
            </w:pPr>
            <w:r>
              <w:rPr>
                <w:rFonts w:ascii="Times New Roman" w:hAnsi="Times New Roman" w:cs="Times New Roman"/>
              </w:rPr>
              <w:t>t/a</w:t>
            </w:r>
          </w:p>
        </w:tc>
        <w:tc>
          <w:tcPr>
            <w:tcW w:w="992" w:type="dxa"/>
            <w:vAlign w:val="center"/>
          </w:tcPr>
          <w:p>
            <w:pPr>
              <w:widowControl w:val="0"/>
              <w:jc w:val="center"/>
              <w:rPr>
                <w:rFonts w:ascii="Times New Roman" w:hAnsi="Times New Roman" w:cs="Times New Roman"/>
              </w:rPr>
            </w:pPr>
            <w:r>
              <w:rPr>
                <w:rFonts w:hint="eastAsia" w:ascii="Times New Roman" w:hAnsi="Times New Roman" w:cs="Times New Roman"/>
              </w:rPr>
              <w:t>12.5</w:t>
            </w:r>
          </w:p>
        </w:tc>
        <w:tc>
          <w:tcPr>
            <w:tcW w:w="1183" w:type="dxa"/>
            <w:vAlign w:val="center"/>
          </w:tcPr>
          <w:p>
            <w:pPr>
              <w:widowControl w:val="0"/>
              <w:jc w:val="center"/>
              <w:rPr>
                <w:rFonts w:ascii="Times New Roman" w:hAnsi="Times New Roman" w:cs="Times New Roman"/>
              </w:rPr>
            </w:pPr>
            <w:r>
              <w:rPr>
                <w:rFonts w:ascii="Times New Roman" w:hAnsi="Times New Roman" w:cs="Times New Roman"/>
              </w:rPr>
              <w:t>塑料</w:t>
            </w:r>
            <w:r>
              <w:rPr>
                <w:rFonts w:hint="eastAsia" w:ascii="Times New Roman" w:hAnsi="Times New Roman" w:cs="Times New Roman"/>
              </w:rPr>
              <w:t>桶</w:t>
            </w:r>
          </w:p>
        </w:tc>
        <w:tc>
          <w:tcPr>
            <w:tcW w:w="3634" w:type="dxa"/>
            <w:vAlign w:val="center"/>
          </w:tcPr>
          <w:p>
            <w:pPr>
              <w:widowControl w:val="0"/>
              <w:jc w:val="center"/>
              <w:rPr>
                <w:rFonts w:ascii="Times New Roman" w:hAnsi="Times New Roman" w:cs="Times New Roman"/>
              </w:rPr>
            </w:pPr>
            <w:r>
              <w:rPr>
                <w:rFonts w:ascii="Times New Roman" w:hAnsi="Times New Roman" w:cs="Times New Roman"/>
              </w:rPr>
              <w:t>根据企业提供8枚鸡蛋折合为500g</w:t>
            </w:r>
            <w:r>
              <w:rPr>
                <w:rFonts w:hint="eastAsia" w:ascii="Times New Roman" w:hAnsi="Times New Roman" w:cs="Times New Roman"/>
              </w:rPr>
              <w:t>，作为企业自养甲鱼饲料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1" w:type="dxa"/>
            <w:vMerge w:val="continue"/>
            <w:vAlign w:val="center"/>
          </w:tcPr>
          <w:p>
            <w:pPr>
              <w:widowControl w:val="0"/>
              <w:jc w:val="center"/>
              <w:rPr>
                <w:rFonts w:ascii="Times New Roman" w:hAnsi="Times New Roman" w:cs="Times New Roman"/>
              </w:rPr>
            </w:pPr>
          </w:p>
        </w:tc>
        <w:tc>
          <w:tcPr>
            <w:tcW w:w="1134" w:type="dxa"/>
            <w:vAlign w:val="center"/>
          </w:tcPr>
          <w:p>
            <w:pPr>
              <w:widowControl w:val="0"/>
              <w:jc w:val="center"/>
              <w:rPr>
                <w:rFonts w:ascii="Times New Roman" w:hAnsi="Times New Roman" w:cs="Times New Roman"/>
              </w:rPr>
            </w:pPr>
            <w:r>
              <w:rPr>
                <w:rFonts w:ascii="Times New Roman" w:hAnsi="Times New Roman" w:cs="Times New Roman"/>
              </w:rPr>
              <w:t>淘汰鸡</w:t>
            </w:r>
          </w:p>
        </w:tc>
        <w:tc>
          <w:tcPr>
            <w:tcW w:w="992" w:type="dxa"/>
            <w:vAlign w:val="center"/>
          </w:tcPr>
          <w:p>
            <w:pPr>
              <w:widowControl w:val="0"/>
              <w:jc w:val="center"/>
              <w:rPr>
                <w:rFonts w:ascii="Times New Roman" w:hAnsi="Times New Roman" w:cs="Times New Roman"/>
              </w:rPr>
            </w:pPr>
            <w:r>
              <w:rPr>
                <w:rFonts w:ascii="Times New Roman" w:hAnsi="Times New Roman" w:cs="Times New Roman"/>
              </w:rPr>
              <w:t>万只/年</w:t>
            </w:r>
          </w:p>
        </w:tc>
        <w:tc>
          <w:tcPr>
            <w:tcW w:w="992" w:type="dxa"/>
            <w:vAlign w:val="center"/>
          </w:tcPr>
          <w:p>
            <w:pPr>
              <w:widowControl w:val="0"/>
              <w:jc w:val="center"/>
              <w:rPr>
                <w:rFonts w:ascii="Times New Roman" w:hAnsi="Times New Roman" w:cs="Times New Roman"/>
              </w:rPr>
            </w:pPr>
            <w:r>
              <w:rPr>
                <w:rFonts w:hint="eastAsia" w:ascii="Times New Roman" w:hAnsi="Times New Roman" w:cs="Times New Roman"/>
              </w:rPr>
              <w:t>60</w:t>
            </w:r>
          </w:p>
        </w:tc>
        <w:tc>
          <w:tcPr>
            <w:tcW w:w="1183" w:type="dxa"/>
            <w:vAlign w:val="center"/>
          </w:tcPr>
          <w:p>
            <w:pPr>
              <w:widowControl w:val="0"/>
              <w:jc w:val="center"/>
              <w:rPr>
                <w:rFonts w:ascii="Times New Roman" w:hAnsi="Times New Roman" w:cs="Times New Roman"/>
              </w:rPr>
            </w:pPr>
            <w:r>
              <w:rPr>
                <w:rFonts w:ascii="Times New Roman" w:hAnsi="Times New Roman" w:cs="Times New Roman"/>
              </w:rPr>
              <w:t>/</w:t>
            </w:r>
          </w:p>
        </w:tc>
        <w:tc>
          <w:tcPr>
            <w:tcW w:w="3634" w:type="dxa"/>
            <w:vAlign w:val="center"/>
          </w:tcPr>
          <w:p>
            <w:pPr>
              <w:widowControl w:val="0"/>
              <w:jc w:val="center"/>
              <w:rPr>
                <w:rFonts w:ascii="Times New Roman" w:hAnsi="Times New Roman" w:cs="Times New Roman"/>
              </w:rPr>
            </w:pPr>
            <w:r>
              <w:rPr>
                <w:rFonts w:ascii="Times New Roman" w:hAnsi="Times New Roman" w:cs="Times New Roman"/>
              </w:rPr>
              <w:t>每年产生的淘汰鸡数量约为200000只，按每只鸡平均体重1.3kg计算，约260t/a。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1" w:type="dxa"/>
            <w:vMerge w:val="continue"/>
            <w:vAlign w:val="center"/>
          </w:tcPr>
          <w:p>
            <w:pPr>
              <w:widowControl w:val="0"/>
              <w:jc w:val="center"/>
              <w:rPr>
                <w:rFonts w:ascii="Times New Roman" w:hAnsi="Times New Roman" w:cs="Times New Roman"/>
                <w:color w:val="FF0000"/>
              </w:rPr>
            </w:pPr>
          </w:p>
        </w:tc>
        <w:tc>
          <w:tcPr>
            <w:tcW w:w="1134" w:type="dxa"/>
            <w:vAlign w:val="center"/>
          </w:tcPr>
          <w:p>
            <w:pPr>
              <w:widowControl w:val="0"/>
              <w:jc w:val="center"/>
              <w:rPr>
                <w:rFonts w:ascii="Times New Roman" w:hAnsi="Times New Roman" w:cs="Times New Roman"/>
              </w:rPr>
            </w:pPr>
            <w:r>
              <w:rPr>
                <w:rFonts w:ascii="Times New Roman" w:hAnsi="Times New Roman" w:cs="Times New Roman"/>
              </w:rPr>
              <w:t>有机肥</w:t>
            </w:r>
          </w:p>
        </w:tc>
        <w:tc>
          <w:tcPr>
            <w:tcW w:w="992" w:type="dxa"/>
            <w:vAlign w:val="center"/>
          </w:tcPr>
          <w:p>
            <w:pPr>
              <w:widowControl w:val="0"/>
              <w:jc w:val="center"/>
              <w:rPr>
                <w:rFonts w:ascii="Times New Roman" w:hAnsi="Times New Roman" w:cs="Times New Roman"/>
              </w:rPr>
            </w:pPr>
            <w:r>
              <w:rPr>
                <w:rFonts w:ascii="Times New Roman" w:hAnsi="Times New Roman" w:cs="Times New Roman"/>
              </w:rPr>
              <w:t>t/a</w:t>
            </w:r>
          </w:p>
        </w:tc>
        <w:tc>
          <w:tcPr>
            <w:tcW w:w="992" w:type="dxa"/>
            <w:vAlign w:val="center"/>
          </w:tcPr>
          <w:p>
            <w:pPr>
              <w:widowControl w:val="0"/>
              <w:jc w:val="center"/>
              <w:rPr>
                <w:rFonts w:ascii="Times New Roman" w:hAnsi="Times New Roman" w:cs="Times New Roman"/>
              </w:rPr>
            </w:pPr>
            <w:r>
              <w:rPr>
                <w:rFonts w:ascii="Times New Roman" w:hAnsi="Times New Roman" w:cs="Times New Roman"/>
              </w:rPr>
              <w:t>9638.28</w:t>
            </w:r>
          </w:p>
        </w:tc>
        <w:tc>
          <w:tcPr>
            <w:tcW w:w="1183" w:type="dxa"/>
            <w:vAlign w:val="center"/>
          </w:tcPr>
          <w:p>
            <w:pPr>
              <w:widowControl w:val="0"/>
              <w:jc w:val="center"/>
              <w:rPr>
                <w:rFonts w:ascii="Times New Roman" w:hAnsi="Times New Roman" w:cs="Times New Roman"/>
              </w:rPr>
            </w:pPr>
            <w:r>
              <w:rPr>
                <w:rFonts w:ascii="Times New Roman" w:hAnsi="Times New Roman" w:cs="Times New Roman"/>
              </w:rPr>
              <w:t>纤维袋</w:t>
            </w:r>
          </w:p>
        </w:tc>
        <w:tc>
          <w:tcPr>
            <w:tcW w:w="3634" w:type="dxa"/>
            <w:vAlign w:val="center"/>
          </w:tcPr>
          <w:p>
            <w:pPr>
              <w:widowControl w:val="0"/>
              <w:jc w:val="center"/>
              <w:rPr>
                <w:rFonts w:ascii="Times New Roman" w:hAnsi="Times New Roman" w:cs="Times New Roman"/>
              </w:rPr>
            </w:pPr>
            <w:r>
              <w:rPr>
                <w:rFonts w:hint="eastAsia" w:ascii="Times New Roman" w:hAnsi="Times New Roman" w:cs="Times New Roman"/>
              </w:rPr>
              <w:t>鸡粪干燥机直接生产成有机肥，外售</w:t>
            </w:r>
          </w:p>
        </w:tc>
      </w:tr>
    </w:tbl>
    <w:p>
      <w:pPr>
        <w:pStyle w:val="3"/>
        <w:ind w:firstLine="480"/>
      </w:pPr>
    </w:p>
    <w:p>
      <w:pPr>
        <w:pStyle w:val="6"/>
      </w:pPr>
      <w:r>
        <w:rPr>
          <w:rFonts w:hint="eastAsia"/>
        </w:rPr>
        <w:t>主要生产设备</w:t>
      </w:r>
    </w:p>
    <w:p>
      <w:pPr>
        <w:pStyle w:val="3"/>
        <w:ind w:firstLine="480"/>
      </w:pPr>
      <w:r>
        <w:rPr>
          <w:rFonts w:hint="eastAsia"/>
        </w:rPr>
        <w:t>本项目主要生产设备如下表所示。</w:t>
      </w:r>
    </w:p>
    <w:p>
      <w:pPr>
        <w:pStyle w:val="15"/>
      </w:pPr>
      <w:r>
        <w:rPr>
          <w:rFonts w:hint="eastAsia"/>
        </w:rPr>
        <w:t>表3.1-3 主要生产设备一览表</w:t>
      </w:r>
    </w:p>
    <w:tbl>
      <w:tblPr>
        <w:tblStyle w:val="26"/>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857"/>
        <w:gridCol w:w="3080"/>
        <w:gridCol w:w="5236"/>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67"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ascii="Times New Roman" w:hAnsi="Times New Roman" w:cs="Times New Roman"/>
                <w:sz w:val="21"/>
                <w:szCs w:val="21"/>
              </w:rPr>
              <w:t>序号</w:t>
            </w:r>
          </w:p>
        </w:tc>
        <w:tc>
          <w:tcPr>
            <w:tcW w:w="1679"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ascii="Times New Roman" w:hAnsi="Times New Roman" w:cs="Times New Roman"/>
                <w:sz w:val="21"/>
                <w:szCs w:val="21"/>
              </w:rPr>
              <w:t>设备名称</w:t>
            </w:r>
          </w:p>
        </w:tc>
        <w:tc>
          <w:tcPr>
            <w:tcW w:w="2854"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ascii="Times New Roman" w:hAnsi="Times New Roman" w:cs="Times New Roman"/>
                <w:sz w:val="21"/>
                <w:szCs w:val="21"/>
              </w:rPr>
              <w:t>规模型号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67" w:type="pct"/>
            <w:tcBorders>
              <w:tl2br w:val="nil"/>
              <w:tr2bl w:val="nil"/>
            </w:tcBorders>
            <w:vAlign w:val="center"/>
          </w:tcPr>
          <w:p>
            <w:pPr>
              <w:pStyle w:val="52"/>
              <w:snapToGrid w:val="0"/>
              <w:spacing w:after="0"/>
              <w:jc w:val="center"/>
              <w:rPr>
                <w:rFonts w:ascii="Times New Roman" w:hAnsi="Times New Roman" w:cs="Times New Roman"/>
                <w:b/>
                <w:sz w:val="21"/>
                <w:szCs w:val="21"/>
              </w:rPr>
            </w:pPr>
            <w:r>
              <w:rPr>
                <w:rFonts w:ascii="Times New Roman" w:hAnsi="Times New Roman" w:cs="Times New Roman"/>
                <w:b/>
                <w:sz w:val="21"/>
                <w:szCs w:val="21"/>
              </w:rPr>
              <w:t>（</w:t>
            </w:r>
            <w:r>
              <w:rPr>
                <w:rFonts w:ascii="Times New Roman" w:hAnsi="Times New Roman" w:cs="Times New Roman"/>
                <w:sz w:val="21"/>
                <w:szCs w:val="21"/>
              </w:rPr>
              <w:t>一</w:t>
            </w:r>
            <w:r>
              <w:rPr>
                <w:rFonts w:ascii="Times New Roman" w:hAnsi="Times New Roman" w:cs="Times New Roman"/>
                <w:b/>
                <w:sz w:val="21"/>
                <w:szCs w:val="21"/>
              </w:rPr>
              <w:t>）</w:t>
            </w:r>
          </w:p>
        </w:tc>
        <w:tc>
          <w:tcPr>
            <w:tcW w:w="4533" w:type="pct"/>
            <w:gridSpan w:val="2"/>
            <w:tcBorders>
              <w:tl2br w:val="nil"/>
              <w:tr2bl w:val="nil"/>
            </w:tcBorders>
            <w:vAlign w:val="center"/>
          </w:tcPr>
          <w:p>
            <w:pPr>
              <w:pStyle w:val="52"/>
              <w:snapToGrid w:val="0"/>
              <w:spacing w:after="0"/>
              <w:jc w:val="center"/>
              <w:rPr>
                <w:rFonts w:ascii="Times New Roman" w:hAnsi="Times New Roman" w:cs="Times New Roman"/>
                <w:sz w:val="21"/>
                <w:szCs w:val="21"/>
              </w:rPr>
            </w:pPr>
            <w:r>
              <w:rPr>
                <w:rFonts w:ascii="Times New Roman" w:hAnsi="Times New Roman" w:cs="Times New Roman"/>
                <w:sz w:val="21"/>
                <w:szCs w:val="21"/>
              </w:rPr>
              <w:t>饲养系统</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67"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ascii="Times New Roman" w:hAnsi="Times New Roman" w:cs="Times New Roman"/>
                <w:sz w:val="21"/>
                <w:szCs w:val="21"/>
              </w:rPr>
              <w:t>1</w:t>
            </w:r>
          </w:p>
        </w:tc>
        <w:tc>
          <w:tcPr>
            <w:tcW w:w="1679"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ascii="Times New Roman" w:hAnsi="Times New Roman" w:cs="Times New Roman"/>
                <w:sz w:val="21"/>
                <w:szCs w:val="21"/>
              </w:rPr>
              <w:t>笼架</w:t>
            </w:r>
          </w:p>
        </w:tc>
        <w:tc>
          <w:tcPr>
            <w:tcW w:w="2854"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ascii="Times New Roman" w:hAnsi="Times New Roman" w:cs="Times New Roman"/>
                <w:sz w:val="21"/>
                <w:szCs w:val="21"/>
              </w:rPr>
              <w:t>L=840  108组/列×</w:t>
            </w:r>
            <w:r>
              <w:rPr>
                <w:rFonts w:hint="eastAsia" w:ascii="Times New Roman" w:hAnsi="Times New Roman" w:cs="Times New Roman"/>
                <w:sz w:val="21"/>
                <w:szCs w:val="21"/>
              </w:rPr>
              <w:t>5</w:t>
            </w:r>
            <w:r>
              <w:rPr>
                <w:rFonts w:ascii="Times New Roman" w:hAnsi="Times New Roman" w:cs="Times New Roman"/>
                <w:sz w:val="21"/>
                <w:szCs w:val="21"/>
              </w:rPr>
              <w:t>列</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67"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ascii="Times New Roman" w:hAnsi="Times New Roman" w:cs="Times New Roman"/>
                <w:sz w:val="21"/>
                <w:szCs w:val="21"/>
              </w:rPr>
              <w:t>2</w:t>
            </w:r>
          </w:p>
        </w:tc>
        <w:tc>
          <w:tcPr>
            <w:tcW w:w="1679"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ascii="Times New Roman" w:hAnsi="Times New Roman" w:cs="Times New Roman"/>
                <w:sz w:val="21"/>
                <w:szCs w:val="21"/>
              </w:rPr>
              <w:t>方水管</w:t>
            </w:r>
          </w:p>
        </w:tc>
        <w:tc>
          <w:tcPr>
            <w:tcW w:w="2854"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ascii="Times New Roman" w:hAnsi="Times New Roman" w:cs="Times New Roman"/>
                <w:sz w:val="21"/>
                <w:szCs w:val="21"/>
              </w:rPr>
              <w:t>庆安22mm</w:t>
            </w:r>
            <w:r>
              <w:rPr>
                <w:rFonts w:hint="eastAsia" w:ascii="Times New Roman" w:hAnsi="Times New Roman" w:cs="Times New Roman"/>
                <w:sz w:val="21"/>
                <w:szCs w:val="21"/>
              </w:rPr>
              <w:t>×</w:t>
            </w:r>
            <w:r>
              <w:rPr>
                <w:rFonts w:ascii="Times New Roman" w:hAnsi="Times New Roman" w:cs="Times New Roman"/>
                <w:sz w:val="21"/>
                <w:szCs w:val="21"/>
              </w:rPr>
              <w:t>22mm</w:t>
            </w:r>
            <w:r>
              <w:rPr>
                <w:rFonts w:hint="eastAsia" w:ascii="Times New Roman" w:hAnsi="Times New Roman" w:cs="Times New Roman"/>
                <w:sz w:val="21"/>
                <w:szCs w:val="21"/>
              </w:rPr>
              <w:t>×</w:t>
            </w:r>
            <w:r>
              <w:rPr>
                <w:rFonts w:ascii="Times New Roman" w:hAnsi="Times New Roman" w:cs="Times New Roman"/>
                <w:sz w:val="21"/>
                <w:szCs w:val="21"/>
              </w:rPr>
              <w:t>2.5m</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67"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ascii="Times New Roman" w:hAnsi="Times New Roman" w:cs="Times New Roman"/>
                <w:sz w:val="21"/>
                <w:szCs w:val="21"/>
              </w:rPr>
              <w:t>3</w:t>
            </w:r>
          </w:p>
        </w:tc>
        <w:tc>
          <w:tcPr>
            <w:tcW w:w="1679"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ascii="Times New Roman" w:hAnsi="Times New Roman" w:cs="Times New Roman"/>
                <w:sz w:val="21"/>
                <w:szCs w:val="21"/>
              </w:rPr>
              <w:t>乳头</w:t>
            </w:r>
          </w:p>
        </w:tc>
        <w:tc>
          <w:tcPr>
            <w:tcW w:w="2854"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ascii="Times New Roman" w:hAnsi="Times New Roman" w:cs="Times New Roman"/>
                <w:sz w:val="21"/>
                <w:szCs w:val="21"/>
              </w:rPr>
              <w:t>庆安</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67"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ascii="Times New Roman" w:hAnsi="Times New Roman" w:cs="Times New Roman"/>
                <w:sz w:val="21"/>
                <w:szCs w:val="21"/>
              </w:rPr>
              <w:t>4</w:t>
            </w:r>
          </w:p>
        </w:tc>
        <w:tc>
          <w:tcPr>
            <w:tcW w:w="1679"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ascii="Times New Roman" w:hAnsi="Times New Roman" w:cs="Times New Roman"/>
                <w:sz w:val="21"/>
                <w:szCs w:val="21"/>
              </w:rPr>
              <w:t>V型水槽</w:t>
            </w:r>
          </w:p>
        </w:tc>
        <w:tc>
          <w:tcPr>
            <w:tcW w:w="2854"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ascii="Times New Roman" w:hAnsi="Times New Roman" w:cs="Times New Roman"/>
                <w:sz w:val="21"/>
                <w:szCs w:val="21"/>
              </w:rPr>
              <w:t>L=4米</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67"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ascii="Times New Roman" w:hAnsi="Times New Roman" w:cs="Times New Roman"/>
                <w:sz w:val="21"/>
                <w:szCs w:val="21"/>
              </w:rPr>
              <w:t>5</w:t>
            </w:r>
          </w:p>
        </w:tc>
        <w:tc>
          <w:tcPr>
            <w:tcW w:w="1679"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ascii="Times New Roman" w:hAnsi="Times New Roman" w:cs="Times New Roman"/>
                <w:sz w:val="21"/>
                <w:szCs w:val="21"/>
              </w:rPr>
              <w:t>前端调压器</w:t>
            </w:r>
          </w:p>
        </w:tc>
        <w:tc>
          <w:tcPr>
            <w:tcW w:w="2854"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ascii="Times New Roman" w:hAnsi="Times New Roman" w:cs="Times New Roman"/>
                <w:sz w:val="21"/>
                <w:szCs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67"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ascii="Times New Roman" w:hAnsi="Times New Roman" w:cs="Times New Roman"/>
                <w:sz w:val="21"/>
                <w:szCs w:val="21"/>
              </w:rPr>
              <w:t>6</w:t>
            </w:r>
          </w:p>
        </w:tc>
        <w:tc>
          <w:tcPr>
            <w:tcW w:w="1679"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ascii="Times New Roman" w:hAnsi="Times New Roman" w:cs="Times New Roman"/>
                <w:sz w:val="21"/>
                <w:szCs w:val="21"/>
              </w:rPr>
              <w:t>终端水位器</w:t>
            </w:r>
          </w:p>
        </w:tc>
        <w:tc>
          <w:tcPr>
            <w:tcW w:w="2854"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ascii="Times New Roman" w:hAnsi="Times New Roman" w:cs="Times New Roman"/>
                <w:sz w:val="21"/>
                <w:szCs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67"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ascii="Times New Roman" w:hAnsi="Times New Roman" w:cs="Times New Roman"/>
                <w:sz w:val="21"/>
                <w:szCs w:val="21"/>
              </w:rPr>
              <w:t>7</w:t>
            </w:r>
          </w:p>
        </w:tc>
        <w:tc>
          <w:tcPr>
            <w:tcW w:w="1679"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ascii="Times New Roman" w:hAnsi="Times New Roman" w:cs="Times New Roman"/>
                <w:sz w:val="21"/>
                <w:szCs w:val="21"/>
              </w:rPr>
              <w:t>前端供水过滤器</w:t>
            </w:r>
          </w:p>
        </w:tc>
        <w:tc>
          <w:tcPr>
            <w:tcW w:w="2854"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ascii="Times New Roman" w:hAnsi="Times New Roman" w:cs="Times New Roman"/>
                <w:sz w:val="21"/>
                <w:szCs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67" w:type="pct"/>
            <w:tcBorders>
              <w:tl2br w:val="nil"/>
              <w:tr2bl w:val="nil"/>
            </w:tcBorders>
            <w:vAlign w:val="center"/>
          </w:tcPr>
          <w:p>
            <w:pPr>
              <w:pStyle w:val="52"/>
              <w:snapToGrid w:val="0"/>
              <w:spacing w:after="0"/>
              <w:jc w:val="center"/>
              <w:rPr>
                <w:rFonts w:ascii="Times New Roman" w:hAnsi="Times New Roman" w:cs="Times New Roman"/>
                <w:b/>
                <w:sz w:val="21"/>
                <w:szCs w:val="21"/>
              </w:rPr>
            </w:pPr>
            <w:r>
              <w:rPr>
                <w:rFonts w:ascii="Times New Roman" w:hAnsi="Times New Roman" w:cs="Times New Roman"/>
                <w:b/>
                <w:sz w:val="21"/>
                <w:szCs w:val="21"/>
              </w:rPr>
              <w:t>（二）</w:t>
            </w:r>
          </w:p>
        </w:tc>
        <w:tc>
          <w:tcPr>
            <w:tcW w:w="4533" w:type="pct"/>
            <w:gridSpan w:val="2"/>
            <w:tcBorders>
              <w:tl2br w:val="nil"/>
              <w:tr2bl w:val="nil"/>
            </w:tcBorders>
            <w:vAlign w:val="center"/>
          </w:tcPr>
          <w:p>
            <w:pPr>
              <w:pStyle w:val="39"/>
            </w:pPr>
            <w:r>
              <w:t>喂料系统</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67"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ascii="Times New Roman" w:hAnsi="Times New Roman" w:cs="Times New Roman"/>
                <w:sz w:val="21"/>
                <w:szCs w:val="21"/>
              </w:rPr>
              <w:t>1</w:t>
            </w:r>
          </w:p>
        </w:tc>
        <w:tc>
          <w:tcPr>
            <w:tcW w:w="1679"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ascii="Times New Roman" w:hAnsi="Times New Roman" w:cs="Times New Roman"/>
                <w:sz w:val="21"/>
                <w:szCs w:val="21"/>
              </w:rPr>
              <w:t>头尾架及喂料行车</w:t>
            </w:r>
          </w:p>
        </w:tc>
        <w:tc>
          <w:tcPr>
            <w:tcW w:w="2854"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ascii="Times New Roman" w:hAnsi="Times New Roman" w:cs="Times New Roman"/>
                <w:sz w:val="21"/>
                <w:szCs w:val="21"/>
              </w:rPr>
              <w:t>料箱：镀铝锌合金</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67"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ascii="Times New Roman" w:hAnsi="Times New Roman" w:cs="Times New Roman"/>
                <w:sz w:val="21"/>
                <w:szCs w:val="21"/>
              </w:rPr>
              <w:t>2</w:t>
            </w:r>
          </w:p>
        </w:tc>
        <w:tc>
          <w:tcPr>
            <w:tcW w:w="1679"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ascii="Times New Roman" w:hAnsi="Times New Roman" w:cs="Times New Roman"/>
                <w:sz w:val="21"/>
                <w:szCs w:val="21"/>
              </w:rPr>
              <w:t>牵引动力装置</w:t>
            </w:r>
          </w:p>
        </w:tc>
        <w:tc>
          <w:tcPr>
            <w:tcW w:w="2854" w:type="pct"/>
            <w:tcBorders>
              <w:tl2br w:val="nil"/>
              <w:tr2bl w:val="nil"/>
            </w:tcBorders>
            <w:vAlign w:val="center"/>
          </w:tcPr>
          <w:p>
            <w:pPr>
              <w:pStyle w:val="52"/>
              <w:snapToGrid w:val="0"/>
              <w:spacing w:after="0"/>
              <w:jc w:val="center"/>
              <w:rPr>
                <w:rFonts w:ascii="Times New Roman" w:hAnsi="Times New Roman"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67"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ascii="Times New Roman" w:hAnsi="Times New Roman" w:cs="Times New Roman"/>
                <w:sz w:val="21"/>
                <w:szCs w:val="21"/>
              </w:rPr>
              <w:t>3</w:t>
            </w:r>
          </w:p>
        </w:tc>
        <w:tc>
          <w:tcPr>
            <w:tcW w:w="1679"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ascii="Times New Roman" w:hAnsi="Times New Roman" w:cs="Times New Roman"/>
                <w:sz w:val="21"/>
                <w:szCs w:val="21"/>
              </w:rPr>
              <w:t>牵引绳</w:t>
            </w:r>
          </w:p>
        </w:tc>
        <w:tc>
          <w:tcPr>
            <w:tcW w:w="2854"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ascii="Times New Roman" w:hAnsi="Times New Roman" w:cs="Times New Roman"/>
                <w:sz w:val="21"/>
                <w:szCs w:val="21"/>
              </w:rPr>
              <w:t>每天210m</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67"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ascii="Times New Roman" w:hAnsi="Times New Roman" w:cs="Times New Roman"/>
                <w:sz w:val="21"/>
                <w:szCs w:val="21"/>
              </w:rPr>
              <w:t>4</w:t>
            </w:r>
          </w:p>
        </w:tc>
        <w:tc>
          <w:tcPr>
            <w:tcW w:w="1679"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ascii="Times New Roman" w:hAnsi="Times New Roman" w:cs="Times New Roman"/>
                <w:sz w:val="21"/>
                <w:szCs w:val="21"/>
              </w:rPr>
              <w:t>行车轨道</w:t>
            </w:r>
          </w:p>
        </w:tc>
        <w:tc>
          <w:tcPr>
            <w:tcW w:w="2854" w:type="pct"/>
            <w:tcBorders>
              <w:tl2br w:val="nil"/>
              <w:tr2bl w:val="nil"/>
            </w:tcBorders>
            <w:vAlign w:val="center"/>
          </w:tcPr>
          <w:p>
            <w:pPr>
              <w:pStyle w:val="52"/>
              <w:snapToGrid w:val="0"/>
              <w:spacing w:after="0"/>
              <w:jc w:val="center"/>
              <w:rPr>
                <w:rFonts w:ascii="Times New Roman" w:hAnsi="Times New Roman"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67"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ascii="Times New Roman" w:hAnsi="Times New Roman" w:cs="Times New Roman"/>
                <w:sz w:val="21"/>
                <w:szCs w:val="21"/>
              </w:rPr>
              <w:t>5</w:t>
            </w:r>
          </w:p>
        </w:tc>
        <w:tc>
          <w:tcPr>
            <w:tcW w:w="1679"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ascii="Times New Roman" w:hAnsi="Times New Roman" w:cs="Times New Roman"/>
                <w:sz w:val="21"/>
                <w:szCs w:val="21"/>
              </w:rPr>
              <w:t>横向输料装置</w:t>
            </w:r>
          </w:p>
        </w:tc>
        <w:tc>
          <w:tcPr>
            <w:tcW w:w="2854"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ascii="Times New Roman" w:hAnsi="Times New Roman" w:cs="Times New Roman"/>
                <w:sz w:val="21"/>
                <w:szCs w:val="21"/>
              </w:rPr>
              <w:t>L=20m</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67"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ascii="Times New Roman" w:hAnsi="Times New Roman" w:cs="Times New Roman"/>
                <w:sz w:val="21"/>
                <w:szCs w:val="21"/>
              </w:rPr>
              <w:t>6</w:t>
            </w:r>
          </w:p>
        </w:tc>
        <w:tc>
          <w:tcPr>
            <w:tcW w:w="1679"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ascii="Times New Roman" w:hAnsi="Times New Roman" w:cs="Times New Roman"/>
                <w:sz w:val="21"/>
                <w:szCs w:val="21"/>
              </w:rPr>
              <w:t>料塔</w:t>
            </w:r>
          </w:p>
        </w:tc>
        <w:tc>
          <w:tcPr>
            <w:tcW w:w="2854"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ascii="Times New Roman" w:hAnsi="Times New Roman" w:cs="Times New Roman"/>
                <w:sz w:val="21"/>
                <w:szCs w:val="21"/>
              </w:rPr>
              <w:t>15t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67" w:type="pct"/>
            <w:tcBorders>
              <w:tl2br w:val="nil"/>
              <w:tr2bl w:val="nil"/>
            </w:tcBorders>
            <w:vAlign w:val="center"/>
          </w:tcPr>
          <w:p>
            <w:pPr>
              <w:pStyle w:val="52"/>
              <w:snapToGrid w:val="0"/>
              <w:spacing w:after="0"/>
              <w:jc w:val="center"/>
              <w:rPr>
                <w:rFonts w:ascii="Times New Roman" w:hAnsi="Times New Roman" w:cs="Times New Roman"/>
                <w:b/>
                <w:sz w:val="21"/>
                <w:szCs w:val="21"/>
              </w:rPr>
            </w:pPr>
            <w:r>
              <w:rPr>
                <w:rFonts w:ascii="Times New Roman" w:hAnsi="Times New Roman" w:cs="Times New Roman"/>
                <w:b/>
                <w:sz w:val="21"/>
                <w:szCs w:val="21"/>
              </w:rPr>
              <w:t>（三）</w:t>
            </w:r>
          </w:p>
        </w:tc>
        <w:tc>
          <w:tcPr>
            <w:tcW w:w="4533" w:type="pct"/>
            <w:gridSpan w:val="2"/>
            <w:tcBorders>
              <w:tl2br w:val="nil"/>
              <w:tr2bl w:val="nil"/>
            </w:tcBorders>
            <w:vAlign w:val="center"/>
          </w:tcPr>
          <w:p>
            <w:pPr>
              <w:pStyle w:val="39"/>
            </w:pPr>
            <w:r>
              <w:t>清粪系统</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67"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ascii="Times New Roman" w:hAnsi="Times New Roman" w:cs="Times New Roman"/>
                <w:sz w:val="21"/>
                <w:szCs w:val="21"/>
              </w:rPr>
              <w:t>1</w:t>
            </w:r>
          </w:p>
        </w:tc>
        <w:tc>
          <w:tcPr>
            <w:tcW w:w="1679"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ascii="Times New Roman" w:hAnsi="Times New Roman" w:cs="Times New Roman"/>
                <w:sz w:val="21"/>
                <w:szCs w:val="21"/>
              </w:rPr>
              <w:t>纵向清粪头尾架及动力传动装置</w:t>
            </w:r>
          </w:p>
        </w:tc>
        <w:tc>
          <w:tcPr>
            <w:tcW w:w="2854"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ascii="Times New Roman" w:hAnsi="Times New Roman" w:cs="Times New Roman"/>
                <w:sz w:val="21"/>
                <w:szCs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67"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ascii="Times New Roman" w:hAnsi="Times New Roman" w:cs="Times New Roman"/>
                <w:sz w:val="21"/>
                <w:szCs w:val="21"/>
              </w:rPr>
              <w:t>2</w:t>
            </w:r>
          </w:p>
        </w:tc>
        <w:tc>
          <w:tcPr>
            <w:tcW w:w="1679"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ascii="Times New Roman" w:hAnsi="Times New Roman" w:cs="Times New Roman"/>
                <w:sz w:val="21"/>
                <w:szCs w:val="21"/>
              </w:rPr>
              <w:t>纵向输粪托架</w:t>
            </w:r>
          </w:p>
        </w:tc>
        <w:tc>
          <w:tcPr>
            <w:tcW w:w="2854"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hint="eastAsia" w:ascii="Times New Roman" w:hAnsi="Times New Roman" w:cs="Times New Roman"/>
                <w:sz w:val="21"/>
                <w:szCs w:val="21"/>
              </w:rPr>
              <w:t>8</w:t>
            </w:r>
            <w:r>
              <w:rPr>
                <w:rFonts w:ascii="Times New Roman" w:hAnsi="Times New Roman" w:cs="Times New Roman"/>
                <w:sz w:val="21"/>
                <w:szCs w:val="21"/>
              </w:rPr>
              <w:t>层/组</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67"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ascii="Times New Roman" w:hAnsi="Times New Roman" w:cs="Times New Roman"/>
                <w:sz w:val="21"/>
                <w:szCs w:val="21"/>
              </w:rPr>
              <w:t>3</w:t>
            </w:r>
          </w:p>
        </w:tc>
        <w:tc>
          <w:tcPr>
            <w:tcW w:w="1679"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ascii="Times New Roman" w:hAnsi="Times New Roman" w:cs="Times New Roman"/>
                <w:sz w:val="21"/>
                <w:szCs w:val="21"/>
              </w:rPr>
              <w:t>纵输粪带</w:t>
            </w:r>
          </w:p>
        </w:tc>
        <w:tc>
          <w:tcPr>
            <w:tcW w:w="2854"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ascii="Times New Roman" w:hAnsi="Times New Roman" w:cs="Times New Roman"/>
                <w:sz w:val="21"/>
                <w:szCs w:val="21"/>
              </w:rPr>
              <w:t>m</w:t>
            </w:r>
            <w:r>
              <w:rPr>
                <w:rFonts w:ascii="Times New Roman" w:hAnsi="Times New Roman" w:cs="Times New Roman"/>
                <w:sz w:val="21"/>
                <w:szCs w:val="21"/>
                <w:vertAlign w:val="superscript"/>
              </w:rPr>
              <w:t>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67"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ascii="Times New Roman" w:hAnsi="Times New Roman" w:cs="Times New Roman"/>
                <w:sz w:val="21"/>
                <w:szCs w:val="21"/>
              </w:rPr>
              <w:t>4</w:t>
            </w:r>
          </w:p>
        </w:tc>
        <w:tc>
          <w:tcPr>
            <w:tcW w:w="1679"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ascii="Times New Roman" w:hAnsi="Times New Roman" w:cs="Times New Roman"/>
                <w:sz w:val="21"/>
                <w:szCs w:val="21"/>
              </w:rPr>
              <w:t>横斜向输粪装置</w:t>
            </w:r>
          </w:p>
        </w:tc>
        <w:tc>
          <w:tcPr>
            <w:tcW w:w="2854"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ascii="Times New Roman" w:hAnsi="Times New Roman" w:cs="Times New Roman"/>
                <w:sz w:val="21"/>
                <w:szCs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67"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hint="eastAsia" w:ascii="Times New Roman" w:hAnsi="Times New Roman" w:cs="Times New Roman"/>
                <w:sz w:val="21"/>
                <w:szCs w:val="21"/>
              </w:rPr>
              <w:t>5</w:t>
            </w:r>
          </w:p>
        </w:tc>
        <w:tc>
          <w:tcPr>
            <w:tcW w:w="1679"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hint="eastAsia" w:ascii="Times New Roman" w:hAnsi="Times New Roman" w:cs="Times New Roman"/>
                <w:sz w:val="21"/>
                <w:szCs w:val="21"/>
              </w:rPr>
              <w:t>干燥机</w:t>
            </w:r>
          </w:p>
        </w:tc>
        <w:tc>
          <w:tcPr>
            <w:tcW w:w="2854"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hint="eastAsia" w:ascii="Times New Roman" w:hAnsi="Times New Roman" w:cs="Times New Roman"/>
                <w:sz w:val="21"/>
                <w:szCs w:val="21"/>
              </w:rPr>
              <w:t>法国多赛干燥机，4台</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67" w:type="pct"/>
            <w:tcBorders>
              <w:tl2br w:val="nil"/>
              <w:tr2bl w:val="nil"/>
            </w:tcBorders>
            <w:vAlign w:val="center"/>
          </w:tcPr>
          <w:p>
            <w:pPr>
              <w:pStyle w:val="52"/>
              <w:snapToGrid w:val="0"/>
              <w:spacing w:after="0"/>
              <w:jc w:val="center"/>
              <w:rPr>
                <w:rFonts w:ascii="Times New Roman" w:hAnsi="Times New Roman" w:cs="Times New Roman"/>
                <w:b/>
                <w:sz w:val="21"/>
                <w:szCs w:val="21"/>
              </w:rPr>
            </w:pPr>
            <w:r>
              <w:rPr>
                <w:rFonts w:ascii="Times New Roman" w:hAnsi="Times New Roman" w:cs="Times New Roman"/>
                <w:b/>
                <w:sz w:val="21"/>
                <w:szCs w:val="21"/>
              </w:rPr>
              <w:t>（四）</w:t>
            </w:r>
          </w:p>
        </w:tc>
        <w:tc>
          <w:tcPr>
            <w:tcW w:w="4533" w:type="pct"/>
            <w:gridSpan w:val="2"/>
            <w:tcBorders>
              <w:tl2br w:val="nil"/>
              <w:tr2bl w:val="nil"/>
            </w:tcBorders>
            <w:vAlign w:val="center"/>
          </w:tcPr>
          <w:p>
            <w:pPr>
              <w:pStyle w:val="39"/>
            </w:pPr>
            <w:r>
              <w:t>集蛋系统</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67"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ascii="Times New Roman" w:hAnsi="Times New Roman" w:cs="Times New Roman"/>
                <w:sz w:val="21"/>
                <w:szCs w:val="21"/>
              </w:rPr>
              <w:t>1</w:t>
            </w:r>
          </w:p>
        </w:tc>
        <w:tc>
          <w:tcPr>
            <w:tcW w:w="1679"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ascii="Times New Roman" w:hAnsi="Times New Roman" w:cs="Times New Roman"/>
                <w:sz w:val="21"/>
                <w:szCs w:val="21"/>
              </w:rPr>
              <w:t>自动集蛋机</w:t>
            </w:r>
          </w:p>
        </w:tc>
        <w:tc>
          <w:tcPr>
            <w:tcW w:w="2854"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ascii="Times New Roman" w:hAnsi="Times New Roman" w:cs="Times New Roman"/>
                <w:sz w:val="21"/>
                <w:szCs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67"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ascii="Times New Roman" w:hAnsi="Times New Roman" w:cs="Times New Roman"/>
                <w:sz w:val="21"/>
                <w:szCs w:val="21"/>
              </w:rPr>
              <w:t>2</w:t>
            </w:r>
          </w:p>
        </w:tc>
        <w:tc>
          <w:tcPr>
            <w:tcW w:w="1679"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ascii="Times New Roman" w:hAnsi="Times New Roman" w:cs="Times New Roman"/>
                <w:sz w:val="21"/>
                <w:szCs w:val="21"/>
              </w:rPr>
              <w:t>集蛋带</w:t>
            </w:r>
          </w:p>
        </w:tc>
        <w:tc>
          <w:tcPr>
            <w:tcW w:w="2854" w:type="pct"/>
            <w:tcBorders>
              <w:tl2br w:val="nil"/>
              <w:tr2bl w:val="nil"/>
            </w:tcBorders>
            <w:vAlign w:val="center"/>
          </w:tcPr>
          <w:p>
            <w:pPr>
              <w:pStyle w:val="52"/>
              <w:snapToGrid w:val="0"/>
              <w:spacing w:after="0"/>
              <w:jc w:val="center"/>
              <w:rPr>
                <w:rFonts w:ascii="Times New Roman" w:hAnsi="Times New Roman"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67"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ascii="Times New Roman" w:hAnsi="Times New Roman" w:cs="Times New Roman"/>
                <w:sz w:val="21"/>
                <w:szCs w:val="21"/>
              </w:rPr>
              <w:t>3</w:t>
            </w:r>
          </w:p>
        </w:tc>
        <w:tc>
          <w:tcPr>
            <w:tcW w:w="1679"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ascii="Times New Roman" w:hAnsi="Times New Roman" w:cs="Times New Roman"/>
                <w:sz w:val="21"/>
                <w:szCs w:val="21"/>
              </w:rPr>
              <w:t>蛋带夹</w:t>
            </w:r>
          </w:p>
        </w:tc>
        <w:tc>
          <w:tcPr>
            <w:tcW w:w="2854"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ascii="Times New Roman" w:hAnsi="Times New Roman" w:cs="Times New Roman"/>
                <w:sz w:val="21"/>
                <w:szCs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67" w:type="pct"/>
            <w:tcBorders>
              <w:tl2br w:val="nil"/>
              <w:tr2bl w:val="nil"/>
            </w:tcBorders>
            <w:vAlign w:val="center"/>
          </w:tcPr>
          <w:p>
            <w:pPr>
              <w:pStyle w:val="52"/>
              <w:snapToGrid w:val="0"/>
              <w:spacing w:after="0"/>
              <w:jc w:val="center"/>
              <w:rPr>
                <w:rFonts w:ascii="Times New Roman" w:hAnsi="Times New Roman" w:cs="Times New Roman"/>
                <w:b/>
                <w:sz w:val="21"/>
                <w:szCs w:val="21"/>
              </w:rPr>
            </w:pPr>
            <w:r>
              <w:rPr>
                <w:rFonts w:ascii="Times New Roman" w:hAnsi="Times New Roman" w:cs="Times New Roman"/>
                <w:b/>
                <w:sz w:val="21"/>
                <w:szCs w:val="21"/>
              </w:rPr>
              <w:t>（五）</w:t>
            </w:r>
          </w:p>
        </w:tc>
        <w:tc>
          <w:tcPr>
            <w:tcW w:w="4533" w:type="pct"/>
            <w:gridSpan w:val="2"/>
            <w:tcBorders>
              <w:tl2br w:val="nil"/>
              <w:tr2bl w:val="nil"/>
            </w:tcBorders>
            <w:vAlign w:val="center"/>
          </w:tcPr>
          <w:p>
            <w:pPr>
              <w:pStyle w:val="39"/>
            </w:pPr>
            <w:r>
              <w:t>通风系统</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67"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ascii="Times New Roman" w:hAnsi="Times New Roman" w:cs="Times New Roman"/>
                <w:sz w:val="21"/>
                <w:szCs w:val="21"/>
              </w:rPr>
              <w:t>1</w:t>
            </w:r>
          </w:p>
        </w:tc>
        <w:tc>
          <w:tcPr>
            <w:tcW w:w="1679"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ascii="Times New Roman" w:hAnsi="Times New Roman" w:cs="Times New Roman"/>
                <w:sz w:val="21"/>
                <w:szCs w:val="21"/>
              </w:rPr>
              <w:t>湿帘</w:t>
            </w:r>
          </w:p>
        </w:tc>
        <w:tc>
          <w:tcPr>
            <w:tcW w:w="2854"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ascii="Times New Roman" w:hAnsi="Times New Roman" w:cs="Times New Roman"/>
                <w:sz w:val="21"/>
                <w:szCs w:val="21"/>
              </w:rPr>
              <w:t>δ=100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67"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ascii="Times New Roman" w:hAnsi="Times New Roman" w:cs="Times New Roman"/>
                <w:sz w:val="21"/>
                <w:szCs w:val="21"/>
              </w:rPr>
              <w:t>2</w:t>
            </w:r>
          </w:p>
        </w:tc>
        <w:tc>
          <w:tcPr>
            <w:tcW w:w="1679"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ascii="Times New Roman" w:hAnsi="Times New Roman" w:cs="Times New Roman"/>
                <w:sz w:val="21"/>
                <w:szCs w:val="21"/>
              </w:rPr>
              <w:t>水循环管及水泵</w:t>
            </w:r>
          </w:p>
        </w:tc>
        <w:tc>
          <w:tcPr>
            <w:tcW w:w="2854"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ascii="Times New Roman" w:hAnsi="Times New Roman" w:cs="Times New Roman"/>
                <w:sz w:val="21"/>
                <w:szCs w:val="21"/>
              </w:rPr>
              <w:t>台式泵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67"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ascii="Times New Roman" w:hAnsi="Times New Roman" w:cs="Times New Roman"/>
                <w:sz w:val="21"/>
                <w:szCs w:val="21"/>
              </w:rPr>
              <w:t>3</w:t>
            </w:r>
          </w:p>
        </w:tc>
        <w:tc>
          <w:tcPr>
            <w:tcW w:w="1679"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ascii="Times New Roman" w:hAnsi="Times New Roman" w:cs="Times New Roman"/>
                <w:sz w:val="21"/>
                <w:szCs w:val="21"/>
              </w:rPr>
              <w:t>风机</w:t>
            </w:r>
          </w:p>
        </w:tc>
        <w:tc>
          <w:tcPr>
            <w:tcW w:w="2854"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ascii="Times New Roman" w:hAnsi="Times New Roman" w:cs="Times New Roman"/>
                <w:sz w:val="21"/>
                <w:szCs w:val="21"/>
              </w:rPr>
              <w:t>外径1.4×1.4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67"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ascii="Times New Roman" w:hAnsi="Times New Roman" w:cs="Times New Roman"/>
                <w:sz w:val="21"/>
                <w:szCs w:val="21"/>
              </w:rPr>
              <w:t>4</w:t>
            </w:r>
          </w:p>
        </w:tc>
        <w:tc>
          <w:tcPr>
            <w:tcW w:w="1679"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ascii="Times New Roman" w:hAnsi="Times New Roman" w:cs="Times New Roman"/>
                <w:sz w:val="21"/>
                <w:szCs w:val="21"/>
              </w:rPr>
              <w:t>侧墙通风窗</w:t>
            </w:r>
          </w:p>
        </w:tc>
        <w:tc>
          <w:tcPr>
            <w:tcW w:w="2854"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ascii="Times New Roman" w:hAnsi="Times New Roman" w:cs="Times New Roman"/>
                <w:sz w:val="21"/>
                <w:szCs w:val="21"/>
              </w:rPr>
              <w:t>2.5m/个</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67"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ascii="Times New Roman" w:hAnsi="Times New Roman" w:cs="Times New Roman"/>
                <w:sz w:val="21"/>
                <w:szCs w:val="21"/>
              </w:rPr>
              <w:t>5</w:t>
            </w:r>
          </w:p>
        </w:tc>
        <w:tc>
          <w:tcPr>
            <w:tcW w:w="1679"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ascii="Times New Roman" w:hAnsi="Times New Roman" w:cs="Times New Roman"/>
                <w:sz w:val="21"/>
                <w:szCs w:val="21"/>
              </w:rPr>
              <w:t>动力电机</w:t>
            </w:r>
          </w:p>
        </w:tc>
        <w:tc>
          <w:tcPr>
            <w:tcW w:w="2854"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ascii="Times New Roman" w:hAnsi="Times New Roman" w:cs="Times New Roman"/>
                <w:sz w:val="21"/>
                <w:szCs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67"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ascii="Times New Roman" w:hAnsi="Times New Roman" w:cs="Times New Roman"/>
                <w:sz w:val="21"/>
                <w:szCs w:val="21"/>
              </w:rPr>
              <w:t>6</w:t>
            </w:r>
          </w:p>
        </w:tc>
        <w:tc>
          <w:tcPr>
            <w:tcW w:w="1679"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ascii="Times New Roman" w:hAnsi="Times New Roman" w:cs="Times New Roman"/>
                <w:sz w:val="21"/>
                <w:szCs w:val="21"/>
              </w:rPr>
              <w:t>自动风门</w:t>
            </w:r>
          </w:p>
        </w:tc>
        <w:tc>
          <w:tcPr>
            <w:tcW w:w="2854"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ascii="Times New Roman" w:hAnsi="Times New Roman" w:cs="Times New Roman"/>
                <w:sz w:val="21"/>
                <w:szCs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67"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ascii="Times New Roman" w:hAnsi="Times New Roman" w:cs="Times New Roman"/>
                <w:sz w:val="21"/>
                <w:szCs w:val="21"/>
              </w:rPr>
              <w:t>7</w:t>
            </w:r>
          </w:p>
        </w:tc>
        <w:tc>
          <w:tcPr>
            <w:tcW w:w="1679"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ascii="Times New Roman" w:hAnsi="Times New Roman" w:cs="Times New Roman"/>
                <w:sz w:val="21"/>
                <w:szCs w:val="21"/>
              </w:rPr>
              <w:t>自动风门联动装置</w:t>
            </w:r>
          </w:p>
        </w:tc>
        <w:tc>
          <w:tcPr>
            <w:tcW w:w="2854"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ascii="Times New Roman" w:hAnsi="Times New Roman" w:cs="Times New Roman"/>
                <w:sz w:val="21"/>
                <w:szCs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67" w:type="pct"/>
            <w:tcBorders>
              <w:tl2br w:val="nil"/>
              <w:tr2bl w:val="nil"/>
            </w:tcBorders>
            <w:vAlign w:val="center"/>
          </w:tcPr>
          <w:p>
            <w:pPr>
              <w:pStyle w:val="52"/>
              <w:snapToGrid w:val="0"/>
              <w:spacing w:after="0"/>
              <w:jc w:val="center"/>
              <w:rPr>
                <w:rFonts w:ascii="Times New Roman" w:hAnsi="Times New Roman" w:cs="Times New Roman"/>
                <w:b/>
                <w:sz w:val="21"/>
                <w:szCs w:val="21"/>
              </w:rPr>
            </w:pPr>
            <w:r>
              <w:rPr>
                <w:rFonts w:ascii="Times New Roman" w:hAnsi="Times New Roman" w:cs="Times New Roman"/>
                <w:b/>
                <w:sz w:val="21"/>
                <w:szCs w:val="21"/>
              </w:rPr>
              <w:t>（六）</w:t>
            </w:r>
          </w:p>
        </w:tc>
        <w:tc>
          <w:tcPr>
            <w:tcW w:w="4533" w:type="pct"/>
            <w:gridSpan w:val="2"/>
            <w:tcBorders>
              <w:tl2br w:val="nil"/>
              <w:tr2bl w:val="nil"/>
            </w:tcBorders>
            <w:vAlign w:val="center"/>
          </w:tcPr>
          <w:p>
            <w:pPr>
              <w:pStyle w:val="52"/>
              <w:snapToGrid w:val="0"/>
              <w:spacing w:after="0"/>
              <w:jc w:val="center"/>
              <w:rPr>
                <w:rFonts w:ascii="Times New Roman" w:hAnsi="Times New Roman" w:cs="Times New Roman"/>
                <w:b/>
                <w:sz w:val="21"/>
                <w:szCs w:val="21"/>
              </w:rPr>
            </w:pPr>
            <w:r>
              <w:rPr>
                <w:rFonts w:ascii="Times New Roman" w:hAnsi="Times New Roman" w:cs="Times New Roman"/>
                <w:b/>
                <w:sz w:val="21"/>
                <w:szCs w:val="21"/>
              </w:rPr>
              <w:t>照明系统</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67"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ascii="Times New Roman" w:hAnsi="Times New Roman" w:cs="Times New Roman"/>
                <w:sz w:val="21"/>
                <w:szCs w:val="21"/>
              </w:rPr>
              <w:t>1</w:t>
            </w:r>
          </w:p>
        </w:tc>
        <w:tc>
          <w:tcPr>
            <w:tcW w:w="1679"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ascii="Times New Roman" w:hAnsi="Times New Roman" w:cs="Times New Roman"/>
                <w:sz w:val="21"/>
                <w:szCs w:val="21"/>
              </w:rPr>
              <w:t>LED灯、线路、开关、灯头</w:t>
            </w:r>
          </w:p>
        </w:tc>
        <w:tc>
          <w:tcPr>
            <w:tcW w:w="2854"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ascii="Times New Roman" w:hAnsi="Times New Roman" w:cs="Times New Roman"/>
                <w:sz w:val="21"/>
                <w:szCs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67"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hint="eastAsia" w:ascii="Times New Roman" w:hAnsi="Times New Roman" w:cs="Times New Roman"/>
                <w:sz w:val="21"/>
                <w:szCs w:val="21"/>
              </w:rPr>
              <w:t>（七）</w:t>
            </w:r>
          </w:p>
        </w:tc>
        <w:tc>
          <w:tcPr>
            <w:tcW w:w="4533" w:type="pct"/>
            <w:gridSpan w:val="2"/>
            <w:tcBorders>
              <w:tl2br w:val="nil"/>
              <w:tr2bl w:val="nil"/>
            </w:tcBorders>
            <w:vAlign w:val="center"/>
          </w:tcPr>
          <w:p>
            <w:pPr>
              <w:pStyle w:val="52"/>
              <w:snapToGrid w:val="0"/>
              <w:spacing w:after="0"/>
              <w:jc w:val="center"/>
              <w:rPr>
                <w:rFonts w:ascii="Times New Roman" w:hAnsi="Times New Roman" w:cs="Times New Roman"/>
                <w:sz w:val="21"/>
                <w:szCs w:val="21"/>
              </w:rPr>
            </w:pPr>
            <w:r>
              <w:rPr>
                <w:rFonts w:hint="eastAsia" w:ascii="Times New Roman" w:hAnsi="Times New Roman" w:cs="Times New Roman"/>
                <w:sz w:val="21"/>
                <w:szCs w:val="21"/>
              </w:rPr>
              <w:t>环保设备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67"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hint="eastAsia" w:ascii="Times New Roman" w:hAnsi="Times New Roman" w:cs="Times New Roman"/>
                <w:sz w:val="21"/>
                <w:szCs w:val="21"/>
              </w:rPr>
              <w:t>1</w:t>
            </w:r>
          </w:p>
        </w:tc>
        <w:tc>
          <w:tcPr>
            <w:tcW w:w="1679"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hint="eastAsia" w:ascii="Times New Roman" w:hAnsi="Times New Roman" w:cs="Times New Roman"/>
                <w:sz w:val="21"/>
                <w:szCs w:val="21"/>
              </w:rPr>
              <w:t>生物质颗粒锅炉</w:t>
            </w:r>
          </w:p>
        </w:tc>
        <w:tc>
          <w:tcPr>
            <w:tcW w:w="2854"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ascii="Times New Roman" w:hAnsi="Times New Roman" w:cs="Times New Roman"/>
                <w:sz w:val="21"/>
                <w:szCs w:val="21"/>
              </w:rPr>
              <w:t>0.47MW</w:t>
            </w:r>
            <w:r>
              <w:rPr>
                <w:rFonts w:hint="eastAsia" w:ascii="Times New Roman" w:hAnsi="Times New Roman" w:cs="Times New Roman"/>
                <w:sz w:val="21"/>
                <w:szCs w:val="21"/>
              </w:rPr>
              <w:t>，3台</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67"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hint="eastAsia" w:ascii="Times New Roman" w:hAnsi="Times New Roman" w:cs="Times New Roman"/>
                <w:sz w:val="21"/>
                <w:szCs w:val="21"/>
              </w:rPr>
              <w:t>2</w:t>
            </w:r>
          </w:p>
        </w:tc>
        <w:tc>
          <w:tcPr>
            <w:tcW w:w="1679"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hint="eastAsia" w:ascii="Times New Roman" w:hAnsi="Times New Roman" w:cs="Times New Roman"/>
                <w:sz w:val="21"/>
                <w:szCs w:val="21"/>
              </w:rPr>
              <w:t>冰柜</w:t>
            </w:r>
          </w:p>
        </w:tc>
        <w:tc>
          <w:tcPr>
            <w:tcW w:w="2854" w:type="pct"/>
            <w:tcBorders>
              <w:tl2br w:val="nil"/>
              <w:tr2bl w:val="nil"/>
            </w:tcBorders>
            <w:vAlign w:val="center"/>
          </w:tcPr>
          <w:p>
            <w:pPr>
              <w:pStyle w:val="52"/>
              <w:snapToGrid w:val="0"/>
              <w:spacing w:after="0"/>
              <w:jc w:val="center"/>
              <w:rPr>
                <w:rFonts w:ascii="Times New Roman" w:hAnsi="Times New Roman" w:cs="Times New Roman"/>
                <w:sz w:val="21"/>
                <w:szCs w:val="21"/>
              </w:rPr>
            </w:pPr>
            <w:r>
              <w:rPr>
                <w:rFonts w:hint="eastAsia" w:ascii="Times New Roman" w:hAnsi="Times New Roman" w:cs="Times New Roman"/>
                <w:sz w:val="21"/>
                <w:szCs w:val="21"/>
              </w:rPr>
              <w:t>800L；1台</w:t>
            </w:r>
          </w:p>
        </w:tc>
      </w:tr>
    </w:tbl>
    <w:p>
      <w:pPr>
        <w:pStyle w:val="3"/>
        <w:ind w:firstLine="480"/>
      </w:pPr>
    </w:p>
    <w:p>
      <w:pPr>
        <w:pStyle w:val="3"/>
        <w:ind w:firstLine="480"/>
      </w:pPr>
    </w:p>
    <w:p>
      <w:pPr>
        <w:pStyle w:val="6"/>
      </w:pPr>
      <w:r>
        <w:rPr>
          <w:rFonts w:hint="eastAsia"/>
        </w:rPr>
        <w:t>主要原辅材料</w:t>
      </w:r>
    </w:p>
    <w:p>
      <w:pPr>
        <w:pStyle w:val="3"/>
        <w:ind w:firstLine="480"/>
        <w:rPr>
          <w:rFonts w:cs="Times New Roman"/>
        </w:rPr>
      </w:pPr>
      <w:r>
        <w:rPr>
          <w:rFonts w:cs="Times New Roman"/>
        </w:rPr>
        <w:t>（1）养鸡饲料</w:t>
      </w:r>
    </w:p>
    <w:p>
      <w:pPr>
        <w:pStyle w:val="3"/>
        <w:ind w:firstLine="480"/>
        <w:rPr>
          <w:rFonts w:cs="Times New Roman"/>
        </w:rPr>
      </w:pPr>
      <w:r>
        <w:rPr>
          <w:rFonts w:cs="Times New Roman"/>
        </w:rPr>
        <w:t>根据建设单位提供的资料，本项目使用的饲料以粮食作物为主，饲料成分主要是玉米、豆粕等，饲料</w:t>
      </w:r>
      <w:r>
        <w:rPr>
          <w:rFonts w:hint="eastAsia" w:cs="Times New Roman"/>
        </w:rPr>
        <w:t>直接外购</w:t>
      </w:r>
      <w:r>
        <w:rPr>
          <w:rFonts w:cs="Times New Roman"/>
        </w:rPr>
        <w:t>，无需再次加工，主要贮存在饲料</w:t>
      </w:r>
      <w:r>
        <w:rPr>
          <w:rFonts w:hint="eastAsia" w:cs="Times New Roman"/>
        </w:rPr>
        <w:t>库</w:t>
      </w:r>
      <w:r>
        <w:rPr>
          <w:rFonts w:cs="Times New Roman"/>
        </w:rPr>
        <w:t>内，本项目饲料的使用情况见下表。</w:t>
      </w:r>
    </w:p>
    <w:p>
      <w:pPr>
        <w:pStyle w:val="15"/>
        <w:rPr>
          <w:rFonts w:cs="Times New Roman"/>
        </w:rPr>
      </w:pPr>
      <w:r>
        <w:rPr>
          <w:rFonts w:cs="Times New Roman"/>
        </w:rPr>
        <w:t>表3.1-4  饲料消耗情况一览表</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86"/>
        <w:gridCol w:w="4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586" w:type="dxa"/>
            <w:vAlign w:val="center"/>
          </w:tcPr>
          <w:p>
            <w:pPr>
              <w:pStyle w:val="39"/>
              <w:rPr>
                <w:rFonts w:cs="Times New Roman"/>
              </w:rPr>
            </w:pPr>
            <w:r>
              <w:rPr>
                <w:rFonts w:cs="Times New Roman"/>
              </w:rPr>
              <w:t>项目</w:t>
            </w:r>
          </w:p>
        </w:tc>
        <w:tc>
          <w:tcPr>
            <w:tcW w:w="4587" w:type="dxa"/>
            <w:vAlign w:val="center"/>
          </w:tcPr>
          <w:p>
            <w:pPr>
              <w:pStyle w:val="39"/>
              <w:rPr>
                <w:rFonts w:cs="Times New Roman"/>
              </w:rPr>
            </w:pPr>
            <w:r>
              <w:rPr>
                <w:rFonts w:hint="eastAsia" w:cs="Times New Roman"/>
              </w:rPr>
              <w:t>蛋</w:t>
            </w:r>
            <w:r>
              <w:rPr>
                <w:rFonts w:cs="Times New Roman"/>
              </w:rPr>
              <w:t>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586" w:type="dxa"/>
            <w:vAlign w:val="center"/>
          </w:tcPr>
          <w:p>
            <w:pPr>
              <w:pStyle w:val="39"/>
              <w:rPr>
                <w:rFonts w:cs="Times New Roman"/>
              </w:rPr>
            </w:pPr>
            <w:r>
              <w:rPr>
                <w:rFonts w:cs="Times New Roman"/>
              </w:rPr>
              <w:t>数量（万只）</w:t>
            </w:r>
          </w:p>
        </w:tc>
        <w:tc>
          <w:tcPr>
            <w:tcW w:w="4587" w:type="dxa"/>
            <w:vAlign w:val="center"/>
          </w:tcPr>
          <w:p>
            <w:pPr>
              <w:pStyle w:val="39"/>
              <w:rPr>
                <w:rFonts w:cs="Times New Roman"/>
              </w:rPr>
            </w:pPr>
            <w:r>
              <w:rPr>
                <w:rFonts w:hint="eastAsia" w:cs="Times New Roma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586" w:type="dxa"/>
            <w:vAlign w:val="center"/>
          </w:tcPr>
          <w:p>
            <w:pPr>
              <w:pStyle w:val="39"/>
              <w:rPr>
                <w:rFonts w:cs="Times New Roman"/>
              </w:rPr>
            </w:pPr>
            <w:r>
              <w:rPr>
                <w:rFonts w:cs="Times New Roman"/>
              </w:rPr>
              <w:t>平均饲料用量（g/只·天）</w:t>
            </w:r>
          </w:p>
        </w:tc>
        <w:tc>
          <w:tcPr>
            <w:tcW w:w="4587" w:type="dxa"/>
            <w:vAlign w:val="center"/>
          </w:tcPr>
          <w:p>
            <w:pPr>
              <w:pStyle w:val="39"/>
              <w:rPr>
                <w:rFonts w:cs="Times New Roman"/>
              </w:rPr>
            </w:pPr>
            <w:r>
              <w:rPr>
                <w:rFonts w:cs="Times New Roman"/>
              </w:rPr>
              <w:t>1</w:t>
            </w:r>
            <w:r>
              <w:rPr>
                <w:rFonts w:hint="eastAsia" w:cs="Times New Roman"/>
              </w:rPr>
              <w:t>0</w:t>
            </w:r>
            <w:r>
              <w:rPr>
                <w:rFonts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586" w:type="dxa"/>
            <w:vAlign w:val="center"/>
          </w:tcPr>
          <w:p>
            <w:pPr>
              <w:pStyle w:val="39"/>
              <w:rPr>
                <w:rFonts w:cs="Times New Roman"/>
              </w:rPr>
            </w:pPr>
            <w:r>
              <w:rPr>
                <w:rFonts w:cs="Times New Roman"/>
              </w:rPr>
              <w:t>饲料总用量（t/d）</w:t>
            </w:r>
          </w:p>
        </w:tc>
        <w:tc>
          <w:tcPr>
            <w:tcW w:w="4587" w:type="dxa"/>
            <w:vAlign w:val="center"/>
          </w:tcPr>
          <w:p>
            <w:pPr>
              <w:pStyle w:val="39"/>
              <w:rPr>
                <w:rFonts w:cs="Times New Roman"/>
              </w:rPr>
            </w:pPr>
            <w:r>
              <w:rPr>
                <w:rFonts w:hint="eastAsia" w:cs="Times New Roma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586" w:type="dxa"/>
            <w:vAlign w:val="center"/>
          </w:tcPr>
          <w:p>
            <w:pPr>
              <w:pStyle w:val="39"/>
              <w:rPr>
                <w:rFonts w:cs="Times New Roman"/>
              </w:rPr>
            </w:pPr>
            <w:r>
              <w:rPr>
                <w:rFonts w:cs="Times New Roman"/>
              </w:rPr>
              <w:t>合计（t/a）</w:t>
            </w:r>
          </w:p>
        </w:tc>
        <w:tc>
          <w:tcPr>
            <w:tcW w:w="4587" w:type="dxa"/>
            <w:vAlign w:val="center"/>
          </w:tcPr>
          <w:p>
            <w:pPr>
              <w:pStyle w:val="39"/>
              <w:rPr>
                <w:rFonts w:cs="Times New Roman"/>
              </w:rPr>
            </w:pPr>
            <w:r>
              <w:rPr>
                <w:rFonts w:hint="eastAsia" w:cs="Times New Roman"/>
              </w:rPr>
              <w:t>29200</w:t>
            </w:r>
          </w:p>
        </w:tc>
      </w:tr>
    </w:tbl>
    <w:p>
      <w:pPr>
        <w:pStyle w:val="3"/>
        <w:ind w:firstLine="480"/>
        <w:rPr>
          <w:rFonts w:cs="Times New Roman"/>
        </w:rPr>
      </w:pPr>
    </w:p>
    <w:p>
      <w:pPr>
        <w:pStyle w:val="3"/>
        <w:ind w:firstLine="480"/>
        <w:rPr>
          <w:rFonts w:cs="Times New Roman"/>
        </w:rPr>
      </w:pPr>
      <w:r>
        <w:rPr>
          <w:rFonts w:cs="Times New Roman"/>
        </w:rPr>
        <w:t>（2）其他材料</w:t>
      </w:r>
    </w:p>
    <w:p>
      <w:pPr>
        <w:pStyle w:val="3"/>
        <w:ind w:firstLine="480"/>
        <w:rPr>
          <w:rFonts w:cs="Times New Roman"/>
        </w:rPr>
      </w:pPr>
      <w:r>
        <w:rPr>
          <w:rFonts w:cs="Times New Roman"/>
        </w:rPr>
        <w:t>养殖场防疫及消毒用到兽药、疫苗、消毒剂，食堂和发电机用到燃料，本项目其他材料使用量见表3.1-5。</w:t>
      </w:r>
    </w:p>
    <w:p>
      <w:pPr>
        <w:pStyle w:val="15"/>
        <w:rPr>
          <w:rFonts w:cs="Times New Roman"/>
        </w:rPr>
      </w:pPr>
      <w:r>
        <w:rPr>
          <w:rFonts w:cs="Times New Roman"/>
        </w:rPr>
        <w:t>表3.1-5  本项目其他原辅材料消耗一览表</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5"/>
        <w:gridCol w:w="1147"/>
        <w:gridCol w:w="1487"/>
        <w:gridCol w:w="1183"/>
        <w:gridCol w:w="1055"/>
        <w:gridCol w:w="829"/>
        <w:gridCol w:w="982"/>
        <w:gridCol w:w="953"/>
        <w:gridCol w:w="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25" w:type="dxa"/>
            <w:vAlign w:val="center"/>
          </w:tcPr>
          <w:p>
            <w:pPr>
              <w:pStyle w:val="39"/>
              <w:rPr>
                <w:rFonts w:cs="Times New Roman"/>
              </w:rPr>
            </w:pPr>
            <w:r>
              <w:rPr>
                <w:rFonts w:cs="Times New Roman"/>
              </w:rPr>
              <w:t>序号</w:t>
            </w:r>
          </w:p>
        </w:tc>
        <w:tc>
          <w:tcPr>
            <w:tcW w:w="1147" w:type="dxa"/>
            <w:vAlign w:val="center"/>
          </w:tcPr>
          <w:p>
            <w:pPr>
              <w:pStyle w:val="39"/>
              <w:rPr>
                <w:rFonts w:cs="Times New Roman"/>
              </w:rPr>
            </w:pPr>
            <w:r>
              <w:rPr>
                <w:rFonts w:cs="Times New Roman"/>
              </w:rPr>
              <w:t>原料名称</w:t>
            </w:r>
          </w:p>
        </w:tc>
        <w:tc>
          <w:tcPr>
            <w:tcW w:w="1487" w:type="dxa"/>
            <w:vAlign w:val="center"/>
          </w:tcPr>
          <w:p>
            <w:pPr>
              <w:pStyle w:val="39"/>
              <w:rPr>
                <w:rFonts w:cs="Times New Roman"/>
              </w:rPr>
            </w:pPr>
            <w:r>
              <w:rPr>
                <w:rFonts w:cs="Times New Roman"/>
              </w:rPr>
              <w:t>主要成分</w:t>
            </w:r>
          </w:p>
        </w:tc>
        <w:tc>
          <w:tcPr>
            <w:tcW w:w="1183" w:type="dxa"/>
            <w:vAlign w:val="center"/>
          </w:tcPr>
          <w:p>
            <w:pPr>
              <w:pStyle w:val="39"/>
              <w:rPr>
                <w:rFonts w:cs="Times New Roman"/>
              </w:rPr>
            </w:pPr>
            <w:r>
              <w:rPr>
                <w:rFonts w:cs="Times New Roman"/>
              </w:rPr>
              <w:t>包装</w:t>
            </w:r>
          </w:p>
        </w:tc>
        <w:tc>
          <w:tcPr>
            <w:tcW w:w="1055" w:type="dxa"/>
            <w:vAlign w:val="center"/>
          </w:tcPr>
          <w:p>
            <w:pPr>
              <w:pStyle w:val="39"/>
              <w:rPr>
                <w:rFonts w:cs="Times New Roman"/>
              </w:rPr>
            </w:pPr>
            <w:r>
              <w:rPr>
                <w:rFonts w:cs="Times New Roman"/>
              </w:rPr>
              <w:t>年用量</w:t>
            </w:r>
          </w:p>
        </w:tc>
        <w:tc>
          <w:tcPr>
            <w:tcW w:w="829" w:type="dxa"/>
            <w:vAlign w:val="center"/>
          </w:tcPr>
          <w:p>
            <w:pPr>
              <w:pStyle w:val="39"/>
              <w:rPr>
                <w:rFonts w:cs="Times New Roman"/>
              </w:rPr>
            </w:pPr>
            <w:r>
              <w:rPr>
                <w:rFonts w:cs="Times New Roman"/>
              </w:rPr>
              <w:t>最大储存量</w:t>
            </w:r>
          </w:p>
        </w:tc>
        <w:tc>
          <w:tcPr>
            <w:tcW w:w="982" w:type="dxa"/>
            <w:vAlign w:val="center"/>
          </w:tcPr>
          <w:p>
            <w:pPr>
              <w:pStyle w:val="39"/>
              <w:rPr>
                <w:rFonts w:cs="Times New Roman"/>
              </w:rPr>
            </w:pPr>
            <w:r>
              <w:rPr>
                <w:rFonts w:cs="Times New Roman"/>
              </w:rPr>
              <w:t>用途</w:t>
            </w:r>
          </w:p>
        </w:tc>
        <w:tc>
          <w:tcPr>
            <w:tcW w:w="953" w:type="dxa"/>
            <w:vAlign w:val="center"/>
          </w:tcPr>
          <w:p>
            <w:pPr>
              <w:pStyle w:val="39"/>
              <w:rPr>
                <w:rFonts w:cs="Times New Roman"/>
              </w:rPr>
            </w:pPr>
            <w:r>
              <w:rPr>
                <w:rFonts w:cs="Times New Roman"/>
              </w:rPr>
              <w:t>储存位置</w:t>
            </w:r>
          </w:p>
        </w:tc>
        <w:tc>
          <w:tcPr>
            <w:tcW w:w="912" w:type="dxa"/>
            <w:vAlign w:val="center"/>
          </w:tcPr>
          <w:p>
            <w:pPr>
              <w:pStyle w:val="39"/>
              <w:rPr>
                <w:rFonts w:cs="Times New Roman"/>
              </w:rPr>
            </w:pPr>
            <w:r>
              <w:rPr>
                <w:rFonts w:hint="eastAsia" w:cs="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25" w:type="dxa"/>
            <w:vAlign w:val="center"/>
          </w:tcPr>
          <w:p>
            <w:pPr>
              <w:pStyle w:val="39"/>
              <w:rPr>
                <w:rFonts w:cs="Times New Roman"/>
              </w:rPr>
            </w:pPr>
            <w:r>
              <w:rPr>
                <w:rFonts w:cs="Times New Roman"/>
              </w:rPr>
              <w:t>1</w:t>
            </w:r>
          </w:p>
        </w:tc>
        <w:tc>
          <w:tcPr>
            <w:tcW w:w="1147" w:type="dxa"/>
            <w:vAlign w:val="center"/>
          </w:tcPr>
          <w:p>
            <w:pPr>
              <w:pStyle w:val="39"/>
              <w:rPr>
                <w:rFonts w:cs="Times New Roman"/>
              </w:rPr>
            </w:pPr>
            <w:r>
              <w:rPr>
                <w:rFonts w:hint="eastAsia" w:cs="Times New Roman"/>
              </w:rPr>
              <w:t>鸡苗</w:t>
            </w:r>
          </w:p>
        </w:tc>
        <w:tc>
          <w:tcPr>
            <w:tcW w:w="1487" w:type="dxa"/>
            <w:vAlign w:val="center"/>
          </w:tcPr>
          <w:p>
            <w:pPr>
              <w:pStyle w:val="39"/>
              <w:rPr>
                <w:rFonts w:cs="Times New Roman"/>
              </w:rPr>
            </w:pPr>
            <w:r>
              <w:rPr>
                <w:rFonts w:hint="eastAsia" w:cs="Times New Roman"/>
              </w:rPr>
              <w:t>/</w:t>
            </w:r>
          </w:p>
        </w:tc>
        <w:tc>
          <w:tcPr>
            <w:tcW w:w="1183" w:type="dxa"/>
            <w:vAlign w:val="center"/>
          </w:tcPr>
          <w:p>
            <w:pPr>
              <w:pStyle w:val="39"/>
              <w:rPr>
                <w:rFonts w:cs="Times New Roman"/>
              </w:rPr>
            </w:pPr>
            <w:r>
              <w:rPr>
                <w:rFonts w:hint="eastAsia" w:cs="Times New Roman"/>
              </w:rPr>
              <w:t>/</w:t>
            </w:r>
          </w:p>
        </w:tc>
        <w:tc>
          <w:tcPr>
            <w:tcW w:w="1055" w:type="dxa"/>
            <w:vAlign w:val="center"/>
          </w:tcPr>
          <w:p>
            <w:pPr>
              <w:pStyle w:val="39"/>
              <w:rPr>
                <w:rFonts w:cs="Times New Roman"/>
              </w:rPr>
            </w:pPr>
            <w:r>
              <w:rPr>
                <w:rFonts w:hint="eastAsia"/>
              </w:rPr>
              <w:t>约60万只</w:t>
            </w:r>
            <w:r>
              <w:t>/a</w:t>
            </w:r>
          </w:p>
        </w:tc>
        <w:tc>
          <w:tcPr>
            <w:tcW w:w="829" w:type="dxa"/>
            <w:vAlign w:val="center"/>
          </w:tcPr>
          <w:p>
            <w:pPr>
              <w:pStyle w:val="39"/>
              <w:rPr>
                <w:rFonts w:cs="Times New Roman"/>
              </w:rPr>
            </w:pPr>
            <w:r>
              <w:rPr>
                <w:rFonts w:hint="eastAsia" w:cs="Times New Roman"/>
              </w:rPr>
              <w:t>20万只/a</w:t>
            </w:r>
          </w:p>
        </w:tc>
        <w:tc>
          <w:tcPr>
            <w:tcW w:w="982" w:type="dxa"/>
            <w:vAlign w:val="center"/>
          </w:tcPr>
          <w:p>
            <w:pPr>
              <w:pStyle w:val="39"/>
              <w:rPr>
                <w:rFonts w:cs="Times New Roman"/>
              </w:rPr>
            </w:pPr>
            <w:r>
              <w:rPr>
                <w:rFonts w:hint="eastAsia" w:cs="Times New Roman"/>
              </w:rPr>
              <w:t>育成蛋鸡</w:t>
            </w:r>
          </w:p>
        </w:tc>
        <w:tc>
          <w:tcPr>
            <w:tcW w:w="953" w:type="dxa"/>
            <w:vAlign w:val="center"/>
          </w:tcPr>
          <w:p>
            <w:pPr>
              <w:pStyle w:val="39"/>
              <w:rPr>
                <w:rFonts w:cs="Times New Roman"/>
              </w:rPr>
            </w:pPr>
            <w:r>
              <w:rPr>
                <w:rFonts w:hint="eastAsia" w:cs="Times New Roman"/>
              </w:rPr>
              <w:t>育雏舍</w:t>
            </w:r>
          </w:p>
        </w:tc>
        <w:tc>
          <w:tcPr>
            <w:tcW w:w="912" w:type="dxa"/>
            <w:vAlign w:val="center"/>
          </w:tcPr>
          <w:p>
            <w:pPr>
              <w:pStyle w:val="39"/>
              <w:rPr>
                <w:rFonts w:cs="Times New Roman"/>
              </w:rPr>
            </w:pPr>
            <w:r>
              <w:rPr>
                <w:rFonts w:hint="eastAsia" w:cs="Times New Roman"/>
                <w:kern w:val="0"/>
              </w:rPr>
              <w:t>育雏期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25" w:type="dxa"/>
            <w:vAlign w:val="center"/>
          </w:tcPr>
          <w:p>
            <w:pPr>
              <w:pStyle w:val="39"/>
              <w:rPr>
                <w:rFonts w:cs="Times New Roman"/>
              </w:rPr>
            </w:pPr>
            <w:r>
              <w:rPr>
                <w:rFonts w:cs="Times New Roman"/>
              </w:rPr>
              <w:t>2</w:t>
            </w:r>
          </w:p>
        </w:tc>
        <w:tc>
          <w:tcPr>
            <w:tcW w:w="1147" w:type="dxa"/>
            <w:vAlign w:val="center"/>
          </w:tcPr>
          <w:p>
            <w:pPr>
              <w:pStyle w:val="39"/>
              <w:rPr>
                <w:rFonts w:cs="Times New Roman"/>
              </w:rPr>
            </w:pPr>
            <w:r>
              <w:rPr>
                <w:rFonts w:hint="eastAsia"/>
              </w:rPr>
              <w:t>疫苗</w:t>
            </w:r>
          </w:p>
        </w:tc>
        <w:tc>
          <w:tcPr>
            <w:tcW w:w="1487" w:type="dxa"/>
            <w:vAlign w:val="center"/>
          </w:tcPr>
          <w:p>
            <w:pPr>
              <w:pStyle w:val="39"/>
              <w:rPr>
                <w:rFonts w:cs="Times New Roman"/>
              </w:rPr>
            </w:pPr>
            <w:r>
              <w:rPr>
                <w:rFonts w:hint="eastAsia" w:cs="Times New Roman"/>
                <w:kern w:val="0"/>
              </w:rPr>
              <w:t>青霉素类、泰妙菌素类等</w:t>
            </w:r>
          </w:p>
        </w:tc>
        <w:tc>
          <w:tcPr>
            <w:tcW w:w="1183" w:type="dxa"/>
            <w:vAlign w:val="center"/>
          </w:tcPr>
          <w:p>
            <w:pPr>
              <w:pStyle w:val="39"/>
            </w:pPr>
            <w:r>
              <w:rPr>
                <w:rFonts w:hint="eastAsia"/>
              </w:rPr>
              <w:t>5</w:t>
            </w:r>
            <w:r>
              <w:t>0</w:t>
            </w:r>
            <w:r>
              <w:rPr>
                <w:rFonts w:hint="eastAsia"/>
              </w:rPr>
              <w:t>0</w:t>
            </w:r>
            <w:r>
              <w:rPr>
                <w:rFonts w:hint="eastAsia" w:ascii="宋体" w:cs="宋体"/>
                <w:kern w:val="0"/>
              </w:rPr>
              <w:t>ml</w:t>
            </w:r>
            <w:r>
              <w:rPr>
                <w:rFonts w:ascii="TimesNewRomanPSMT" w:eastAsia="TimesNewRomanPSMT" w:cs="TimesNewRomanPSMT"/>
                <w:kern w:val="0"/>
              </w:rPr>
              <w:t>/</w:t>
            </w:r>
            <w:r>
              <w:rPr>
                <w:rFonts w:hint="eastAsia" w:ascii="宋体" w:cs="宋体"/>
                <w:kern w:val="0"/>
              </w:rPr>
              <w:t>瓶</w:t>
            </w:r>
          </w:p>
        </w:tc>
        <w:tc>
          <w:tcPr>
            <w:tcW w:w="1055" w:type="dxa"/>
            <w:vAlign w:val="center"/>
          </w:tcPr>
          <w:p>
            <w:pPr>
              <w:pStyle w:val="39"/>
            </w:pPr>
            <w:r>
              <w:rPr>
                <w:rFonts w:hint="eastAsia"/>
              </w:rPr>
              <w:t>约</w:t>
            </w:r>
            <w:r>
              <w:t>1</w:t>
            </w:r>
            <w:r>
              <w:rPr>
                <w:rFonts w:hint="eastAsia"/>
              </w:rPr>
              <w:t>万</w:t>
            </w:r>
            <w:r>
              <w:t>瓶</w:t>
            </w:r>
          </w:p>
        </w:tc>
        <w:tc>
          <w:tcPr>
            <w:tcW w:w="829" w:type="dxa"/>
            <w:vAlign w:val="center"/>
          </w:tcPr>
          <w:p>
            <w:pPr>
              <w:pStyle w:val="39"/>
            </w:pPr>
            <w:r>
              <w:rPr>
                <w:rFonts w:hint="eastAsia"/>
              </w:rPr>
              <w:t>200瓶</w:t>
            </w:r>
          </w:p>
        </w:tc>
        <w:tc>
          <w:tcPr>
            <w:tcW w:w="982" w:type="dxa"/>
            <w:vAlign w:val="center"/>
          </w:tcPr>
          <w:p>
            <w:pPr>
              <w:pStyle w:val="39"/>
              <w:rPr>
                <w:rFonts w:cs="Times New Roman"/>
              </w:rPr>
            </w:pPr>
            <w:r>
              <w:rPr>
                <w:rFonts w:cs="Times New Roman"/>
                <w:kern w:val="0"/>
              </w:rPr>
              <w:t>防疫</w:t>
            </w:r>
          </w:p>
        </w:tc>
        <w:tc>
          <w:tcPr>
            <w:tcW w:w="953" w:type="dxa"/>
            <w:vAlign w:val="center"/>
          </w:tcPr>
          <w:p>
            <w:pPr>
              <w:pStyle w:val="39"/>
              <w:rPr>
                <w:rFonts w:cs="Times New Roman"/>
              </w:rPr>
            </w:pPr>
            <w:r>
              <w:rPr>
                <w:rFonts w:cs="Times New Roman"/>
                <w:kern w:val="0"/>
              </w:rPr>
              <w:t>兽医室</w:t>
            </w:r>
          </w:p>
        </w:tc>
        <w:tc>
          <w:tcPr>
            <w:tcW w:w="912" w:type="dxa"/>
            <w:vAlign w:val="center"/>
          </w:tcPr>
          <w:p>
            <w:pPr>
              <w:pStyle w:val="39"/>
              <w:rPr>
                <w:rFonts w:cs="Times New Roman"/>
                <w:kern w:val="0"/>
              </w:rPr>
            </w:pPr>
            <w:r>
              <w:rPr>
                <w:rFonts w:hint="eastAsia" w:cs="Times New Roman"/>
                <w:kern w:val="0"/>
              </w:rPr>
              <w:t>育雏期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25" w:type="dxa"/>
            <w:vAlign w:val="center"/>
          </w:tcPr>
          <w:p>
            <w:pPr>
              <w:pStyle w:val="39"/>
              <w:rPr>
                <w:rFonts w:cs="Times New Roman"/>
              </w:rPr>
            </w:pPr>
            <w:r>
              <w:rPr>
                <w:rFonts w:cs="Times New Roman"/>
              </w:rPr>
              <w:t>3</w:t>
            </w:r>
          </w:p>
        </w:tc>
        <w:tc>
          <w:tcPr>
            <w:tcW w:w="1147" w:type="dxa"/>
            <w:vAlign w:val="center"/>
          </w:tcPr>
          <w:p>
            <w:pPr>
              <w:pStyle w:val="39"/>
            </w:pPr>
            <w:r>
              <w:rPr>
                <w:rFonts w:hint="eastAsia"/>
              </w:rPr>
              <w:t>兽药</w:t>
            </w:r>
          </w:p>
        </w:tc>
        <w:tc>
          <w:tcPr>
            <w:tcW w:w="1487" w:type="dxa"/>
            <w:vAlign w:val="center"/>
          </w:tcPr>
          <w:p>
            <w:pPr>
              <w:pStyle w:val="39"/>
              <w:rPr>
                <w:rFonts w:cs="Times New Roman"/>
                <w:kern w:val="0"/>
              </w:rPr>
            </w:pPr>
            <w:r>
              <w:rPr>
                <w:rFonts w:hint="eastAsia" w:cs="Times New Roman"/>
                <w:kern w:val="0"/>
              </w:rPr>
              <w:t>中药制剂等</w:t>
            </w:r>
          </w:p>
        </w:tc>
        <w:tc>
          <w:tcPr>
            <w:tcW w:w="1183" w:type="dxa"/>
            <w:vAlign w:val="center"/>
          </w:tcPr>
          <w:p>
            <w:pPr>
              <w:pStyle w:val="39"/>
              <w:rPr>
                <w:rFonts w:cs="Times New Roman"/>
              </w:rPr>
            </w:pPr>
            <w:r>
              <w:rPr>
                <w:rFonts w:hint="eastAsia" w:cs="Times New Roman"/>
              </w:rPr>
              <w:t>500g/袋</w:t>
            </w:r>
          </w:p>
        </w:tc>
        <w:tc>
          <w:tcPr>
            <w:tcW w:w="1055" w:type="dxa"/>
            <w:vAlign w:val="center"/>
          </w:tcPr>
          <w:p>
            <w:pPr>
              <w:pStyle w:val="39"/>
              <w:jc w:val="both"/>
              <w:rPr>
                <w:rFonts w:cs="Times New Roman"/>
              </w:rPr>
            </w:pPr>
            <w:r>
              <w:rPr>
                <w:rFonts w:hint="eastAsia" w:cs="Times New Roman"/>
              </w:rPr>
              <w:t>约1万袋</w:t>
            </w:r>
          </w:p>
        </w:tc>
        <w:tc>
          <w:tcPr>
            <w:tcW w:w="829" w:type="dxa"/>
            <w:vAlign w:val="center"/>
          </w:tcPr>
          <w:p>
            <w:pPr>
              <w:pStyle w:val="39"/>
              <w:rPr>
                <w:rFonts w:cs="Times New Roman"/>
              </w:rPr>
            </w:pPr>
            <w:r>
              <w:rPr>
                <w:rFonts w:hint="eastAsia" w:cs="Times New Roman"/>
              </w:rPr>
              <w:t>500袋</w:t>
            </w:r>
          </w:p>
        </w:tc>
        <w:tc>
          <w:tcPr>
            <w:tcW w:w="982" w:type="dxa"/>
            <w:vAlign w:val="center"/>
          </w:tcPr>
          <w:p>
            <w:pPr>
              <w:pStyle w:val="39"/>
              <w:rPr>
                <w:rFonts w:cs="Times New Roman"/>
              </w:rPr>
            </w:pPr>
            <w:r>
              <w:rPr>
                <w:rFonts w:cs="Times New Roman"/>
                <w:kern w:val="0"/>
              </w:rPr>
              <w:t>防疫</w:t>
            </w:r>
          </w:p>
        </w:tc>
        <w:tc>
          <w:tcPr>
            <w:tcW w:w="953" w:type="dxa"/>
            <w:vAlign w:val="center"/>
          </w:tcPr>
          <w:p>
            <w:pPr>
              <w:pStyle w:val="39"/>
              <w:rPr>
                <w:rFonts w:cs="Times New Roman"/>
              </w:rPr>
            </w:pPr>
            <w:r>
              <w:rPr>
                <w:rFonts w:cs="Times New Roman"/>
                <w:kern w:val="0"/>
              </w:rPr>
              <w:t>兽医室</w:t>
            </w:r>
          </w:p>
        </w:tc>
        <w:tc>
          <w:tcPr>
            <w:tcW w:w="912" w:type="dxa"/>
            <w:vAlign w:val="center"/>
          </w:tcPr>
          <w:p>
            <w:pPr>
              <w:pStyle w:val="39"/>
              <w:rPr>
                <w:rFonts w:cs="Times New Roman"/>
                <w:kern w:val="0"/>
              </w:rPr>
            </w:pPr>
            <w:r>
              <w:rPr>
                <w:rFonts w:hint="eastAsia" w:cs="Times New Roman"/>
                <w:kern w:val="0"/>
              </w:rPr>
              <w:t>生蛋期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25" w:type="dxa"/>
            <w:vAlign w:val="center"/>
          </w:tcPr>
          <w:p>
            <w:pPr>
              <w:pStyle w:val="39"/>
              <w:rPr>
                <w:rFonts w:cs="Times New Roman"/>
              </w:rPr>
            </w:pPr>
            <w:r>
              <w:rPr>
                <w:rFonts w:cs="Times New Roman"/>
              </w:rPr>
              <w:t>4</w:t>
            </w:r>
          </w:p>
        </w:tc>
        <w:tc>
          <w:tcPr>
            <w:tcW w:w="1147" w:type="dxa"/>
            <w:vAlign w:val="center"/>
          </w:tcPr>
          <w:p>
            <w:pPr>
              <w:pStyle w:val="39"/>
              <w:rPr>
                <w:rFonts w:cs="Times New Roman"/>
              </w:rPr>
            </w:pPr>
            <w:r>
              <w:rPr>
                <w:rFonts w:cs="Times New Roman"/>
              </w:rPr>
              <w:t>消毒液</w:t>
            </w:r>
          </w:p>
        </w:tc>
        <w:tc>
          <w:tcPr>
            <w:tcW w:w="1487" w:type="dxa"/>
            <w:vAlign w:val="center"/>
          </w:tcPr>
          <w:p>
            <w:pPr>
              <w:widowControl w:val="0"/>
              <w:autoSpaceDE w:val="0"/>
              <w:autoSpaceDN w:val="0"/>
              <w:snapToGrid/>
              <w:jc w:val="left"/>
              <w:rPr>
                <w:rFonts w:ascii="Times New Roman" w:hAnsi="Times New Roman" w:eastAsia="宋体" w:cs="Times New Roman"/>
              </w:rPr>
            </w:pPr>
            <w:r>
              <w:rPr>
                <w:rFonts w:hint="eastAsia" w:ascii="Times New Roman" w:hAnsi="Times New Roman" w:eastAsia="宋体" w:cs="Times New Roman"/>
                <w:kern w:val="0"/>
              </w:rPr>
              <w:t>碘制剂、过氧乙酸</w:t>
            </w:r>
          </w:p>
        </w:tc>
        <w:tc>
          <w:tcPr>
            <w:tcW w:w="1183" w:type="dxa"/>
            <w:vAlign w:val="center"/>
          </w:tcPr>
          <w:p>
            <w:pPr>
              <w:pStyle w:val="39"/>
              <w:rPr>
                <w:rFonts w:cs="Times New Roman"/>
              </w:rPr>
            </w:pPr>
            <w:r>
              <w:rPr>
                <w:rFonts w:cs="Times New Roman"/>
              </w:rPr>
              <w:t>500</w:t>
            </w:r>
            <w:r>
              <w:rPr>
                <w:rFonts w:cs="Times New Roman"/>
                <w:kern w:val="0"/>
              </w:rPr>
              <w:t>ml</w:t>
            </w:r>
            <w:r>
              <w:rPr>
                <w:rFonts w:eastAsia="TimesNewRomanPSMT" w:cs="Times New Roman"/>
                <w:kern w:val="0"/>
              </w:rPr>
              <w:t>/</w:t>
            </w:r>
            <w:r>
              <w:rPr>
                <w:rFonts w:cs="Times New Roman"/>
                <w:kern w:val="0"/>
              </w:rPr>
              <w:t>瓶</w:t>
            </w:r>
          </w:p>
        </w:tc>
        <w:tc>
          <w:tcPr>
            <w:tcW w:w="1055" w:type="dxa"/>
            <w:vAlign w:val="center"/>
          </w:tcPr>
          <w:p>
            <w:pPr>
              <w:pStyle w:val="39"/>
              <w:rPr>
                <w:rFonts w:cs="Times New Roman"/>
              </w:rPr>
            </w:pPr>
            <w:r>
              <w:rPr>
                <w:rFonts w:cs="Times New Roman"/>
              </w:rPr>
              <w:t>约6000瓶</w:t>
            </w:r>
          </w:p>
        </w:tc>
        <w:tc>
          <w:tcPr>
            <w:tcW w:w="829" w:type="dxa"/>
            <w:vAlign w:val="center"/>
          </w:tcPr>
          <w:p>
            <w:pPr>
              <w:pStyle w:val="39"/>
              <w:rPr>
                <w:rFonts w:cs="Times New Roman"/>
              </w:rPr>
            </w:pPr>
            <w:r>
              <w:rPr>
                <w:rFonts w:cs="Times New Roman"/>
              </w:rPr>
              <w:t>600瓶</w:t>
            </w:r>
          </w:p>
        </w:tc>
        <w:tc>
          <w:tcPr>
            <w:tcW w:w="982" w:type="dxa"/>
            <w:vAlign w:val="center"/>
          </w:tcPr>
          <w:p>
            <w:pPr>
              <w:pStyle w:val="39"/>
              <w:rPr>
                <w:rFonts w:cs="Times New Roman"/>
              </w:rPr>
            </w:pPr>
            <w:r>
              <w:rPr>
                <w:rFonts w:cs="Times New Roman"/>
              </w:rPr>
              <w:t>消毒</w:t>
            </w:r>
          </w:p>
        </w:tc>
        <w:tc>
          <w:tcPr>
            <w:tcW w:w="953" w:type="dxa"/>
            <w:vAlign w:val="center"/>
          </w:tcPr>
          <w:p>
            <w:pPr>
              <w:pStyle w:val="39"/>
              <w:rPr>
                <w:rFonts w:cs="Times New Roman"/>
              </w:rPr>
            </w:pPr>
            <w:r>
              <w:rPr>
                <w:rFonts w:cs="Times New Roman"/>
              </w:rPr>
              <w:t>仓库</w:t>
            </w:r>
          </w:p>
        </w:tc>
        <w:tc>
          <w:tcPr>
            <w:tcW w:w="912" w:type="dxa"/>
            <w:vAlign w:val="center"/>
          </w:tcPr>
          <w:p>
            <w:pPr>
              <w:pStyle w:val="39"/>
              <w:rPr>
                <w:rFonts w:cs="Times New Roman"/>
              </w:rPr>
            </w:pPr>
            <w:r>
              <w:rPr>
                <w:rFonts w:hint="eastAsia"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25" w:type="dxa"/>
            <w:vAlign w:val="center"/>
          </w:tcPr>
          <w:p>
            <w:pPr>
              <w:pStyle w:val="39"/>
              <w:rPr>
                <w:rFonts w:cs="Times New Roman"/>
              </w:rPr>
            </w:pPr>
            <w:r>
              <w:rPr>
                <w:rFonts w:cs="Times New Roman"/>
              </w:rPr>
              <w:t>5</w:t>
            </w:r>
          </w:p>
        </w:tc>
        <w:tc>
          <w:tcPr>
            <w:tcW w:w="1147" w:type="dxa"/>
            <w:vAlign w:val="center"/>
          </w:tcPr>
          <w:p>
            <w:pPr>
              <w:pStyle w:val="39"/>
              <w:rPr>
                <w:rFonts w:cs="Times New Roman"/>
              </w:rPr>
            </w:pPr>
            <w:r>
              <w:rPr>
                <w:rFonts w:hint="eastAsia"/>
              </w:rPr>
              <w:t>微生物除臭菌剂</w:t>
            </w:r>
          </w:p>
        </w:tc>
        <w:tc>
          <w:tcPr>
            <w:tcW w:w="1487" w:type="dxa"/>
            <w:vAlign w:val="center"/>
          </w:tcPr>
          <w:p>
            <w:pPr>
              <w:widowControl w:val="0"/>
              <w:autoSpaceDE w:val="0"/>
              <w:autoSpaceDN w:val="0"/>
              <w:snapToGrid/>
              <w:jc w:val="center"/>
              <w:rPr>
                <w:rFonts w:ascii="Times New Roman" w:hAnsi="Times New Roman" w:eastAsia="宋体" w:cs="Times New Roman"/>
              </w:rPr>
            </w:pPr>
            <w:r>
              <w:rPr>
                <w:rFonts w:hint="eastAsia" w:ascii="Times New Roman" w:hAnsi="Times New Roman" w:eastAsia="宋体" w:cs="Times New Roman"/>
              </w:rPr>
              <w:t>芽孢杆菌、酵母菌、乳酸菌等</w:t>
            </w:r>
          </w:p>
        </w:tc>
        <w:tc>
          <w:tcPr>
            <w:tcW w:w="1183" w:type="dxa"/>
            <w:vAlign w:val="center"/>
          </w:tcPr>
          <w:p>
            <w:pPr>
              <w:pStyle w:val="39"/>
              <w:rPr>
                <w:rFonts w:cs="Times New Roman"/>
              </w:rPr>
            </w:pPr>
            <w:r>
              <w:t>500kg/</w:t>
            </w:r>
            <w:r>
              <w:rPr>
                <w:rFonts w:hint="eastAsia"/>
              </w:rPr>
              <w:t>瓶</w:t>
            </w:r>
          </w:p>
        </w:tc>
        <w:tc>
          <w:tcPr>
            <w:tcW w:w="1055" w:type="dxa"/>
            <w:vAlign w:val="center"/>
          </w:tcPr>
          <w:p>
            <w:pPr>
              <w:pStyle w:val="39"/>
              <w:rPr>
                <w:rFonts w:cs="Times New Roman"/>
              </w:rPr>
            </w:pPr>
            <w:r>
              <w:t>3</w:t>
            </w:r>
            <w:r>
              <w:rPr>
                <w:rFonts w:hint="eastAsia"/>
              </w:rPr>
              <w:t>t/a</w:t>
            </w:r>
          </w:p>
        </w:tc>
        <w:tc>
          <w:tcPr>
            <w:tcW w:w="829" w:type="dxa"/>
            <w:vAlign w:val="center"/>
          </w:tcPr>
          <w:p>
            <w:pPr>
              <w:pStyle w:val="39"/>
              <w:rPr>
                <w:rFonts w:cs="Times New Roman"/>
              </w:rPr>
            </w:pPr>
            <w:r>
              <w:rPr>
                <w:rFonts w:hint="eastAsia" w:cs="Times New Roman"/>
              </w:rPr>
              <w:t>10瓶</w:t>
            </w:r>
          </w:p>
        </w:tc>
        <w:tc>
          <w:tcPr>
            <w:tcW w:w="982" w:type="dxa"/>
            <w:vAlign w:val="center"/>
          </w:tcPr>
          <w:p>
            <w:pPr>
              <w:pStyle w:val="39"/>
              <w:rPr>
                <w:rFonts w:cs="Times New Roman"/>
              </w:rPr>
            </w:pPr>
            <w:r>
              <w:rPr>
                <w:rFonts w:hint="eastAsia" w:cs="Times New Roman"/>
              </w:rPr>
              <w:t>除臭</w:t>
            </w:r>
          </w:p>
        </w:tc>
        <w:tc>
          <w:tcPr>
            <w:tcW w:w="953" w:type="dxa"/>
            <w:vAlign w:val="center"/>
          </w:tcPr>
          <w:p>
            <w:pPr>
              <w:pStyle w:val="39"/>
              <w:rPr>
                <w:rFonts w:cs="Times New Roman"/>
              </w:rPr>
            </w:pPr>
            <w:r>
              <w:rPr>
                <w:rFonts w:hint="eastAsia" w:cs="Times New Roman"/>
              </w:rPr>
              <w:t>仓库</w:t>
            </w:r>
          </w:p>
        </w:tc>
        <w:tc>
          <w:tcPr>
            <w:tcW w:w="912" w:type="dxa"/>
            <w:vAlign w:val="center"/>
          </w:tcPr>
          <w:p>
            <w:pPr>
              <w:pStyle w:val="39"/>
              <w:rPr>
                <w:rFonts w:cs="Times New Roman"/>
              </w:rPr>
            </w:pPr>
            <w:r>
              <w:rPr>
                <w:rFonts w:hint="eastAsia"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25" w:type="dxa"/>
            <w:vAlign w:val="center"/>
          </w:tcPr>
          <w:p>
            <w:pPr>
              <w:pStyle w:val="39"/>
              <w:rPr>
                <w:rFonts w:cs="Times New Roman"/>
              </w:rPr>
            </w:pPr>
            <w:r>
              <w:rPr>
                <w:rFonts w:cs="Times New Roman"/>
              </w:rPr>
              <w:t>6</w:t>
            </w:r>
          </w:p>
        </w:tc>
        <w:tc>
          <w:tcPr>
            <w:tcW w:w="1147" w:type="dxa"/>
            <w:vAlign w:val="center"/>
          </w:tcPr>
          <w:p>
            <w:pPr>
              <w:pStyle w:val="39"/>
              <w:rPr>
                <w:rFonts w:cs="Times New Roman"/>
              </w:rPr>
            </w:pPr>
            <w:r>
              <w:rPr>
                <w:rFonts w:cs="Times New Roman"/>
              </w:rPr>
              <w:t>柴油</w:t>
            </w:r>
          </w:p>
        </w:tc>
        <w:tc>
          <w:tcPr>
            <w:tcW w:w="1487" w:type="dxa"/>
            <w:vAlign w:val="center"/>
          </w:tcPr>
          <w:p>
            <w:pPr>
              <w:pStyle w:val="39"/>
              <w:rPr>
                <w:rFonts w:cs="Times New Roman"/>
              </w:rPr>
            </w:pPr>
            <w:r>
              <w:rPr>
                <w:rFonts w:cs="Times New Roman"/>
              </w:rPr>
              <w:t>/</w:t>
            </w:r>
          </w:p>
        </w:tc>
        <w:tc>
          <w:tcPr>
            <w:tcW w:w="1183" w:type="dxa"/>
            <w:vAlign w:val="center"/>
          </w:tcPr>
          <w:p>
            <w:pPr>
              <w:pStyle w:val="39"/>
              <w:rPr>
                <w:rFonts w:cs="Times New Roman"/>
              </w:rPr>
            </w:pPr>
            <w:r>
              <w:rPr>
                <w:rFonts w:cs="Times New Roman"/>
              </w:rPr>
              <w:t>桶装</w:t>
            </w:r>
          </w:p>
        </w:tc>
        <w:tc>
          <w:tcPr>
            <w:tcW w:w="1055" w:type="dxa"/>
            <w:vAlign w:val="center"/>
          </w:tcPr>
          <w:p>
            <w:pPr>
              <w:pStyle w:val="39"/>
              <w:rPr>
                <w:rFonts w:cs="Times New Roman"/>
              </w:rPr>
            </w:pPr>
            <w:r>
              <w:rPr>
                <w:rFonts w:hint="eastAsia" w:cs="Times New Roman"/>
              </w:rPr>
              <w:t>4.4</w:t>
            </w:r>
            <w:r>
              <w:rPr>
                <w:rFonts w:cs="Times New Roman"/>
              </w:rPr>
              <w:t>t</w:t>
            </w:r>
          </w:p>
        </w:tc>
        <w:tc>
          <w:tcPr>
            <w:tcW w:w="829" w:type="dxa"/>
            <w:vAlign w:val="center"/>
          </w:tcPr>
          <w:p>
            <w:pPr>
              <w:pStyle w:val="39"/>
              <w:rPr>
                <w:rFonts w:cs="Times New Roman"/>
              </w:rPr>
            </w:pPr>
            <w:r>
              <w:rPr>
                <w:rFonts w:hint="eastAsia" w:cs="Times New Roman"/>
              </w:rPr>
              <w:t>1</w:t>
            </w:r>
            <w:r>
              <w:rPr>
                <w:rFonts w:cs="Times New Roman"/>
              </w:rPr>
              <w:t>t</w:t>
            </w:r>
          </w:p>
        </w:tc>
        <w:tc>
          <w:tcPr>
            <w:tcW w:w="982" w:type="dxa"/>
            <w:vAlign w:val="center"/>
          </w:tcPr>
          <w:p>
            <w:pPr>
              <w:pStyle w:val="39"/>
              <w:rPr>
                <w:rFonts w:cs="Times New Roman"/>
              </w:rPr>
            </w:pPr>
            <w:r>
              <w:rPr>
                <w:rFonts w:cs="Times New Roman"/>
              </w:rPr>
              <w:t>备用发电</w:t>
            </w:r>
          </w:p>
        </w:tc>
        <w:tc>
          <w:tcPr>
            <w:tcW w:w="953" w:type="dxa"/>
            <w:vAlign w:val="center"/>
          </w:tcPr>
          <w:p>
            <w:pPr>
              <w:pStyle w:val="39"/>
              <w:rPr>
                <w:rFonts w:cs="Times New Roman"/>
              </w:rPr>
            </w:pPr>
            <w:r>
              <w:rPr>
                <w:rFonts w:cs="Times New Roman"/>
              </w:rPr>
              <w:t>配电房</w:t>
            </w:r>
          </w:p>
        </w:tc>
        <w:tc>
          <w:tcPr>
            <w:tcW w:w="912" w:type="dxa"/>
            <w:vAlign w:val="center"/>
          </w:tcPr>
          <w:p>
            <w:pPr>
              <w:pStyle w:val="39"/>
              <w:rPr>
                <w:rFonts w:cs="Times New Roman"/>
              </w:rPr>
            </w:pPr>
            <w:r>
              <w:rPr>
                <w:rFonts w:hint="eastAsia"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25" w:type="dxa"/>
            <w:vAlign w:val="center"/>
          </w:tcPr>
          <w:p>
            <w:pPr>
              <w:pStyle w:val="39"/>
              <w:rPr>
                <w:rFonts w:cs="Times New Roman"/>
              </w:rPr>
            </w:pPr>
            <w:r>
              <w:rPr>
                <w:rFonts w:hint="eastAsia" w:cs="Times New Roman"/>
              </w:rPr>
              <w:t>7</w:t>
            </w:r>
          </w:p>
        </w:tc>
        <w:tc>
          <w:tcPr>
            <w:tcW w:w="1147" w:type="dxa"/>
            <w:vAlign w:val="center"/>
          </w:tcPr>
          <w:p>
            <w:pPr>
              <w:pStyle w:val="39"/>
              <w:rPr>
                <w:rFonts w:cs="Times New Roman"/>
              </w:rPr>
            </w:pPr>
            <w:r>
              <w:rPr>
                <w:rFonts w:cs="Times New Roman"/>
              </w:rPr>
              <w:t>液化石油气</w:t>
            </w:r>
          </w:p>
        </w:tc>
        <w:tc>
          <w:tcPr>
            <w:tcW w:w="1487" w:type="dxa"/>
            <w:vAlign w:val="center"/>
          </w:tcPr>
          <w:p>
            <w:pPr>
              <w:pStyle w:val="39"/>
              <w:rPr>
                <w:rFonts w:cs="Times New Roman"/>
              </w:rPr>
            </w:pPr>
            <w:r>
              <w:rPr>
                <w:rFonts w:cs="Times New Roman"/>
              </w:rPr>
              <w:t>/</w:t>
            </w:r>
          </w:p>
        </w:tc>
        <w:tc>
          <w:tcPr>
            <w:tcW w:w="1183" w:type="dxa"/>
            <w:vAlign w:val="center"/>
          </w:tcPr>
          <w:p>
            <w:pPr>
              <w:pStyle w:val="39"/>
              <w:rPr>
                <w:rFonts w:cs="Times New Roman"/>
              </w:rPr>
            </w:pPr>
            <w:r>
              <w:rPr>
                <w:rFonts w:cs="Times New Roman"/>
              </w:rPr>
              <w:t>瓶装</w:t>
            </w:r>
          </w:p>
        </w:tc>
        <w:tc>
          <w:tcPr>
            <w:tcW w:w="1055" w:type="dxa"/>
            <w:vAlign w:val="center"/>
          </w:tcPr>
          <w:p>
            <w:pPr>
              <w:pStyle w:val="39"/>
              <w:rPr>
                <w:rFonts w:cs="Times New Roman"/>
              </w:rPr>
            </w:pPr>
            <w:r>
              <w:rPr>
                <w:rFonts w:cs="Times New Roman"/>
              </w:rPr>
              <w:t>1t</w:t>
            </w:r>
          </w:p>
        </w:tc>
        <w:tc>
          <w:tcPr>
            <w:tcW w:w="829" w:type="dxa"/>
            <w:vAlign w:val="center"/>
          </w:tcPr>
          <w:p>
            <w:pPr>
              <w:pStyle w:val="39"/>
              <w:rPr>
                <w:rFonts w:cs="Times New Roman"/>
              </w:rPr>
            </w:pPr>
            <w:r>
              <w:rPr>
                <w:rFonts w:cs="Times New Roman"/>
              </w:rPr>
              <w:t>0.1t</w:t>
            </w:r>
          </w:p>
        </w:tc>
        <w:tc>
          <w:tcPr>
            <w:tcW w:w="982" w:type="dxa"/>
            <w:vAlign w:val="center"/>
          </w:tcPr>
          <w:p>
            <w:pPr>
              <w:pStyle w:val="39"/>
              <w:rPr>
                <w:rFonts w:cs="Times New Roman"/>
              </w:rPr>
            </w:pPr>
            <w:r>
              <w:rPr>
                <w:rFonts w:cs="Times New Roman"/>
              </w:rPr>
              <w:t>食堂烹饪</w:t>
            </w:r>
          </w:p>
        </w:tc>
        <w:tc>
          <w:tcPr>
            <w:tcW w:w="953" w:type="dxa"/>
            <w:vAlign w:val="center"/>
          </w:tcPr>
          <w:p>
            <w:pPr>
              <w:pStyle w:val="39"/>
              <w:rPr>
                <w:rFonts w:cs="Times New Roman"/>
              </w:rPr>
            </w:pPr>
            <w:r>
              <w:rPr>
                <w:rFonts w:cs="Times New Roman"/>
              </w:rPr>
              <w:t>食堂</w:t>
            </w:r>
            <w:r>
              <w:rPr>
                <w:rFonts w:hint="eastAsia" w:cs="Times New Roman"/>
              </w:rPr>
              <w:t>、育雏舍</w:t>
            </w:r>
          </w:p>
        </w:tc>
        <w:tc>
          <w:tcPr>
            <w:tcW w:w="912" w:type="dxa"/>
            <w:vAlign w:val="center"/>
          </w:tcPr>
          <w:p>
            <w:pPr>
              <w:pStyle w:val="39"/>
              <w:rPr>
                <w:rFonts w:cs="Times New Roman"/>
              </w:rPr>
            </w:pPr>
            <w:r>
              <w:rPr>
                <w:rFonts w:hint="eastAsia"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25" w:type="dxa"/>
            <w:vAlign w:val="center"/>
          </w:tcPr>
          <w:p>
            <w:pPr>
              <w:pStyle w:val="39"/>
              <w:rPr>
                <w:rFonts w:cs="Times New Roman"/>
              </w:rPr>
            </w:pPr>
            <w:r>
              <w:rPr>
                <w:rFonts w:hint="eastAsia" w:cs="Times New Roman"/>
              </w:rPr>
              <w:t>8</w:t>
            </w:r>
          </w:p>
        </w:tc>
        <w:tc>
          <w:tcPr>
            <w:tcW w:w="1147" w:type="dxa"/>
            <w:vAlign w:val="center"/>
          </w:tcPr>
          <w:p>
            <w:pPr>
              <w:pStyle w:val="39"/>
              <w:rPr>
                <w:rFonts w:cs="Times New Roman"/>
              </w:rPr>
            </w:pPr>
            <w:r>
              <w:rPr>
                <w:rFonts w:hint="eastAsia" w:cs="Times New Roman"/>
              </w:rPr>
              <w:t>水</w:t>
            </w:r>
          </w:p>
        </w:tc>
        <w:tc>
          <w:tcPr>
            <w:tcW w:w="1487" w:type="dxa"/>
            <w:vAlign w:val="center"/>
          </w:tcPr>
          <w:p>
            <w:pPr>
              <w:pStyle w:val="39"/>
              <w:rPr>
                <w:rFonts w:cs="Times New Roman"/>
              </w:rPr>
            </w:pPr>
            <w:r>
              <w:rPr>
                <w:rFonts w:hint="eastAsia" w:cs="Times New Roman"/>
              </w:rPr>
              <w:t>/</w:t>
            </w:r>
          </w:p>
        </w:tc>
        <w:tc>
          <w:tcPr>
            <w:tcW w:w="1183" w:type="dxa"/>
            <w:vAlign w:val="center"/>
          </w:tcPr>
          <w:p>
            <w:pPr>
              <w:pStyle w:val="39"/>
              <w:rPr>
                <w:rFonts w:cs="Times New Roman"/>
              </w:rPr>
            </w:pPr>
          </w:p>
        </w:tc>
        <w:tc>
          <w:tcPr>
            <w:tcW w:w="1055" w:type="dxa"/>
            <w:vAlign w:val="center"/>
          </w:tcPr>
          <w:p>
            <w:pPr>
              <w:pStyle w:val="39"/>
              <w:rPr>
                <w:rFonts w:cs="Times New Roman"/>
              </w:rPr>
            </w:pPr>
            <w:r>
              <w:rPr>
                <w:rFonts w:hint="eastAsia" w:cs="Times New Roman"/>
              </w:rPr>
              <w:t>/</w:t>
            </w:r>
          </w:p>
        </w:tc>
        <w:tc>
          <w:tcPr>
            <w:tcW w:w="829" w:type="dxa"/>
            <w:vAlign w:val="center"/>
          </w:tcPr>
          <w:p>
            <w:pPr>
              <w:pStyle w:val="39"/>
              <w:rPr>
                <w:rFonts w:cs="Times New Roman"/>
              </w:rPr>
            </w:pPr>
            <w:r>
              <w:rPr>
                <w:rFonts w:hint="eastAsia" w:cs="Times New Roman"/>
              </w:rPr>
              <w:t>/</w:t>
            </w:r>
          </w:p>
        </w:tc>
        <w:tc>
          <w:tcPr>
            <w:tcW w:w="982" w:type="dxa"/>
            <w:vAlign w:val="center"/>
          </w:tcPr>
          <w:p>
            <w:pPr>
              <w:pStyle w:val="39"/>
              <w:rPr>
                <w:rFonts w:cs="Times New Roman"/>
              </w:rPr>
            </w:pPr>
            <w:r>
              <w:rPr>
                <w:rFonts w:hint="eastAsia" w:cs="Times New Roman"/>
              </w:rPr>
              <w:t>/</w:t>
            </w:r>
          </w:p>
        </w:tc>
        <w:tc>
          <w:tcPr>
            <w:tcW w:w="953" w:type="dxa"/>
            <w:vAlign w:val="center"/>
          </w:tcPr>
          <w:p>
            <w:pPr>
              <w:pStyle w:val="39"/>
              <w:rPr>
                <w:rFonts w:cs="Times New Roman"/>
              </w:rPr>
            </w:pPr>
            <w:r>
              <w:rPr>
                <w:rFonts w:hint="eastAsia" w:cs="Times New Roman"/>
              </w:rPr>
              <w:t>厂区内水井</w:t>
            </w:r>
          </w:p>
        </w:tc>
        <w:tc>
          <w:tcPr>
            <w:tcW w:w="912" w:type="dxa"/>
            <w:vAlign w:val="center"/>
          </w:tcPr>
          <w:p>
            <w:pPr>
              <w:pStyle w:val="39"/>
              <w:rPr>
                <w:rFonts w:cs="Times New Roman"/>
              </w:rPr>
            </w:pPr>
            <w:r>
              <w:rPr>
                <w:rFonts w:hint="eastAsia"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25" w:type="dxa"/>
            <w:vAlign w:val="center"/>
          </w:tcPr>
          <w:p>
            <w:pPr>
              <w:pStyle w:val="39"/>
              <w:rPr>
                <w:rFonts w:cs="Times New Roman"/>
              </w:rPr>
            </w:pPr>
            <w:r>
              <w:rPr>
                <w:rFonts w:hint="eastAsia" w:cs="Times New Roman"/>
              </w:rPr>
              <w:t>9</w:t>
            </w:r>
          </w:p>
        </w:tc>
        <w:tc>
          <w:tcPr>
            <w:tcW w:w="1147" w:type="dxa"/>
            <w:vAlign w:val="center"/>
          </w:tcPr>
          <w:p>
            <w:pPr>
              <w:pStyle w:val="39"/>
              <w:rPr>
                <w:rFonts w:cs="Times New Roman"/>
              </w:rPr>
            </w:pPr>
            <w:r>
              <w:rPr>
                <w:rFonts w:hint="eastAsia" w:cs="Times New Roman"/>
              </w:rPr>
              <w:t>生物质颗粒</w:t>
            </w:r>
          </w:p>
        </w:tc>
        <w:tc>
          <w:tcPr>
            <w:tcW w:w="1487" w:type="dxa"/>
            <w:vAlign w:val="center"/>
          </w:tcPr>
          <w:p>
            <w:pPr>
              <w:pStyle w:val="39"/>
              <w:rPr>
                <w:rFonts w:cs="Times New Roman"/>
              </w:rPr>
            </w:pPr>
            <w:r>
              <w:rPr>
                <w:rFonts w:hint="eastAsia" w:cs="Times New Roman"/>
              </w:rPr>
              <w:t>秸秆、稻壳、木屑、树枝等</w:t>
            </w:r>
          </w:p>
        </w:tc>
        <w:tc>
          <w:tcPr>
            <w:tcW w:w="1183" w:type="dxa"/>
            <w:vAlign w:val="center"/>
          </w:tcPr>
          <w:p>
            <w:pPr>
              <w:pStyle w:val="39"/>
              <w:rPr>
                <w:rFonts w:cs="Times New Roman"/>
              </w:rPr>
            </w:pPr>
            <w:r>
              <w:rPr>
                <w:rFonts w:hint="eastAsia" w:cs="Times New Roman"/>
              </w:rPr>
              <w:t>袋装</w:t>
            </w:r>
          </w:p>
        </w:tc>
        <w:tc>
          <w:tcPr>
            <w:tcW w:w="1055" w:type="dxa"/>
            <w:vAlign w:val="center"/>
          </w:tcPr>
          <w:p>
            <w:pPr>
              <w:pStyle w:val="39"/>
              <w:rPr>
                <w:rFonts w:cs="Times New Roman"/>
              </w:rPr>
            </w:pPr>
            <w:r>
              <w:rPr>
                <w:rFonts w:cs="Times New Roman"/>
              </w:rPr>
              <w:t>648t/a</w:t>
            </w:r>
          </w:p>
        </w:tc>
        <w:tc>
          <w:tcPr>
            <w:tcW w:w="829" w:type="dxa"/>
            <w:vAlign w:val="center"/>
          </w:tcPr>
          <w:p>
            <w:pPr>
              <w:pStyle w:val="39"/>
              <w:rPr>
                <w:rFonts w:cs="Times New Roman"/>
              </w:rPr>
            </w:pPr>
            <w:r>
              <w:rPr>
                <w:rFonts w:cs="Times New Roman"/>
              </w:rPr>
              <w:t>5</w:t>
            </w:r>
            <w:r>
              <w:rPr>
                <w:rFonts w:hint="eastAsia" w:cs="Times New Roman"/>
              </w:rPr>
              <w:t>0t</w:t>
            </w:r>
          </w:p>
        </w:tc>
        <w:tc>
          <w:tcPr>
            <w:tcW w:w="982" w:type="dxa"/>
            <w:vAlign w:val="center"/>
          </w:tcPr>
          <w:p>
            <w:pPr>
              <w:pStyle w:val="39"/>
              <w:rPr>
                <w:rFonts w:cs="Times New Roman"/>
              </w:rPr>
            </w:pPr>
            <w:r>
              <w:rPr>
                <w:rFonts w:hint="eastAsia" w:cs="Times New Roman"/>
              </w:rPr>
              <w:t>供热</w:t>
            </w:r>
            <w:r>
              <w:rPr>
                <w:rFonts w:cs="Times New Roman"/>
              </w:rPr>
              <w:t>锅炉</w:t>
            </w:r>
          </w:p>
        </w:tc>
        <w:tc>
          <w:tcPr>
            <w:tcW w:w="953" w:type="dxa"/>
            <w:vAlign w:val="center"/>
          </w:tcPr>
          <w:p>
            <w:pPr>
              <w:pStyle w:val="39"/>
              <w:rPr>
                <w:rFonts w:cs="Times New Roman"/>
              </w:rPr>
            </w:pPr>
            <w:r>
              <w:rPr>
                <w:rFonts w:hint="eastAsia" w:cs="Times New Roman"/>
              </w:rPr>
              <w:t>锅炉房</w:t>
            </w:r>
          </w:p>
        </w:tc>
        <w:tc>
          <w:tcPr>
            <w:tcW w:w="912" w:type="dxa"/>
            <w:vAlign w:val="center"/>
          </w:tcPr>
          <w:p>
            <w:pPr>
              <w:pStyle w:val="39"/>
              <w:rPr>
                <w:rFonts w:cs="Times New Roman"/>
              </w:rPr>
            </w:pPr>
            <w:r>
              <w:rPr>
                <w:rFonts w:hint="eastAsia" w:cs="Times New Roman"/>
              </w:rPr>
              <w:t>育雏</w:t>
            </w:r>
            <w:r>
              <w:rPr>
                <w:rFonts w:cs="Times New Roman"/>
              </w:rPr>
              <w:t>期冬季</w:t>
            </w:r>
          </w:p>
        </w:tc>
      </w:tr>
    </w:tbl>
    <w:p>
      <w:pPr>
        <w:pStyle w:val="3"/>
        <w:ind w:firstLine="480"/>
      </w:pPr>
    </w:p>
    <w:p>
      <w:pPr>
        <w:pStyle w:val="3"/>
        <w:ind w:firstLine="480"/>
      </w:pPr>
      <w:r>
        <w:rPr>
          <w:rFonts w:hint="eastAsia"/>
        </w:rPr>
        <w:t>（3）主要原辅材料介绍</w:t>
      </w:r>
    </w:p>
    <w:p>
      <w:pPr>
        <w:pStyle w:val="3"/>
        <w:ind w:firstLine="480"/>
      </w:pPr>
      <w:r>
        <w:rPr>
          <w:rFonts w:hint="eastAsia"/>
        </w:rPr>
        <w:t>微生物除臭菌剂：生物除臭菌剂是由芽孢杆菌、酵母菌、乳酸菌、醋酸杆菌及蛋白酶、维生素、促生长因子代谢产物复配而成。微生物除臭菌剂是由放线菌、乳酸菌、芽孢杆菌、光合菌、酵母菌等单一菌种经特殊工艺研制而成的高效复合微生物菌，一代原种，菌含量高，活性强。可以清除环境恶臭，抑制有害病原菌增殖。生物除臭菌剂可以做有机垃圾堆肥化处理，循环利用资资源，减少环境污染。</w:t>
      </w:r>
    </w:p>
    <w:p>
      <w:pPr>
        <w:pStyle w:val="3"/>
        <w:ind w:firstLine="480"/>
      </w:pPr>
      <w:r>
        <w:rPr>
          <w:rFonts w:hint="eastAsia"/>
        </w:rPr>
        <w:t>青霉素类：青霉素类是一类抗生素，包括天然青霉素、耐酶青霉素、广谱青霉素等。青霉素类抗生素包括天然青霉素，如青霉素G等；耐酶青霉素，如苯脞青霉素等；广谱青霉素，如氨苄青霉素、悛苄青霉素、羟氨苄青霉素（阿莫西林）等。青霉素类的作用是干扰细菌细胞壁的合成，而哺乳类动物的细胞没有细胞壁，所以青霉素对人体的毒性很低，达到有效杀菌浓度的青霉素对人体细胞几无影响。</w:t>
      </w:r>
    </w:p>
    <w:p>
      <w:pPr>
        <w:pStyle w:val="3"/>
        <w:ind w:firstLine="480"/>
      </w:pPr>
      <w:r>
        <w:rPr>
          <w:rFonts w:hint="eastAsia"/>
        </w:rPr>
        <w:t>泰妙菌素类：是由高等真菌担子菌侧耳属Pleurotus mutilus发酵得到截短侧耳素后，再经化学合成得到氢化延胡索酸盐，是一种双萜烯类畜禽专用抗生素。是世界十大兽用抗生素之一。分子量609.8；分子式C28H47NO4S•C4H4O4。白色或类白色结晶粉末，熔点为143~149℃。在甲醇或乙醇中易溶，溶于水，在丙酮中略溶，几乎不溶于乙烷。</w:t>
      </w:r>
    </w:p>
    <w:p>
      <w:pPr>
        <w:pStyle w:val="3"/>
        <w:ind w:firstLine="480"/>
      </w:pPr>
      <w:r>
        <w:rPr>
          <w:rFonts w:hint="eastAsia"/>
        </w:rPr>
        <w:t>项目鸡舍采用稀释500倍的碘制剂、过氧乙酸进行消毒，两者交叉使用，通过鸡舍内喷雾器定期对鸡舍进行喷洒，消毒剂通过自然蒸发挥发，无残留。</w:t>
      </w:r>
    </w:p>
    <w:p>
      <w:pPr>
        <w:pStyle w:val="6"/>
      </w:pPr>
      <w:r>
        <w:rPr>
          <w:rFonts w:hint="eastAsia"/>
        </w:rPr>
        <w:t>总平面布置</w:t>
      </w:r>
    </w:p>
    <w:p>
      <w:pPr>
        <w:pStyle w:val="3"/>
        <w:ind w:firstLine="480"/>
      </w:pPr>
      <w:r>
        <w:rPr>
          <w:rFonts w:cs="Times New Roman"/>
        </w:rPr>
        <w:t>本项目总占地面积约</w:t>
      </w:r>
      <w:r>
        <w:rPr>
          <w:rFonts w:cs="Times New Roman"/>
          <w:szCs w:val="24"/>
          <w:shd w:val="clear" w:color="auto" w:fill="FFFFFF"/>
        </w:rPr>
        <w:t>126508.27</w:t>
      </w:r>
      <w:r>
        <w:rPr>
          <w:rFonts w:hint="eastAsia" w:cs="Times New Roman"/>
          <w:szCs w:val="24"/>
          <w:shd w:val="clear" w:color="auto" w:fill="FFFFFF"/>
        </w:rPr>
        <w:t>m</w:t>
      </w:r>
      <w:r>
        <w:rPr>
          <w:rFonts w:hint="eastAsia" w:cs="Times New Roman"/>
          <w:szCs w:val="24"/>
          <w:shd w:val="clear" w:color="auto" w:fill="FFFFFF"/>
          <w:vertAlign w:val="superscript"/>
        </w:rPr>
        <w:t>2</w:t>
      </w:r>
      <w:r>
        <w:rPr>
          <w:rFonts w:hint="eastAsia" w:cs="Times New Roman"/>
          <w:szCs w:val="24"/>
          <w:shd w:val="clear" w:color="auto" w:fill="FFFFFF"/>
        </w:rPr>
        <w:t>（约189.8亩）</w:t>
      </w:r>
      <w:r>
        <w:rPr>
          <w:rFonts w:cs="Times New Roman"/>
        </w:rPr>
        <w:t>，项目南侧为厂区大门</w:t>
      </w:r>
      <w:r>
        <w:rPr>
          <w:rFonts w:hint="eastAsia" w:cs="Times New Roman"/>
        </w:rPr>
        <w:t>；</w:t>
      </w:r>
      <w:r>
        <w:rPr>
          <w:rFonts w:hint="eastAsia"/>
        </w:rPr>
        <w:t>项目采取集约化养殖方式，整个场区呈长方形。根据项目规划的总平面布置布置图，项目区设置围墙，厂区内西北至东为6栋鸡舍及3小栋育雏舍；每两栋鸡舍设置一套法国多赛干燥机处理鸡粪，同时厂区北侧靠近鸡粪处理设施位置设置鸡粪储存仓库，厂区南侧为鸡蛋储存库及办公楼，做到了生产与生活管理区隔离。本项目具体平面布置见附图2。</w:t>
      </w:r>
    </w:p>
    <w:p>
      <w:pPr>
        <w:pStyle w:val="6"/>
        <w:rPr>
          <w:rFonts w:cs="Times New Roman"/>
        </w:rPr>
      </w:pPr>
      <w:r>
        <w:rPr>
          <w:rFonts w:cs="Times New Roman"/>
        </w:rPr>
        <w:t>公用工程</w:t>
      </w:r>
    </w:p>
    <w:p>
      <w:pPr>
        <w:pStyle w:val="7"/>
        <w:rPr>
          <w:rFonts w:cs="Times New Roman"/>
        </w:rPr>
      </w:pPr>
      <w:r>
        <w:rPr>
          <w:rFonts w:cs="Times New Roman"/>
        </w:rPr>
        <w:t>给排水工程</w:t>
      </w:r>
    </w:p>
    <w:p>
      <w:pPr>
        <w:pStyle w:val="3"/>
        <w:ind w:firstLine="480"/>
        <w:rPr>
          <w:rFonts w:cs="Times New Roman"/>
        </w:rPr>
      </w:pPr>
      <w:r>
        <w:rPr>
          <w:rFonts w:cs="Times New Roman"/>
        </w:rPr>
        <w:t>（1）给水</w:t>
      </w:r>
    </w:p>
    <w:p>
      <w:pPr>
        <w:pStyle w:val="3"/>
        <w:ind w:firstLine="480"/>
        <w:rPr>
          <w:rFonts w:cs="Times New Roman"/>
        </w:rPr>
      </w:pPr>
      <w:r>
        <w:rPr>
          <w:rFonts w:cs="Times New Roman"/>
        </w:rPr>
        <w:t>项目用水来自地下水井供水，项目用水包括鸡饮用水、鸡舍冲洗水、鸡舍水帘循环补充水、鸡舍消毒用水和生活用水。根据工程分析，项目建成后，实际新鲜用水量约为</w:t>
      </w:r>
      <w:r>
        <w:rPr>
          <w:rFonts w:eastAsia="等线" w:cs="Times New Roman"/>
          <w:color w:val="000000"/>
        </w:rPr>
        <w:t>40600.27</w:t>
      </w:r>
      <w:r>
        <w:rPr>
          <w:rFonts w:cs="Times New Roman"/>
        </w:rPr>
        <w:t>m</w:t>
      </w:r>
      <w:r>
        <w:rPr>
          <w:rFonts w:cs="Times New Roman"/>
          <w:vertAlign w:val="superscript"/>
        </w:rPr>
        <w:t>3</w:t>
      </w:r>
      <w:r>
        <w:rPr>
          <w:rFonts w:cs="Times New Roman"/>
        </w:rPr>
        <w:t>/a（1</w:t>
      </w:r>
      <w:r>
        <w:rPr>
          <w:rFonts w:hint="eastAsia" w:cs="Times New Roman"/>
        </w:rPr>
        <w:t>11.23</w:t>
      </w:r>
      <w:r>
        <w:rPr>
          <w:rFonts w:cs="Times New Roman"/>
        </w:rPr>
        <w:t>m</w:t>
      </w:r>
      <w:r>
        <w:rPr>
          <w:rFonts w:cs="Times New Roman"/>
          <w:vertAlign w:val="superscript"/>
        </w:rPr>
        <w:t>3</w:t>
      </w:r>
      <w:r>
        <w:rPr>
          <w:rFonts w:cs="Times New Roman"/>
        </w:rPr>
        <w:t>/d），其中生产用水平均</w:t>
      </w:r>
      <w:r>
        <w:rPr>
          <w:rFonts w:hint="eastAsia" w:cs="Times New Roman"/>
        </w:rPr>
        <w:t>105.48</w:t>
      </w:r>
      <w:r>
        <w:rPr>
          <w:rFonts w:cs="Times New Roman"/>
        </w:rPr>
        <w:t>m</w:t>
      </w:r>
      <w:r>
        <w:rPr>
          <w:rFonts w:cs="Times New Roman"/>
          <w:vertAlign w:val="superscript"/>
        </w:rPr>
        <w:t>3</w:t>
      </w:r>
      <w:r>
        <w:rPr>
          <w:rFonts w:cs="Times New Roman"/>
        </w:rPr>
        <w:t>/a（134.13m</w:t>
      </w:r>
      <w:r>
        <w:rPr>
          <w:rFonts w:cs="Times New Roman"/>
          <w:vertAlign w:val="superscript"/>
        </w:rPr>
        <w:t>3</w:t>
      </w:r>
      <w:r>
        <w:rPr>
          <w:rFonts w:cs="Times New Roman"/>
        </w:rPr>
        <w:t>/d），生活用水</w:t>
      </w:r>
      <w:r>
        <w:t>2098.75</w:t>
      </w:r>
      <w:r>
        <w:rPr>
          <w:rFonts w:cs="Times New Roman"/>
        </w:rPr>
        <w:t>m</w:t>
      </w:r>
      <w:r>
        <w:rPr>
          <w:rFonts w:cs="Times New Roman"/>
          <w:vertAlign w:val="superscript"/>
        </w:rPr>
        <w:t>3</w:t>
      </w:r>
      <w:r>
        <w:rPr>
          <w:rFonts w:cs="Times New Roman"/>
        </w:rPr>
        <w:t>/a（</w:t>
      </w:r>
      <w:r>
        <w:rPr>
          <w:rFonts w:hint="eastAsia" w:cs="Times New Roman"/>
        </w:rPr>
        <w:t>5.75</w:t>
      </w:r>
      <w:r>
        <w:rPr>
          <w:rFonts w:cs="Times New Roman"/>
        </w:rPr>
        <w:t>m</w:t>
      </w:r>
      <w:r>
        <w:rPr>
          <w:rFonts w:cs="Times New Roman"/>
          <w:vertAlign w:val="superscript"/>
        </w:rPr>
        <w:t>3</w:t>
      </w:r>
      <w:r>
        <w:rPr>
          <w:rFonts w:cs="Times New Roman"/>
        </w:rPr>
        <w:t>/d）。</w:t>
      </w:r>
    </w:p>
    <w:p>
      <w:pPr>
        <w:pStyle w:val="3"/>
        <w:ind w:firstLine="480"/>
        <w:rPr>
          <w:rFonts w:cs="Times New Roman"/>
        </w:rPr>
      </w:pPr>
      <w:r>
        <w:rPr>
          <w:rFonts w:cs="Times New Roman"/>
        </w:rPr>
        <w:t>（2）排水</w:t>
      </w:r>
    </w:p>
    <w:p>
      <w:pPr>
        <w:pStyle w:val="3"/>
        <w:ind w:firstLine="480"/>
        <w:rPr>
          <w:rFonts w:cs="Times New Roman"/>
        </w:rPr>
      </w:pPr>
      <w:r>
        <w:rPr>
          <w:rFonts w:cs="Times New Roman"/>
        </w:rPr>
        <w:t>项目采用雨污分流、综合利用方式。雨水和污水收集排放系统分别独立设置，雨水收集后直接外排，污水均采用管道收集，不采用明沟。</w:t>
      </w:r>
    </w:p>
    <w:p>
      <w:pPr>
        <w:pStyle w:val="3"/>
        <w:ind w:firstLine="480"/>
        <w:rPr>
          <w:rFonts w:cs="Times New Roman"/>
        </w:rPr>
      </w:pPr>
      <w:r>
        <w:rPr>
          <w:rFonts w:cs="Times New Roman"/>
        </w:rPr>
        <w:t>（1）雨水：</w:t>
      </w:r>
      <w:r>
        <w:rPr>
          <w:rFonts w:hint="eastAsia" w:cs="Times New Roman"/>
        </w:rPr>
        <w:t>初期</w:t>
      </w:r>
      <w:r>
        <w:rPr>
          <w:rFonts w:cs="Times New Roman"/>
        </w:rPr>
        <w:t>雨水由场区内雨水沟收集后排至</w:t>
      </w:r>
      <w:r>
        <w:rPr>
          <w:rFonts w:hint="eastAsia" w:cs="Times New Roman"/>
        </w:rPr>
        <w:t>北侧水塘</w:t>
      </w:r>
      <w:r>
        <w:rPr>
          <w:rFonts w:cs="Times New Roman"/>
        </w:rPr>
        <w:t>。</w:t>
      </w:r>
    </w:p>
    <w:p>
      <w:pPr>
        <w:pStyle w:val="3"/>
        <w:ind w:firstLine="480"/>
        <w:rPr>
          <w:rFonts w:cs="Times New Roman"/>
        </w:rPr>
      </w:pPr>
      <w:r>
        <w:rPr>
          <w:rFonts w:cs="Times New Roman"/>
        </w:rPr>
        <w:t>（2）废水：鸡舍水帘循环用水、鸡舍消毒水全部挥发，不产生废水。</w:t>
      </w:r>
      <w:r>
        <w:rPr>
          <w:rFonts w:hint="eastAsia" w:hAnsi="宋体"/>
          <w:color w:val="000000"/>
        </w:rPr>
        <w:t>鸡舍冲洗废水经废水收集池收集后，用泵将废水抽至化粪池；鸡舍冲洗废水和生活污水一起经</w:t>
      </w:r>
      <w:r>
        <w:rPr>
          <w:rFonts w:cs="Times New Roman"/>
        </w:rPr>
        <w:t>三级化粪池预处理</w:t>
      </w:r>
      <w:r>
        <w:rPr>
          <w:rFonts w:hint="eastAsia" w:hAnsi="宋体"/>
          <w:color w:val="000000"/>
        </w:rPr>
        <w:t>处理后作为农肥</w:t>
      </w:r>
      <w:r>
        <w:rPr>
          <w:rFonts w:cs="Times New Roman"/>
        </w:rPr>
        <w:t>，不外排。</w:t>
      </w:r>
    </w:p>
    <w:p>
      <w:pPr>
        <w:pStyle w:val="7"/>
        <w:rPr>
          <w:rFonts w:cs="Times New Roman"/>
        </w:rPr>
      </w:pPr>
      <w:r>
        <w:rPr>
          <w:rFonts w:cs="Times New Roman"/>
        </w:rPr>
        <w:t>暖通工程</w:t>
      </w:r>
    </w:p>
    <w:p>
      <w:pPr>
        <w:pStyle w:val="3"/>
        <w:ind w:firstLine="480"/>
        <w:rPr>
          <w:rFonts w:cs="Times New Roman"/>
        </w:rPr>
      </w:pPr>
      <w:r>
        <w:rPr>
          <w:rFonts w:hint="eastAsia"/>
        </w:rPr>
        <w:t>高温季节对养鸡生产是一种威胁，炎热的夏季雨水多，湿度大，加之气温又高，风少，气压低，这对鸡群大的鸡舍，必然引来温度上升得快，闷热加剧的后果，使多数鸡食欲降低，为了降低鸡舍的温度，项目安装水帘空调降温设备，主要用于夏季降低鸡舍内的温度，其它季节产蛋舍主要通过风机控制鸡舍温度；</w:t>
      </w:r>
      <w:r>
        <w:t>育雏舍冬季通过</w:t>
      </w:r>
      <w:r>
        <w:rPr>
          <w:rFonts w:hint="eastAsia"/>
        </w:rPr>
        <w:t>生物</w:t>
      </w:r>
      <w:r>
        <w:t>质锅炉供热</w:t>
      </w:r>
      <w:r>
        <w:rPr>
          <w:rFonts w:hint="eastAsia"/>
        </w:rPr>
        <w:t>。</w:t>
      </w:r>
    </w:p>
    <w:p>
      <w:pPr>
        <w:pStyle w:val="3"/>
        <w:ind w:firstLine="480"/>
        <w:rPr>
          <w:rFonts w:cs="Times New Roman"/>
        </w:rPr>
      </w:pPr>
      <w:r>
        <w:rPr>
          <w:rFonts w:cs="Times New Roman"/>
        </w:rPr>
        <w:t>鸡舍需保持一定的空气流通和湿度，项目采用风机+水帘的方式对鸡舍进行通风、加湿。水帘通风系统由低压大流量轴流风机、水循环系统及控制装置组成，风机抽风时，造成室内负压，迫使室外未饱和的空气流经湿帘多孔湿润表面，进而对鸡舍进行通风、加湿。夏季温度较高时，水分蒸发可吸收大量的潜热，可对鸡舍进行降温，保持鸡舍恒温恒湿的状态，达到通风、保湿、降温的效果。</w:t>
      </w:r>
    </w:p>
    <w:p>
      <w:pPr>
        <w:pStyle w:val="3"/>
        <w:ind w:firstLine="0" w:firstLineChars="0"/>
        <w:jc w:val="center"/>
        <w:rPr>
          <w:rFonts w:cs="Times New Roman"/>
        </w:rPr>
      </w:pPr>
      <w:r>
        <w:rPr>
          <w:rFonts w:cs="Times New Roman"/>
        </w:rPr>
        <w:drawing>
          <wp:inline distT="0" distB="0" distL="0" distR="0">
            <wp:extent cx="4888230" cy="1330960"/>
            <wp:effectExtent l="0" t="0" r="7620" b="254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4888523" cy="1331407"/>
                    </a:xfrm>
                    <a:prstGeom prst="rect">
                      <a:avLst/>
                    </a:prstGeom>
                  </pic:spPr>
                </pic:pic>
              </a:graphicData>
            </a:graphic>
          </wp:inline>
        </w:drawing>
      </w:r>
    </w:p>
    <w:p>
      <w:pPr>
        <w:pStyle w:val="15"/>
        <w:rPr>
          <w:rFonts w:cs="Times New Roman"/>
        </w:rPr>
      </w:pPr>
      <w:r>
        <w:rPr>
          <w:rStyle w:val="51"/>
          <w:rFonts w:cs="Times New Roman"/>
        </w:rPr>
        <w:t>图3.1-</w:t>
      </w:r>
      <w:r>
        <w:rPr>
          <w:rStyle w:val="51"/>
          <w:rFonts w:hint="eastAsia" w:cs="Times New Roman"/>
        </w:rPr>
        <w:t>1</w:t>
      </w:r>
      <w:r>
        <w:rPr>
          <w:rStyle w:val="51"/>
          <w:rFonts w:cs="Times New Roman"/>
        </w:rPr>
        <w:t xml:space="preserve">  </w:t>
      </w:r>
      <w:r>
        <w:rPr>
          <w:rFonts w:cs="Times New Roman"/>
        </w:rPr>
        <w:t>水帘通风系统示意图</w:t>
      </w:r>
    </w:p>
    <w:p>
      <w:pPr>
        <w:pStyle w:val="7"/>
        <w:rPr>
          <w:rFonts w:cs="Times New Roman"/>
        </w:rPr>
      </w:pPr>
      <w:r>
        <w:rPr>
          <w:rFonts w:cs="Times New Roman"/>
        </w:rPr>
        <w:t>供配电工程</w:t>
      </w:r>
    </w:p>
    <w:p>
      <w:pPr>
        <w:pStyle w:val="3"/>
        <w:ind w:firstLine="480"/>
        <w:rPr>
          <w:rFonts w:cs="Times New Roman"/>
        </w:rPr>
      </w:pPr>
      <w:r>
        <w:rPr>
          <w:rFonts w:cs="Times New Roman"/>
        </w:rPr>
        <w:t>项目用电负荷主要为通气扇、鸡舍照明以及员工生活用电，本项目年总用电量约为100万KW/h，由建设乡供电所提供电力电源。</w:t>
      </w:r>
    </w:p>
    <w:p>
      <w:pPr>
        <w:pStyle w:val="3"/>
        <w:ind w:firstLine="480"/>
        <w:rPr>
          <w:rFonts w:cs="Times New Roman"/>
        </w:rPr>
      </w:pPr>
      <w:r>
        <w:rPr>
          <w:rFonts w:cs="Times New Roman"/>
        </w:rPr>
        <w:t>项目设</w:t>
      </w:r>
      <w:r>
        <w:rPr>
          <w:rFonts w:hint="eastAsia" w:cs="Times New Roman"/>
        </w:rPr>
        <w:t>2</w:t>
      </w:r>
      <w:r>
        <w:rPr>
          <w:rFonts w:cs="Times New Roman"/>
        </w:rPr>
        <w:t>台备用发电机</w:t>
      </w:r>
      <w:r>
        <w:rPr>
          <w:rFonts w:hint="eastAsia" w:cs="Times New Roman"/>
        </w:rPr>
        <w:t>，功率为</w:t>
      </w:r>
      <w:r>
        <w:rPr>
          <w:rFonts w:cs="Times New Roman"/>
        </w:rPr>
        <w:t>400kw/h，以0#柴油为燃料，年耗用量为</w:t>
      </w:r>
      <w:r>
        <w:rPr>
          <w:rFonts w:hint="eastAsia" w:cs="Times New Roman"/>
        </w:rPr>
        <w:t>2</w:t>
      </w:r>
      <w:r>
        <w:rPr>
          <w:rFonts w:cs="Times New Roman"/>
        </w:rPr>
        <w:t>t。</w:t>
      </w:r>
    </w:p>
    <w:p>
      <w:pPr>
        <w:pStyle w:val="6"/>
        <w:rPr>
          <w:rFonts w:cs="Times New Roman"/>
        </w:rPr>
      </w:pPr>
      <w:r>
        <w:rPr>
          <w:rFonts w:cs="Times New Roman"/>
        </w:rPr>
        <w:t>用地现状</w:t>
      </w:r>
    </w:p>
    <w:p>
      <w:pPr>
        <w:pStyle w:val="3"/>
        <w:ind w:firstLine="480"/>
        <w:rPr>
          <w:rFonts w:cs="Times New Roman"/>
          <w:u w:val="single"/>
        </w:rPr>
      </w:pPr>
      <w:r>
        <w:rPr>
          <w:rFonts w:cs="Times New Roman"/>
          <w:u w:val="single"/>
        </w:rPr>
        <w:t>本项目位于</w:t>
      </w:r>
      <w:r>
        <w:rPr>
          <w:rFonts w:hint="eastAsia" w:cs="Times New Roman"/>
          <w:u w:val="single"/>
        </w:rPr>
        <w:t>衡阳县台</w:t>
      </w:r>
      <w:r>
        <w:rPr>
          <w:rFonts w:cs="Times New Roman"/>
          <w:u w:val="single"/>
        </w:rPr>
        <w:t>源镇前进村财冲组和东湖寺村近丝塘组，占地面积为</w:t>
      </w:r>
      <w:r>
        <w:rPr>
          <w:rFonts w:cs="Times New Roman"/>
          <w:szCs w:val="24"/>
          <w:u w:val="single"/>
          <w:shd w:val="clear" w:color="auto" w:fill="FFFFFF"/>
        </w:rPr>
        <w:t>126508.27</w:t>
      </w:r>
      <w:r>
        <w:rPr>
          <w:rFonts w:hint="eastAsia" w:cs="Times New Roman"/>
          <w:szCs w:val="24"/>
          <w:u w:val="single"/>
          <w:shd w:val="clear" w:color="auto" w:fill="FFFFFF"/>
        </w:rPr>
        <w:t>m</w:t>
      </w:r>
      <w:r>
        <w:rPr>
          <w:rFonts w:hint="eastAsia" w:cs="Times New Roman"/>
          <w:szCs w:val="24"/>
          <w:u w:val="single"/>
          <w:shd w:val="clear" w:color="auto" w:fill="FFFFFF"/>
          <w:vertAlign w:val="superscript"/>
        </w:rPr>
        <w:t>2</w:t>
      </w:r>
      <w:r>
        <w:rPr>
          <w:rFonts w:hint="eastAsia" w:cs="Times New Roman"/>
          <w:szCs w:val="24"/>
          <w:u w:val="single"/>
          <w:shd w:val="clear" w:color="auto" w:fill="FFFFFF"/>
        </w:rPr>
        <w:t>（约189.8亩）</w:t>
      </w:r>
      <w:r>
        <w:rPr>
          <w:rFonts w:cs="Times New Roman"/>
          <w:u w:val="single"/>
        </w:rPr>
        <w:t>，据租赁协议可知：前进村财冲组和东湖寺村近丝塘组。</w:t>
      </w:r>
      <w:r>
        <w:rPr>
          <w:rFonts w:cs="Times New Roman"/>
          <w:kern w:val="0"/>
          <w:u w:val="single"/>
        </w:rPr>
        <w:t>项目建设单位与</w:t>
      </w:r>
      <w:r>
        <w:rPr>
          <w:rFonts w:hint="eastAsia" w:cs="Times New Roman"/>
          <w:u w:val="single"/>
        </w:rPr>
        <w:t>衡阳县台</w:t>
      </w:r>
      <w:r>
        <w:rPr>
          <w:rFonts w:cs="Times New Roman"/>
          <w:u w:val="single"/>
        </w:rPr>
        <w:t>源镇前进村</w:t>
      </w:r>
      <w:r>
        <w:rPr>
          <w:rFonts w:hint="eastAsia" w:cs="Times New Roman"/>
          <w:u w:val="single"/>
        </w:rPr>
        <w:t>村委会及东湖寺村村委会</w:t>
      </w:r>
      <w:r>
        <w:rPr>
          <w:rFonts w:cs="Times New Roman"/>
          <w:kern w:val="0"/>
          <w:u w:val="single"/>
        </w:rPr>
        <w:t>签订了土地承包流转出租合同（详见附件），租赁时间为2019年6月22日至2049年6月21日，租赁期限为30年。</w:t>
      </w:r>
      <w:r>
        <w:rPr>
          <w:rFonts w:cs="Times New Roman"/>
          <w:u w:val="single"/>
        </w:rPr>
        <w:t>工程土地利用现状主要为荒地</w:t>
      </w:r>
      <w:r>
        <w:rPr>
          <w:rFonts w:hint="eastAsia" w:cs="Times New Roman"/>
          <w:u w:val="single"/>
        </w:rPr>
        <w:t>、耕地</w:t>
      </w:r>
      <w:r>
        <w:rPr>
          <w:rFonts w:cs="Times New Roman"/>
          <w:u w:val="single"/>
        </w:rPr>
        <w:t>及有林地。项目不涉及基本农田，工程建设区域内不涉及生态公益林等。根据实地考察及咨询相关部门，本项目用地范围内没有名木古树等需要保护的动植物。本项目不涉及拆迁。</w:t>
      </w:r>
    </w:p>
    <w:p>
      <w:pPr>
        <w:pStyle w:val="6"/>
        <w:rPr>
          <w:rFonts w:cs="Times New Roman"/>
        </w:rPr>
      </w:pPr>
      <w:r>
        <w:rPr>
          <w:rFonts w:cs="Times New Roman"/>
        </w:rPr>
        <w:t>土石方平衡</w:t>
      </w:r>
    </w:p>
    <w:p>
      <w:pPr>
        <w:pStyle w:val="3"/>
        <w:ind w:firstLine="480"/>
        <w:rPr>
          <w:rFonts w:cs="Times New Roman"/>
          <w:u w:val="single"/>
        </w:rPr>
      </w:pPr>
      <w:r>
        <w:rPr>
          <w:rFonts w:cs="Times New Roman"/>
          <w:u w:val="single"/>
        </w:rPr>
        <w:t>本项目拟建地</w:t>
      </w:r>
      <w:r>
        <w:rPr>
          <w:rFonts w:hint="eastAsia" w:cs="Times New Roman"/>
          <w:u w:val="single"/>
        </w:rPr>
        <w:t>地势东北</w:t>
      </w:r>
      <w:r>
        <w:rPr>
          <w:rFonts w:cs="Times New Roman"/>
          <w:u w:val="single"/>
        </w:rPr>
        <w:t>相对</w:t>
      </w:r>
      <w:r>
        <w:rPr>
          <w:rFonts w:hint="eastAsia" w:cs="Times New Roman"/>
          <w:u w:val="single"/>
        </w:rPr>
        <w:t>较</w:t>
      </w:r>
      <w:r>
        <w:rPr>
          <w:rFonts w:cs="Times New Roman"/>
          <w:u w:val="single"/>
        </w:rPr>
        <w:t>低，</w:t>
      </w:r>
      <w:r>
        <w:rPr>
          <w:rFonts w:hint="eastAsia" w:cs="Times New Roman"/>
          <w:u w:val="single"/>
        </w:rPr>
        <w:t>其他方位相对较高，</w:t>
      </w:r>
      <w:r>
        <w:rPr>
          <w:rFonts w:cs="Times New Roman"/>
          <w:u w:val="single"/>
        </w:rPr>
        <w:t>土石方基本可场内平衡，本项目土石方平衡具体情况如下表所示。</w:t>
      </w:r>
    </w:p>
    <w:p>
      <w:pPr>
        <w:pStyle w:val="15"/>
        <w:rPr>
          <w:rFonts w:cs="Times New Roman"/>
          <w:u w:val="single"/>
        </w:rPr>
      </w:pPr>
      <w:r>
        <w:rPr>
          <w:rFonts w:cs="Times New Roman"/>
          <w:u w:val="single"/>
        </w:rPr>
        <w:t>表3.1-6  项目土石方平衡表</w:t>
      </w:r>
    </w:p>
    <w:tbl>
      <w:tblPr>
        <w:tblStyle w:val="26"/>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15" w:type="dxa"/>
          <w:left w:w="15" w:type="dxa"/>
          <w:bottom w:w="15" w:type="dxa"/>
          <w:right w:w="15" w:type="dxa"/>
        </w:tblCellMar>
      </w:tblPr>
      <w:tblGrid>
        <w:gridCol w:w="2053"/>
        <w:gridCol w:w="2134"/>
        <w:gridCol w:w="2134"/>
        <w:gridCol w:w="26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97" w:hRule="atLeast"/>
          <w:jc w:val="center"/>
        </w:trPr>
        <w:tc>
          <w:tcPr>
            <w:tcW w:w="1142" w:type="pct"/>
            <w:shd w:val="clear" w:color="auto" w:fill="FFFFFF"/>
            <w:vAlign w:val="center"/>
          </w:tcPr>
          <w:p>
            <w:pPr>
              <w:pStyle w:val="39"/>
              <w:rPr>
                <w:rFonts w:cs="Times New Roman"/>
                <w:u w:val="single"/>
              </w:rPr>
            </w:pPr>
            <w:r>
              <w:rPr>
                <w:rFonts w:cs="Times New Roman"/>
                <w:u w:val="single"/>
              </w:rPr>
              <w:t>项目组成</w:t>
            </w:r>
          </w:p>
        </w:tc>
        <w:tc>
          <w:tcPr>
            <w:tcW w:w="1187" w:type="pct"/>
            <w:shd w:val="clear" w:color="auto" w:fill="FFFFFF"/>
            <w:vAlign w:val="center"/>
          </w:tcPr>
          <w:p>
            <w:pPr>
              <w:pStyle w:val="39"/>
              <w:rPr>
                <w:rFonts w:cs="Times New Roman"/>
                <w:u w:val="single"/>
              </w:rPr>
            </w:pPr>
            <w:r>
              <w:rPr>
                <w:rFonts w:cs="Times New Roman"/>
                <w:u w:val="single"/>
              </w:rPr>
              <w:t>开挖(万m³)</w:t>
            </w:r>
          </w:p>
        </w:tc>
        <w:tc>
          <w:tcPr>
            <w:tcW w:w="1187" w:type="pct"/>
            <w:shd w:val="clear" w:color="auto" w:fill="FFFFFF"/>
            <w:vAlign w:val="center"/>
          </w:tcPr>
          <w:p>
            <w:pPr>
              <w:pStyle w:val="39"/>
              <w:rPr>
                <w:rFonts w:cs="Times New Roman"/>
                <w:u w:val="single"/>
              </w:rPr>
            </w:pPr>
            <w:r>
              <w:rPr>
                <w:rFonts w:cs="Times New Roman"/>
                <w:u w:val="single"/>
              </w:rPr>
              <w:t>回填(万m³)</w:t>
            </w:r>
          </w:p>
        </w:tc>
        <w:tc>
          <w:tcPr>
            <w:tcW w:w="1483" w:type="pct"/>
            <w:shd w:val="clear" w:color="auto" w:fill="FFFFFF"/>
            <w:vAlign w:val="center"/>
          </w:tcPr>
          <w:p>
            <w:pPr>
              <w:pStyle w:val="39"/>
              <w:rPr>
                <w:rFonts w:cs="Times New Roman"/>
                <w:u w:val="single"/>
              </w:rPr>
            </w:pPr>
            <w:r>
              <w:rPr>
                <w:rFonts w:cs="Times New Roman"/>
                <w:u w:val="single"/>
              </w:rPr>
              <w:t>调出（万m³）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97" w:hRule="atLeast"/>
          <w:jc w:val="center"/>
        </w:trPr>
        <w:tc>
          <w:tcPr>
            <w:tcW w:w="1142" w:type="pct"/>
            <w:shd w:val="clear" w:color="auto" w:fill="FFFFFF"/>
            <w:vAlign w:val="center"/>
          </w:tcPr>
          <w:p>
            <w:pPr>
              <w:pStyle w:val="39"/>
              <w:rPr>
                <w:rFonts w:cs="Times New Roman"/>
                <w:u w:val="single"/>
              </w:rPr>
            </w:pPr>
            <w:r>
              <w:rPr>
                <w:rFonts w:hint="eastAsia" w:cs="Times New Roman"/>
                <w:u w:val="single"/>
              </w:rPr>
              <w:t>产蛋舍</w:t>
            </w:r>
            <w:r>
              <w:rPr>
                <w:rFonts w:cs="Times New Roman"/>
                <w:u w:val="single"/>
              </w:rPr>
              <w:t>区</w:t>
            </w:r>
          </w:p>
        </w:tc>
        <w:tc>
          <w:tcPr>
            <w:tcW w:w="1187" w:type="pct"/>
            <w:shd w:val="clear" w:color="auto" w:fill="FFFFFF"/>
            <w:vAlign w:val="center"/>
          </w:tcPr>
          <w:p>
            <w:pPr>
              <w:pStyle w:val="39"/>
              <w:rPr>
                <w:rFonts w:cs="Times New Roman"/>
                <w:u w:val="single"/>
              </w:rPr>
            </w:pPr>
            <w:r>
              <w:rPr>
                <w:rFonts w:cs="Times New Roman"/>
                <w:u w:val="single"/>
              </w:rPr>
              <w:t xml:space="preserve">3.54 </w:t>
            </w:r>
          </w:p>
        </w:tc>
        <w:tc>
          <w:tcPr>
            <w:tcW w:w="1187" w:type="pct"/>
            <w:shd w:val="clear" w:color="auto" w:fill="FFFFFF"/>
            <w:vAlign w:val="center"/>
          </w:tcPr>
          <w:p>
            <w:pPr>
              <w:pStyle w:val="39"/>
              <w:rPr>
                <w:rFonts w:cs="Times New Roman"/>
                <w:u w:val="single"/>
              </w:rPr>
            </w:pPr>
            <w:r>
              <w:rPr>
                <w:rFonts w:cs="Times New Roman"/>
                <w:u w:val="single"/>
              </w:rPr>
              <w:t xml:space="preserve">3.31 </w:t>
            </w:r>
          </w:p>
        </w:tc>
        <w:tc>
          <w:tcPr>
            <w:tcW w:w="1483" w:type="pct"/>
            <w:shd w:val="clear" w:color="auto" w:fill="FFFFFF"/>
            <w:vAlign w:val="center"/>
          </w:tcPr>
          <w:p>
            <w:pPr>
              <w:pStyle w:val="39"/>
              <w:rPr>
                <w:rFonts w:cs="Times New Roman"/>
                <w:u w:val="single"/>
              </w:rPr>
            </w:pPr>
            <w:r>
              <w:rPr>
                <w:rFonts w:cs="Times New Roman"/>
                <w:u w:val="single"/>
              </w:rPr>
              <w:t>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97" w:hRule="atLeast"/>
          <w:jc w:val="center"/>
        </w:trPr>
        <w:tc>
          <w:tcPr>
            <w:tcW w:w="1142" w:type="pct"/>
            <w:shd w:val="clear" w:color="auto" w:fill="FFFFFF"/>
            <w:vAlign w:val="center"/>
          </w:tcPr>
          <w:p>
            <w:pPr>
              <w:pStyle w:val="39"/>
              <w:rPr>
                <w:rFonts w:cs="Times New Roman"/>
                <w:u w:val="single"/>
              </w:rPr>
            </w:pPr>
            <w:r>
              <w:rPr>
                <w:rFonts w:hint="eastAsia" w:cs="Times New Roman"/>
                <w:u w:val="single"/>
              </w:rPr>
              <w:t>育雏舍</w:t>
            </w:r>
            <w:r>
              <w:rPr>
                <w:rFonts w:cs="Times New Roman"/>
                <w:u w:val="single"/>
              </w:rPr>
              <w:t>区</w:t>
            </w:r>
          </w:p>
        </w:tc>
        <w:tc>
          <w:tcPr>
            <w:tcW w:w="1187" w:type="pct"/>
            <w:shd w:val="clear" w:color="auto" w:fill="FFFFFF"/>
            <w:vAlign w:val="center"/>
          </w:tcPr>
          <w:p>
            <w:pPr>
              <w:pStyle w:val="39"/>
              <w:rPr>
                <w:rFonts w:cs="Times New Roman"/>
                <w:u w:val="single"/>
              </w:rPr>
            </w:pPr>
            <w:r>
              <w:rPr>
                <w:rFonts w:cs="Times New Roman"/>
                <w:u w:val="single"/>
              </w:rPr>
              <w:t>2.11</w:t>
            </w:r>
          </w:p>
        </w:tc>
        <w:tc>
          <w:tcPr>
            <w:tcW w:w="1187" w:type="pct"/>
            <w:shd w:val="clear" w:color="auto" w:fill="FFFFFF"/>
            <w:vAlign w:val="center"/>
          </w:tcPr>
          <w:p>
            <w:pPr>
              <w:pStyle w:val="39"/>
              <w:rPr>
                <w:rFonts w:cs="Times New Roman"/>
                <w:u w:val="single"/>
              </w:rPr>
            </w:pPr>
            <w:r>
              <w:rPr>
                <w:rFonts w:cs="Times New Roman"/>
                <w:u w:val="single"/>
              </w:rPr>
              <w:t xml:space="preserve">1.83 </w:t>
            </w:r>
          </w:p>
        </w:tc>
        <w:tc>
          <w:tcPr>
            <w:tcW w:w="1483" w:type="pct"/>
            <w:shd w:val="clear" w:color="auto" w:fill="FFFFFF"/>
            <w:vAlign w:val="center"/>
          </w:tcPr>
          <w:p>
            <w:pPr>
              <w:pStyle w:val="39"/>
              <w:rPr>
                <w:rFonts w:cs="Times New Roman"/>
                <w:u w:val="single"/>
              </w:rPr>
            </w:pPr>
            <w:r>
              <w:rPr>
                <w:rFonts w:cs="Times New Roman"/>
                <w:u w:val="single"/>
              </w:rPr>
              <w:t>0.28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97" w:hRule="atLeast"/>
          <w:jc w:val="center"/>
        </w:trPr>
        <w:tc>
          <w:tcPr>
            <w:tcW w:w="1142" w:type="pct"/>
            <w:shd w:val="clear" w:color="auto" w:fill="FFFFFF"/>
            <w:vAlign w:val="center"/>
          </w:tcPr>
          <w:p>
            <w:pPr>
              <w:pStyle w:val="39"/>
              <w:rPr>
                <w:rFonts w:cs="Times New Roman"/>
                <w:u w:val="single"/>
              </w:rPr>
            </w:pPr>
            <w:r>
              <w:rPr>
                <w:rFonts w:cs="Times New Roman"/>
                <w:u w:val="single"/>
              </w:rPr>
              <w:t>办公区</w:t>
            </w:r>
          </w:p>
        </w:tc>
        <w:tc>
          <w:tcPr>
            <w:tcW w:w="1187" w:type="pct"/>
            <w:shd w:val="clear" w:color="auto" w:fill="FFFFFF"/>
            <w:vAlign w:val="center"/>
          </w:tcPr>
          <w:p>
            <w:pPr>
              <w:pStyle w:val="39"/>
              <w:rPr>
                <w:rFonts w:cs="Times New Roman"/>
                <w:u w:val="single"/>
              </w:rPr>
            </w:pPr>
            <w:r>
              <w:rPr>
                <w:rFonts w:cs="Times New Roman"/>
                <w:u w:val="single"/>
              </w:rPr>
              <w:t>0.65</w:t>
            </w:r>
          </w:p>
        </w:tc>
        <w:tc>
          <w:tcPr>
            <w:tcW w:w="1187" w:type="pct"/>
            <w:shd w:val="clear" w:color="auto" w:fill="FFFFFF"/>
            <w:vAlign w:val="center"/>
          </w:tcPr>
          <w:p>
            <w:pPr>
              <w:pStyle w:val="39"/>
              <w:rPr>
                <w:rFonts w:cs="Times New Roman"/>
                <w:u w:val="single"/>
              </w:rPr>
            </w:pPr>
            <w:r>
              <w:rPr>
                <w:rFonts w:cs="Times New Roman"/>
                <w:u w:val="single"/>
              </w:rPr>
              <w:t>0.71</w:t>
            </w:r>
          </w:p>
        </w:tc>
        <w:tc>
          <w:tcPr>
            <w:tcW w:w="1483" w:type="pct"/>
            <w:shd w:val="clear" w:color="auto" w:fill="FFFFFF"/>
            <w:vAlign w:val="center"/>
          </w:tcPr>
          <w:p>
            <w:pPr>
              <w:pStyle w:val="39"/>
              <w:rPr>
                <w:rFonts w:cs="Times New Roman"/>
                <w:u w:val="single"/>
              </w:rPr>
            </w:pPr>
            <w:r>
              <w:rPr>
                <w:rFonts w:cs="Times New Roman"/>
                <w:u w:val="single"/>
              </w:rPr>
              <w:t>-0.06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97" w:hRule="atLeast"/>
          <w:jc w:val="center"/>
        </w:trPr>
        <w:tc>
          <w:tcPr>
            <w:tcW w:w="1142" w:type="pct"/>
            <w:shd w:val="clear" w:color="auto" w:fill="FFFFFF"/>
            <w:vAlign w:val="center"/>
          </w:tcPr>
          <w:p>
            <w:pPr>
              <w:pStyle w:val="39"/>
              <w:rPr>
                <w:rFonts w:cs="Times New Roman"/>
                <w:u w:val="single"/>
              </w:rPr>
            </w:pPr>
            <w:r>
              <w:rPr>
                <w:rFonts w:cs="Times New Roman"/>
                <w:u w:val="single"/>
              </w:rPr>
              <w:t>合计</w:t>
            </w:r>
          </w:p>
        </w:tc>
        <w:tc>
          <w:tcPr>
            <w:tcW w:w="1187" w:type="pct"/>
            <w:shd w:val="clear" w:color="auto" w:fill="FFFFFF"/>
            <w:vAlign w:val="center"/>
          </w:tcPr>
          <w:p>
            <w:pPr>
              <w:pStyle w:val="39"/>
              <w:rPr>
                <w:rFonts w:cs="Times New Roman"/>
                <w:u w:val="single"/>
              </w:rPr>
            </w:pPr>
            <w:r>
              <w:rPr>
                <w:rFonts w:cs="Times New Roman"/>
                <w:u w:val="single"/>
              </w:rPr>
              <w:t>8.46</w:t>
            </w:r>
          </w:p>
        </w:tc>
        <w:tc>
          <w:tcPr>
            <w:tcW w:w="1187" w:type="pct"/>
            <w:shd w:val="clear" w:color="auto" w:fill="FFFFFF"/>
            <w:vAlign w:val="center"/>
          </w:tcPr>
          <w:p>
            <w:pPr>
              <w:pStyle w:val="39"/>
              <w:rPr>
                <w:rFonts w:cs="Times New Roman"/>
                <w:u w:val="single"/>
              </w:rPr>
            </w:pPr>
            <w:r>
              <w:rPr>
                <w:rFonts w:cs="Times New Roman"/>
                <w:u w:val="single"/>
              </w:rPr>
              <w:t>7.74</w:t>
            </w:r>
          </w:p>
        </w:tc>
        <w:tc>
          <w:tcPr>
            <w:tcW w:w="1483" w:type="pct"/>
            <w:shd w:val="clear" w:color="auto" w:fill="FFFFFF"/>
            <w:vAlign w:val="center"/>
          </w:tcPr>
          <w:p>
            <w:pPr>
              <w:pStyle w:val="39"/>
              <w:rPr>
                <w:rFonts w:cs="Times New Roman"/>
                <w:u w:val="single"/>
              </w:rPr>
            </w:pPr>
            <w:r>
              <w:rPr>
                <w:rFonts w:cs="Times New Roman"/>
                <w:u w:val="single"/>
              </w:rPr>
              <w:t>0.72</w:t>
            </w:r>
          </w:p>
        </w:tc>
      </w:tr>
    </w:tbl>
    <w:p>
      <w:pPr>
        <w:pStyle w:val="3"/>
        <w:ind w:firstLine="480"/>
        <w:rPr>
          <w:rFonts w:cs="Times New Roman"/>
          <w:u w:val="single"/>
        </w:rPr>
      </w:pPr>
    </w:p>
    <w:p>
      <w:pPr>
        <w:pStyle w:val="3"/>
        <w:ind w:firstLine="480"/>
        <w:rPr>
          <w:rFonts w:cs="Times New Roman"/>
          <w:u w:val="single"/>
        </w:rPr>
      </w:pPr>
      <w:r>
        <w:rPr>
          <w:rFonts w:cs="Times New Roman"/>
          <w:u w:val="single"/>
        </w:rPr>
        <w:t>根据建设单位提供的建设方案，本项目调出的土石方用于厂区</w:t>
      </w:r>
      <w:r>
        <w:rPr>
          <w:rFonts w:hint="eastAsia" w:cs="Times New Roman"/>
          <w:u w:val="single"/>
        </w:rPr>
        <w:t>西北</w:t>
      </w:r>
      <w:r>
        <w:rPr>
          <w:rFonts w:cs="Times New Roman"/>
          <w:u w:val="single"/>
        </w:rPr>
        <w:t>侧建设</w:t>
      </w:r>
      <w:r>
        <w:rPr>
          <w:rFonts w:hint="eastAsia" w:cs="Times New Roman"/>
          <w:u w:val="single"/>
        </w:rPr>
        <w:t>的</w:t>
      </w:r>
      <w:r>
        <w:rPr>
          <w:rFonts w:cs="Times New Roman"/>
          <w:u w:val="single"/>
        </w:rPr>
        <w:t>一个</w:t>
      </w:r>
      <w:r>
        <w:rPr>
          <w:rFonts w:hint="eastAsia" w:cs="Times New Roman"/>
          <w:u w:val="single"/>
        </w:rPr>
        <w:t>场内</w:t>
      </w:r>
      <w:r>
        <w:rPr>
          <w:rFonts w:cs="Times New Roman"/>
          <w:u w:val="single"/>
        </w:rPr>
        <w:t>景观的</w:t>
      </w:r>
      <w:r>
        <w:rPr>
          <w:rFonts w:hint="eastAsia" w:cs="Times New Roman"/>
          <w:u w:val="single"/>
        </w:rPr>
        <w:t>人造假山</w:t>
      </w:r>
      <w:r>
        <w:rPr>
          <w:rFonts w:cs="Times New Roman"/>
          <w:u w:val="single"/>
        </w:rPr>
        <w:t>。</w:t>
      </w:r>
    </w:p>
    <w:p>
      <w:pPr>
        <w:pStyle w:val="6"/>
        <w:rPr>
          <w:rFonts w:cs="Times New Roman"/>
        </w:rPr>
      </w:pPr>
      <w:r>
        <w:rPr>
          <w:rFonts w:cs="Times New Roman"/>
        </w:rPr>
        <w:t>场地绿化</w:t>
      </w:r>
    </w:p>
    <w:p>
      <w:pPr>
        <w:pStyle w:val="3"/>
        <w:ind w:firstLine="480"/>
        <w:rPr>
          <w:rFonts w:cs="Times New Roman"/>
        </w:rPr>
      </w:pPr>
      <w:r>
        <w:rPr>
          <w:rFonts w:cs="Times New Roman"/>
        </w:rPr>
        <w:t>本项目在建设的过程中需加强场区绿化，要求建设单位在场界种植高大乔木组成的绿化防护林带，场区内绿化采取乔、灌、花草等相结合的方式，在绿化、美化场区的同时起到防风、防臭、抑尘、隔声的效果。</w:t>
      </w:r>
    </w:p>
    <w:p>
      <w:pPr>
        <w:pStyle w:val="6"/>
        <w:rPr>
          <w:rFonts w:cs="Times New Roman"/>
        </w:rPr>
      </w:pPr>
      <w:r>
        <w:rPr>
          <w:rFonts w:cs="Times New Roman"/>
        </w:rPr>
        <w:t>项目建设进度</w:t>
      </w:r>
    </w:p>
    <w:p>
      <w:pPr>
        <w:pStyle w:val="3"/>
        <w:ind w:firstLine="480"/>
        <w:rPr>
          <w:rFonts w:cs="Times New Roman"/>
        </w:rPr>
      </w:pPr>
      <w:r>
        <w:rPr>
          <w:rFonts w:cs="Times New Roman"/>
        </w:rPr>
        <w:t>预计202</w:t>
      </w:r>
      <w:r>
        <w:rPr>
          <w:rFonts w:hint="eastAsia" w:cs="Times New Roman"/>
        </w:rPr>
        <w:t>1</w:t>
      </w:r>
      <w:r>
        <w:rPr>
          <w:rFonts w:cs="Times New Roman"/>
        </w:rPr>
        <w:t>年12月份开始动工建设，202</w:t>
      </w:r>
      <w:r>
        <w:rPr>
          <w:rFonts w:hint="eastAsia" w:cs="Times New Roman"/>
        </w:rPr>
        <w:t>3</w:t>
      </w:r>
      <w:r>
        <w:rPr>
          <w:rFonts w:cs="Times New Roman"/>
        </w:rPr>
        <w:t>年12月底竣工投产；其中一期202</w:t>
      </w:r>
      <w:r>
        <w:rPr>
          <w:rFonts w:hint="eastAsia" w:cs="Times New Roman"/>
        </w:rPr>
        <w:t>1</w:t>
      </w:r>
      <w:r>
        <w:rPr>
          <w:rFonts w:cs="Times New Roman"/>
        </w:rPr>
        <w:t>年12月至202</w:t>
      </w:r>
      <w:r>
        <w:rPr>
          <w:rFonts w:hint="eastAsia" w:cs="Times New Roman"/>
        </w:rPr>
        <w:t>2</w:t>
      </w:r>
      <w:r>
        <w:rPr>
          <w:rFonts w:cs="Times New Roman"/>
        </w:rPr>
        <w:t>年12月；二期202</w:t>
      </w:r>
      <w:r>
        <w:rPr>
          <w:rFonts w:hint="eastAsia" w:cs="Times New Roman"/>
        </w:rPr>
        <w:t>2</w:t>
      </w:r>
      <w:r>
        <w:rPr>
          <w:rFonts w:cs="Times New Roman"/>
        </w:rPr>
        <w:t>年12月至202</w:t>
      </w:r>
      <w:r>
        <w:rPr>
          <w:rFonts w:hint="eastAsia" w:cs="Times New Roman"/>
        </w:rPr>
        <w:t>3</w:t>
      </w:r>
      <w:r>
        <w:rPr>
          <w:rFonts w:cs="Times New Roman"/>
        </w:rPr>
        <w:t>年12月。</w:t>
      </w:r>
    </w:p>
    <w:p>
      <w:pPr>
        <w:pStyle w:val="6"/>
        <w:rPr>
          <w:rFonts w:cs="Times New Roman"/>
        </w:rPr>
      </w:pPr>
      <w:r>
        <w:rPr>
          <w:rFonts w:cs="Times New Roman"/>
        </w:rPr>
        <w:t>施工组织</w:t>
      </w:r>
    </w:p>
    <w:p>
      <w:pPr>
        <w:pStyle w:val="7"/>
        <w:rPr>
          <w:rFonts w:cs="Times New Roman"/>
        </w:rPr>
      </w:pPr>
      <w:r>
        <w:rPr>
          <w:rFonts w:cs="Times New Roman"/>
        </w:rPr>
        <w:t>施工营地布置</w:t>
      </w:r>
    </w:p>
    <w:p>
      <w:pPr>
        <w:pStyle w:val="3"/>
        <w:ind w:firstLine="480"/>
        <w:rPr>
          <w:rFonts w:cs="Times New Roman"/>
        </w:rPr>
      </w:pPr>
      <w:r>
        <w:rPr>
          <w:rFonts w:cs="Times New Roman"/>
        </w:rPr>
        <w:t>本项目不设施工营地，施工人员均为当地居民，工程的施工临建设施包括钢筋加工区、混凝土预制构件及其余装修材料设置在办公生活区。</w:t>
      </w:r>
    </w:p>
    <w:p>
      <w:pPr>
        <w:pStyle w:val="7"/>
        <w:rPr>
          <w:rFonts w:cs="Times New Roman"/>
        </w:rPr>
      </w:pPr>
      <w:r>
        <w:rPr>
          <w:rFonts w:cs="Times New Roman"/>
        </w:rPr>
        <w:t>建筑材料来源</w:t>
      </w:r>
    </w:p>
    <w:p>
      <w:pPr>
        <w:pStyle w:val="3"/>
        <w:ind w:firstLine="480"/>
        <w:rPr>
          <w:rFonts w:cs="Times New Roman"/>
        </w:rPr>
      </w:pPr>
      <w:r>
        <w:rPr>
          <w:rFonts w:cs="Times New Roman"/>
        </w:rPr>
        <w:t>用水：采用地下水；</w:t>
      </w:r>
    </w:p>
    <w:p>
      <w:pPr>
        <w:pStyle w:val="3"/>
        <w:ind w:firstLine="480"/>
        <w:rPr>
          <w:rFonts w:cs="Times New Roman"/>
        </w:rPr>
      </w:pPr>
      <w:r>
        <w:rPr>
          <w:rFonts w:cs="Times New Roman"/>
        </w:rPr>
        <w:t>建筑材料：各建筑材料均从</w:t>
      </w:r>
      <w:r>
        <w:rPr>
          <w:rFonts w:hint="eastAsia" w:cs="Times New Roman"/>
        </w:rPr>
        <w:t>衡阳</w:t>
      </w:r>
      <w:r>
        <w:rPr>
          <w:rFonts w:cs="Times New Roman"/>
        </w:rPr>
        <w:t>县进行采购，运输方便；</w:t>
      </w:r>
    </w:p>
    <w:p>
      <w:pPr>
        <w:pStyle w:val="3"/>
        <w:ind w:firstLine="480"/>
        <w:rPr>
          <w:rFonts w:cs="Times New Roman"/>
          <w:szCs w:val="24"/>
        </w:rPr>
      </w:pPr>
      <w:r>
        <w:rPr>
          <w:rFonts w:cs="Times New Roman"/>
          <w:bCs/>
          <w:szCs w:val="24"/>
        </w:rPr>
        <w:t>混凝土：</w:t>
      </w:r>
      <w:r>
        <w:rPr>
          <w:rFonts w:cs="Times New Roman"/>
          <w:szCs w:val="24"/>
        </w:rPr>
        <w:t>施工区不设混凝土拌和站，采用商品混凝土。</w:t>
      </w:r>
    </w:p>
    <w:p>
      <w:pPr>
        <w:pStyle w:val="3"/>
        <w:ind w:firstLine="480"/>
        <w:rPr>
          <w:rFonts w:cs="Times New Roman"/>
        </w:rPr>
      </w:pPr>
      <w:r>
        <w:rPr>
          <w:rFonts w:cs="Times New Roman"/>
        </w:rPr>
        <w:t>土料：项目不需要新增土料。</w:t>
      </w:r>
    </w:p>
    <w:p>
      <w:pPr>
        <w:pStyle w:val="3"/>
        <w:ind w:firstLine="480"/>
        <w:rPr>
          <w:rFonts w:cs="Times New Roman"/>
        </w:rPr>
      </w:pPr>
      <w:r>
        <w:rPr>
          <w:rFonts w:cs="Times New Roman"/>
        </w:rPr>
        <w:t>弃渣料：本项目施工过程中土石方基本可场内平衡。</w:t>
      </w:r>
    </w:p>
    <w:p>
      <w:pPr>
        <w:pStyle w:val="5"/>
      </w:pPr>
      <w:bookmarkStart w:id="18" w:name="_Toc80889079"/>
      <w:r>
        <w:rPr>
          <w:rFonts w:hint="eastAsia"/>
        </w:rPr>
        <w:t>工程分析</w:t>
      </w:r>
      <w:bookmarkEnd w:id="18"/>
    </w:p>
    <w:p>
      <w:pPr>
        <w:pStyle w:val="6"/>
        <w:rPr>
          <w:rFonts w:cs="Times New Roman"/>
        </w:rPr>
      </w:pPr>
      <w:r>
        <w:rPr>
          <w:rFonts w:cs="Times New Roman"/>
        </w:rPr>
        <w:t>施工期污染源强分析</w:t>
      </w:r>
    </w:p>
    <w:p>
      <w:pPr>
        <w:pStyle w:val="7"/>
        <w:rPr>
          <w:rFonts w:cs="Times New Roman"/>
        </w:rPr>
      </w:pPr>
      <w:r>
        <w:rPr>
          <w:rFonts w:cs="Times New Roman"/>
        </w:rPr>
        <w:t>施工期工艺流程</w:t>
      </w:r>
    </w:p>
    <w:p>
      <w:pPr>
        <w:pStyle w:val="3"/>
        <w:ind w:firstLine="480"/>
        <w:rPr>
          <w:rFonts w:cs="Times New Roman"/>
        </w:rPr>
      </w:pPr>
      <w:r>
        <w:rPr>
          <w:rFonts w:cs="Times New Roman"/>
        </w:rPr>
        <w:t>根据现场踏勘，施工期主要建设内容包括土地开挖、平整、基础工程、主体工程、设备安装调试和扫尾工程等阶段，经竣工验收后即投入营运使用。施工期工艺流程及产污环节如图3.2-1所示：</w:t>
      </w:r>
    </w:p>
    <w:p>
      <w:pPr>
        <w:pStyle w:val="15"/>
        <w:ind w:left="420" w:hanging="420"/>
        <w:rPr>
          <w:rFonts w:cs="Times New Roman"/>
        </w:rPr>
      </w:pPr>
      <w:r>
        <w:rPr>
          <w:rFonts w:cs="Times New Roman"/>
        </w:rPr>
        <w:object>
          <v:shape id="_x0000_i1025" o:spt="75" type="#_x0000_t75" style="height:122.7pt;width:458.9pt;" o:ole="t" filled="f" coordsize="21600,21600">
            <v:path/>
            <v:fill on="f" focussize="0,0"/>
            <v:stroke/>
            <v:imagedata r:id="rId15" o:title=""/>
            <o:lock v:ext="edit" aspectratio="t"/>
            <w10:wrap type="none"/>
            <w10:anchorlock/>
          </v:shape>
          <o:OLEObject Type="Embed" ProgID="Visio.Drawing.11" ShapeID="_x0000_i1025" DrawAspect="Content" ObjectID="_1468075725" r:id="rId14">
            <o:LockedField>false</o:LockedField>
          </o:OLEObject>
        </w:object>
      </w:r>
      <w:r>
        <w:rPr>
          <w:rFonts w:cs="Times New Roman"/>
        </w:rPr>
        <w:t>图3.2-1  施工期工艺流程图</w:t>
      </w:r>
    </w:p>
    <w:p>
      <w:pPr>
        <w:pStyle w:val="3"/>
        <w:ind w:firstLine="480"/>
        <w:rPr>
          <w:rFonts w:cs="Times New Roman"/>
        </w:rPr>
      </w:pPr>
    </w:p>
    <w:p>
      <w:pPr>
        <w:pStyle w:val="3"/>
        <w:ind w:firstLine="480"/>
        <w:rPr>
          <w:rFonts w:cs="Times New Roman"/>
        </w:rPr>
      </w:pPr>
      <w:r>
        <w:rPr>
          <w:rFonts w:cs="Times New Roman"/>
        </w:rPr>
        <w:t>施工期污染简析：</w:t>
      </w:r>
    </w:p>
    <w:p>
      <w:pPr>
        <w:pStyle w:val="3"/>
        <w:ind w:firstLine="480"/>
        <w:rPr>
          <w:rFonts w:cs="Times New Roman"/>
        </w:rPr>
      </w:pPr>
      <w:r>
        <w:rPr>
          <w:rFonts w:cs="Times New Roman"/>
        </w:rPr>
        <w:t>项目工程占地面积约为</w:t>
      </w:r>
      <w:r>
        <w:rPr>
          <w:rFonts w:hint="eastAsia" w:cs="Times New Roman"/>
          <w:szCs w:val="24"/>
          <w:shd w:val="clear" w:color="auto" w:fill="FFFFFF"/>
        </w:rPr>
        <w:t>189.8亩</w:t>
      </w:r>
      <w:r>
        <w:rPr>
          <w:rFonts w:cs="Times New Roman"/>
        </w:rPr>
        <w:t>，施工期主要的污染因素有废气、废水、固体废物和噪声。</w:t>
      </w:r>
    </w:p>
    <w:p>
      <w:pPr>
        <w:pStyle w:val="3"/>
        <w:ind w:firstLine="480"/>
        <w:rPr>
          <w:rFonts w:cs="Times New Roman"/>
        </w:rPr>
      </w:pPr>
      <w:r>
        <w:rPr>
          <w:rFonts w:cs="Times New Roman"/>
        </w:rPr>
        <w:t>（1）厂区开挖地基、填平地基需要运输废土、石及建筑材料等，有噪声、扬尘、尾气及废水产生；</w:t>
      </w:r>
    </w:p>
    <w:p>
      <w:pPr>
        <w:pStyle w:val="3"/>
        <w:ind w:firstLine="480"/>
        <w:rPr>
          <w:rFonts w:cs="Times New Roman"/>
        </w:rPr>
      </w:pPr>
      <w:r>
        <w:rPr>
          <w:rFonts w:cs="Times New Roman"/>
        </w:rPr>
        <w:t>（2）施工期噪声主要来源于各种建设机械和运输车辆噪声。</w:t>
      </w:r>
    </w:p>
    <w:p>
      <w:pPr>
        <w:pStyle w:val="3"/>
        <w:ind w:firstLine="480"/>
        <w:rPr>
          <w:rFonts w:cs="Times New Roman"/>
        </w:rPr>
      </w:pPr>
      <w:r>
        <w:rPr>
          <w:rFonts w:cs="Times New Roman"/>
        </w:rPr>
        <w:t>（3）施工人员排放的生活污水及生活垃圾。</w:t>
      </w:r>
    </w:p>
    <w:p>
      <w:pPr>
        <w:pStyle w:val="3"/>
        <w:ind w:firstLine="480"/>
        <w:rPr>
          <w:rFonts w:cs="Times New Roman"/>
        </w:rPr>
      </w:pPr>
      <w:r>
        <w:rPr>
          <w:rFonts w:cs="Times New Roman"/>
        </w:rPr>
        <w:t>（4）施工过程中产生建筑垃圾。</w:t>
      </w:r>
    </w:p>
    <w:p>
      <w:pPr>
        <w:pStyle w:val="3"/>
        <w:ind w:firstLine="480"/>
        <w:rPr>
          <w:rFonts w:cs="Times New Roman"/>
        </w:rPr>
      </w:pPr>
      <w:r>
        <w:rPr>
          <w:rFonts w:cs="Times New Roman"/>
        </w:rPr>
        <w:t>（5）施工过程中雨季会有水土流失。</w:t>
      </w:r>
    </w:p>
    <w:p>
      <w:pPr>
        <w:pStyle w:val="3"/>
        <w:ind w:firstLine="480"/>
        <w:rPr>
          <w:rFonts w:cs="Times New Roman"/>
        </w:rPr>
      </w:pPr>
      <w:r>
        <w:rPr>
          <w:rFonts w:cs="Times New Roman"/>
        </w:rPr>
        <w:t>本项目拟建地为坳地，仅需对拟建地进行平整，且项目所建设的鸡舍均为一层，无需进行深地基开挖，因此，项目在施工期基本不产生废弃土石方。</w:t>
      </w:r>
    </w:p>
    <w:p>
      <w:pPr>
        <w:pStyle w:val="7"/>
        <w:rPr>
          <w:rFonts w:cs="Times New Roman"/>
        </w:rPr>
      </w:pPr>
      <w:r>
        <w:rPr>
          <w:rFonts w:cs="Times New Roman"/>
        </w:rPr>
        <w:t>废水污染源分析</w:t>
      </w:r>
    </w:p>
    <w:p>
      <w:pPr>
        <w:pStyle w:val="3"/>
        <w:ind w:firstLine="480"/>
        <w:rPr>
          <w:rFonts w:cs="Times New Roman"/>
        </w:rPr>
      </w:pPr>
      <w:r>
        <w:rPr>
          <w:rFonts w:cs="Times New Roman"/>
        </w:rPr>
        <w:t>施工期废水主要为施工废水和生活污水。</w:t>
      </w:r>
    </w:p>
    <w:p>
      <w:pPr>
        <w:pStyle w:val="3"/>
        <w:ind w:firstLine="480"/>
        <w:rPr>
          <w:rFonts w:cs="Times New Roman"/>
        </w:rPr>
      </w:pPr>
      <w:r>
        <w:rPr>
          <w:rFonts w:cs="Times New Roman"/>
        </w:rPr>
        <w:t>施工废水：</w:t>
      </w:r>
      <w:r>
        <w:rPr>
          <w:rFonts w:cs="Times New Roman"/>
          <w:szCs w:val="24"/>
        </w:rPr>
        <w:t>施工废水主要为</w:t>
      </w:r>
      <w:r>
        <w:rPr>
          <w:rFonts w:cs="Times New Roman"/>
        </w:rPr>
        <w:t>基坑废水、混凝土养护废水及车辆冲洗废水等。基坑废水、混凝土养护废水均沉淀后再利用；车辆冲洗废水据类比及初步估算，一般施工车辆冲洗废水约300L/辆，每天按10辆计，冲洗废水约3m</w:t>
      </w:r>
      <w:r>
        <w:rPr>
          <w:rFonts w:cs="Times New Roman"/>
          <w:vertAlign w:val="superscript"/>
        </w:rPr>
        <w:t>3</w:t>
      </w:r>
      <w:r>
        <w:rPr>
          <w:rFonts w:cs="Times New Roman"/>
        </w:rPr>
        <w:t>/d，设置隔油沉淀池，其中CODcr为25～200mg/L，SS约为500～4000mg/L，石油类约为100~200mg/L。施工废水经处理后主要回用场地洒水降尘等，不外排。</w:t>
      </w:r>
    </w:p>
    <w:p>
      <w:pPr>
        <w:pStyle w:val="3"/>
        <w:ind w:firstLine="480"/>
        <w:rPr>
          <w:rFonts w:cs="Times New Roman"/>
        </w:rPr>
      </w:pPr>
      <w:r>
        <w:rPr>
          <w:rFonts w:cs="Times New Roman"/>
        </w:rPr>
        <w:t>生活污水：本项目施工高峰期人员约50人（不留宿），按照施工工人每天用水量45L，排污系数取0.8估算，施工人员生活污水平均产生量为1.8m</w:t>
      </w:r>
      <w:r>
        <w:rPr>
          <w:rFonts w:cs="Times New Roman"/>
          <w:vertAlign w:val="superscript"/>
        </w:rPr>
        <w:t>3</w:t>
      </w:r>
      <w:r>
        <w:rPr>
          <w:rFonts w:cs="Times New Roman"/>
        </w:rPr>
        <w:t>/d。污染物以BOD</w:t>
      </w:r>
      <w:r>
        <w:rPr>
          <w:rFonts w:cs="Times New Roman"/>
          <w:vertAlign w:val="subscript"/>
        </w:rPr>
        <w:t>5</w:t>
      </w:r>
      <w:r>
        <w:rPr>
          <w:rFonts w:cs="Times New Roman"/>
        </w:rPr>
        <w:t>、COD、SS、NH</w:t>
      </w:r>
      <w:r>
        <w:rPr>
          <w:rFonts w:cs="Times New Roman"/>
          <w:vertAlign w:val="subscript"/>
        </w:rPr>
        <w:t>3</w:t>
      </w:r>
      <w:r>
        <w:rPr>
          <w:rFonts w:cs="Times New Roman"/>
        </w:rPr>
        <w:t>-N为主，其浓度分别为120mg/l、300mg/l、250mg/l、30mg/l，项目施工人员均为周边居民，施工现场设置</w:t>
      </w:r>
      <w:r>
        <w:rPr>
          <w:rFonts w:hint="eastAsia" w:cs="Times New Roman"/>
        </w:rPr>
        <w:t>简易公厕</w:t>
      </w:r>
      <w:r>
        <w:rPr>
          <w:rFonts w:cs="Times New Roman"/>
        </w:rPr>
        <w:t>，定期委托现有居民定期清掏用作农肥。</w:t>
      </w:r>
    </w:p>
    <w:p>
      <w:pPr>
        <w:pStyle w:val="7"/>
        <w:rPr>
          <w:rFonts w:cs="Times New Roman"/>
        </w:rPr>
      </w:pPr>
      <w:r>
        <w:rPr>
          <w:rFonts w:cs="Times New Roman"/>
        </w:rPr>
        <w:t>废气污染源分析</w:t>
      </w:r>
    </w:p>
    <w:p>
      <w:pPr>
        <w:pStyle w:val="3"/>
        <w:ind w:firstLine="480"/>
        <w:rPr>
          <w:rFonts w:cs="Times New Roman"/>
        </w:rPr>
      </w:pPr>
      <w:r>
        <w:rPr>
          <w:rFonts w:cs="Times New Roman"/>
        </w:rPr>
        <w:t>施工期大气污染源主要是施工粉尘，车辆尾气、运输扬尘等，其中施工粉尘与运输扬尘与泥土含水量、空气干燥程度、风速直接相关，通过严格管理和洒水可有效抑制；车辆尾气与车辆工况有关。一般工程车辆污染物排放量CO：5.25g/辆·km、THC：2.08g/辆·km、NO</w:t>
      </w:r>
      <w:r>
        <w:rPr>
          <w:rFonts w:cs="Times New Roman"/>
          <w:vertAlign w:val="subscript"/>
        </w:rPr>
        <w:t>2</w:t>
      </w:r>
      <w:r>
        <w:rPr>
          <w:rFonts w:cs="Times New Roman"/>
        </w:rPr>
        <w:t>：10.44g/辆·km。</w:t>
      </w:r>
    </w:p>
    <w:p>
      <w:pPr>
        <w:pStyle w:val="7"/>
        <w:rPr>
          <w:rFonts w:cs="Times New Roman"/>
        </w:rPr>
      </w:pPr>
      <w:r>
        <w:rPr>
          <w:rFonts w:cs="Times New Roman"/>
        </w:rPr>
        <w:t>噪声污染源分析</w:t>
      </w:r>
    </w:p>
    <w:p>
      <w:pPr>
        <w:pStyle w:val="3"/>
        <w:ind w:firstLine="480"/>
        <w:rPr>
          <w:rFonts w:cs="Times New Roman"/>
        </w:rPr>
      </w:pPr>
      <w:r>
        <w:rPr>
          <w:rFonts w:cs="Times New Roman"/>
        </w:rPr>
        <w:t>建设期噪声主要来自施工机械噪声、施工作业噪声和运输车辆噪声。施工机械噪声由施工机械所造成，如挖土机械、空压机等，多为点声源。施工作业噪声主要指一些零星的敲打声、装卸建材的撞击声及装修期间的噪声等，多为瞬间噪声。</w:t>
      </w:r>
    </w:p>
    <w:p>
      <w:pPr>
        <w:pStyle w:val="3"/>
        <w:ind w:firstLine="480"/>
        <w:rPr>
          <w:rFonts w:cs="Times New Roman"/>
        </w:rPr>
      </w:pPr>
      <w:r>
        <w:rPr>
          <w:rFonts w:cs="Times New Roman"/>
        </w:rPr>
        <w:t>建设期主要施工机械设备的噪声源强见表3.2-1。</w:t>
      </w:r>
    </w:p>
    <w:p>
      <w:pPr>
        <w:pStyle w:val="15"/>
        <w:ind w:left="420" w:hanging="420"/>
        <w:rPr>
          <w:rFonts w:cs="Times New Roman"/>
          <w:snapToGrid w:val="0"/>
        </w:rPr>
      </w:pPr>
      <w:r>
        <w:rPr>
          <w:rFonts w:cs="Times New Roman"/>
        </w:rPr>
        <w:t>表3.2-1  建设</w:t>
      </w:r>
      <w:r>
        <w:rPr>
          <w:rFonts w:cs="Times New Roman"/>
          <w:snapToGrid w:val="0"/>
        </w:rPr>
        <w:t>期主要噪声源及源强</w:t>
      </w:r>
    </w:p>
    <w:tbl>
      <w:tblPr>
        <w:tblStyle w:val="26"/>
        <w:tblW w:w="9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2301"/>
        <w:gridCol w:w="1385"/>
        <w:gridCol w:w="1490"/>
        <w:gridCol w:w="1915"/>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05" w:type="dxa"/>
            <w:vAlign w:val="center"/>
          </w:tcPr>
          <w:p>
            <w:pPr>
              <w:pStyle w:val="39"/>
              <w:rPr>
                <w:rFonts w:cs="Times New Roman"/>
              </w:rPr>
            </w:pPr>
            <w:r>
              <w:rPr>
                <w:rFonts w:cs="Times New Roman"/>
              </w:rPr>
              <w:t>施工阶段</w:t>
            </w:r>
          </w:p>
        </w:tc>
        <w:tc>
          <w:tcPr>
            <w:tcW w:w="2301" w:type="dxa"/>
            <w:vAlign w:val="center"/>
          </w:tcPr>
          <w:p>
            <w:pPr>
              <w:pStyle w:val="39"/>
              <w:rPr>
                <w:rFonts w:cs="Times New Roman"/>
              </w:rPr>
            </w:pPr>
            <w:r>
              <w:rPr>
                <w:rFonts w:cs="Times New Roman"/>
              </w:rPr>
              <w:t>声源</w:t>
            </w:r>
          </w:p>
        </w:tc>
        <w:tc>
          <w:tcPr>
            <w:tcW w:w="1385" w:type="dxa"/>
            <w:vAlign w:val="center"/>
          </w:tcPr>
          <w:p>
            <w:pPr>
              <w:pStyle w:val="39"/>
              <w:rPr>
                <w:rFonts w:cs="Times New Roman"/>
              </w:rPr>
            </w:pPr>
            <w:r>
              <w:rPr>
                <w:rFonts w:cs="Times New Roman"/>
              </w:rPr>
              <w:t>声源强度</w:t>
            </w:r>
          </w:p>
          <w:p>
            <w:pPr>
              <w:pStyle w:val="39"/>
              <w:rPr>
                <w:rFonts w:cs="Times New Roman"/>
              </w:rPr>
            </w:pPr>
            <w:r>
              <w:rPr>
                <w:rFonts w:cs="Times New Roman"/>
              </w:rPr>
              <w:t>dB（A）</w:t>
            </w:r>
          </w:p>
        </w:tc>
        <w:tc>
          <w:tcPr>
            <w:tcW w:w="1490" w:type="dxa"/>
            <w:vAlign w:val="center"/>
          </w:tcPr>
          <w:p>
            <w:pPr>
              <w:pStyle w:val="39"/>
              <w:rPr>
                <w:rFonts w:cs="Times New Roman"/>
              </w:rPr>
            </w:pPr>
            <w:r>
              <w:rPr>
                <w:rFonts w:cs="Times New Roman"/>
              </w:rPr>
              <w:t>施工阶段</w:t>
            </w:r>
          </w:p>
        </w:tc>
        <w:tc>
          <w:tcPr>
            <w:tcW w:w="1915" w:type="dxa"/>
            <w:vAlign w:val="center"/>
          </w:tcPr>
          <w:p>
            <w:pPr>
              <w:pStyle w:val="39"/>
              <w:rPr>
                <w:rFonts w:cs="Times New Roman"/>
              </w:rPr>
            </w:pPr>
            <w:r>
              <w:rPr>
                <w:rFonts w:cs="Times New Roman"/>
              </w:rPr>
              <w:t>声源</w:t>
            </w:r>
          </w:p>
        </w:tc>
        <w:tc>
          <w:tcPr>
            <w:tcW w:w="1277" w:type="dxa"/>
            <w:vAlign w:val="center"/>
          </w:tcPr>
          <w:p>
            <w:pPr>
              <w:pStyle w:val="39"/>
              <w:rPr>
                <w:rFonts w:cs="Times New Roman"/>
              </w:rPr>
            </w:pPr>
            <w:r>
              <w:rPr>
                <w:rFonts w:cs="Times New Roman"/>
              </w:rPr>
              <w:t>声源强度</w:t>
            </w:r>
          </w:p>
          <w:p>
            <w:pPr>
              <w:pStyle w:val="39"/>
              <w:rPr>
                <w:rFonts w:cs="Times New Roman"/>
              </w:rPr>
            </w:pPr>
            <w:r>
              <w:rPr>
                <w:rFonts w:cs="Times New Roman"/>
              </w:rPr>
              <w:t>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05" w:type="dxa"/>
            <w:vMerge w:val="restart"/>
            <w:vAlign w:val="center"/>
          </w:tcPr>
          <w:p>
            <w:pPr>
              <w:pStyle w:val="39"/>
              <w:rPr>
                <w:rFonts w:cs="Times New Roman"/>
              </w:rPr>
            </w:pPr>
            <w:r>
              <w:rPr>
                <w:rFonts w:cs="Times New Roman"/>
              </w:rPr>
              <w:t>土石方阶段</w:t>
            </w:r>
          </w:p>
        </w:tc>
        <w:tc>
          <w:tcPr>
            <w:tcW w:w="2301" w:type="dxa"/>
            <w:vAlign w:val="center"/>
          </w:tcPr>
          <w:p>
            <w:pPr>
              <w:pStyle w:val="39"/>
              <w:rPr>
                <w:rFonts w:cs="Times New Roman"/>
              </w:rPr>
            </w:pPr>
            <w:r>
              <w:rPr>
                <w:rFonts w:cs="Times New Roman"/>
              </w:rPr>
              <w:t>挖土机</w:t>
            </w:r>
          </w:p>
        </w:tc>
        <w:tc>
          <w:tcPr>
            <w:tcW w:w="1385" w:type="dxa"/>
            <w:vAlign w:val="center"/>
          </w:tcPr>
          <w:p>
            <w:pPr>
              <w:pStyle w:val="39"/>
              <w:rPr>
                <w:rFonts w:cs="Times New Roman"/>
              </w:rPr>
            </w:pPr>
            <w:r>
              <w:rPr>
                <w:rFonts w:cs="Times New Roman"/>
              </w:rPr>
              <w:t>78～96</w:t>
            </w:r>
          </w:p>
        </w:tc>
        <w:tc>
          <w:tcPr>
            <w:tcW w:w="1490" w:type="dxa"/>
            <w:vMerge w:val="restart"/>
            <w:vAlign w:val="center"/>
          </w:tcPr>
          <w:p>
            <w:pPr>
              <w:pStyle w:val="39"/>
              <w:rPr>
                <w:rFonts w:cs="Times New Roman"/>
              </w:rPr>
            </w:pPr>
            <w:r>
              <w:rPr>
                <w:rFonts w:cs="Times New Roman"/>
              </w:rPr>
              <w:t>装修</w:t>
            </w:r>
          </w:p>
          <w:p>
            <w:pPr>
              <w:pStyle w:val="39"/>
              <w:rPr>
                <w:rFonts w:cs="Times New Roman"/>
              </w:rPr>
            </w:pPr>
            <w:r>
              <w:rPr>
                <w:rFonts w:cs="Times New Roman"/>
              </w:rPr>
              <w:t>安装阶段</w:t>
            </w:r>
          </w:p>
        </w:tc>
        <w:tc>
          <w:tcPr>
            <w:tcW w:w="1915" w:type="dxa"/>
            <w:vAlign w:val="center"/>
          </w:tcPr>
          <w:p>
            <w:pPr>
              <w:pStyle w:val="39"/>
              <w:rPr>
                <w:rFonts w:cs="Times New Roman"/>
              </w:rPr>
            </w:pPr>
            <w:r>
              <w:rPr>
                <w:rFonts w:cs="Times New Roman"/>
              </w:rPr>
              <w:t>电钻</w:t>
            </w:r>
          </w:p>
        </w:tc>
        <w:tc>
          <w:tcPr>
            <w:tcW w:w="1277" w:type="dxa"/>
            <w:vAlign w:val="center"/>
          </w:tcPr>
          <w:p>
            <w:pPr>
              <w:pStyle w:val="39"/>
              <w:rPr>
                <w:rFonts w:cs="Times New Roman"/>
              </w:rPr>
            </w:pPr>
            <w:r>
              <w:rPr>
                <w:rFonts w:cs="Times New Roman"/>
              </w:rPr>
              <w:t>100～105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05" w:type="dxa"/>
            <w:vMerge w:val="continue"/>
            <w:vAlign w:val="center"/>
          </w:tcPr>
          <w:p>
            <w:pPr>
              <w:pStyle w:val="39"/>
              <w:rPr>
                <w:rFonts w:cs="Times New Roman"/>
              </w:rPr>
            </w:pPr>
          </w:p>
        </w:tc>
        <w:tc>
          <w:tcPr>
            <w:tcW w:w="2301" w:type="dxa"/>
            <w:vAlign w:val="center"/>
          </w:tcPr>
          <w:p>
            <w:pPr>
              <w:pStyle w:val="39"/>
              <w:rPr>
                <w:rFonts w:cs="Times New Roman"/>
              </w:rPr>
            </w:pPr>
            <w:r>
              <w:rPr>
                <w:rFonts w:cs="Times New Roman"/>
              </w:rPr>
              <w:t>空压机</w:t>
            </w:r>
          </w:p>
        </w:tc>
        <w:tc>
          <w:tcPr>
            <w:tcW w:w="1385" w:type="dxa"/>
            <w:vAlign w:val="center"/>
          </w:tcPr>
          <w:p>
            <w:pPr>
              <w:pStyle w:val="39"/>
              <w:rPr>
                <w:rFonts w:cs="Times New Roman"/>
              </w:rPr>
            </w:pPr>
            <w:r>
              <w:rPr>
                <w:rFonts w:cs="Times New Roman"/>
              </w:rPr>
              <w:t>75～85</w:t>
            </w:r>
          </w:p>
        </w:tc>
        <w:tc>
          <w:tcPr>
            <w:tcW w:w="1490" w:type="dxa"/>
            <w:vMerge w:val="continue"/>
            <w:vAlign w:val="center"/>
          </w:tcPr>
          <w:p>
            <w:pPr>
              <w:pStyle w:val="39"/>
              <w:rPr>
                <w:rFonts w:cs="Times New Roman"/>
              </w:rPr>
            </w:pPr>
          </w:p>
        </w:tc>
        <w:tc>
          <w:tcPr>
            <w:tcW w:w="1915" w:type="dxa"/>
            <w:vAlign w:val="center"/>
          </w:tcPr>
          <w:p>
            <w:pPr>
              <w:pStyle w:val="39"/>
              <w:rPr>
                <w:rFonts w:cs="Times New Roman"/>
              </w:rPr>
            </w:pPr>
            <w:r>
              <w:rPr>
                <w:rFonts w:cs="Times New Roman"/>
              </w:rPr>
              <w:t>电锤</w:t>
            </w:r>
          </w:p>
        </w:tc>
        <w:tc>
          <w:tcPr>
            <w:tcW w:w="1277" w:type="dxa"/>
            <w:vAlign w:val="center"/>
          </w:tcPr>
          <w:p>
            <w:pPr>
              <w:pStyle w:val="39"/>
              <w:rPr>
                <w:rFonts w:cs="Times New Roman"/>
              </w:rPr>
            </w:pPr>
            <w:r>
              <w:rPr>
                <w:rFonts w:cs="Times New Roman"/>
              </w:rPr>
              <w:t>100～105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05" w:type="dxa"/>
            <w:vMerge w:val="continue"/>
            <w:vAlign w:val="center"/>
          </w:tcPr>
          <w:p>
            <w:pPr>
              <w:pStyle w:val="39"/>
              <w:rPr>
                <w:rFonts w:cs="Times New Roman"/>
              </w:rPr>
            </w:pPr>
          </w:p>
        </w:tc>
        <w:tc>
          <w:tcPr>
            <w:tcW w:w="2301" w:type="dxa"/>
            <w:vAlign w:val="center"/>
          </w:tcPr>
          <w:p>
            <w:pPr>
              <w:pStyle w:val="39"/>
              <w:rPr>
                <w:rFonts w:cs="Times New Roman"/>
              </w:rPr>
            </w:pPr>
            <w:r>
              <w:rPr>
                <w:rFonts w:cs="Times New Roman"/>
              </w:rPr>
              <w:t>卷扬机</w:t>
            </w:r>
          </w:p>
        </w:tc>
        <w:tc>
          <w:tcPr>
            <w:tcW w:w="1385" w:type="dxa"/>
            <w:vAlign w:val="center"/>
          </w:tcPr>
          <w:p>
            <w:pPr>
              <w:pStyle w:val="39"/>
              <w:rPr>
                <w:rFonts w:cs="Times New Roman"/>
              </w:rPr>
            </w:pPr>
            <w:r>
              <w:rPr>
                <w:rFonts w:cs="Times New Roman"/>
              </w:rPr>
              <w:t>85～88</w:t>
            </w:r>
          </w:p>
        </w:tc>
        <w:tc>
          <w:tcPr>
            <w:tcW w:w="1490" w:type="dxa"/>
            <w:vMerge w:val="continue"/>
            <w:vAlign w:val="center"/>
          </w:tcPr>
          <w:p>
            <w:pPr>
              <w:pStyle w:val="39"/>
              <w:rPr>
                <w:rFonts w:cs="Times New Roman"/>
              </w:rPr>
            </w:pPr>
          </w:p>
        </w:tc>
        <w:tc>
          <w:tcPr>
            <w:tcW w:w="1915" w:type="dxa"/>
            <w:vAlign w:val="center"/>
          </w:tcPr>
          <w:p>
            <w:pPr>
              <w:pStyle w:val="39"/>
              <w:rPr>
                <w:rFonts w:cs="Times New Roman"/>
              </w:rPr>
            </w:pPr>
            <w:r>
              <w:rPr>
                <w:rFonts w:cs="Times New Roman"/>
              </w:rPr>
              <w:t>手工钻</w:t>
            </w:r>
          </w:p>
        </w:tc>
        <w:tc>
          <w:tcPr>
            <w:tcW w:w="1277" w:type="dxa"/>
            <w:vAlign w:val="center"/>
          </w:tcPr>
          <w:p>
            <w:pPr>
              <w:pStyle w:val="39"/>
              <w:rPr>
                <w:rFonts w:cs="Times New Roman"/>
              </w:rPr>
            </w:pPr>
            <w:r>
              <w:rPr>
                <w:rFonts w:cs="Times New Roman"/>
              </w:rPr>
              <w:t>100～105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05" w:type="dxa"/>
            <w:vMerge w:val="restart"/>
            <w:vAlign w:val="center"/>
          </w:tcPr>
          <w:p>
            <w:pPr>
              <w:pStyle w:val="39"/>
              <w:rPr>
                <w:rFonts w:cs="Times New Roman"/>
              </w:rPr>
            </w:pPr>
            <w:r>
              <w:rPr>
                <w:rFonts w:cs="Times New Roman"/>
              </w:rPr>
              <w:t>底板与结构阶段</w:t>
            </w:r>
          </w:p>
        </w:tc>
        <w:tc>
          <w:tcPr>
            <w:tcW w:w="2301" w:type="dxa"/>
            <w:vAlign w:val="center"/>
          </w:tcPr>
          <w:p>
            <w:pPr>
              <w:pStyle w:val="39"/>
              <w:rPr>
                <w:rFonts w:cs="Times New Roman"/>
              </w:rPr>
            </w:pPr>
            <w:r>
              <w:rPr>
                <w:rFonts w:cs="Times New Roman"/>
              </w:rPr>
              <w:t>混凝土输送泵</w:t>
            </w:r>
          </w:p>
        </w:tc>
        <w:tc>
          <w:tcPr>
            <w:tcW w:w="1385" w:type="dxa"/>
            <w:vAlign w:val="center"/>
          </w:tcPr>
          <w:p>
            <w:pPr>
              <w:pStyle w:val="39"/>
              <w:rPr>
                <w:rFonts w:cs="Times New Roman"/>
              </w:rPr>
            </w:pPr>
            <w:r>
              <w:rPr>
                <w:rFonts w:cs="Times New Roman"/>
              </w:rPr>
              <w:t>90～100</w:t>
            </w:r>
          </w:p>
        </w:tc>
        <w:tc>
          <w:tcPr>
            <w:tcW w:w="1490" w:type="dxa"/>
            <w:vMerge w:val="continue"/>
            <w:vAlign w:val="center"/>
          </w:tcPr>
          <w:p>
            <w:pPr>
              <w:pStyle w:val="39"/>
              <w:rPr>
                <w:rFonts w:cs="Times New Roman"/>
              </w:rPr>
            </w:pPr>
          </w:p>
        </w:tc>
        <w:tc>
          <w:tcPr>
            <w:tcW w:w="1915" w:type="dxa"/>
            <w:vAlign w:val="center"/>
          </w:tcPr>
          <w:p>
            <w:pPr>
              <w:pStyle w:val="39"/>
              <w:rPr>
                <w:rFonts w:cs="Times New Roman"/>
              </w:rPr>
            </w:pPr>
            <w:r>
              <w:rPr>
                <w:rFonts w:cs="Times New Roman"/>
              </w:rPr>
              <w:t>无齿锯</w:t>
            </w:r>
          </w:p>
        </w:tc>
        <w:tc>
          <w:tcPr>
            <w:tcW w:w="1277" w:type="dxa"/>
            <w:vAlign w:val="center"/>
          </w:tcPr>
          <w:p>
            <w:pPr>
              <w:pStyle w:val="39"/>
              <w:rPr>
                <w:rFonts w:cs="Times New Roman"/>
              </w:rPr>
            </w:pPr>
            <w:r>
              <w:rPr>
                <w:rFonts w:cs="Times New Roman"/>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05" w:type="dxa"/>
            <w:vMerge w:val="continue"/>
            <w:vAlign w:val="center"/>
          </w:tcPr>
          <w:p>
            <w:pPr>
              <w:pStyle w:val="39"/>
              <w:rPr>
                <w:rFonts w:cs="Times New Roman"/>
              </w:rPr>
            </w:pPr>
          </w:p>
        </w:tc>
        <w:tc>
          <w:tcPr>
            <w:tcW w:w="2301" w:type="dxa"/>
            <w:vAlign w:val="center"/>
          </w:tcPr>
          <w:p>
            <w:pPr>
              <w:pStyle w:val="39"/>
              <w:rPr>
                <w:rFonts w:cs="Times New Roman"/>
              </w:rPr>
            </w:pPr>
            <w:r>
              <w:rPr>
                <w:rFonts w:cs="Times New Roman"/>
              </w:rPr>
              <w:t>振捣器</w:t>
            </w:r>
          </w:p>
        </w:tc>
        <w:tc>
          <w:tcPr>
            <w:tcW w:w="1385" w:type="dxa"/>
            <w:vAlign w:val="center"/>
          </w:tcPr>
          <w:p>
            <w:pPr>
              <w:pStyle w:val="39"/>
              <w:rPr>
                <w:rFonts w:cs="Times New Roman"/>
              </w:rPr>
            </w:pPr>
            <w:r>
              <w:rPr>
                <w:rFonts w:cs="Times New Roman"/>
              </w:rPr>
              <w:t>100～105</w:t>
            </w:r>
          </w:p>
        </w:tc>
        <w:tc>
          <w:tcPr>
            <w:tcW w:w="1490" w:type="dxa"/>
            <w:vMerge w:val="continue"/>
            <w:vAlign w:val="center"/>
          </w:tcPr>
          <w:p>
            <w:pPr>
              <w:pStyle w:val="39"/>
              <w:rPr>
                <w:rFonts w:cs="Times New Roman"/>
              </w:rPr>
            </w:pPr>
          </w:p>
        </w:tc>
        <w:tc>
          <w:tcPr>
            <w:tcW w:w="1915" w:type="dxa"/>
            <w:vAlign w:val="center"/>
          </w:tcPr>
          <w:p>
            <w:pPr>
              <w:pStyle w:val="39"/>
              <w:rPr>
                <w:rFonts w:cs="Times New Roman"/>
              </w:rPr>
            </w:pPr>
            <w:r>
              <w:rPr>
                <w:rFonts w:cs="Times New Roman"/>
              </w:rPr>
              <w:t>多功能木工刨</w:t>
            </w:r>
          </w:p>
        </w:tc>
        <w:tc>
          <w:tcPr>
            <w:tcW w:w="1277" w:type="dxa"/>
            <w:vAlign w:val="center"/>
          </w:tcPr>
          <w:p>
            <w:pPr>
              <w:pStyle w:val="39"/>
              <w:rPr>
                <w:rFonts w:cs="Times New Roman"/>
              </w:rPr>
            </w:pPr>
            <w:r>
              <w:rPr>
                <w:rFonts w:cs="Times New Roman"/>
              </w:rPr>
              <w:t>90～100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05" w:type="dxa"/>
            <w:vMerge w:val="continue"/>
            <w:vAlign w:val="center"/>
          </w:tcPr>
          <w:p>
            <w:pPr>
              <w:pStyle w:val="39"/>
              <w:rPr>
                <w:rFonts w:cs="Times New Roman"/>
              </w:rPr>
            </w:pPr>
          </w:p>
        </w:tc>
        <w:tc>
          <w:tcPr>
            <w:tcW w:w="2301" w:type="dxa"/>
            <w:vAlign w:val="center"/>
          </w:tcPr>
          <w:p>
            <w:pPr>
              <w:pStyle w:val="39"/>
              <w:rPr>
                <w:rFonts w:cs="Times New Roman"/>
              </w:rPr>
            </w:pPr>
            <w:r>
              <w:rPr>
                <w:rFonts w:cs="Times New Roman"/>
              </w:rPr>
              <w:t>电锯</w:t>
            </w:r>
          </w:p>
        </w:tc>
        <w:tc>
          <w:tcPr>
            <w:tcW w:w="1385" w:type="dxa"/>
            <w:vAlign w:val="center"/>
          </w:tcPr>
          <w:p>
            <w:pPr>
              <w:pStyle w:val="39"/>
              <w:rPr>
                <w:rFonts w:cs="Times New Roman"/>
              </w:rPr>
            </w:pPr>
            <w:r>
              <w:rPr>
                <w:rFonts w:cs="Times New Roman"/>
              </w:rPr>
              <w:t>100～105</w:t>
            </w:r>
          </w:p>
        </w:tc>
        <w:tc>
          <w:tcPr>
            <w:tcW w:w="1490" w:type="dxa"/>
            <w:vMerge w:val="continue"/>
            <w:vAlign w:val="center"/>
          </w:tcPr>
          <w:p>
            <w:pPr>
              <w:pStyle w:val="39"/>
              <w:rPr>
                <w:rFonts w:cs="Times New Roman"/>
              </w:rPr>
            </w:pPr>
          </w:p>
        </w:tc>
        <w:tc>
          <w:tcPr>
            <w:tcW w:w="1915" w:type="dxa"/>
            <w:vAlign w:val="center"/>
          </w:tcPr>
          <w:p>
            <w:pPr>
              <w:pStyle w:val="39"/>
              <w:rPr>
                <w:rFonts w:cs="Times New Roman"/>
              </w:rPr>
            </w:pPr>
            <w:r>
              <w:rPr>
                <w:rFonts w:cs="Times New Roman"/>
              </w:rPr>
              <w:t>云石机</w:t>
            </w:r>
          </w:p>
        </w:tc>
        <w:tc>
          <w:tcPr>
            <w:tcW w:w="1277" w:type="dxa"/>
            <w:vAlign w:val="center"/>
          </w:tcPr>
          <w:p>
            <w:pPr>
              <w:pStyle w:val="39"/>
              <w:rPr>
                <w:rFonts w:cs="Times New Roman"/>
              </w:rPr>
            </w:pPr>
            <w:r>
              <w:rPr>
                <w:rFonts w:cs="Times New Roman"/>
              </w:rPr>
              <w:t>100～110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05" w:type="dxa"/>
            <w:vMerge w:val="continue"/>
            <w:vAlign w:val="center"/>
          </w:tcPr>
          <w:p>
            <w:pPr>
              <w:pStyle w:val="39"/>
              <w:rPr>
                <w:rFonts w:cs="Times New Roman"/>
              </w:rPr>
            </w:pPr>
          </w:p>
        </w:tc>
        <w:tc>
          <w:tcPr>
            <w:tcW w:w="2301" w:type="dxa"/>
            <w:vAlign w:val="center"/>
          </w:tcPr>
          <w:p>
            <w:pPr>
              <w:pStyle w:val="39"/>
              <w:rPr>
                <w:rFonts w:cs="Times New Roman"/>
              </w:rPr>
            </w:pPr>
            <w:r>
              <w:rPr>
                <w:rFonts w:cs="Times New Roman"/>
              </w:rPr>
              <w:t>电焊机</w:t>
            </w:r>
          </w:p>
        </w:tc>
        <w:tc>
          <w:tcPr>
            <w:tcW w:w="1385" w:type="dxa"/>
            <w:vAlign w:val="center"/>
          </w:tcPr>
          <w:p>
            <w:pPr>
              <w:pStyle w:val="39"/>
              <w:rPr>
                <w:rFonts w:cs="Times New Roman"/>
              </w:rPr>
            </w:pPr>
            <w:r>
              <w:rPr>
                <w:rFonts w:cs="Times New Roman"/>
              </w:rPr>
              <w:t>90～95</w:t>
            </w:r>
          </w:p>
        </w:tc>
        <w:tc>
          <w:tcPr>
            <w:tcW w:w="1490" w:type="dxa"/>
            <w:vMerge w:val="continue"/>
            <w:vAlign w:val="center"/>
          </w:tcPr>
          <w:p>
            <w:pPr>
              <w:pStyle w:val="39"/>
              <w:rPr>
                <w:rFonts w:cs="Times New Roman"/>
              </w:rPr>
            </w:pPr>
          </w:p>
        </w:tc>
        <w:tc>
          <w:tcPr>
            <w:tcW w:w="1915" w:type="dxa"/>
            <w:vAlign w:val="center"/>
          </w:tcPr>
          <w:p>
            <w:pPr>
              <w:pStyle w:val="39"/>
              <w:rPr>
                <w:rFonts w:cs="Times New Roman"/>
              </w:rPr>
            </w:pPr>
            <w:r>
              <w:rPr>
                <w:rFonts w:cs="Times New Roman"/>
              </w:rPr>
              <w:t>角向磨光机</w:t>
            </w:r>
          </w:p>
        </w:tc>
        <w:tc>
          <w:tcPr>
            <w:tcW w:w="1277" w:type="dxa"/>
            <w:vAlign w:val="center"/>
          </w:tcPr>
          <w:p>
            <w:pPr>
              <w:pStyle w:val="39"/>
              <w:rPr>
                <w:rFonts w:cs="Times New Roman"/>
              </w:rPr>
            </w:pPr>
            <w:r>
              <w:rPr>
                <w:rFonts w:cs="Times New Roman"/>
              </w:rPr>
              <w:t>100～115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05" w:type="dxa"/>
            <w:vMerge w:val="continue"/>
            <w:vAlign w:val="center"/>
          </w:tcPr>
          <w:p>
            <w:pPr>
              <w:pStyle w:val="39"/>
              <w:rPr>
                <w:rFonts w:cs="Times New Roman"/>
              </w:rPr>
            </w:pPr>
          </w:p>
        </w:tc>
        <w:tc>
          <w:tcPr>
            <w:tcW w:w="2301" w:type="dxa"/>
            <w:vAlign w:val="center"/>
          </w:tcPr>
          <w:p>
            <w:pPr>
              <w:pStyle w:val="39"/>
              <w:rPr>
                <w:rFonts w:cs="Times New Roman"/>
              </w:rPr>
            </w:pPr>
            <w:r>
              <w:rPr>
                <w:rFonts w:cs="Times New Roman"/>
              </w:rPr>
              <w:t>空压机</w:t>
            </w:r>
          </w:p>
        </w:tc>
        <w:tc>
          <w:tcPr>
            <w:tcW w:w="1385" w:type="dxa"/>
            <w:vAlign w:val="center"/>
          </w:tcPr>
          <w:p>
            <w:pPr>
              <w:pStyle w:val="39"/>
              <w:rPr>
                <w:rFonts w:cs="Times New Roman"/>
              </w:rPr>
            </w:pPr>
            <w:r>
              <w:rPr>
                <w:rFonts w:cs="Times New Roman"/>
              </w:rPr>
              <w:t>75～85</w:t>
            </w:r>
          </w:p>
        </w:tc>
        <w:tc>
          <w:tcPr>
            <w:tcW w:w="1490" w:type="dxa"/>
            <w:vMerge w:val="continue"/>
            <w:vAlign w:val="center"/>
          </w:tcPr>
          <w:p>
            <w:pPr>
              <w:pStyle w:val="39"/>
              <w:rPr>
                <w:rFonts w:cs="Times New Roman"/>
              </w:rPr>
            </w:pPr>
          </w:p>
        </w:tc>
        <w:tc>
          <w:tcPr>
            <w:tcW w:w="1915" w:type="dxa"/>
            <w:vMerge w:val="restart"/>
            <w:vAlign w:val="center"/>
          </w:tcPr>
          <w:p>
            <w:pPr>
              <w:pStyle w:val="39"/>
              <w:rPr>
                <w:rFonts w:cs="Times New Roman"/>
              </w:rPr>
            </w:pPr>
            <w:r>
              <w:rPr>
                <w:rFonts w:cs="Times New Roman"/>
              </w:rPr>
              <w:t>轻型载重车</w:t>
            </w:r>
          </w:p>
        </w:tc>
        <w:tc>
          <w:tcPr>
            <w:tcW w:w="1277" w:type="dxa"/>
            <w:vMerge w:val="restart"/>
            <w:vAlign w:val="center"/>
          </w:tcPr>
          <w:p>
            <w:pPr>
              <w:pStyle w:val="39"/>
              <w:rPr>
                <w:rFonts w:cs="Times New Roman"/>
              </w:rPr>
            </w:pPr>
            <w:r>
              <w:rPr>
                <w:rFonts w:cs="Times New Roman"/>
              </w:rPr>
              <w:t>75～80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05" w:type="dxa"/>
            <w:vMerge w:val="continue"/>
            <w:vAlign w:val="center"/>
          </w:tcPr>
          <w:p>
            <w:pPr>
              <w:pStyle w:val="39"/>
              <w:rPr>
                <w:rFonts w:cs="Times New Roman"/>
              </w:rPr>
            </w:pPr>
          </w:p>
        </w:tc>
        <w:tc>
          <w:tcPr>
            <w:tcW w:w="2301" w:type="dxa"/>
            <w:vAlign w:val="center"/>
          </w:tcPr>
          <w:p>
            <w:pPr>
              <w:pStyle w:val="39"/>
              <w:rPr>
                <w:rFonts w:cs="Times New Roman"/>
              </w:rPr>
            </w:pPr>
            <w:r>
              <w:rPr>
                <w:rFonts w:cs="Times New Roman"/>
              </w:rPr>
              <w:t>混凝土装罐车、载重车</w:t>
            </w:r>
          </w:p>
        </w:tc>
        <w:tc>
          <w:tcPr>
            <w:tcW w:w="1385" w:type="dxa"/>
            <w:vAlign w:val="center"/>
          </w:tcPr>
          <w:p>
            <w:pPr>
              <w:pStyle w:val="39"/>
              <w:rPr>
                <w:rFonts w:cs="Times New Roman"/>
              </w:rPr>
            </w:pPr>
            <w:r>
              <w:rPr>
                <w:rFonts w:cs="Times New Roman"/>
              </w:rPr>
              <w:t>80～85</w:t>
            </w:r>
          </w:p>
        </w:tc>
        <w:tc>
          <w:tcPr>
            <w:tcW w:w="1490" w:type="dxa"/>
            <w:vMerge w:val="continue"/>
            <w:vAlign w:val="center"/>
          </w:tcPr>
          <w:p>
            <w:pPr>
              <w:pStyle w:val="39"/>
              <w:rPr>
                <w:rFonts w:cs="Times New Roman"/>
              </w:rPr>
            </w:pPr>
          </w:p>
        </w:tc>
        <w:tc>
          <w:tcPr>
            <w:tcW w:w="1915" w:type="dxa"/>
            <w:vMerge w:val="continue"/>
            <w:vAlign w:val="center"/>
          </w:tcPr>
          <w:p>
            <w:pPr>
              <w:pStyle w:val="39"/>
              <w:rPr>
                <w:rFonts w:cs="Times New Roman"/>
              </w:rPr>
            </w:pPr>
          </w:p>
        </w:tc>
        <w:tc>
          <w:tcPr>
            <w:tcW w:w="1277" w:type="dxa"/>
            <w:vMerge w:val="continue"/>
            <w:vAlign w:val="center"/>
          </w:tcPr>
          <w:p>
            <w:pPr>
              <w:pStyle w:val="39"/>
              <w:rPr>
                <w:rFonts w:cs="Times New Roman"/>
              </w:rPr>
            </w:pPr>
          </w:p>
        </w:tc>
      </w:tr>
    </w:tbl>
    <w:p>
      <w:pPr>
        <w:pStyle w:val="3"/>
        <w:ind w:firstLine="480"/>
        <w:rPr>
          <w:rFonts w:cs="Times New Roman"/>
        </w:rPr>
      </w:pPr>
    </w:p>
    <w:p>
      <w:pPr>
        <w:pStyle w:val="3"/>
        <w:ind w:firstLine="480"/>
        <w:rPr>
          <w:rFonts w:cs="Times New Roman"/>
        </w:rPr>
      </w:pPr>
      <w:r>
        <w:rPr>
          <w:rFonts w:cs="Times New Roman"/>
        </w:rPr>
        <w:t>当多台机械设备同时作业时，产生噪声叠加，根据类比调查，叠加后的噪声增加3~8dB（A）。</w:t>
      </w:r>
    </w:p>
    <w:p>
      <w:pPr>
        <w:pStyle w:val="7"/>
        <w:rPr>
          <w:rFonts w:cs="Times New Roman"/>
        </w:rPr>
      </w:pPr>
      <w:r>
        <w:rPr>
          <w:rFonts w:cs="Times New Roman"/>
        </w:rPr>
        <w:t>固废污染源分析</w:t>
      </w:r>
    </w:p>
    <w:p>
      <w:pPr>
        <w:pStyle w:val="3"/>
        <w:ind w:firstLine="480"/>
        <w:rPr>
          <w:rFonts w:cs="Times New Roman"/>
        </w:rPr>
      </w:pPr>
      <w:r>
        <w:rPr>
          <w:rFonts w:cs="Times New Roman"/>
        </w:rPr>
        <w:t>项目施工期间产生的弃土，用于项目场地平整过程中低洼处回填，基本能挖填平衡，并无多余弃土产生，施工期的固体废物主要有建筑垃圾、施工人员的生活垃圾。</w:t>
      </w:r>
    </w:p>
    <w:p>
      <w:pPr>
        <w:pStyle w:val="3"/>
        <w:ind w:firstLine="480"/>
        <w:rPr>
          <w:rFonts w:cs="Times New Roman"/>
        </w:rPr>
      </w:pPr>
      <w:r>
        <w:rPr>
          <w:rFonts w:cs="Times New Roman"/>
        </w:rPr>
        <w:t>（1）建筑垃圾</w:t>
      </w:r>
    </w:p>
    <w:p>
      <w:pPr>
        <w:pStyle w:val="3"/>
        <w:ind w:firstLine="480"/>
        <w:rPr>
          <w:rFonts w:cs="Times New Roman"/>
        </w:rPr>
      </w:pPr>
      <w:r>
        <w:rPr>
          <w:rFonts w:cs="Times New Roman"/>
        </w:rPr>
        <w:t>建筑垃圾主要来自施工作业及室内装修，包括砂石、石块、碎砖瓦、废木料、废金属、废钢筋等杂物。施工过程产生的建筑垃圾，经与工业企业施工期固废排放情况类比，每平方米建筑面积产生建筑垃圾约1kg，本项目总建筑面积为</w:t>
      </w:r>
      <w:r>
        <w:rPr>
          <w:rFonts w:cs="Times New Roman"/>
          <w:szCs w:val="24"/>
          <w:shd w:val="clear" w:color="auto" w:fill="FFFFFF"/>
        </w:rPr>
        <w:t>19944.97</w:t>
      </w:r>
      <w:r>
        <w:rPr>
          <w:rFonts w:cs="Times New Roman"/>
        </w:rPr>
        <w:t>m</w:t>
      </w:r>
      <w:r>
        <w:rPr>
          <w:rFonts w:cs="Times New Roman"/>
          <w:vertAlign w:val="superscript"/>
        </w:rPr>
        <w:t>2</w:t>
      </w:r>
      <w:r>
        <w:rPr>
          <w:rFonts w:cs="Times New Roman"/>
        </w:rPr>
        <w:t>，则本工程将产生建筑垃圾约</w:t>
      </w:r>
      <w:r>
        <w:rPr>
          <w:rFonts w:hint="eastAsia" w:cs="Times New Roman"/>
        </w:rPr>
        <w:t>19.9</w:t>
      </w:r>
      <w:r>
        <w:rPr>
          <w:rFonts w:cs="Times New Roman"/>
        </w:rPr>
        <w:t>t。</w:t>
      </w:r>
    </w:p>
    <w:p>
      <w:pPr>
        <w:pStyle w:val="3"/>
        <w:ind w:firstLine="480"/>
        <w:rPr>
          <w:rFonts w:cs="Times New Roman"/>
        </w:rPr>
      </w:pPr>
      <w:r>
        <w:rPr>
          <w:rFonts w:cs="Times New Roman"/>
        </w:rPr>
        <w:t>（2）生活垃圾</w:t>
      </w:r>
    </w:p>
    <w:p>
      <w:pPr>
        <w:pStyle w:val="3"/>
        <w:ind w:firstLine="480"/>
        <w:rPr>
          <w:rFonts w:cs="Times New Roman"/>
        </w:rPr>
      </w:pPr>
      <w:r>
        <w:rPr>
          <w:rFonts w:cs="Times New Roman"/>
        </w:rPr>
        <w:t>本项目施工高峰期施工人员50人，均为当地民工，不集中安排食宿。生活垃圾产生量按0.5kg/人·d计，则每天垃圾产生量约25kg/d。</w:t>
      </w:r>
    </w:p>
    <w:p>
      <w:pPr>
        <w:pStyle w:val="7"/>
        <w:rPr>
          <w:rFonts w:cs="Times New Roman"/>
        </w:rPr>
      </w:pPr>
      <w:r>
        <w:rPr>
          <w:rFonts w:cs="Times New Roman"/>
        </w:rPr>
        <w:t>生态影响分析</w:t>
      </w:r>
    </w:p>
    <w:p>
      <w:pPr>
        <w:pStyle w:val="3"/>
        <w:ind w:firstLine="480"/>
        <w:rPr>
          <w:rFonts w:cs="Times New Roman"/>
        </w:rPr>
      </w:pPr>
      <w:r>
        <w:rPr>
          <w:rFonts w:cs="Times New Roman"/>
        </w:rPr>
        <w:t>（1）水土流失</w:t>
      </w:r>
    </w:p>
    <w:p>
      <w:pPr>
        <w:pStyle w:val="3"/>
        <w:ind w:firstLine="480"/>
        <w:rPr>
          <w:rFonts w:cs="Times New Roman"/>
        </w:rPr>
      </w:pPr>
      <w:r>
        <w:rPr>
          <w:rFonts w:cs="Times New Roman"/>
        </w:rPr>
        <w:t>本项目的建设有可能造成的水土流失包括建设时将破坏原有区块的水土环境；施工期间开挖地基、施工车辆往来频繁，将造成表土流失。</w:t>
      </w:r>
    </w:p>
    <w:p>
      <w:pPr>
        <w:pStyle w:val="3"/>
        <w:ind w:firstLine="480"/>
        <w:rPr>
          <w:rFonts w:cs="Times New Roman"/>
          <w:u w:val="single"/>
        </w:rPr>
      </w:pPr>
      <w:r>
        <w:rPr>
          <w:rFonts w:cs="Times New Roman"/>
          <w:u w:val="single"/>
        </w:rPr>
        <w:t>在工程建设过程中，将造成大面积的土地裸露，导致不同程度的土壤侵蚀，水土流失现象。从而对地表植被、溪流水体、土壤结构等产生潜在的危害。这种土壤侵蚀、水土流失现象，尤其是在梅雨季节和强降水季节会变得更为突出。本次评价采用经验公式（无明显侵蚀地区）计算水土流失量：</w:t>
      </w:r>
    </w:p>
    <w:p>
      <w:pPr>
        <w:pStyle w:val="3"/>
        <w:ind w:firstLine="480"/>
        <w:rPr>
          <w:rFonts w:cs="Times New Roman"/>
          <w:u w:val="single"/>
        </w:rPr>
      </w:pPr>
      <w:r>
        <w:rPr>
          <w:rFonts w:cs="Times New Roman"/>
          <w:u w:val="single"/>
        </w:rPr>
        <w:t>水土流失量=土壤侵蚀模数×侵蚀面积×影响时段</w:t>
      </w:r>
    </w:p>
    <w:p>
      <w:pPr>
        <w:pStyle w:val="3"/>
        <w:ind w:firstLine="480"/>
        <w:rPr>
          <w:rFonts w:cs="Times New Roman"/>
          <w:u w:val="single"/>
        </w:rPr>
      </w:pPr>
      <w:r>
        <w:rPr>
          <w:rFonts w:cs="Times New Roman"/>
          <w:u w:val="single"/>
        </w:rPr>
        <w:t>根据《土壤侵蚀分类分级标准》（SL190-2007）提出的全国土壤侵蚀类型区划，项目建设所在区域属于南方红壤丘陵区。经过类比同区域建设项目建设期侵蚀模数，确定本项目建设期侵蚀模数为4500t/km</w:t>
      </w:r>
      <w:r>
        <w:rPr>
          <w:rFonts w:cs="Times New Roman"/>
          <w:u w:val="single"/>
          <w:vertAlign w:val="superscript"/>
        </w:rPr>
        <w:t>2</w:t>
      </w:r>
      <w:r>
        <w:rPr>
          <w:rFonts w:cs="Times New Roman"/>
          <w:u w:val="single"/>
        </w:rPr>
        <w:t>.a。本项目建设期分两期，一期</w:t>
      </w:r>
      <w:r>
        <w:rPr>
          <w:rFonts w:hint="eastAsia" w:cs="Times New Roman"/>
          <w:u w:val="single"/>
        </w:rPr>
        <w:t>12</w:t>
      </w:r>
      <w:r>
        <w:rPr>
          <w:rFonts w:cs="Times New Roman"/>
          <w:u w:val="single"/>
        </w:rPr>
        <w:t>个月，二期</w:t>
      </w:r>
      <w:r>
        <w:rPr>
          <w:rFonts w:hint="eastAsia" w:cs="Times New Roman"/>
          <w:u w:val="single"/>
        </w:rPr>
        <w:t>12</w:t>
      </w:r>
      <w:r>
        <w:rPr>
          <w:rFonts w:cs="Times New Roman"/>
          <w:u w:val="single"/>
        </w:rPr>
        <w:t>个月，一期面积约</w:t>
      </w:r>
      <w:r>
        <w:rPr>
          <w:rFonts w:hint="eastAsia"/>
          <w:u w:val="single"/>
        </w:rPr>
        <w:t>70150.18</w:t>
      </w:r>
      <w:r>
        <w:rPr>
          <w:rFonts w:cs="Times New Roman"/>
          <w:u w:val="single"/>
        </w:rPr>
        <w:t>m</w:t>
      </w:r>
      <w:r>
        <w:rPr>
          <w:rFonts w:cs="Times New Roman"/>
          <w:u w:val="single"/>
          <w:vertAlign w:val="superscript"/>
        </w:rPr>
        <w:t>2</w:t>
      </w:r>
      <w:r>
        <w:rPr>
          <w:rFonts w:cs="Times New Roman"/>
          <w:u w:val="single"/>
        </w:rPr>
        <w:t>，二期面积约</w:t>
      </w:r>
      <w:r>
        <w:rPr>
          <w:rFonts w:hint="eastAsia"/>
          <w:u w:val="single"/>
        </w:rPr>
        <w:t>56358.09</w:t>
      </w:r>
      <w:r>
        <w:rPr>
          <w:rFonts w:cs="Times New Roman"/>
          <w:u w:val="single"/>
        </w:rPr>
        <w:t>m</w:t>
      </w:r>
      <w:r>
        <w:rPr>
          <w:rFonts w:cs="Times New Roman"/>
          <w:u w:val="single"/>
          <w:vertAlign w:val="superscript"/>
        </w:rPr>
        <w:t>2</w:t>
      </w:r>
      <w:r>
        <w:rPr>
          <w:rFonts w:cs="Times New Roman"/>
          <w:u w:val="single"/>
        </w:rPr>
        <w:t>，因此本项目建设期间的水土流失新增量约为</w:t>
      </w:r>
      <w:r>
        <w:rPr>
          <w:rFonts w:hint="eastAsia" w:cs="Times New Roman"/>
          <w:u w:val="single"/>
        </w:rPr>
        <w:t>567</w:t>
      </w:r>
      <w:r>
        <w:rPr>
          <w:rFonts w:cs="Times New Roman"/>
          <w:u w:val="single"/>
        </w:rPr>
        <w:t>t。</w:t>
      </w:r>
    </w:p>
    <w:p>
      <w:pPr>
        <w:pStyle w:val="3"/>
        <w:ind w:firstLine="480"/>
        <w:rPr>
          <w:rFonts w:cs="Times New Roman"/>
        </w:rPr>
      </w:pPr>
      <w:r>
        <w:rPr>
          <w:rFonts w:cs="Times New Roman"/>
        </w:rPr>
        <w:t>（2）对动植物的影响</w:t>
      </w:r>
    </w:p>
    <w:p>
      <w:pPr>
        <w:pStyle w:val="3"/>
        <w:ind w:firstLine="480"/>
        <w:rPr>
          <w:rFonts w:cs="Times New Roman"/>
        </w:rPr>
      </w:pPr>
      <w:r>
        <w:rPr>
          <w:rFonts w:cs="Times New Roman"/>
        </w:rPr>
        <w:t>施工期地表开挖、植被清除、土地的整治等活动以及施工机械噪声的影响，会破坏用地范围内现有植物分布状况以及植物数量，并对动物栖息环境造成破坏，对周边动物造成噪声干扰。</w:t>
      </w:r>
    </w:p>
    <w:p>
      <w:pPr>
        <w:pStyle w:val="3"/>
        <w:ind w:firstLine="480"/>
        <w:rPr>
          <w:rFonts w:cs="Times New Roman"/>
        </w:rPr>
      </w:pPr>
      <w:r>
        <w:rPr>
          <w:rFonts w:cs="Times New Roman"/>
        </w:rPr>
        <w:t>（3）对景观的影响</w:t>
      </w:r>
    </w:p>
    <w:p>
      <w:pPr>
        <w:pStyle w:val="3"/>
        <w:ind w:firstLine="480"/>
        <w:rPr>
          <w:rFonts w:cs="Times New Roman"/>
        </w:rPr>
      </w:pPr>
      <w:r>
        <w:rPr>
          <w:rFonts w:cs="Times New Roman"/>
        </w:rPr>
        <w:t>施工区域的开挖、开挖地表的裸露、施工机械的进入会影响区域的景观完整性，给视觉带来较强的冲击作用。</w:t>
      </w:r>
    </w:p>
    <w:p>
      <w:pPr>
        <w:pStyle w:val="6"/>
        <w:rPr>
          <w:rFonts w:cs="Times New Roman"/>
        </w:rPr>
      </w:pPr>
      <w:r>
        <w:rPr>
          <w:rFonts w:cs="Times New Roman"/>
        </w:rPr>
        <w:t>营运期污染源强分析</w:t>
      </w:r>
    </w:p>
    <w:p>
      <w:pPr>
        <w:pStyle w:val="7"/>
      </w:pPr>
      <w:r>
        <w:t>营运期工艺流程</w:t>
      </w:r>
    </w:p>
    <w:p>
      <w:pPr>
        <w:pStyle w:val="3"/>
        <w:ind w:firstLine="480"/>
      </w:pPr>
      <w:r>
        <w:rPr>
          <w:rFonts w:hint="eastAsia"/>
        </w:rPr>
        <w:t>（1）蛋鸡饲养工艺流程图</w:t>
      </w:r>
    </w:p>
    <w:p>
      <w:pPr>
        <w:pStyle w:val="3"/>
        <w:ind w:firstLine="0" w:firstLineChars="0"/>
      </w:pPr>
      <w:r>
        <w:object>
          <v:shape id="_x0000_i1026" o:spt="75" type="#_x0000_t75" style="height:125.2pt;width:427pt;" o:ole="t" filled="f" coordsize="21600,21600">
            <v:path/>
            <v:fill on="f" focussize="0,0"/>
            <v:stroke/>
            <v:imagedata r:id="rId17" o:title=""/>
            <o:lock v:ext="edit" aspectratio="t"/>
            <w10:wrap type="none"/>
            <w10:anchorlock/>
          </v:shape>
          <o:OLEObject Type="Embed" ProgID="Visio.Drawing.11" ShapeID="_x0000_i1026" DrawAspect="Content" ObjectID="_1468075726" r:id="rId16">
            <o:LockedField>false</o:LockedField>
          </o:OLEObject>
        </w:object>
      </w:r>
    </w:p>
    <w:p>
      <w:pPr>
        <w:pStyle w:val="15"/>
      </w:pPr>
      <w:r>
        <w:rPr>
          <w:rFonts w:hint="eastAsia"/>
        </w:rPr>
        <w:t>图3.2-1   蛋鸡饲养工艺流程图</w:t>
      </w:r>
    </w:p>
    <w:p>
      <w:pPr>
        <w:pStyle w:val="3"/>
        <w:ind w:firstLine="480"/>
      </w:pPr>
      <w:r>
        <w:rPr>
          <w:rFonts w:hint="eastAsia"/>
        </w:rPr>
        <w:t>工艺流程简述：</w:t>
      </w:r>
    </w:p>
    <w:p>
      <w:pPr>
        <w:pStyle w:val="3"/>
        <w:ind w:firstLine="480"/>
      </w:pPr>
      <w:r>
        <w:rPr>
          <w:rFonts w:hint="eastAsia"/>
        </w:rPr>
        <w:t>本项目厂区内不设孵化场地，全部外购鸡苗进行养殖，鸡饲料均为外购，项目内不进行饲料加工，本项目饲养流程分为育成期（18周龄）、产蛋期（45周龄），约每500天更换一批蛋鸡，鸡蛋进行外售，产蛋周期结束后的淘汰鸡全部外售宰场。</w:t>
      </w:r>
    </w:p>
    <w:p>
      <w:pPr>
        <w:pStyle w:val="3"/>
        <w:ind w:firstLine="480"/>
      </w:pPr>
      <w:r>
        <w:rPr>
          <w:rFonts w:hint="eastAsia"/>
        </w:rPr>
        <w:t>饲料输送系统：按时把饲料送到鸡舍外的饲料储存塔，然后横向输料装置按设定的时间把料塔中的饲料送到每列笼架的喂料行车料斗中。在最后一个行车料斗装满饲料后，横向输料装置自动停止输料。喂料行车按设定的时间往后运行，运行到每列笼架尾端时，行车自动停下。在运行过程中，行车每层的料斗对应每一条料槽把饲料均匀地落在料槽上，每只鸡都可自由地采食到新鲜的饲料。</w:t>
      </w:r>
    </w:p>
    <w:p>
      <w:pPr>
        <w:pStyle w:val="3"/>
        <w:ind w:firstLine="480"/>
      </w:pPr>
      <w:r>
        <w:rPr>
          <w:rFonts w:hint="eastAsia"/>
        </w:rPr>
        <w:t>鸡舍饮水系统：鸡饮水供水水线设置在每层鸡笼顶部的中间，每位笼里设置多个乳头，供鸡笼的鸡只喝水，乳头下面设置一条V型接水槽，把鸡只喝水时溅出的水花接下来，然后自然蒸发。这样鸡只溅出的水花不会掉到鸡粪里，使鸡粪更加干燥。</w:t>
      </w:r>
    </w:p>
    <w:p>
      <w:pPr>
        <w:pStyle w:val="3"/>
        <w:ind w:firstLine="480"/>
      </w:pPr>
      <w:r>
        <w:rPr>
          <w:rFonts w:hint="eastAsia"/>
        </w:rPr>
        <w:t>鸡粪清理系统：在每层鸡笼的下面都有设置一条纵向清粪带，这样每层鸡群的鸡粪就零散地落在清粪带上，清粪带平常保持静止状态，8小时启动一次传送带，将传送带上搜集的鸡粪清理至法国多赛干燥机内，然后通过</w:t>
      </w:r>
      <w:r>
        <w:rPr>
          <w:rFonts w:hint="eastAsia" w:cs="Times New Roman"/>
          <w:kern w:val="0"/>
        </w:rPr>
        <w:t>鸡舍内的热气将新鲜鸡粪进行干燥成有机肥，每8小时生产一批有机肥，并打包暂存至鸡粪（有机肥）暂存库。</w:t>
      </w:r>
    </w:p>
    <w:p>
      <w:pPr>
        <w:pStyle w:val="3"/>
        <w:ind w:firstLine="480"/>
      </w:pPr>
      <w:r>
        <w:rPr>
          <w:rFonts w:hint="eastAsia"/>
        </w:rPr>
        <w:t>鸡蛋收集系统：鸡蛋由各纵向排列的产蛋箱由输送带传送至横向的中央输送系统，最后传送至鸡舍外收集，再送往蛋库打包。</w:t>
      </w:r>
    </w:p>
    <w:p>
      <w:pPr>
        <w:pStyle w:val="3"/>
        <w:ind w:firstLine="480"/>
      </w:pPr>
      <w:r>
        <w:rPr>
          <w:rFonts w:hint="eastAsia"/>
        </w:rPr>
        <w:t>鸡舍消毒系统：项目鸡舍采用碘制剂、过氧乙酸进行消毒，两者交叉使用，通过自动通风降温系统：项目鸡舍为全密闭式，鸡舍墙体采用保温夹层板，鸡舍内的气候环境完全依靠自动通风降温系统来控制。鸡舍的东侧布设湿帘进风口，西侧设置风机，设置喷雾器定期对鸡舍进行喷洒，消毒剂通过自然蒸发挥发，无残留。</w:t>
      </w:r>
    </w:p>
    <w:p>
      <w:pPr>
        <w:pStyle w:val="3"/>
        <w:ind w:firstLine="480"/>
      </w:pPr>
      <w:r>
        <w:rPr>
          <w:rFonts w:hint="eastAsia"/>
        </w:rPr>
        <w:t>（2）有机肥生产工艺流程</w:t>
      </w:r>
    </w:p>
    <w:p>
      <w:pPr>
        <w:pStyle w:val="3"/>
        <w:ind w:firstLine="0" w:firstLineChars="0"/>
      </w:pPr>
      <w:r>
        <w:object>
          <v:shape id="_x0000_i1027" o:spt="75" type="#_x0000_t75" style="height:62pt;width:448.9pt;" o:ole="t" filled="f" coordsize="21600,21600">
            <v:path/>
            <v:fill on="f" focussize="0,0"/>
            <v:stroke/>
            <v:imagedata r:id="rId19" o:title=""/>
            <o:lock v:ext="edit" aspectratio="t"/>
            <w10:wrap type="none"/>
            <w10:anchorlock/>
          </v:shape>
          <o:OLEObject Type="Embed" ProgID="Visio.Drawing.11" ShapeID="_x0000_i1027" DrawAspect="Content" ObjectID="_1468075727" r:id="rId18">
            <o:LockedField>false</o:LockedField>
          </o:OLEObject>
        </w:object>
      </w:r>
    </w:p>
    <w:p>
      <w:pPr>
        <w:pStyle w:val="15"/>
      </w:pPr>
      <w:r>
        <w:rPr>
          <w:rFonts w:hint="eastAsia"/>
        </w:rPr>
        <w:t>图3.2-2   有机肥生产工艺流程图</w:t>
      </w:r>
    </w:p>
    <w:p>
      <w:pPr>
        <w:pStyle w:val="3"/>
        <w:ind w:firstLine="480"/>
      </w:pPr>
      <w:r>
        <w:rPr>
          <w:rFonts w:hint="eastAsia"/>
        </w:rPr>
        <w:t>工艺流程简述：</w:t>
      </w:r>
    </w:p>
    <w:p>
      <w:pPr>
        <w:pStyle w:val="3"/>
        <w:ind w:firstLine="480"/>
        <w:rPr>
          <w:u w:val="single"/>
        </w:rPr>
      </w:pPr>
      <w:r>
        <w:rPr>
          <w:rFonts w:hint="eastAsia"/>
        </w:rPr>
        <w:t>本项目鸡粪干燥机为多赛干燥机是带式干燥设备，安装在鸡舍北侧，鸡舍内部的鸡粪（含水率约为75%）通过传输带传链接到鸡粪处理设备的传输装置把鸡舍内部的鸡粪传送到鸡粪干燥设备上；鸡粪传送到处理设备最上层粪板上，通过摆动的传输设备把鸡粪均匀的分布在处理设备上面；设备外部采用密封处理，建有压力仓，鸡舍尾端排出的废气由高压风机</w:t>
      </w:r>
      <w:r>
        <w:rPr>
          <w:rFonts w:hint="eastAsia"/>
          <w:u w:val="single"/>
        </w:rPr>
        <w:t>（每台</w:t>
      </w:r>
      <w:r>
        <w:rPr>
          <w:u w:val="single"/>
        </w:rPr>
        <w:t>风机</w:t>
      </w:r>
      <w:r>
        <w:rPr>
          <w:rFonts w:hint="eastAsia"/>
          <w:u w:val="single"/>
        </w:rPr>
        <w:t>20000</w:t>
      </w:r>
      <w:r>
        <w:rPr>
          <w:u w:val="single"/>
        </w:rPr>
        <w:t>m</w:t>
      </w:r>
      <w:r>
        <w:rPr>
          <w:u w:val="single"/>
          <w:vertAlign w:val="superscript"/>
        </w:rPr>
        <w:t>3</w:t>
      </w:r>
      <w:r>
        <w:rPr>
          <w:u w:val="single"/>
        </w:rPr>
        <w:t>/h</w:t>
      </w:r>
      <w:r>
        <w:rPr>
          <w:rFonts w:hint="eastAsia"/>
          <w:u w:val="single"/>
        </w:rPr>
        <w:t>）引入到鸡粪干燥设备中间，通过粪板上面的密布缝隙进行鸡粪的干燥和粉尘的处理，</w:t>
      </w:r>
      <w:r>
        <w:rPr>
          <w:u w:val="single"/>
        </w:rPr>
        <w:t>干燥温度</w:t>
      </w:r>
      <w:r>
        <w:rPr>
          <w:rFonts w:hint="eastAsia"/>
          <w:u w:val="single"/>
        </w:rPr>
        <w:t>为</w:t>
      </w:r>
      <w:r>
        <w:rPr>
          <w:u w:val="single"/>
        </w:rPr>
        <w:t>鸡舍废气（</w:t>
      </w:r>
      <w:r>
        <w:rPr>
          <w:rFonts w:hint="eastAsia"/>
          <w:u w:val="single"/>
        </w:rPr>
        <w:t>约2</w:t>
      </w:r>
      <w:r>
        <w:rPr>
          <w:u w:val="single"/>
        </w:rPr>
        <w:t>5</w:t>
      </w:r>
      <w:r>
        <w:rPr>
          <w:rFonts w:hint="eastAsia"/>
          <w:u w:val="single"/>
        </w:rPr>
        <w:t>℃</w:t>
      </w:r>
      <w:r>
        <w:rPr>
          <w:u w:val="single"/>
        </w:rPr>
        <w:t>）</w:t>
      </w:r>
      <w:r>
        <w:rPr>
          <w:rFonts w:hint="eastAsia"/>
          <w:u w:val="single"/>
        </w:rPr>
        <w:t>，</w:t>
      </w:r>
      <w:r>
        <w:rPr>
          <w:u w:val="single"/>
        </w:rPr>
        <w:t>无需加热</w:t>
      </w:r>
      <w:r>
        <w:rPr>
          <w:rFonts w:hint="eastAsia"/>
          <w:u w:val="single"/>
        </w:rPr>
        <w:t>。整个系统每8个小时启动一次，每次进料铺满干燥设备一层，同时最下层干鸡粪完成出料；干燥后的鸡粪含水＜</w:t>
      </w:r>
      <w:r>
        <w:rPr>
          <w:u w:val="single"/>
        </w:rPr>
        <w:t>20%</w:t>
      </w:r>
      <w:r>
        <w:rPr>
          <w:rFonts w:hint="eastAsia"/>
          <w:u w:val="single"/>
        </w:rPr>
        <w:t>，通过传输装置传送到鸡粪仓库包装成有机肥进行销售。</w:t>
      </w:r>
    </w:p>
    <w:p>
      <w:pPr>
        <w:pStyle w:val="3"/>
        <w:ind w:firstLine="480"/>
        <w:rPr>
          <w:u w:val="single"/>
        </w:rPr>
      </w:pPr>
      <w:r>
        <w:rPr>
          <w:rFonts w:hint="eastAsia"/>
          <w:u w:val="single"/>
        </w:rPr>
        <w:t>经鸡粪处理设备以后，鸡舍尾端不再有白色粉尘排出，因鸡粪利用鸡舍尾端废气进行干燥，并未发酵，通过采取定时</w:t>
      </w:r>
      <w:r>
        <w:rPr>
          <w:u w:val="single"/>
        </w:rPr>
        <w:t>喷洒除臭剂</w:t>
      </w:r>
      <w:r>
        <w:rPr>
          <w:rFonts w:hint="eastAsia"/>
          <w:u w:val="single"/>
        </w:rPr>
        <w:t>的</w:t>
      </w:r>
      <w:r>
        <w:rPr>
          <w:u w:val="single"/>
        </w:rPr>
        <w:t>方式，</w:t>
      </w:r>
      <w:r>
        <w:rPr>
          <w:rFonts w:hint="eastAsia"/>
          <w:u w:val="single"/>
        </w:rPr>
        <w:t>恶臭气体排放较少，</w:t>
      </w:r>
      <w:r>
        <w:rPr>
          <w:u w:val="single"/>
        </w:rPr>
        <w:t>呈无组织排放</w:t>
      </w:r>
      <w:r>
        <w:rPr>
          <w:rFonts w:hint="eastAsia"/>
          <w:u w:val="single"/>
        </w:rPr>
        <w:t>。</w:t>
      </w:r>
    </w:p>
    <w:p>
      <w:pPr>
        <w:pStyle w:val="3"/>
        <w:ind w:firstLine="480"/>
        <w:rPr>
          <w:rFonts w:cs="Times New Roman"/>
        </w:rPr>
      </w:pPr>
      <w:r>
        <w:rPr>
          <w:rFonts w:cs="Times New Roman"/>
        </w:rPr>
        <w:t>（3）营运期污染源简析</w:t>
      </w:r>
    </w:p>
    <w:p>
      <w:pPr>
        <w:pStyle w:val="3"/>
        <w:ind w:firstLine="480"/>
        <w:rPr>
          <w:rFonts w:cs="Times New Roman"/>
        </w:rPr>
      </w:pPr>
      <w:r>
        <w:rPr>
          <w:rFonts w:cs="Times New Roman"/>
        </w:rPr>
        <w:t>根据项目生产工艺流程及产污环节分析，运营期产污环节见下表。</w:t>
      </w:r>
    </w:p>
    <w:p>
      <w:pPr>
        <w:pStyle w:val="15"/>
        <w:rPr>
          <w:rFonts w:cs="Times New Roman"/>
        </w:rPr>
      </w:pPr>
      <w:r>
        <w:rPr>
          <w:rFonts w:cs="Times New Roman"/>
        </w:rPr>
        <w:t>表3.2-2   运营期产污环节一览表</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559"/>
        <w:gridCol w:w="1560"/>
        <w:gridCol w:w="4110"/>
        <w:gridCol w:w="1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817" w:type="dxa"/>
            <w:vAlign w:val="center"/>
          </w:tcPr>
          <w:p>
            <w:pPr>
              <w:pStyle w:val="39"/>
              <w:rPr>
                <w:rFonts w:cs="Times New Roman"/>
              </w:rPr>
            </w:pPr>
            <w:r>
              <w:rPr>
                <w:rFonts w:cs="Times New Roman"/>
              </w:rPr>
              <w:t>项目</w:t>
            </w:r>
          </w:p>
        </w:tc>
        <w:tc>
          <w:tcPr>
            <w:tcW w:w="1559" w:type="dxa"/>
            <w:vAlign w:val="center"/>
          </w:tcPr>
          <w:p>
            <w:pPr>
              <w:pStyle w:val="39"/>
              <w:rPr>
                <w:rFonts w:cs="Times New Roman"/>
              </w:rPr>
            </w:pPr>
            <w:r>
              <w:rPr>
                <w:rFonts w:cs="Times New Roman"/>
              </w:rPr>
              <w:t>产污环节</w:t>
            </w:r>
          </w:p>
        </w:tc>
        <w:tc>
          <w:tcPr>
            <w:tcW w:w="1560" w:type="dxa"/>
            <w:vAlign w:val="center"/>
          </w:tcPr>
          <w:p>
            <w:pPr>
              <w:pStyle w:val="39"/>
              <w:rPr>
                <w:rFonts w:cs="Times New Roman"/>
              </w:rPr>
            </w:pPr>
            <w:r>
              <w:rPr>
                <w:rFonts w:cs="Times New Roman"/>
              </w:rPr>
              <w:t>主要污染物</w:t>
            </w:r>
          </w:p>
        </w:tc>
        <w:tc>
          <w:tcPr>
            <w:tcW w:w="4110" w:type="dxa"/>
            <w:vAlign w:val="center"/>
          </w:tcPr>
          <w:p>
            <w:pPr>
              <w:pStyle w:val="39"/>
              <w:rPr>
                <w:rFonts w:cs="Times New Roman"/>
              </w:rPr>
            </w:pPr>
            <w:r>
              <w:rPr>
                <w:rFonts w:cs="Times New Roman"/>
              </w:rPr>
              <w:t>治理措施</w:t>
            </w:r>
          </w:p>
        </w:tc>
        <w:tc>
          <w:tcPr>
            <w:tcW w:w="1127" w:type="dxa"/>
            <w:vAlign w:val="center"/>
          </w:tcPr>
          <w:p>
            <w:pPr>
              <w:pStyle w:val="39"/>
              <w:rPr>
                <w:rFonts w:cs="Times New Roman"/>
              </w:rPr>
            </w:pPr>
            <w:r>
              <w:rPr>
                <w:rFonts w:cs="Times New Roman"/>
              </w:rPr>
              <w:t>排放方式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vMerge w:val="restart"/>
            <w:vAlign w:val="center"/>
          </w:tcPr>
          <w:p>
            <w:pPr>
              <w:pStyle w:val="39"/>
              <w:rPr>
                <w:rFonts w:cs="Times New Roman"/>
              </w:rPr>
            </w:pPr>
            <w:r>
              <w:rPr>
                <w:rFonts w:cs="Times New Roman"/>
              </w:rPr>
              <w:t>废气</w:t>
            </w:r>
          </w:p>
        </w:tc>
        <w:tc>
          <w:tcPr>
            <w:tcW w:w="1559" w:type="dxa"/>
            <w:vAlign w:val="center"/>
          </w:tcPr>
          <w:p>
            <w:pPr>
              <w:pStyle w:val="39"/>
              <w:rPr>
                <w:rFonts w:cs="Times New Roman"/>
              </w:rPr>
            </w:pPr>
            <w:r>
              <w:rPr>
                <w:rFonts w:cs="Times New Roman"/>
              </w:rPr>
              <w:t>鸡舍</w:t>
            </w:r>
          </w:p>
        </w:tc>
        <w:tc>
          <w:tcPr>
            <w:tcW w:w="1560" w:type="dxa"/>
            <w:vAlign w:val="center"/>
          </w:tcPr>
          <w:p>
            <w:pPr>
              <w:pStyle w:val="39"/>
              <w:rPr>
                <w:rFonts w:cs="Times New Roman"/>
              </w:rPr>
            </w:pPr>
            <w:r>
              <w:rPr>
                <w:rFonts w:cs="Times New Roman"/>
              </w:rPr>
              <w:t>NH</w:t>
            </w:r>
            <w:r>
              <w:rPr>
                <w:rFonts w:cs="Times New Roman"/>
                <w:vertAlign w:val="subscript"/>
              </w:rPr>
              <w:t>3</w:t>
            </w:r>
            <w:r>
              <w:rPr>
                <w:rFonts w:cs="Times New Roman"/>
              </w:rPr>
              <w:t>、H</w:t>
            </w:r>
            <w:r>
              <w:rPr>
                <w:rFonts w:cs="Times New Roman"/>
                <w:vertAlign w:val="subscript"/>
              </w:rPr>
              <w:t>2</w:t>
            </w:r>
            <w:r>
              <w:rPr>
                <w:rFonts w:cs="Times New Roman"/>
              </w:rPr>
              <w:t>S、臭气浓度、粉尘</w:t>
            </w:r>
          </w:p>
        </w:tc>
        <w:tc>
          <w:tcPr>
            <w:tcW w:w="4110" w:type="dxa"/>
            <w:vAlign w:val="center"/>
          </w:tcPr>
          <w:p>
            <w:pPr>
              <w:pStyle w:val="39"/>
              <w:rPr>
                <w:rFonts w:cs="Times New Roman"/>
              </w:rPr>
            </w:pPr>
            <w:r>
              <w:rPr>
                <w:rFonts w:cs="Times New Roman"/>
              </w:rPr>
              <w:t>采用全自动干清粪饲养设备，及时清粪，加强鸡舍通风措施</w:t>
            </w:r>
          </w:p>
        </w:tc>
        <w:tc>
          <w:tcPr>
            <w:tcW w:w="1127" w:type="dxa"/>
            <w:vAlign w:val="center"/>
          </w:tcPr>
          <w:p>
            <w:pPr>
              <w:pStyle w:val="39"/>
              <w:rPr>
                <w:rFonts w:cs="Times New Roman"/>
              </w:rPr>
            </w:pPr>
            <w:r>
              <w:rPr>
                <w:rFonts w:cs="Times New Roman"/>
              </w:rPr>
              <w:t>无组织排放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vMerge w:val="continue"/>
            <w:vAlign w:val="center"/>
          </w:tcPr>
          <w:p>
            <w:pPr>
              <w:pStyle w:val="39"/>
              <w:rPr>
                <w:rFonts w:cs="Times New Roman"/>
              </w:rPr>
            </w:pPr>
          </w:p>
        </w:tc>
        <w:tc>
          <w:tcPr>
            <w:tcW w:w="1559" w:type="dxa"/>
            <w:vAlign w:val="center"/>
          </w:tcPr>
          <w:p>
            <w:pPr>
              <w:pStyle w:val="39"/>
              <w:rPr>
                <w:rFonts w:cs="Times New Roman"/>
              </w:rPr>
            </w:pPr>
            <w:r>
              <w:rPr>
                <w:rFonts w:cs="Times New Roman"/>
              </w:rPr>
              <w:t>鸡粪处理区</w:t>
            </w:r>
          </w:p>
        </w:tc>
        <w:tc>
          <w:tcPr>
            <w:tcW w:w="1560" w:type="dxa"/>
            <w:vAlign w:val="center"/>
          </w:tcPr>
          <w:p>
            <w:pPr>
              <w:pStyle w:val="39"/>
              <w:rPr>
                <w:rFonts w:cs="Times New Roman"/>
              </w:rPr>
            </w:pPr>
            <w:r>
              <w:rPr>
                <w:rFonts w:cs="Times New Roman"/>
              </w:rPr>
              <w:t>NH</w:t>
            </w:r>
            <w:r>
              <w:rPr>
                <w:rFonts w:cs="Times New Roman"/>
                <w:vertAlign w:val="subscript"/>
              </w:rPr>
              <w:t>3</w:t>
            </w:r>
            <w:r>
              <w:rPr>
                <w:rFonts w:cs="Times New Roman"/>
              </w:rPr>
              <w:t>、H</w:t>
            </w:r>
            <w:r>
              <w:rPr>
                <w:rFonts w:cs="Times New Roman"/>
                <w:vertAlign w:val="subscript"/>
              </w:rPr>
              <w:t>2</w:t>
            </w:r>
            <w:r>
              <w:rPr>
                <w:rFonts w:cs="Times New Roman"/>
              </w:rPr>
              <w:t>S、臭气浓度</w:t>
            </w:r>
          </w:p>
        </w:tc>
        <w:tc>
          <w:tcPr>
            <w:tcW w:w="4110" w:type="dxa"/>
            <w:vAlign w:val="center"/>
          </w:tcPr>
          <w:p>
            <w:pPr>
              <w:pStyle w:val="39"/>
              <w:rPr>
                <w:rFonts w:cs="Times New Roman"/>
              </w:rPr>
            </w:pPr>
            <w:r>
              <w:rPr>
                <w:rFonts w:hint="eastAsia" w:cs="Times New Roman"/>
                <w:kern w:val="0"/>
              </w:rPr>
              <w:t>采用多赛干燥机，利用鸡舍内的热气将新鲜鸡粪进行干燥成有机肥，避免鸡粪发酵产生恶臭</w:t>
            </w:r>
          </w:p>
        </w:tc>
        <w:tc>
          <w:tcPr>
            <w:tcW w:w="1127" w:type="dxa"/>
            <w:vAlign w:val="center"/>
          </w:tcPr>
          <w:p>
            <w:pPr>
              <w:pStyle w:val="39"/>
              <w:rPr>
                <w:rFonts w:cs="Times New Roman"/>
              </w:rPr>
            </w:pPr>
            <w:r>
              <w:rPr>
                <w:rFonts w:cs="Times New Roman"/>
              </w:rPr>
              <w:t>无组织排放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vMerge w:val="continue"/>
            <w:vAlign w:val="center"/>
          </w:tcPr>
          <w:p>
            <w:pPr>
              <w:pStyle w:val="39"/>
              <w:rPr>
                <w:rFonts w:cs="Times New Roman"/>
              </w:rPr>
            </w:pPr>
          </w:p>
        </w:tc>
        <w:tc>
          <w:tcPr>
            <w:tcW w:w="1559" w:type="dxa"/>
            <w:vAlign w:val="center"/>
          </w:tcPr>
          <w:p>
            <w:pPr>
              <w:pStyle w:val="39"/>
              <w:rPr>
                <w:rFonts w:cs="Times New Roman"/>
              </w:rPr>
            </w:pPr>
            <w:r>
              <w:rPr>
                <w:rFonts w:cs="Times New Roman"/>
              </w:rPr>
              <w:t>污水</w:t>
            </w:r>
            <w:r>
              <w:rPr>
                <w:rFonts w:hint="eastAsia" w:cs="Times New Roman"/>
              </w:rPr>
              <w:t>收集池</w:t>
            </w:r>
          </w:p>
        </w:tc>
        <w:tc>
          <w:tcPr>
            <w:tcW w:w="1560" w:type="dxa"/>
            <w:vAlign w:val="center"/>
          </w:tcPr>
          <w:p>
            <w:pPr>
              <w:pStyle w:val="39"/>
              <w:rPr>
                <w:rFonts w:cs="Times New Roman"/>
              </w:rPr>
            </w:pPr>
            <w:r>
              <w:rPr>
                <w:rFonts w:cs="Times New Roman"/>
              </w:rPr>
              <w:t>NH</w:t>
            </w:r>
            <w:r>
              <w:rPr>
                <w:rFonts w:cs="Times New Roman"/>
                <w:vertAlign w:val="subscript"/>
              </w:rPr>
              <w:t>3</w:t>
            </w:r>
            <w:r>
              <w:rPr>
                <w:rFonts w:cs="Times New Roman"/>
              </w:rPr>
              <w:t>、H</w:t>
            </w:r>
            <w:r>
              <w:rPr>
                <w:rFonts w:cs="Times New Roman"/>
                <w:vertAlign w:val="subscript"/>
              </w:rPr>
              <w:t>2</w:t>
            </w:r>
            <w:r>
              <w:rPr>
                <w:rFonts w:cs="Times New Roman"/>
              </w:rPr>
              <w:t>S、臭气浓度</w:t>
            </w:r>
          </w:p>
        </w:tc>
        <w:tc>
          <w:tcPr>
            <w:tcW w:w="4110" w:type="dxa"/>
            <w:vAlign w:val="center"/>
          </w:tcPr>
          <w:p>
            <w:pPr>
              <w:pStyle w:val="39"/>
              <w:rPr>
                <w:rFonts w:cs="Times New Roman"/>
              </w:rPr>
            </w:pPr>
            <w:r>
              <w:rPr>
                <w:rFonts w:cs="Times New Roman"/>
                <w:kern w:val="0"/>
              </w:rPr>
              <w:t>各池体加盖，喷洒除臭剂</w:t>
            </w:r>
          </w:p>
        </w:tc>
        <w:tc>
          <w:tcPr>
            <w:tcW w:w="1127" w:type="dxa"/>
            <w:vAlign w:val="center"/>
          </w:tcPr>
          <w:p>
            <w:pPr>
              <w:pStyle w:val="39"/>
              <w:rPr>
                <w:rFonts w:cs="Times New Roman"/>
              </w:rPr>
            </w:pPr>
            <w:r>
              <w:rPr>
                <w:rFonts w:cs="Times New Roman"/>
                <w:kern w:val="0"/>
              </w:rPr>
              <w:t>无组织排放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vMerge w:val="continue"/>
            <w:vAlign w:val="center"/>
          </w:tcPr>
          <w:p>
            <w:pPr>
              <w:pStyle w:val="39"/>
              <w:rPr>
                <w:rFonts w:cs="Times New Roman"/>
              </w:rPr>
            </w:pPr>
          </w:p>
        </w:tc>
        <w:tc>
          <w:tcPr>
            <w:tcW w:w="1559" w:type="dxa"/>
            <w:vAlign w:val="center"/>
          </w:tcPr>
          <w:p>
            <w:pPr>
              <w:pStyle w:val="39"/>
              <w:rPr>
                <w:rFonts w:cs="Times New Roman"/>
              </w:rPr>
            </w:pPr>
            <w:r>
              <w:rPr>
                <w:rFonts w:cs="Times New Roman"/>
              </w:rPr>
              <w:t>食堂</w:t>
            </w:r>
          </w:p>
        </w:tc>
        <w:tc>
          <w:tcPr>
            <w:tcW w:w="1560" w:type="dxa"/>
            <w:vAlign w:val="center"/>
          </w:tcPr>
          <w:p>
            <w:pPr>
              <w:pStyle w:val="39"/>
              <w:rPr>
                <w:rFonts w:cs="Times New Roman"/>
              </w:rPr>
            </w:pPr>
            <w:r>
              <w:rPr>
                <w:rFonts w:cs="Times New Roman"/>
              </w:rPr>
              <w:t>油烟</w:t>
            </w:r>
          </w:p>
        </w:tc>
        <w:tc>
          <w:tcPr>
            <w:tcW w:w="4110" w:type="dxa"/>
            <w:vAlign w:val="center"/>
          </w:tcPr>
          <w:p>
            <w:pPr>
              <w:pStyle w:val="39"/>
              <w:rPr>
                <w:rFonts w:cs="Times New Roman"/>
              </w:rPr>
            </w:pPr>
            <w:r>
              <w:rPr>
                <w:rFonts w:cs="Times New Roman"/>
                <w:kern w:val="0"/>
              </w:rPr>
              <w:t>经油烟净化器处理后由引至屋外排放</w:t>
            </w:r>
          </w:p>
        </w:tc>
        <w:tc>
          <w:tcPr>
            <w:tcW w:w="1127" w:type="dxa"/>
            <w:vAlign w:val="center"/>
          </w:tcPr>
          <w:p>
            <w:pPr>
              <w:pStyle w:val="39"/>
              <w:rPr>
                <w:rFonts w:cs="Times New Roman"/>
              </w:rPr>
            </w:pPr>
            <w:r>
              <w:rPr>
                <w:rFonts w:cs="Times New Roman"/>
              </w:rPr>
              <w:t>有组织排放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vMerge w:val="continue"/>
            <w:vAlign w:val="center"/>
          </w:tcPr>
          <w:p>
            <w:pPr>
              <w:pStyle w:val="39"/>
              <w:rPr>
                <w:rFonts w:cs="Times New Roman"/>
              </w:rPr>
            </w:pPr>
          </w:p>
        </w:tc>
        <w:tc>
          <w:tcPr>
            <w:tcW w:w="1559" w:type="dxa"/>
            <w:vAlign w:val="center"/>
          </w:tcPr>
          <w:p>
            <w:pPr>
              <w:pStyle w:val="39"/>
              <w:rPr>
                <w:rFonts w:cs="Times New Roman"/>
              </w:rPr>
            </w:pPr>
            <w:r>
              <w:rPr>
                <w:rFonts w:cs="Times New Roman"/>
              </w:rPr>
              <w:t>备用发电机</w:t>
            </w:r>
          </w:p>
        </w:tc>
        <w:tc>
          <w:tcPr>
            <w:tcW w:w="1560" w:type="dxa"/>
            <w:vAlign w:val="center"/>
          </w:tcPr>
          <w:p>
            <w:pPr>
              <w:pStyle w:val="39"/>
              <w:rPr>
                <w:rFonts w:cs="Times New Roman"/>
              </w:rPr>
            </w:pPr>
            <w:r>
              <w:rPr>
                <w:rFonts w:cs="Times New Roman"/>
              </w:rPr>
              <w:t>SO</w:t>
            </w:r>
            <w:r>
              <w:rPr>
                <w:rFonts w:cs="Times New Roman"/>
                <w:vertAlign w:val="subscript"/>
              </w:rPr>
              <w:t>2</w:t>
            </w:r>
            <w:r>
              <w:rPr>
                <w:rFonts w:cs="Times New Roman"/>
              </w:rPr>
              <w:t>、NO</w:t>
            </w:r>
            <w:r>
              <w:rPr>
                <w:rFonts w:cs="Times New Roman"/>
                <w:vertAlign w:val="subscript"/>
              </w:rPr>
              <w:t>x</w:t>
            </w:r>
            <w:r>
              <w:rPr>
                <w:rFonts w:cs="Times New Roman"/>
              </w:rPr>
              <w:t>、烟尘、烟气黑度</w:t>
            </w:r>
          </w:p>
        </w:tc>
        <w:tc>
          <w:tcPr>
            <w:tcW w:w="4110" w:type="dxa"/>
            <w:vAlign w:val="center"/>
          </w:tcPr>
          <w:p>
            <w:pPr>
              <w:widowControl w:val="0"/>
              <w:autoSpaceDE w:val="0"/>
              <w:autoSpaceDN w:val="0"/>
              <w:snapToGrid/>
              <w:jc w:val="center"/>
              <w:rPr>
                <w:rFonts w:ascii="Times New Roman" w:hAnsi="Times New Roman" w:eastAsia="宋体" w:cs="Times New Roman"/>
              </w:rPr>
            </w:pPr>
            <w:r>
              <w:rPr>
                <w:rFonts w:ascii="Times New Roman" w:hAnsi="Times New Roman" w:eastAsia="宋体" w:cs="Times New Roman"/>
                <w:kern w:val="0"/>
              </w:rPr>
              <w:t>采用低硫柴油为燃料，产生的尾气由专用烟道引至屋外排放</w:t>
            </w:r>
          </w:p>
        </w:tc>
        <w:tc>
          <w:tcPr>
            <w:tcW w:w="1127" w:type="dxa"/>
            <w:vAlign w:val="center"/>
          </w:tcPr>
          <w:p>
            <w:pPr>
              <w:pStyle w:val="39"/>
              <w:rPr>
                <w:rFonts w:cs="Times New Roman"/>
              </w:rPr>
            </w:pPr>
            <w:r>
              <w:rPr>
                <w:rFonts w:cs="Times New Roman"/>
              </w:rPr>
              <w:t>有组织排放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vMerge w:val="continue"/>
            <w:vAlign w:val="center"/>
          </w:tcPr>
          <w:p>
            <w:pPr>
              <w:pStyle w:val="39"/>
              <w:rPr>
                <w:rFonts w:cs="Times New Roman"/>
              </w:rPr>
            </w:pPr>
          </w:p>
        </w:tc>
        <w:tc>
          <w:tcPr>
            <w:tcW w:w="1559" w:type="dxa"/>
            <w:shd w:val="clear" w:color="auto" w:fill="auto"/>
            <w:vAlign w:val="center"/>
          </w:tcPr>
          <w:p>
            <w:pPr>
              <w:pStyle w:val="39"/>
              <w:rPr>
                <w:rFonts w:cs="Times New Roman"/>
              </w:rPr>
            </w:pPr>
            <w:r>
              <w:rPr>
                <w:rFonts w:hint="eastAsia" w:cs="Times New Roman"/>
                <w:kern w:val="0"/>
              </w:rPr>
              <w:t>生物质颗粒锅炉燃烧废气</w:t>
            </w:r>
          </w:p>
        </w:tc>
        <w:tc>
          <w:tcPr>
            <w:tcW w:w="1560" w:type="dxa"/>
            <w:shd w:val="clear" w:color="auto" w:fill="auto"/>
            <w:vAlign w:val="center"/>
          </w:tcPr>
          <w:p>
            <w:pPr>
              <w:pStyle w:val="39"/>
              <w:rPr>
                <w:rFonts w:cs="Times New Roman"/>
              </w:rPr>
            </w:pPr>
            <w:r>
              <w:rPr>
                <w:rFonts w:cs="Times New Roman"/>
              </w:rPr>
              <w:t>SO</w:t>
            </w:r>
            <w:r>
              <w:rPr>
                <w:rFonts w:cs="Times New Roman"/>
                <w:vertAlign w:val="subscript"/>
              </w:rPr>
              <w:t>2</w:t>
            </w:r>
            <w:r>
              <w:rPr>
                <w:rFonts w:cs="Times New Roman"/>
              </w:rPr>
              <w:t>、NO</w:t>
            </w:r>
            <w:r>
              <w:rPr>
                <w:rFonts w:cs="Times New Roman"/>
                <w:vertAlign w:val="subscript"/>
              </w:rPr>
              <w:t>x</w:t>
            </w:r>
            <w:r>
              <w:rPr>
                <w:rFonts w:hint="eastAsia" w:cs="Times New Roman"/>
              </w:rPr>
              <w:t>、</w:t>
            </w:r>
            <w:r>
              <w:rPr>
                <w:rFonts w:cs="Times New Roman"/>
              </w:rPr>
              <w:t>烟尘</w:t>
            </w:r>
          </w:p>
        </w:tc>
        <w:tc>
          <w:tcPr>
            <w:tcW w:w="4110" w:type="dxa"/>
            <w:shd w:val="clear" w:color="auto" w:fill="auto"/>
            <w:vAlign w:val="center"/>
          </w:tcPr>
          <w:p>
            <w:pPr>
              <w:pStyle w:val="39"/>
              <w:rPr>
                <w:rFonts w:cs="Times New Roman"/>
              </w:rPr>
            </w:pPr>
            <w:r>
              <w:rPr>
                <w:rFonts w:hint="eastAsia" w:cs="Times New Roman"/>
                <w:kern w:val="0"/>
              </w:rPr>
              <w:t>采用生物质颗粒，燃烧产生的尾气通过</w:t>
            </w:r>
            <w:r>
              <w:rPr>
                <w:rFonts w:cs="Times New Roman"/>
                <w:kern w:val="0"/>
              </w:rPr>
              <w:t>15</w:t>
            </w:r>
            <w:r>
              <w:rPr>
                <w:rFonts w:hint="eastAsia" w:cs="Times New Roman"/>
                <w:kern w:val="0"/>
              </w:rPr>
              <w:t>m高的排气筒排放</w:t>
            </w:r>
          </w:p>
        </w:tc>
        <w:tc>
          <w:tcPr>
            <w:tcW w:w="1127" w:type="dxa"/>
            <w:shd w:val="clear" w:color="auto" w:fill="auto"/>
            <w:vAlign w:val="center"/>
          </w:tcPr>
          <w:p>
            <w:pPr>
              <w:pStyle w:val="39"/>
              <w:rPr>
                <w:rFonts w:cs="Times New Roman"/>
              </w:rPr>
            </w:pPr>
            <w:r>
              <w:rPr>
                <w:rFonts w:cs="Times New Roman"/>
              </w:rPr>
              <w:t>有组织排放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vAlign w:val="center"/>
          </w:tcPr>
          <w:p>
            <w:pPr>
              <w:pStyle w:val="39"/>
              <w:rPr>
                <w:rFonts w:cs="Times New Roman"/>
              </w:rPr>
            </w:pPr>
            <w:r>
              <w:rPr>
                <w:rFonts w:cs="Times New Roman"/>
              </w:rPr>
              <w:t>废水</w:t>
            </w:r>
          </w:p>
        </w:tc>
        <w:tc>
          <w:tcPr>
            <w:tcW w:w="1559" w:type="dxa"/>
            <w:vAlign w:val="center"/>
          </w:tcPr>
          <w:p>
            <w:pPr>
              <w:pStyle w:val="39"/>
              <w:rPr>
                <w:rFonts w:cs="Times New Roman"/>
              </w:rPr>
            </w:pPr>
            <w:r>
              <w:rPr>
                <w:rFonts w:cs="Times New Roman"/>
              </w:rPr>
              <w:t>生活污水、鸡舍冲洗废水</w:t>
            </w:r>
          </w:p>
        </w:tc>
        <w:tc>
          <w:tcPr>
            <w:tcW w:w="1560" w:type="dxa"/>
            <w:vAlign w:val="center"/>
          </w:tcPr>
          <w:p>
            <w:pPr>
              <w:widowControl w:val="0"/>
              <w:autoSpaceDE w:val="0"/>
              <w:autoSpaceDN w:val="0"/>
              <w:snapToGrid/>
              <w:jc w:val="left"/>
              <w:rPr>
                <w:rFonts w:ascii="Times New Roman" w:hAnsi="Times New Roman" w:eastAsia="宋体" w:cs="Times New Roman"/>
              </w:rPr>
            </w:pPr>
            <w:r>
              <w:rPr>
                <w:rFonts w:ascii="Times New Roman" w:hAnsi="Times New Roman" w:eastAsia="TimesNewRomanPSMT" w:cs="Times New Roman"/>
                <w:kern w:val="0"/>
              </w:rPr>
              <w:t>COD</w:t>
            </w:r>
            <w:r>
              <w:rPr>
                <w:rFonts w:ascii="Times New Roman" w:hAnsi="Times New Roman" w:eastAsia="TimesNewRomanPSMT" w:cs="Times New Roman"/>
                <w:kern w:val="0"/>
                <w:sz w:val="14"/>
                <w:szCs w:val="14"/>
                <w:vertAlign w:val="subscript"/>
              </w:rPr>
              <w:t>Cr</w:t>
            </w:r>
            <w:r>
              <w:rPr>
                <w:rFonts w:ascii="Times New Roman" w:hAnsi="Times New Roman" w:eastAsia="宋体" w:cs="Times New Roman"/>
                <w:kern w:val="0"/>
              </w:rPr>
              <w:t>、B</w:t>
            </w:r>
            <w:r>
              <w:rPr>
                <w:rFonts w:ascii="Times New Roman" w:hAnsi="Times New Roman" w:eastAsia="TimesNewRomanPSMT" w:cs="Times New Roman"/>
                <w:kern w:val="0"/>
              </w:rPr>
              <w:t>OD</w:t>
            </w:r>
            <w:r>
              <w:rPr>
                <w:rFonts w:ascii="Times New Roman" w:hAnsi="Times New Roman" w:eastAsia="TimesNewRomanPSMT" w:cs="Times New Roman"/>
                <w:kern w:val="0"/>
                <w:sz w:val="14"/>
                <w:szCs w:val="14"/>
                <w:vertAlign w:val="subscript"/>
              </w:rPr>
              <w:t>5</w:t>
            </w:r>
            <w:r>
              <w:rPr>
                <w:rFonts w:ascii="Times New Roman" w:hAnsi="Times New Roman" w:eastAsia="宋体" w:cs="Times New Roman"/>
                <w:kern w:val="0"/>
              </w:rPr>
              <w:t>、氨氮、</w:t>
            </w:r>
            <w:r>
              <w:rPr>
                <w:rFonts w:ascii="Times New Roman" w:hAnsi="Times New Roman" w:eastAsia="TimesNewRomanPSMT" w:cs="Times New Roman"/>
                <w:kern w:val="0"/>
              </w:rPr>
              <w:t>SS</w:t>
            </w:r>
            <w:r>
              <w:rPr>
                <w:rFonts w:ascii="Times New Roman" w:hAnsi="Times New Roman" w:eastAsia="宋体" w:cs="Times New Roman"/>
                <w:kern w:val="0"/>
              </w:rPr>
              <w:t>、粪大肠菌群数</w:t>
            </w:r>
            <w:r>
              <w:rPr>
                <w:rFonts w:hint="eastAsia" w:ascii="Times New Roman" w:hAnsi="Times New Roman" w:eastAsia="宋体" w:cs="Times New Roman"/>
                <w:kern w:val="0"/>
              </w:rPr>
              <w:t>等</w:t>
            </w:r>
          </w:p>
        </w:tc>
        <w:tc>
          <w:tcPr>
            <w:tcW w:w="4110" w:type="dxa"/>
            <w:vAlign w:val="center"/>
          </w:tcPr>
          <w:p>
            <w:pPr>
              <w:widowControl w:val="0"/>
              <w:autoSpaceDE w:val="0"/>
              <w:autoSpaceDN w:val="0"/>
              <w:snapToGrid/>
              <w:jc w:val="center"/>
              <w:rPr>
                <w:rFonts w:ascii="Times New Roman" w:hAnsi="Times New Roman" w:eastAsia="宋体" w:cs="Times New Roman"/>
              </w:rPr>
            </w:pPr>
            <w:r>
              <w:rPr>
                <w:rFonts w:hint="eastAsia" w:ascii="Times New Roman" w:hAnsi="Times New Roman" w:eastAsia="宋体" w:cs="Times New Roman"/>
              </w:rPr>
              <w:t>经</w:t>
            </w:r>
            <w:r>
              <w:rPr>
                <w:rFonts w:ascii="Times New Roman" w:hAnsi="Times New Roman" w:eastAsia="宋体" w:cs="Times New Roman"/>
              </w:rPr>
              <w:t>三级化粪池处理后用</w:t>
            </w:r>
            <w:r>
              <w:rPr>
                <w:rFonts w:hint="eastAsia" w:ascii="Times New Roman" w:hAnsi="Times New Roman" w:eastAsia="宋体" w:cs="Times New Roman"/>
              </w:rPr>
              <w:t>作</w:t>
            </w:r>
            <w:r>
              <w:rPr>
                <w:rFonts w:ascii="Times New Roman" w:hAnsi="Times New Roman" w:eastAsia="宋体" w:cs="Times New Roman"/>
              </w:rPr>
              <w:t>农肥</w:t>
            </w:r>
          </w:p>
        </w:tc>
        <w:tc>
          <w:tcPr>
            <w:tcW w:w="1127" w:type="dxa"/>
            <w:vAlign w:val="center"/>
          </w:tcPr>
          <w:p>
            <w:pPr>
              <w:widowControl w:val="0"/>
              <w:autoSpaceDE w:val="0"/>
              <w:autoSpaceDN w:val="0"/>
              <w:snapToGrid/>
              <w:jc w:val="left"/>
              <w:rPr>
                <w:rFonts w:ascii="Times New Roman" w:hAnsi="Times New Roman" w:eastAsia="宋体" w:cs="Times New Roman"/>
              </w:rPr>
            </w:pPr>
            <w:r>
              <w:rPr>
                <w:rFonts w:ascii="Times New Roman" w:hAnsi="Times New Roman" w:eastAsia="宋体" w:cs="Times New Roman"/>
                <w:kern w:val="0"/>
              </w:rPr>
              <w:t>全部回用，不外排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vMerge w:val="restart"/>
            <w:vAlign w:val="center"/>
          </w:tcPr>
          <w:p>
            <w:pPr>
              <w:pStyle w:val="39"/>
              <w:rPr>
                <w:rFonts w:cs="Times New Roman"/>
              </w:rPr>
            </w:pPr>
            <w:r>
              <w:rPr>
                <w:rFonts w:cs="Times New Roman"/>
              </w:rPr>
              <w:t>噪声</w:t>
            </w:r>
          </w:p>
        </w:tc>
        <w:tc>
          <w:tcPr>
            <w:tcW w:w="1559" w:type="dxa"/>
            <w:vAlign w:val="center"/>
          </w:tcPr>
          <w:p>
            <w:pPr>
              <w:pStyle w:val="39"/>
              <w:rPr>
                <w:rFonts w:cs="Times New Roman"/>
              </w:rPr>
            </w:pPr>
            <w:r>
              <w:rPr>
                <w:rFonts w:cs="Times New Roman"/>
              </w:rPr>
              <w:t>鸡舍</w:t>
            </w:r>
          </w:p>
        </w:tc>
        <w:tc>
          <w:tcPr>
            <w:tcW w:w="1560" w:type="dxa"/>
            <w:vAlign w:val="center"/>
          </w:tcPr>
          <w:p>
            <w:pPr>
              <w:pStyle w:val="39"/>
              <w:rPr>
                <w:rFonts w:cs="Times New Roman"/>
              </w:rPr>
            </w:pPr>
            <w:r>
              <w:rPr>
                <w:rFonts w:cs="Times New Roman"/>
              </w:rPr>
              <w:t>鸡叫</w:t>
            </w:r>
          </w:p>
        </w:tc>
        <w:tc>
          <w:tcPr>
            <w:tcW w:w="4110" w:type="dxa"/>
            <w:vAlign w:val="center"/>
          </w:tcPr>
          <w:p>
            <w:pPr>
              <w:widowControl w:val="0"/>
              <w:autoSpaceDE w:val="0"/>
              <w:autoSpaceDN w:val="0"/>
              <w:snapToGrid/>
              <w:jc w:val="left"/>
              <w:rPr>
                <w:rFonts w:ascii="Times New Roman" w:hAnsi="Times New Roman" w:eastAsia="宋体" w:cs="Times New Roman"/>
              </w:rPr>
            </w:pPr>
            <w:r>
              <w:rPr>
                <w:rFonts w:ascii="Times New Roman" w:hAnsi="Times New Roman" w:eastAsia="宋体" w:cs="Times New Roman"/>
                <w:kern w:val="0"/>
              </w:rPr>
              <w:t>喂足饲料和水、避免饥渴</w:t>
            </w:r>
          </w:p>
        </w:tc>
        <w:tc>
          <w:tcPr>
            <w:tcW w:w="1127" w:type="dxa"/>
            <w:vAlign w:val="center"/>
          </w:tcPr>
          <w:p>
            <w:pPr>
              <w:pStyle w:val="39"/>
              <w:rPr>
                <w:rFonts w:cs="Times New Roman"/>
              </w:rPr>
            </w:pPr>
            <w:r>
              <w:rPr>
                <w:rFonts w:cs="Times New Roman"/>
                <w:kern w:val="0"/>
              </w:rPr>
              <w:t>连续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vMerge w:val="continue"/>
            <w:vAlign w:val="center"/>
          </w:tcPr>
          <w:p>
            <w:pPr>
              <w:pStyle w:val="39"/>
              <w:rPr>
                <w:rFonts w:cs="Times New Roman"/>
              </w:rPr>
            </w:pPr>
          </w:p>
        </w:tc>
        <w:tc>
          <w:tcPr>
            <w:tcW w:w="1559" w:type="dxa"/>
            <w:vAlign w:val="center"/>
          </w:tcPr>
          <w:p>
            <w:pPr>
              <w:pStyle w:val="39"/>
              <w:rPr>
                <w:rFonts w:cs="Times New Roman"/>
              </w:rPr>
            </w:pPr>
            <w:r>
              <w:rPr>
                <w:rFonts w:cs="Times New Roman"/>
              </w:rPr>
              <w:t>各类机械、风机、水泵、发电机等设备</w:t>
            </w:r>
          </w:p>
        </w:tc>
        <w:tc>
          <w:tcPr>
            <w:tcW w:w="1560" w:type="dxa"/>
            <w:vAlign w:val="center"/>
          </w:tcPr>
          <w:p>
            <w:pPr>
              <w:pStyle w:val="39"/>
              <w:rPr>
                <w:rFonts w:cs="Times New Roman"/>
              </w:rPr>
            </w:pPr>
            <w:r>
              <w:rPr>
                <w:rFonts w:cs="Times New Roman"/>
                <w:kern w:val="0"/>
              </w:rPr>
              <w:t>设备噪声</w:t>
            </w:r>
          </w:p>
        </w:tc>
        <w:tc>
          <w:tcPr>
            <w:tcW w:w="4110" w:type="dxa"/>
            <w:vAlign w:val="center"/>
          </w:tcPr>
          <w:p>
            <w:pPr>
              <w:widowControl w:val="0"/>
              <w:autoSpaceDE w:val="0"/>
              <w:autoSpaceDN w:val="0"/>
              <w:snapToGrid/>
              <w:jc w:val="left"/>
              <w:rPr>
                <w:rFonts w:ascii="Times New Roman" w:hAnsi="Times New Roman" w:eastAsia="宋体" w:cs="Times New Roman"/>
                <w:kern w:val="0"/>
              </w:rPr>
            </w:pPr>
            <w:r>
              <w:rPr>
                <w:rFonts w:ascii="Times New Roman" w:hAnsi="Times New Roman" w:eastAsia="宋体" w:cs="Times New Roman"/>
                <w:kern w:val="0"/>
              </w:rPr>
              <w:t>选用低噪声设备，落实减振、隔声等措</w:t>
            </w:r>
          </w:p>
          <w:p>
            <w:pPr>
              <w:pStyle w:val="39"/>
              <w:rPr>
                <w:rFonts w:cs="Times New Roman"/>
              </w:rPr>
            </w:pPr>
            <w:r>
              <w:rPr>
                <w:rFonts w:cs="Times New Roman"/>
                <w:kern w:val="0"/>
              </w:rPr>
              <w:t>施</w:t>
            </w:r>
          </w:p>
        </w:tc>
        <w:tc>
          <w:tcPr>
            <w:tcW w:w="1127" w:type="dxa"/>
            <w:vAlign w:val="center"/>
          </w:tcPr>
          <w:p>
            <w:pPr>
              <w:pStyle w:val="39"/>
              <w:rPr>
                <w:rFonts w:cs="Times New Roman"/>
              </w:rPr>
            </w:pPr>
            <w:r>
              <w:rPr>
                <w:rFonts w:cs="Times New Roman"/>
              </w:rPr>
              <w:t>连续/间歇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vMerge w:val="continue"/>
            <w:vAlign w:val="center"/>
          </w:tcPr>
          <w:p>
            <w:pPr>
              <w:pStyle w:val="39"/>
              <w:rPr>
                <w:rFonts w:cs="Times New Roman"/>
              </w:rPr>
            </w:pPr>
          </w:p>
        </w:tc>
        <w:tc>
          <w:tcPr>
            <w:tcW w:w="1559" w:type="dxa"/>
            <w:vAlign w:val="center"/>
          </w:tcPr>
          <w:p>
            <w:pPr>
              <w:pStyle w:val="39"/>
              <w:rPr>
                <w:rFonts w:cs="Times New Roman"/>
              </w:rPr>
            </w:pPr>
            <w:r>
              <w:rPr>
                <w:rFonts w:cs="Times New Roman"/>
              </w:rPr>
              <w:t>运输机械</w:t>
            </w:r>
          </w:p>
        </w:tc>
        <w:tc>
          <w:tcPr>
            <w:tcW w:w="1560" w:type="dxa"/>
            <w:vAlign w:val="center"/>
          </w:tcPr>
          <w:p>
            <w:pPr>
              <w:pStyle w:val="39"/>
              <w:rPr>
                <w:rFonts w:cs="Times New Roman"/>
              </w:rPr>
            </w:pPr>
            <w:r>
              <w:rPr>
                <w:rFonts w:cs="Times New Roman"/>
                <w:kern w:val="0"/>
              </w:rPr>
              <w:t>交通噪声</w:t>
            </w:r>
          </w:p>
        </w:tc>
        <w:tc>
          <w:tcPr>
            <w:tcW w:w="4110" w:type="dxa"/>
            <w:vAlign w:val="center"/>
          </w:tcPr>
          <w:p>
            <w:pPr>
              <w:pStyle w:val="39"/>
              <w:rPr>
                <w:rFonts w:cs="Times New Roman"/>
              </w:rPr>
            </w:pPr>
            <w:r>
              <w:rPr>
                <w:rFonts w:cs="Times New Roman"/>
                <w:kern w:val="0"/>
              </w:rPr>
              <w:t>减速慢行、禁止鸣笛</w:t>
            </w:r>
          </w:p>
        </w:tc>
        <w:tc>
          <w:tcPr>
            <w:tcW w:w="1127" w:type="dxa"/>
            <w:vAlign w:val="center"/>
          </w:tcPr>
          <w:p>
            <w:pPr>
              <w:pStyle w:val="39"/>
              <w:rPr>
                <w:rFonts w:cs="Times New Roman"/>
              </w:rPr>
            </w:pPr>
            <w:r>
              <w:rPr>
                <w:rFonts w:cs="Times New Roman"/>
              </w:rPr>
              <w:t>间歇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vMerge w:val="restart"/>
            <w:vAlign w:val="center"/>
          </w:tcPr>
          <w:p>
            <w:pPr>
              <w:pStyle w:val="39"/>
              <w:rPr>
                <w:rFonts w:cs="Times New Roman"/>
              </w:rPr>
            </w:pPr>
            <w:r>
              <w:rPr>
                <w:rFonts w:cs="Times New Roman"/>
              </w:rPr>
              <w:t>固体废物</w:t>
            </w:r>
          </w:p>
        </w:tc>
        <w:tc>
          <w:tcPr>
            <w:tcW w:w="1559" w:type="dxa"/>
            <w:vMerge w:val="restart"/>
            <w:vAlign w:val="center"/>
          </w:tcPr>
          <w:p>
            <w:pPr>
              <w:pStyle w:val="39"/>
              <w:rPr>
                <w:rFonts w:cs="Times New Roman"/>
              </w:rPr>
            </w:pPr>
            <w:r>
              <w:rPr>
                <w:rFonts w:cs="Times New Roman"/>
              </w:rPr>
              <w:t>鸡饲养</w:t>
            </w:r>
          </w:p>
        </w:tc>
        <w:tc>
          <w:tcPr>
            <w:tcW w:w="1560" w:type="dxa"/>
            <w:vAlign w:val="center"/>
          </w:tcPr>
          <w:p>
            <w:pPr>
              <w:pStyle w:val="39"/>
              <w:rPr>
                <w:rFonts w:cs="Times New Roman"/>
              </w:rPr>
            </w:pPr>
            <w:r>
              <w:rPr>
                <w:rFonts w:cs="Times New Roman"/>
              </w:rPr>
              <w:t>鸡粪</w:t>
            </w:r>
          </w:p>
        </w:tc>
        <w:tc>
          <w:tcPr>
            <w:tcW w:w="4110" w:type="dxa"/>
            <w:vAlign w:val="center"/>
          </w:tcPr>
          <w:p>
            <w:pPr>
              <w:pStyle w:val="39"/>
              <w:rPr>
                <w:rFonts w:cs="Times New Roman"/>
              </w:rPr>
            </w:pPr>
            <w:r>
              <w:rPr>
                <w:rFonts w:hint="eastAsia" w:cs="Times New Roman"/>
                <w:kern w:val="0"/>
              </w:rPr>
              <w:t>采用多赛干燥机，利用鸡舍内的热气将新鲜鸡粪进行干燥成有机肥</w:t>
            </w:r>
          </w:p>
        </w:tc>
        <w:tc>
          <w:tcPr>
            <w:tcW w:w="1127" w:type="dxa"/>
            <w:vAlign w:val="center"/>
          </w:tcPr>
          <w:p>
            <w:pPr>
              <w:widowControl w:val="0"/>
              <w:autoSpaceDE w:val="0"/>
              <w:autoSpaceDN w:val="0"/>
              <w:snapToGrid/>
              <w:jc w:val="left"/>
              <w:rPr>
                <w:rFonts w:ascii="Times New Roman" w:hAnsi="Times New Roman" w:eastAsia="宋体" w:cs="Times New Roman"/>
              </w:rPr>
            </w:pPr>
            <w:r>
              <w:rPr>
                <w:rFonts w:ascii="Times New Roman" w:hAnsi="Times New Roman" w:eastAsia="宋体" w:cs="Times New Roman"/>
                <w:kern w:val="0"/>
              </w:rPr>
              <w:t>作为有机肥外售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vMerge w:val="continue"/>
            <w:vAlign w:val="center"/>
          </w:tcPr>
          <w:p>
            <w:pPr>
              <w:pStyle w:val="39"/>
              <w:rPr>
                <w:rFonts w:cs="Times New Roman"/>
              </w:rPr>
            </w:pPr>
          </w:p>
        </w:tc>
        <w:tc>
          <w:tcPr>
            <w:tcW w:w="1559" w:type="dxa"/>
            <w:vMerge w:val="continue"/>
            <w:vAlign w:val="center"/>
          </w:tcPr>
          <w:p>
            <w:pPr>
              <w:pStyle w:val="39"/>
              <w:rPr>
                <w:rFonts w:cs="Times New Roman"/>
              </w:rPr>
            </w:pPr>
          </w:p>
        </w:tc>
        <w:tc>
          <w:tcPr>
            <w:tcW w:w="1560" w:type="dxa"/>
            <w:vAlign w:val="center"/>
          </w:tcPr>
          <w:p>
            <w:pPr>
              <w:widowControl w:val="0"/>
              <w:autoSpaceDE w:val="0"/>
              <w:autoSpaceDN w:val="0"/>
              <w:snapToGrid/>
              <w:jc w:val="center"/>
              <w:rPr>
                <w:rFonts w:ascii="Times New Roman" w:hAnsi="Times New Roman" w:eastAsia="宋体" w:cs="Times New Roman"/>
              </w:rPr>
            </w:pPr>
            <w:r>
              <w:rPr>
                <w:rFonts w:ascii="Times New Roman" w:hAnsi="Times New Roman" w:eastAsia="宋体" w:cs="Times New Roman"/>
                <w:kern w:val="0"/>
              </w:rPr>
              <w:t>病死鸡</w:t>
            </w:r>
          </w:p>
        </w:tc>
        <w:tc>
          <w:tcPr>
            <w:tcW w:w="4110" w:type="dxa"/>
            <w:vAlign w:val="center"/>
          </w:tcPr>
          <w:p>
            <w:pPr>
              <w:pStyle w:val="39"/>
              <w:rPr>
                <w:rFonts w:cs="Times New Roman"/>
              </w:rPr>
            </w:pPr>
            <w:r>
              <w:rPr>
                <w:rFonts w:hint="eastAsia" w:cs="Times New Roman"/>
              </w:rPr>
              <w:t>病死鸡委托衡阳县畜牧水产局统一收集，再运至衡阳市禾和动物无害化处理有限公司无害化处置</w:t>
            </w:r>
          </w:p>
        </w:tc>
        <w:tc>
          <w:tcPr>
            <w:tcW w:w="1127" w:type="dxa"/>
            <w:vAlign w:val="center"/>
          </w:tcPr>
          <w:p>
            <w:pPr>
              <w:widowControl w:val="0"/>
              <w:autoSpaceDE w:val="0"/>
              <w:autoSpaceDN w:val="0"/>
              <w:jc w:val="left"/>
              <w:rPr>
                <w:rFonts w:ascii="Times New Roman" w:hAnsi="Times New Roman" w:eastAsia="宋体" w:cs="Times New Roman"/>
              </w:rPr>
            </w:pPr>
            <w:r>
              <w:rPr>
                <w:rFonts w:hint="eastAsia" w:ascii="Times New Roman" w:hAnsi="Times New Roman" w:eastAsia="宋体" w:cs="Times New Roman"/>
              </w:rPr>
              <w:t>无害化</w:t>
            </w:r>
            <w:r>
              <w:rPr>
                <w:rFonts w:ascii="Times New Roman" w:hAnsi="Times New Roman" w:eastAsia="宋体" w:cs="Times New Roman"/>
              </w:rPr>
              <w:t>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vMerge w:val="continue"/>
            <w:vAlign w:val="center"/>
          </w:tcPr>
          <w:p>
            <w:pPr>
              <w:pStyle w:val="39"/>
              <w:rPr>
                <w:rFonts w:cs="Times New Roman"/>
              </w:rPr>
            </w:pPr>
          </w:p>
        </w:tc>
        <w:tc>
          <w:tcPr>
            <w:tcW w:w="1559" w:type="dxa"/>
            <w:vMerge w:val="continue"/>
            <w:vAlign w:val="center"/>
          </w:tcPr>
          <w:p>
            <w:pPr>
              <w:pStyle w:val="39"/>
              <w:rPr>
                <w:rFonts w:cs="Times New Roman"/>
              </w:rPr>
            </w:pPr>
          </w:p>
        </w:tc>
        <w:tc>
          <w:tcPr>
            <w:tcW w:w="1560" w:type="dxa"/>
            <w:vAlign w:val="center"/>
          </w:tcPr>
          <w:p>
            <w:pPr>
              <w:widowControl w:val="0"/>
              <w:autoSpaceDE w:val="0"/>
              <w:autoSpaceDN w:val="0"/>
              <w:snapToGrid/>
              <w:jc w:val="left"/>
              <w:rPr>
                <w:rFonts w:ascii="Times New Roman" w:hAnsi="Times New Roman" w:eastAsia="宋体" w:cs="Times New Roman"/>
                <w:kern w:val="0"/>
              </w:rPr>
            </w:pPr>
            <w:r>
              <w:rPr>
                <w:rFonts w:ascii="Times New Roman" w:hAnsi="Times New Roman" w:eastAsia="宋体" w:cs="Times New Roman"/>
                <w:kern w:val="0"/>
              </w:rPr>
              <w:t>蛋壳</w:t>
            </w:r>
          </w:p>
        </w:tc>
        <w:tc>
          <w:tcPr>
            <w:tcW w:w="4110" w:type="dxa"/>
            <w:vAlign w:val="center"/>
          </w:tcPr>
          <w:p>
            <w:pPr>
              <w:pStyle w:val="39"/>
              <w:rPr>
                <w:rFonts w:cs="Times New Roman"/>
              </w:rPr>
            </w:pPr>
            <w:r>
              <w:rPr>
                <w:rFonts w:hint="eastAsia" w:cs="Times New Roman"/>
              </w:rPr>
              <w:t>破碎与</w:t>
            </w:r>
            <w:r>
              <w:rPr>
                <w:rFonts w:cs="Times New Roman"/>
              </w:rPr>
              <w:t>鸡粪制成有机肥一并外售</w:t>
            </w:r>
          </w:p>
        </w:tc>
        <w:tc>
          <w:tcPr>
            <w:tcW w:w="1127" w:type="dxa"/>
            <w:vAlign w:val="center"/>
          </w:tcPr>
          <w:p>
            <w:pPr>
              <w:pStyle w:val="39"/>
              <w:rPr>
                <w:rFonts w:cs="Times New Roman"/>
              </w:rPr>
            </w:pPr>
            <w:r>
              <w:rPr>
                <w:rFonts w:cs="Times New Roman"/>
                <w:kern w:val="0"/>
              </w:rPr>
              <w:t>作为有机肥外售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vMerge w:val="continue"/>
            <w:vAlign w:val="center"/>
          </w:tcPr>
          <w:p>
            <w:pPr>
              <w:pStyle w:val="39"/>
              <w:rPr>
                <w:rFonts w:cs="Times New Roman"/>
              </w:rPr>
            </w:pPr>
          </w:p>
        </w:tc>
        <w:tc>
          <w:tcPr>
            <w:tcW w:w="1559" w:type="dxa"/>
            <w:vMerge w:val="continue"/>
            <w:vAlign w:val="center"/>
          </w:tcPr>
          <w:p>
            <w:pPr>
              <w:pStyle w:val="39"/>
              <w:rPr>
                <w:rFonts w:cs="Times New Roman"/>
              </w:rPr>
            </w:pPr>
          </w:p>
        </w:tc>
        <w:tc>
          <w:tcPr>
            <w:tcW w:w="1560" w:type="dxa"/>
            <w:vAlign w:val="center"/>
          </w:tcPr>
          <w:p>
            <w:pPr>
              <w:pStyle w:val="39"/>
              <w:rPr>
                <w:rFonts w:cs="Times New Roman"/>
              </w:rPr>
            </w:pPr>
            <w:r>
              <w:rPr>
                <w:rFonts w:cs="Times New Roman"/>
                <w:kern w:val="0"/>
              </w:rPr>
              <w:t>废包装物料</w:t>
            </w:r>
          </w:p>
        </w:tc>
        <w:tc>
          <w:tcPr>
            <w:tcW w:w="4110" w:type="dxa"/>
            <w:vAlign w:val="center"/>
          </w:tcPr>
          <w:p>
            <w:pPr>
              <w:pStyle w:val="39"/>
              <w:rPr>
                <w:rFonts w:cs="Times New Roman"/>
              </w:rPr>
            </w:pPr>
            <w:r>
              <w:rPr>
                <w:rFonts w:cs="Times New Roman"/>
                <w:kern w:val="0"/>
              </w:rPr>
              <w:t>交由供应商回收处理</w:t>
            </w:r>
          </w:p>
        </w:tc>
        <w:tc>
          <w:tcPr>
            <w:tcW w:w="1127" w:type="dxa"/>
            <w:vAlign w:val="center"/>
          </w:tcPr>
          <w:p>
            <w:pPr>
              <w:pStyle w:val="39"/>
              <w:rPr>
                <w:rFonts w:cs="Times New Roman"/>
              </w:rPr>
            </w:pPr>
            <w:r>
              <w:rPr>
                <w:rFonts w:cs="Times New Roman"/>
                <w:kern w:val="0"/>
              </w:rPr>
              <w:t>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vMerge w:val="continue"/>
            <w:vAlign w:val="center"/>
          </w:tcPr>
          <w:p>
            <w:pPr>
              <w:pStyle w:val="39"/>
              <w:rPr>
                <w:rFonts w:cs="Times New Roman"/>
              </w:rPr>
            </w:pPr>
          </w:p>
        </w:tc>
        <w:tc>
          <w:tcPr>
            <w:tcW w:w="1559" w:type="dxa"/>
            <w:vMerge w:val="continue"/>
            <w:vAlign w:val="center"/>
          </w:tcPr>
          <w:p>
            <w:pPr>
              <w:pStyle w:val="39"/>
              <w:rPr>
                <w:rFonts w:cs="Times New Roman"/>
              </w:rPr>
            </w:pPr>
          </w:p>
        </w:tc>
        <w:tc>
          <w:tcPr>
            <w:tcW w:w="1560" w:type="dxa"/>
            <w:vAlign w:val="center"/>
          </w:tcPr>
          <w:p>
            <w:pPr>
              <w:pStyle w:val="39"/>
              <w:rPr>
                <w:rFonts w:cs="Times New Roman"/>
              </w:rPr>
            </w:pPr>
            <w:r>
              <w:rPr>
                <w:rFonts w:cs="Times New Roman"/>
                <w:kern w:val="0"/>
              </w:rPr>
              <w:t>医疗垃圾</w:t>
            </w:r>
          </w:p>
        </w:tc>
        <w:tc>
          <w:tcPr>
            <w:tcW w:w="4110" w:type="dxa"/>
            <w:vAlign w:val="center"/>
          </w:tcPr>
          <w:p>
            <w:pPr>
              <w:pStyle w:val="39"/>
              <w:rPr>
                <w:rFonts w:cs="Times New Roman"/>
              </w:rPr>
            </w:pPr>
            <w:r>
              <w:rPr>
                <w:rFonts w:cs="Times New Roman"/>
                <w:kern w:val="0"/>
              </w:rPr>
              <w:t>交由有资质单位处置</w:t>
            </w:r>
          </w:p>
        </w:tc>
        <w:tc>
          <w:tcPr>
            <w:tcW w:w="1127" w:type="dxa"/>
            <w:vAlign w:val="center"/>
          </w:tcPr>
          <w:p>
            <w:pPr>
              <w:pStyle w:val="39"/>
              <w:rPr>
                <w:rFonts w:cs="Times New Roman"/>
              </w:rPr>
            </w:pPr>
            <w:r>
              <w:rPr>
                <w:rFonts w:cs="Times New Roman"/>
                <w:kern w:val="0"/>
              </w:rPr>
              <w:t>无害化处理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vMerge w:val="continue"/>
            <w:vAlign w:val="center"/>
          </w:tcPr>
          <w:p>
            <w:pPr>
              <w:pStyle w:val="39"/>
              <w:rPr>
                <w:rFonts w:cs="Times New Roman"/>
              </w:rPr>
            </w:pPr>
          </w:p>
        </w:tc>
        <w:tc>
          <w:tcPr>
            <w:tcW w:w="1559" w:type="dxa"/>
            <w:vAlign w:val="center"/>
          </w:tcPr>
          <w:p>
            <w:pPr>
              <w:pStyle w:val="39"/>
              <w:rPr>
                <w:rFonts w:cs="Times New Roman"/>
              </w:rPr>
            </w:pPr>
            <w:r>
              <w:rPr>
                <w:rFonts w:cs="Times New Roman"/>
              </w:rPr>
              <w:t>职工办公生活</w:t>
            </w:r>
          </w:p>
        </w:tc>
        <w:tc>
          <w:tcPr>
            <w:tcW w:w="1560" w:type="dxa"/>
            <w:vAlign w:val="center"/>
          </w:tcPr>
          <w:p>
            <w:pPr>
              <w:pStyle w:val="39"/>
              <w:rPr>
                <w:rFonts w:cs="Times New Roman"/>
              </w:rPr>
            </w:pPr>
            <w:r>
              <w:rPr>
                <w:rFonts w:cs="Times New Roman"/>
                <w:kern w:val="0"/>
              </w:rPr>
              <w:t>生活垃圾</w:t>
            </w:r>
          </w:p>
        </w:tc>
        <w:tc>
          <w:tcPr>
            <w:tcW w:w="4110" w:type="dxa"/>
            <w:vAlign w:val="center"/>
          </w:tcPr>
          <w:p>
            <w:pPr>
              <w:pStyle w:val="39"/>
              <w:rPr>
                <w:rFonts w:cs="Times New Roman"/>
              </w:rPr>
            </w:pPr>
            <w:r>
              <w:rPr>
                <w:rFonts w:cs="Times New Roman"/>
                <w:kern w:val="0"/>
              </w:rPr>
              <w:t>环卫部门清运处理</w:t>
            </w:r>
          </w:p>
        </w:tc>
        <w:tc>
          <w:tcPr>
            <w:tcW w:w="1127" w:type="dxa"/>
            <w:vAlign w:val="center"/>
          </w:tcPr>
          <w:p>
            <w:pPr>
              <w:pStyle w:val="39"/>
              <w:rPr>
                <w:rFonts w:cs="Times New Roman"/>
              </w:rPr>
            </w:pPr>
            <w:r>
              <w:rPr>
                <w:rFonts w:cs="Times New Roman"/>
                <w:kern w:val="0"/>
              </w:rPr>
              <w:t>卫生处理</w:t>
            </w:r>
          </w:p>
        </w:tc>
      </w:tr>
    </w:tbl>
    <w:p>
      <w:pPr>
        <w:pStyle w:val="7"/>
      </w:pPr>
      <w:r>
        <w:t>废水污染源分析</w:t>
      </w:r>
    </w:p>
    <w:p>
      <w:pPr>
        <w:pStyle w:val="3"/>
        <w:ind w:firstLine="480"/>
        <w:rPr>
          <w:u w:val="single"/>
        </w:rPr>
      </w:pPr>
      <w:r>
        <w:rPr>
          <w:u w:val="single"/>
        </w:rPr>
        <w:t>（1）水平衡分析</w:t>
      </w:r>
    </w:p>
    <w:p>
      <w:pPr>
        <w:pStyle w:val="3"/>
        <w:ind w:firstLine="480"/>
        <w:rPr>
          <w:u w:val="single"/>
        </w:rPr>
      </w:pPr>
      <w:r>
        <w:rPr>
          <w:rFonts w:hint="eastAsia"/>
          <w:u w:val="single"/>
        </w:rPr>
        <w:t>项目运营期用水方向主要包括，鸡饮用水、鸡舍冲洗用水、水帘系统用水及生活办公用水；</w:t>
      </w:r>
      <w:r>
        <w:rPr>
          <w:u w:val="single"/>
        </w:rPr>
        <w:t>根据建设单</w:t>
      </w:r>
      <w:r>
        <w:rPr>
          <w:rFonts w:hint="eastAsia"/>
          <w:u w:val="single"/>
        </w:rPr>
        <w:t>提供</w:t>
      </w:r>
      <w:r>
        <w:rPr>
          <w:u w:val="single"/>
        </w:rPr>
        <w:t>的资料，</w:t>
      </w:r>
      <w:r>
        <w:rPr>
          <w:rFonts w:hint="eastAsia"/>
          <w:u w:val="single"/>
        </w:rPr>
        <w:t>项目涉及的鸡笼</w:t>
      </w:r>
      <w:r>
        <w:rPr>
          <w:u w:val="single"/>
        </w:rPr>
        <w:t>及运输车辆均不在项目区内冲洗，因此，评价不涉及</w:t>
      </w:r>
      <w:r>
        <w:rPr>
          <w:rFonts w:hint="eastAsia"/>
          <w:u w:val="single"/>
        </w:rPr>
        <w:t>鸡笼</w:t>
      </w:r>
      <w:r>
        <w:rPr>
          <w:u w:val="single"/>
        </w:rPr>
        <w:t>及运输车辆</w:t>
      </w:r>
      <w:r>
        <w:rPr>
          <w:rFonts w:hint="eastAsia"/>
          <w:u w:val="single"/>
        </w:rPr>
        <w:t>的</w:t>
      </w:r>
      <w:r>
        <w:rPr>
          <w:u w:val="single"/>
        </w:rPr>
        <w:t>冲洗废水</w:t>
      </w:r>
      <w:r>
        <w:rPr>
          <w:rFonts w:hint="eastAsia"/>
          <w:u w:val="single"/>
        </w:rPr>
        <w:t>。</w:t>
      </w:r>
    </w:p>
    <w:p>
      <w:pPr>
        <w:pStyle w:val="3"/>
        <w:ind w:firstLine="480"/>
        <w:rPr>
          <w:u w:val="single"/>
        </w:rPr>
      </w:pPr>
      <w:r>
        <w:rPr>
          <w:rFonts w:hint="eastAsia"/>
          <w:u w:val="single"/>
        </w:rPr>
        <w:t>①蛋鸡饮用水</w:t>
      </w:r>
    </w:p>
    <w:p>
      <w:pPr>
        <w:pStyle w:val="3"/>
        <w:ind w:firstLine="480"/>
        <w:rPr>
          <w:u w:val="single"/>
        </w:rPr>
      </w:pPr>
      <w:r>
        <w:rPr>
          <w:rFonts w:hint="eastAsia"/>
          <w:u w:val="single"/>
        </w:rPr>
        <w:t>本项目存栏蛋鸡</w:t>
      </w:r>
      <w:r>
        <w:rPr>
          <w:u w:val="single"/>
        </w:rPr>
        <w:t>60</w:t>
      </w:r>
      <w:r>
        <w:rPr>
          <w:rFonts w:hint="eastAsia"/>
          <w:u w:val="single"/>
        </w:rPr>
        <w:t>万羽；育雏鸡</w:t>
      </w:r>
      <w:r>
        <w:rPr>
          <w:u w:val="single"/>
        </w:rPr>
        <w:t>60</w:t>
      </w:r>
      <w:r>
        <w:rPr>
          <w:rFonts w:hint="eastAsia"/>
          <w:u w:val="single"/>
        </w:rPr>
        <w:t>万羽，分3批次，按4只雏鸡折算1只</w:t>
      </w:r>
      <w:r>
        <w:rPr>
          <w:u w:val="single"/>
        </w:rPr>
        <w:t>蛋鸡，</w:t>
      </w:r>
      <w:r>
        <w:rPr>
          <w:rFonts w:hint="eastAsia"/>
          <w:u w:val="single"/>
        </w:rPr>
        <w:t>育雏鸡</w:t>
      </w:r>
      <w:r>
        <w:rPr>
          <w:u w:val="single"/>
        </w:rPr>
        <w:t>存栏</w:t>
      </w:r>
      <w:r>
        <w:rPr>
          <w:rFonts w:hint="eastAsia"/>
          <w:u w:val="single"/>
        </w:rPr>
        <w:t>5万羽；</w:t>
      </w:r>
      <w:r>
        <w:rPr>
          <w:u w:val="single"/>
        </w:rPr>
        <w:t>则</w:t>
      </w:r>
      <w:r>
        <w:rPr>
          <w:rFonts w:hint="eastAsia"/>
          <w:u w:val="single"/>
        </w:rPr>
        <w:t>项目</w:t>
      </w:r>
      <w:r>
        <w:rPr>
          <w:u w:val="single"/>
        </w:rPr>
        <w:t>年存栏蛋鸡约</w:t>
      </w:r>
      <w:r>
        <w:rPr>
          <w:rFonts w:hint="eastAsia"/>
          <w:u w:val="single"/>
        </w:rPr>
        <w:t>65万羽</w:t>
      </w:r>
      <w:r>
        <w:rPr>
          <w:u w:val="single"/>
        </w:rPr>
        <w:t>；</w:t>
      </w:r>
      <w:r>
        <w:rPr>
          <w:rFonts w:hint="eastAsia"/>
          <w:u w:val="single"/>
        </w:rPr>
        <w:t>根据《湖南省地方</w:t>
      </w:r>
      <w:r>
        <w:rPr>
          <w:u w:val="single"/>
        </w:rPr>
        <w:t>标准——用水定额</w:t>
      </w:r>
      <w:r>
        <w:rPr>
          <w:rFonts w:hint="eastAsia"/>
          <w:u w:val="single"/>
        </w:rPr>
        <w:t>》（DB43/</w:t>
      </w:r>
      <w:r>
        <w:rPr>
          <w:u w:val="single"/>
        </w:rPr>
        <w:t>T388-2020</w:t>
      </w:r>
      <w:r>
        <w:rPr>
          <w:rFonts w:hint="eastAsia"/>
          <w:u w:val="single"/>
        </w:rPr>
        <w:t>）表4 牲畜</w:t>
      </w:r>
      <w:r>
        <w:rPr>
          <w:u w:val="single"/>
        </w:rPr>
        <w:t>用水定额</w:t>
      </w:r>
      <w:r>
        <w:rPr>
          <w:rFonts w:hint="eastAsia"/>
          <w:u w:val="single"/>
        </w:rPr>
        <w:t>：A032小</w:t>
      </w:r>
      <w:r>
        <w:rPr>
          <w:u w:val="single"/>
        </w:rPr>
        <w:t>牲畜</w:t>
      </w:r>
      <w:r>
        <w:rPr>
          <w:rFonts w:hint="eastAsia"/>
          <w:u w:val="single"/>
        </w:rPr>
        <w:t>：鸡集中规模化</w:t>
      </w:r>
      <w:r>
        <w:rPr>
          <w:u w:val="single"/>
        </w:rPr>
        <w:t>养殖用水量为</w:t>
      </w:r>
      <w:r>
        <w:rPr>
          <w:rFonts w:hint="eastAsia"/>
          <w:u w:val="single"/>
        </w:rPr>
        <w:t>0.</w:t>
      </w:r>
      <w:r>
        <w:rPr>
          <w:u w:val="single"/>
        </w:rPr>
        <w:t>15</w:t>
      </w:r>
      <w:r>
        <w:rPr>
          <w:rFonts w:hint="eastAsia"/>
          <w:u w:val="single"/>
        </w:rPr>
        <w:t>L/（只·d），则本项目鸡日均饮水量</w:t>
      </w:r>
      <w:r>
        <w:rPr>
          <w:u w:val="single"/>
        </w:rPr>
        <w:t>97.5</w:t>
      </w:r>
      <w:r>
        <w:rPr>
          <w:rFonts w:hint="eastAsia"/>
          <w:u w:val="single"/>
        </w:rPr>
        <w:t>t/d，年用水量为</w:t>
      </w:r>
      <w:r>
        <w:rPr>
          <w:u w:val="single"/>
        </w:rPr>
        <w:t>35587.5</w:t>
      </w:r>
      <w:r>
        <w:rPr>
          <w:rFonts w:hint="eastAsia"/>
          <w:u w:val="single"/>
        </w:rPr>
        <w:t>t/a，鸡饮用水后部分被吸收，其余随鸡粪一起排出，不计入废水量。</w:t>
      </w:r>
    </w:p>
    <w:p>
      <w:pPr>
        <w:pStyle w:val="3"/>
        <w:ind w:firstLine="480"/>
        <w:rPr>
          <w:u w:val="single"/>
        </w:rPr>
      </w:pPr>
      <w:r>
        <w:rPr>
          <w:rFonts w:hint="eastAsia"/>
          <w:u w:val="single"/>
        </w:rPr>
        <w:t>②水帘循环补充水</w:t>
      </w:r>
    </w:p>
    <w:p>
      <w:pPr>
        <w:pStyle w:val="3"/>
        <w:ind w:firstLine="480"/>
        <w:rPr>
          <w:u w:val="single"/>
        </w:rPr>
      </w:pPr>
      <w:r>
        <w:rPr>
          <w:bCs/>
          <w:u w:val="single"/>
        </w:rPr>
        <w:t>项目安装</w:t>
      </w:r>
      <w:r>
        <w:rPr>
          <w:rFonts w:hint="eastAsia"/>
          <w:bCs/>
          <w:u w:val="single"/>
        </w:rPr>
        <w:t>循环水</w:t>
      </w:r>
      <w:r>
        <w:rPr>
          <w:bCs/>
          <w:u w:val="single"/>
        </w:rPr>
        <w:t>帘降温，主要在夏季使用，</w:t>
      </w:r>
      <w:r>
        <w:rPr>
          <w:rFonts w:hint="eastAsia"/>
          <w:bCs/>
          <w:u w:val="single"/>
        </w:rPr>
        <w:t>根据</w:t>
      </w:r>
      <w:r>
        <w:rPr>
          <w:bCs/>
          <w:u w:val="single"/>
        </w:rPr>
        <w:t>建设单位提供的资料，</w:t>
      </w:r>
      <w:r>
        <w:rPr>
          <w:rFonts w:hint="eastAsia"/>
          <w:bCs/>
          <w:u w:val="single"/>
        </w:rPr>
        <w:t>项目鸡舍</w:t>
      </w:r>
      <w:r>
        <w:rPr>
          <w:bCs/>
          <w:u w:val="single"/>
        </w:rPr>
        <w:t>夏季用水水帘</w:t>
      </w:r>
      <w:r>
        <w:rPr>
          <w:rFonts w:hint="eastAsia"/>
          <w:bCs/>
          <w:u w:val="single"/>
        </w:rPr>
        <w:t>对</w:t>
      </w:r>
      <w:r>
        <w:rPr>
          <w:bCs/>
          <w:u w:val="single"/>
        </w:rPr>
        <w:t>鸡舍进行降温的天数约</w:t>
      </w:r>
      <w:r>
        <w:rPr>
          <w:rFonts w:hint="eastAsia"/>
          <w:bCs/>
          <w:u w:val="single"/>
        </w:rPr>
        <w:t>100</w:t>
      </w:r>
      <w:r>
        <w:rPr>
          <w:bCs/>
          <w:u w:val="single"/>
        </w:rPr>
        <w:t>d</w:t>
      </w:r>
      <w:r>
        <w:rPr>
          <w:rFonts w:hint="eastAsia"/>
          <w:bCs/>
          <w:u w:val="single"/>
        </w:rPr>
        <w:t>，</w:t>
      </w:r>
      <w:r>
        <w:rPr>
          <w:bCs/>
          <w:u w:val="single"/>
        </w:rPr>
        <w:t>水帘循环水量约为</w:t>
      </w:r>
      <w:r>
        <w:rPr>
          <w:rFonts w:hint="eastAsia"/>
          <w:bCs/>
          <w:u w:val="single"/>
        </w:rPr>
        <w:t>100</w:t>
      </w:r>
      <w:r>
        <w:rPr>
          <w:bCs/>
          <w:u w:val="single"/>
        </w:rPr>
        <w:t>m</w:t>
      </w:r>
      <w:r>
        <w:rPr>
          <w:bCs/>
          <w:u w:val="single"/>
          <w:vertAlign w:val="superscript"/>
        </w:rPr>
        <w:t>3</w:t>
      </w:r>
      <w:r>
        <w:rPr>
          <w:bCs/>
          <w:u w:val="single"/>
        </w:rPr>
        <w:t>/d</w:t>
      </w:r>
      <w:r>
        <w:rPr>
          <w:rFonts w:hint="eastAsia"/>
          <w:bCs/>
          <w:u w:val="single"/>
        </w:rPr>
        <w:t>，消耗量</w:t>
      </w:r>
      <w:r>
        <w:rPr>
          <w:bCs/>
          <w:u w:val="single"/>
        </w:rPr>
        <w:t>按循环水量的10%计算，</w:t>
      </w:r>
      <w:r>
        <w:rPr>
          <w:rFonts w:hint="eastAsia"/>
          <w:bCs/>
          <w:u w:val="single"/>
        </w:rPr>
        <w:t>则</w:t>
      </w:r>
      <w:r>
        <w:rPr>
          <w:bCs/>
          <w:u w:val="single"/>
        </w:rPr>
        <w:t>消耗损失</w:t>
      </w:r>
      <w:r>
        <w:rPr>
          <w:rFonts w:hint="eastAsia"/>
          <w:bCs/>
          <w:u w:val="single"/>
        </w:rPr>
        <w:t>1000</w:t>
      </w:r>
      <w:r>
        <w:rPr>
          <w:bCs/>
          <w:u w:val="single"/>
        </w:rPr>
        <w:t>t/a</w:t>
      </w:r>
      <w:r>
        <w:rPr>
          <w:rFonts w:hint="eastAsia"/>
          <w:bCs/>
          <w:u w:val="single"/>
        </w:rPr>
        <w:t>，</w:t>
      </w:r>
      <w:r>
        <w:rPr>
          <w:bCs/>
          <w:u w:val="single"/>
        </w:rPr>
        <w:t>消耗</w:t>
      </w:r>
      <w:r>
        <w:rPr>
          <w:rFonts w:hint="eastAsia"/>
          <w:bCs/>
          <w:u w:val="single"/>
        </w:rPr>
        <w:t>损失</w:t>
      </w:r>
      <w:r>
        <w:rPr>
          <w:bCs/>
          <w:u w:val="single"/>
        </w:rPr>
        <w:t>水量定期补充，无废水排放</w:t>
      </w:r>
      <w:r>
        <w:rPr>
          <w:rFonts w:hint="eastAsia"/>
          <w:bCs/>
          <w:u w:val="single"/>
        </w:rPr>
        <w:t>。</w:t>
      </w:r>
    </w:p>
    <w:p>
      <w:pPr>
        <w:pStyle w:val="3"/>
        <w:ind w:firstLine="480"/>
        <w:rPr>
          <w:rFonts w:cs="Times New Roman"/>
          <w:u w:val="single"/>
        </w:rPr>
      </w:pPr>
      <w:r>
        <w:rPr>
          <w:rFonts w:hint="eastAsia" w:cs="Times New Roman"/>
          <w:u w:val="single"/>
        </w:rPr>
        <w:t>③</w:t>
      </w:r>
      <w:r>
        <w:rPr>
          <w:rFonts w:cs="Times New Roman"/>
          <w:u w:val="single"/>
        </w:rPr>
        <w:t>鸡舍冲洗废水</w:t>
      </w:r>
    </w:p>
    <w:p>
      <w:pPr>
        <w:pStyle w:val="3"/>
        <w:ind w:firstLine="480"/>
        <w:rPr>
          <w:u w:val="single"/>
        </w:rPr>
      </w:pPr>
      <w:r>
        <w:rPr>
          <w:rFonts w:cs="Times New Roman"/>
          <w:bCs/>
          <w:u w:val="single"/>
        </w:rPr>
        <w:t>根据建设单位提供资料，项目鸡舍在一个饲养周期结束后才会进行冲洗，因此项目一年内蛋鸡鸡舍只需冲洗一次；本项目共设置6+3栋鸡舍，分批次进行冲洗，其中3栋育雏鸡鸡舍（约3273.09m</w:t>
      </w:r>
      <w:r>
        <w:rPr>
          <w:rFonts w:cs="Times New Roman"/>
          <w:bCs/>
          <w:u w:val="single"/>
          <w:vertAlign w:val="superscript"/>
        </w:rPr>
        <w:t>2</w:t>
      </w:r>
      <w:r>
        <w:rPr>
          <w:rFonts w:cs="Times New Roman"/>
          <w:bCs/>
          <w:u w:val="single"/>
        </w:rPr>
        <w:t>）1年需要冲洗3次，6栋蛋鸡鸡舍（约10881.66m</w:t>
      </w:r>
      <w:r>
        <w:rPr>
          <w:rFonts w:cs="Times New Roman"/>
          <w:bCs/>
          <w:u w:val="single"/>
          <w:vertAlign w:val="superscript"/>
        </w:rPr>
        <w:t>2</w:t>
      </w:r>
      <w:r>
        <w:rPr>
          <w:rFonts w:cs="Times New Roman"/>
          <w:bCs/>
          <w:u w:val="single"/>
        </w:rPr>
        <w:t>）1年只需要冲洗1次，鸡舍冲洗用水量约2m</w:t>
      </w:r>
      <w:r>
        <w:rPr>
          <w:rFonts w:cs="Times New Roman"/>
          <w:bCs/>
          <w:u w:val="single"/>
          <w:vertAlign w:val="superscript"/>
        </w:rPr>
        <w:t>3</w:t>
      </w:r>
      <w:r>
        <w:rPr>
          <w:rFonts w:cs="Times New Roman"/>
          <w:bCs/>
          <w:u w:val="single"/>
        </w:rPr>
        <w:t>/100m</w:t>
      </w:r>
      <w:r>
        <w:rPr>
          <w:rFonts w:cs="Times New Roman"/>
          <w:bCs/>
          <w:u w:val="single"/>
          <w:vertAlign w:val="superscript"/>
        </w:rPr>
        <w:t>2</w:t>
      </w:r>
      <w:r>
        <w:rPr>
          <w:rFonts w:cs="Times New Roman"/>
          <w:bCs/>
          <w:u w:val="single"/>
        </w:rPr>
        <w:t>，则经计算，鸡舍冲洗水</w:t>
      </w:r>
      <w:r>
        <w:rPr>
          <w:rFonts w:hint="eastAsia" w:cs="Times New Roman"/>
          <w:bCs/>
          <w:u w:val="single"/>
        </w:rPr>
        <w:t>需</w:t>
      </w:r>
      <w:r>
        <w:rPr>
          <w:rFonts w:cs="Times New Roman"/>
          <w:bCs/>
          <w:u w:val="single"/>
        </w:rPr>
        <w:t>414.02m</w:t>
      </w:r>
      <w:r>
        <w:rPr>
          <w:rFonts w:cs="Times New Roman"/>
          <w:bCs/>
          <w:u w:val="single"/>
          <w:vertAlign w:val="superscript"/>
        </w:rPr>
        <w:t>3</w:t>
      </w:r>
      <w:r>
        <w:rPr>
          <w:rFonts w:cs="Times New Roman"/>
          <w:bCs/>
          <w:u w:val="single"/>
        </w:rPr>
        <w:t>/a。</w:t>
      </w:r>
      <w:r>
        <w:rPr>
          <w:rFonts w:hint="eastAsia"/>
          <w:u w:val="single"/>
        </w:rPr>
        <w:t>鸡舍冲洗废水量按80%计，则本项目鸡舍冲洗废水产生量为</w:t>
      </w:r>
      <w:r>
        <w:rPr>
          <w:u w:val="single"/>
        </w:rPr>
        <w:t>331.22</w:t>
      </w:r>
      <w:r>
        <w:rPr>
          <w:rFonts w:hint="eastAsia"/>
          <w:u w:val="single"/>
        </w:rPr>
        <w:t>m</w:t>
      </w:r>
      <w:r>
        <w:rPr>
          <w:rFonts w:hint="eastAsia"/>
          <w:u w:val="single"/>
          <w:vertAlign w:val="superscript"/>
        </w:rPr>
        <w:t>3</w:t>
      </w:r>
      <w:r>
        <w:rPr>
          <w:rFonts w:hint="eastAsia"/>
          <w:u w:val="single"/>
        </w:rPr>
        <w:t>/a。每栋鸡舍旁设置一个废水收集池，鸡舍冲洗废水经废水收集池收集后，用泵将废水抽至化粪池，鸡舍冲洗废水和生活污水一起经化粪池处理后用作农肥，不外排。</w:t>
      </w:r>
    </w:p>
    <w:p>
      <w:pPr>
        <w:pStyle w:val="3"/>
        <w:ind w:firstLine="480"/>
        <w:rPr>
          <w:u w:val="single"/>
        </w:rPr>
      </w:pPr>
      <w:r>
        <w:rPr>
          <w:rFonts w:hint="eastAsia"/>
          <w:u w:val="single"/>
        </w:rPr>
        <w:t>④生活废水</w:t>
      </w:r>
    </w:p>
    <w:p>
      <w:pPr>
        <w:pStyle w:val="3"/>
        <w:ind w:firstLine="480"/>
        <w:rPr>
          <w:u w:val="single"/>
        </w:rPr>
      </w:pPr>
      <w:r>
        <w:rPr>
          <w:rFonts w:hint="eastAsia"/>
          <w:u w:val="single"/>
        </w:rPr>
        <w:t>本项目员工住宿办公生活过程中会产生一定量的废水，职工</w:t>
      </w:r>
      <w:r>
        <w:rPr>
          <w:u w:val="single"/>
        </w:rPr>
        <w:t>共</w:t>
      </w:r>
      <w:r>
        <w:rPr>
          <w:rFonts w:hint="eastAsia"/>
          <w:u w:val="single"/>
        </w:rPr>
        <w:t>50人，25人</w:t>
      </w:r>
      <w:r>
        <w:rPr>
          <w:u w:val="single"/>
        </w:rPr>
        <w:t>食宿在</w:t>
      </w:r>
      <w:r>
        <w:rPr>
          <w:rFonts w:hint="eastAsia"/>
          <w:u w:val="single"/>
        </w:rPr>
        <w:t>场</w:t>
      </w:r>
      <w:r>
        <w:rPr>
          <w:u w:val="single"/>
        </w:rPr>
        <w:t>内，</w:t>
      </w:r>
      <w:r>
        <w:rPr>
          <w:rFonts w:hint="eastAsia"/>
          <w:u w:val="single"/>
        </w:rPr>
        <w:t>25人</w:t>
      </w:r>
      <w:r>
        <w:rPr>
          <w:u w:val="single"/>
        </w:rPr>
        <w:t>未住宿</w:t>
      </w:r>
      <w:r>
        <w:rPr>
          <w:rFonts w:hint="eastAsia"/>
          <w:u w:val="single"/>
        </w:rPr>
        <w:t>；项目生活用水量根据《湖南省用水定额地方标准》（DB43/T388-20</w:t>
      </w:r>
      <w:r>
        <w:rPr>
          <w:u w:val="single"/>
        </w:rPr>
        <w:t>20</w:t>
      </w:r>
      <w:r>
        <w:rPr>
          <w:rFonts w:hint="eastAsia"/>
          <w:u w:val="single"/>
        </w:rPr>
        <w:t>）进行估算，住宿按150L/人·d计，未住宿按80L/人·d计，年工作36</w:t>
      </w:r>
      <w:r>
        <w:rPr>
          <w:u w:val="single"/>
        </w:rPr>
        <w:t>5</w:t>
      </w:r>
      <w:r>
        <w:rPr>
          <w:rFonts w:hint="eastAsia"/>
          <w:u w:val="single"/>
        </w:rPr>
        <w:t>天。</w:t>
      </w:r>
      <w:r>
        <w:rPr>
          <w:rFonts w:cs="Times New Roman"/>
          <w:u w:val="single"/>
        </w:rPr>
        <w:t>则项目员工生活用水量为5.75m</w:t>
      </w:r>
      <w:r>
        <w:rPr>
          <w:rFonts w:cs="Times New Roman"/>
          <w:u w:val="single"/>
          <w:vertAlign w:val="superscript"/>
        </w:rPr>
        <w:t>3</w:t>
      </w:r>
      <w:r>
        <w:rPr>
          <w:rFonts w:cs="Times New Roman"/>
          <w:u w:val="single"/>
        </w:rPr>
        <w:t>/d（2098.75m</w:t>
      </w:r>
      <w:r>
        <w:rPr>
          <w:rFonts w:cs="Times New Roman"/>
          <w:u w:val="single"/>
          <w:vertAlign w:val="superscript"/>
        </w:rPr>
        <w:t>3</w:t>
      </w:r>
      <w:r>
        <w:rPr>
          <w:rFonts w:cs="Times New Roman"/>
          <w:u w:val="single"/>
        </w:rPr>
        <w:t>/a），80%计入废水量约为1679m</w:t>
      </w:r>
      <w:r>
        <w:rPr>
          <w:rFonts w:cs="Times New Roman"/>
          <w:u w:val="single"/>
          <w:vertAlign w:val="superscript"/>
        </w:rPr>
        <w:t>3</w:t>
      </w:r>
      <w:r>
        <w:rPr>
          <w:rFonts w:cs="Times New Roman"/>
          <w:u w:val="single"/>
        </w:rPr>
        <w:t>/a（</w:t>
      </w:r>
      <w:r>
        <w:rPr>
          <w:rFonts w:cs="Times New Roman" w:eastAsiaTheme="minorEastAsia"/>
          <w:u w:val="single"/>
        </w:rPr>
        <w:t>日最大排水量约为4.6</w:t>
      </w:r>
      <w:r>
        <w:rPr>
          <w:rFonts w:cs="Times New Roman" w:eastAsiaTheme="minorEastAsia"/>
          <w:u w:val="single"/>
          <w:lang w:eastAsia="ja-JP"/>
        </w:rPr>
        <w:t>m</w:t>
      </w:r>
      <w:r>
        <w:rPr>
          <w:rFonts w:cs="Times New Roman" w:eastAsiaTheme="minorEastAsia"/>
          <w:u w:val="single"/>
          <w:vertAlign w:val="superscript"/>
          <w:lang w:eastAsia="ja-JP"/>
        </w:rPr>
        <w:t>3</w:t>
      </w:r>
      <w:r>
        <w:rPr>
          <w:rFonts w:cs="Times New Roman" w:eastAsiaTheme="minorEastAsia"/>
          <w:u w:val="single"/>
          <w:lang w:eastAsia="ja-JP"/>
        </w:rPr>
        <w:t>/d</w:t>
      </w:r>
      <w:r>
        <w:rPr>
          <w:rFonts w:cs="Times New Roman"/>
          <w:u w:val="single"/>
        </w:rPr>
        <w:t>）</w:t>
      </w:r>
      <w:r>
        <w:rPr>
          <w:rFonts w:hint="eastAsia" w:cs="Times New Roman"/>
          <w:u w:val="single"/>
        </w:rPr>
        <w:t>，生活污水排入化粪池定期清掏用作农肥</w:t>
      </w:r>
      <w:r>
        <w:rPr>
          <w:rFonts w:cs="Times New Roman"/>
          <w:u w:val="single"/>
        </w:rPr>
        <w:t>。</w:t>
      </w:r>
    </w:p>
    <w:p>
      <w:pPr>
        <w:pStyle w:val="3"/>
        <w:ind w:firstLine="480"/>
        <w:rPr>
          <w:u w:val="single"/>
        </w:rPr>
      </w:pPr>
      <w:r>
        <w:rPr>
          <w:rFonts w:hint="eastAsia"/>
          <w:u w:val="single"/>
        </w:rPr>
        <w:t>⑤锅炉废水</w:t>
      </w:r>
    </w:p>
    <w:p>
      <w:pPr>
        <w:pStyle w:val="3"/>
        <w:ind w:firstLine="480"/>
        <w:rPr>
          <w:u w:val="single"/>
        </w:rPr>
      </w:pPr>
      <w:r>
        <w:rPr>
          <w:rFonts w:hint="eastAsia"/>
          <w:u w:val="single"/>
        </w:rPr>
        <w:t>根据</w:t>
      </w:r>
      <w:r>
        <w:rPr>
          <w:u w:val="single"/>
        </w:rPr>
        <w:t>建设单位提供的资料，</w:t>
      </w:r>
      <w:r>
        <w:rPr>
          <w:rFonts w:hint="eastAsia"/>
          <w:u w:val="single"/>
        </w:rPr>
        <w:t>本项目新建</w:t>
      </w:r>
      <w:r>
        <w:rPr>
          <w:u w:val="single"/>
        </w:rPr>
        <w:t>3</w:t>
      </w:r>
      <w:r>
        <w:rPr>
          <w:rFonts w:hint="eastAsia"/>
          <w:u w:val="single"/>
        </w:rPr>
        <w:t>台</w:t>
      </w:r>
      <w:r>
        <w:rPr>
          <w:u w:val="single"/>
        </w:rPr>
        <w:t>1</w:t>
      </w:r>
      <w:r>
        <w:rPr>
          <w:rFonts w:hint="eastAsia"/>
          <w:u w:val="single"/>
        </w:rPr>
        <w:t>t</w:t>
      </w:r>
      <w:r>
        <w:rPr>
          <w:u w:val="single"/>
        </w:rPr>
        <w:t>/h</w:t>
      </w:r>
      <w:r>
        <w:rPr>
          <w:rFonts w:hint="eastAsia"/>
          <w:u w:val="single"/>
        </w:rPr>
        <w:t>生物质燃料锅炉，</w:t>
      </w:r>
      <w:r>
        <w:rPr>
          <w:u w:val="single"/>
        </w:rPr>
        <w:t>锅炉使用时间</w:t>
      </w:r>
      <w:r>
        <w:rPr>
          <w:rFonts w:hint="eastAsia"/>
          <w:u w:val="single"/>
        </w:rPr>
        <w:t>为冬季</w:t>
      </w:r>
      <w:r>
        <w:rPr>
          <w:u w:val="single"/>
        </w:rPr>
        <w:t>，</w:t>
      </w:r>
      <w:r>
        <w:rPr>
          <w:rFonts w:hint="eastAsia"/>
          <w:u w:val="single"/>
        </w:rPr>
        <w:t>运行时间为</w:t>
      </w:r>
      <w:r>
        <w:rPr>
          <w:u w:val="single"/>
        </w:rPr>
        <w:t>9</w:t>
      </w:r>
      <w:r>
        <w:rPr>
          <w:rFonts w:hint="eastAsia"/>
          <w:u w:val="single"/>
        </w:rPr>
        <w:t>0天，锅炉每年</w:t>
      </w:r>
      <w:r>
        <w:rPr>
          <w:u w:val="single"/>
        </w:rPr>
        <w:t>仅</w:t>
      </w:r>
      <w:r>
        <w:rPr>
          <w:rFonts w:hint="eastAsia"/>
          <w:u w:val="single"/>
        </w:rPr>
        <w:t>需开启时</w:t>
      </w:r>
      <w:r>
        <w:rPr>
          <w:u w:val="single"/>
        </w:rPr>
        <w:t>加一次水，</w:t>
      </w:r>
      <w:r>
        <w:rPr>
          <w:rFonts w:hint="eastAsia"/>
          <w:u w:val="single"/>
        </w:rPr>
        <w:t>停止</w:t>
      </w:r>
      <w:r>
        <w:rPr>
          <w:u w:val="single"/>
        </w:rPr>
        <w:t>时</w:t>
      </w:r>
      <w:r>
        <w:rPr>
          <w:rFonts w:hint="eastAsia"/>
          <w:u w:val="single"/>
        </w:rPr>
        <w:t>排一次</w:t>
      </w:r>
      <w:r>
        <w:rPr>
          <w:u w:val="single"/>
        </w:rPr>
        <w:t>水</w:t>
      </w:r>
      <w:r>
        <w:rPr>
          <w:rFonts w:hint="eastAsia"/>
          <w:u w:val="single"/>
        </w:rPr>
        <w:t>，</w:t>
      </w:r>
      <w:r>
        <w:rPr>
          <w:u w:val="single"/>
        </w:rPr>
        <w:t>且锅炉水为清净</w:t>
      </w:r>
      <w:r>
        <w:rPr>
          <w:rFonts w:hint="eastAsia"/>
          <w:u w:val="single"/>
        </w:rPr>
        <w:t>下水</w:t>
      </w:r>
      <w:r>
        <w:rPr>
          <w:u w:val="single"/>
        </w:rPr>
        <w:t>，可直接排入雨水</w:t>
      </w:r>
      <w:r>
        <w:rPr>
          <w:rFonts w:hint="eastAsia"/>
          <w:u w:val="single"/>
        </w:rPr>
        <w:t>渠，</w:t>
      </w:r>
      <w:r>
        <w:rPr>
          <w:u w:val="single"/>
        </w:rPr>
        <w:t>因此</w:t>
      </w:r>
      <w:r>
        <w:rPr>
          <w:rFonts w:hint="eastAsia"/>
          <w:u w:val="single"/>
        </w:rPr>
        <w:t>评价将</w:t>
      </w:r>
      <w:r>
        <w:rPr>
          <w:u w:val="single"/>
        </w:rPr>
        <w:t>锅炉水不纳入</w:t>
      </w:r>
      <w:r>
        <w:rPr>
          <w:rFonts w:hint="eastAsia"/>
          <w:u w:val="single"/>
        </w:rPr>
        <w:t>项目</w:t>
      </w:r>
      <w:r>
        <w:rPr>
          <w:u w:val="single"/>
        </w:rPr>
        <w:t>废水</w:t>
      </w:r>
      <w:r>
        <w:rPr>
          <w:rFonts w:hint="eastAsia"/>
          <w:u w:val="single"/>
        </w:rPr>
        <w:t>。</w:t>
      </w:r>
    </w:p>
    <w:p>
      <w:pPr>
        <w:pStyle w:val="3"/>
        <w:ind w:firstLine="480"/>
        <w:rPr>
          <w:u w:val="single"/>
        </w:rPr>
      </w:pPr>
      <w:r>
        <w:rPr>
          <w:rFonts w:hint="eastAsia"/>
          <w:u w:val="single"/>
        </w:rPr>
        <w:t>⑥消毒用水</w:t>
      </w:r>
    </w:p>
    <w:p>
      <w:pPr>
        <w:pStyle w:val="3"/>
        <w:ind w:firstLine="480"/>
        <w:rPr>
          <w:u w:val="single"/>
        </w:rPr>
      </w:pPr>
      <w:r>
        <w:rPr>
          <w:rFonts w:hint="eastAsia"/>
          <w:u w:val="single"/>
        </w:rPr>
        <w:t>本项目员工进入鸡舍前均需进行消毒，定期对鸡舍、运输车辆等地进行消毒，项目采用喷雾状消毒器对鸡舍进行喷洒消毒水，采用喷雾消毒方式可节省消毒水使用量。项目消毒剂年消耗量为3t/a，以1:500的稀释比例稀释，则需加入水的量为1500t/a（4.11t/d），消毒水在鸡舍内蒸发挥发，无废水排放。</w:t>
      </w:r>
    </w:p>
    <w:p>
      <w:pPr>
        <w:pStyle w:val="3"/>
        <w:ind w:firstLine="480"/>
        <w:rPr>
          <w:rFonts w:cs="Times New Roman"/>
          <w:u w:val="single"/>
        </w:rPr>
      </w:pPr>
      <w:r>
        <w:rPr>
          <w:rFonts w:cs="Times New Roman"/>
          <w:u w:val="single"/>
        </w:rPr>
        <w:t>综上所述，本项目全年总用排水情况见表3.2-3，年</w:t>
      </w:r>
      <w:r>
        <w:rPr>
          <w:rFonts w:hint="eastAsia" w:cs="Times New Roman"/>
          <w:u w:val="single"/>
        </w:rPr>
        <w:t>实际</w:t>
      </w:r>
      <w:r>
        <w:rPr>
          <w:rFonts w:cs="Times New Roman"/>
          <w:u w:val="single"/>
        </w:rPr>
        <w:t>新鲜用水量</w:t>
      </w:r>
      <w:r>
        <w:rPr>
          <w:rFonts w:hint="eastAsia" w:cs="Times New Roman"/>
          <w:u w:val="single"/>
        </w:rPr>
        <w:t>为</w:t>
      </w:r>
      <w:r>
        <w:rPr>
          <w:rFonts w:eastAsia="等线" w:cs="Times New Roman"/>
          <w:color w:val="000000"/>
          <w:u w:val="single"/>
        </w:rPr>
        <w:t>40600.27</w:t>
      </w:r>
      <w:r>
        <w:rPr>
          <w:u w:val="single"/>
        </w:rPr>
        <w:t>m</w:t>
      </w:r>
      <w:r>
        <w:rPr>
          <w:u w:val="single"/>
          <w:vertAlign w:val="superscript"/>
        </w:rPr>
        <w:t>3</w:t>
      </w:r>
      <w:r>
        <w:rPr>
          <w:u w:val="single"/>
        </w:rPr>
        <w:t>/a</w:t>
      </w:r>
      <w:r>
        <w:rPr>
          <w:rFonts w:hint="eastAsia"/>
          <w:u w:val="single"/>
        </w:rPr>
        <w:t>，</w:t>
      </w:r>
      <w:r>
        <w:rPr>
          <w:rFonts w:cs="Times New Roman"/>
          <w:u w:val="single"/>
        </w:rPr>
        <w:t>废水排放量约为</w:t>
      </w:r>
      <w:r>
        <w:rPr>
          <w:rFonts w:eastAsia="等线" w:cs="Times New Roman"/>
          <w:color w:val="000000"/>
          <w:u w:val="single"/>
        </w:rPr>
        <w:t>2010.22</w:t>
      </w:r>
      <w:r>
        <w:rPr>
          <w:rFonts w:cs="Times New Roman"/>
          <w:u w:val="single"/>
        </w:rPr>
        <w:t>m</w:t>
      </w:r>
      <w:r>
        <w:rPr>
          <w:rFonts w:cs="Times New Roman"/>
          <w:u w:val="single"/>
          <w:vertAlign w:val="superscript"/>
        </w:rPr>
        <w:t>3</w:t>
      </w:r>
      <w:r>
        <w:rPr>
          <w:rFonts w:cs="Times New Roman"/>
          <w:u w:val="single"/>
        </w:rPr>
        <w:t>/a（</w:t>
      </w:r>
      <w:r>
        <w:rPr>
          <w:rFonts w:hint="eastAsia" w:cs="Times New Roman"/>
          <w:u w:val="single"/>
        </w:rPr>
        <w:t>平均日</w:t>
      </w:r>
      <w:r>
        <w:rPr>
          <w:rFonts w:cs="Times New Roman"/>
          <w:u w:val="single"/>
        </w:rPr>
        <w:t>排水量</w:t>
      </w:r>
      <w:r>
        <w:rPr>
          <w:rFonts w:hint="eastAsia" w:cs="Times New Roman"/>
          <w:u w:val="single"/>
        </w:rPr>
        <w:t>约</w:t>
      </w:r>
      <w:r>
        <w:rPr>
          <w:rFonts w:cs="Times New Roman"/>
          <w:u w:val="single"/>
        </w:rPr>
        <w:t>为</w:t>
      </w:r>
      <w:r>
        <w:rPr>
          <w:rFonts w:hint="eastAsia" w:cs="Times New Roman"/>
          <w:u w:val="single"/>
        </w:rPr>
        <w:t>5.5</w:t>
      </w:r>
      <w:r>
        <w:rPr>
          <w:rFonts w:cs="Times New Roman"/>
          <w:u w:val="single"/>
          <w:lang w:eastAsia="ja-JP"/>
        </w:rPr>
        <w:t>m</w:t>
      </w:r>
      <w:r>
        <w:rPr>
          <w:rFonts w:cs="Times New Roman"/>
          <w:u w:val="single"/>
          <w:vertAlign w:val="superscript"/>
          <w:lang w:eastAsia="ja-JP"/>
        </w:rPr>
        <w:t>3</w:t>
      </w:r>
      <w:r>
        <w:rPr>
          <w:rFonts w:cs="Times New Roman"/>
          <w:u w:val="single"/>
          <w:lang w:eastAsia="ja-JP"/>
        </w:rPr>
        <w:t>/d</w:t>
      </w:r>
      <w:r>
        <w:rPr>
          <w:rFonts w:cs="Times New Roman"/>
          <w:u w:val="single"/>
        </w:rPr>
        <w:t>），水平衡图见图3.2-4。</w:t>
      </w:r>
    </w:p>
    <w:p>
      <w:pPr>
        <w:pStyle w:val="15"/>
        <w:ind w:left="420" w:hanging="420"/>
        <w:rPr>
          <w:rFonts w:cs="Times New Roman"/>
          <w:u w:val="single"/>
        </w:rPr>
      </w:pPr>
      <w:r>
        <w:rPr>
          <w:rFonts w:cs="Times New Roman"/>
          <w:u w:val="single"/>
        </w:rPr>
        <w:t>表3.2-3    全年总用排水情况一览表</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
        <w:gridCol w:w="1328"/>
        <w:gridCol w:w="1134"/>
        <w:gridCol w:w="1559"/>
        <w:gridCol w:w="1273"/>
        <w:gridCol w:w="1022"/>
        <w:gridCol w:w="2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262" w:type="pct"/>
            <w:shd w:val="clear" w:color="auto" w:fill="auto"/>
            <w:vAlign w:val="center"/>
          </w:tcPr>
          <w:p>
            <w:pPr>
              <w:pStyle w:val="39"/>
              <w:rPr>
                <w:u w:val="single"/>
              </w:rPr>
            </w:pPr>
            <w:r>
              <w:rPr>
                <w:u w:val="single"/>
              </w:rPr>
              <w:t>序号</w:t>
            </w:r>
          </w:p>
        </w:tc>
        <w:tc>
          <w:tcPr>
            <w:tcW w:w="724" w:type="pct"/>
            <w:shd w:val="clear" w:color="auto" w:fill="auto"/>
            <w:vAlign w:val="center"/>
          </w:tcPr>
          <w:p>
            <w:pPr>
              <w:pStyle w:val="39"/>
              <w:rPr>
                <w:u w:val="single"/>
              </w:rPr>
            </w:pPr>
            <w:r>
              <w:rPr>
                <w:u w:val="single"/>
              </w:rPr>
              <w:t>用水环节</w:t>
            </w:r>
          </w:p>
        </w:tc>
        <w:tc>
          <w:tcPr>
            <w:tcW w:w="618" w:type="pct"/>
            <w:shd w:val="clear" w:color="auto" w:fill="auto"/>
            <w:vAlign w:val="center"/>
          </w:tcPr>
          <w:p>
            <w:pPr>
              <w:pStyle w:val="39"/>
              <w:rPr>
                <w:u w:val="single"/>
              </w:rPr>
            </w:pPr>
            <w:r>
              <w:rPr>
                <w:u w:val="single"/>
              </w:rPr>
              <w:t>需用水量</w:t>
            </w:r>
          </w:p>
          <w:p>
            <w:pPr>
              <w:pStyle w:val="39"/>
              <w:rPr>
                <w:u w:val="single"/>
              </w:rPr>
            </w:pPr>
            <w:r>
              <w:rPr>
                <w:u w:val="single"/>
              </w:rPr>
              <w:t>（m</w:t>
            </w:r>
            <w:r>
              <w:rPr>
                <w:u w:val="single"/>
                <w:vertAlign w:val="superscript"/>
              </w:rPr>
              <w:t>3</w:t>
            </w:r>
            <w:r>
              <w:rPr>
                <w:u w:val="single"/>
              </w:rPr>
              <w:t>/a）</w:t>
            </w:r>
          </w:p>
        </w:tc>
        <w:tc>
          <w:tcPr>
            <w:tcW w:w="850" w:type="pct"/>
            <w:shd w:val="clear" w:color="auto" w:fill="auto"/>
            <w:vAlign w:val="center"/>
          </w:tcPr>
          <w:p>
            <w:pPr>
              <w:pStyle w:val="39"/>
              <w:rPr>
                <w:u w:val="single"/>
              </w:rPr>
            </w:pPr>
            <w:r>
              <w:rPr>
                <w:u w:val="single"/>
              </w:rPr>
              <w:t>实际新水用量（m</w:t>
            </w:r>
            <w:r>
              <w:rPr>
                <w:u w:val="single"/>
                <w:vertAlign w:val="superscript"/>
              </w:rPr>
              <w:t>3</w:t>
            </w:r>
            <w:r>
              <w:rPr>
                <w:u w:val="single"/>
              </w:rPr>
              <w:t>/a）</w:t>
            </w:r>
          </w:p>
        </w:tc>
        <w:tc>
          <w:tcPr>
            <w:tcW w:w="694" w:type="pct"/>
            <w:shd w:val="clear" w:color="auto" w:fill="auto"/>
            <w:vAlign w:val="center"/>
          </w:tcPr>
          <w:p>
            <w:pPr>
              <w:pStyle w:val="39"/>
              <w:rPr>
                <w:u w:val="single"/>
              </w:rPr>
            </w:pPr>
            <w:r>
              <w:rPr>
                <w:u w:val="single"/>
              </w:rPr>
              <w:t>蒸发</w:t>
            </w:r>
            <w:r>
              <w:rPr>
                <w:rFonts w:hint="eastAsia"/>
                <w:u w:val="single"/>
              </w:rPr>
              <w:t>或</w:t>
            </w:r>
            <w:r>
              <w:rPr>
                <w:u w:val="single"/>
              </w:rPr>
              <w:t>吸收</w:t>
            </w:r>
          </w:p>
          <w:p>
            <w:pPr>
              <w:pStyle w:val="39"/>
              <w:rPr>
                <w:u w:val="single"/>
              </w:rPr>
            </w:pPr>
            <w:r>
              <w:rPr>
                <w:u w:val="single"/>
              </w:rPr>
              <w:t>（m</w:t>
            </w:r>
            <w:r>
              <w:rPr>
                <w:u w:val="single"/>
                <w:vertAlign w:val="superscript"/>
              </w:rPr>
              <w:t>3</w:t>
            </w:r>
            <w:r>
              <w:rPr>
                <w:u w:val="single"/>
              </w:rPr>
              <w:t>/a）</w:t>
            </w:r>
          </w:p>
        </w:tc>
        <w:tc>
          <w:tcPr>
            <w:tcW w:w="557" w:type="pct"/>
            <w:shd w:val="clear" w:color="auto" w:fill="auto"/>
            <w:vAlign w:val="center"/>
          </w:tcPr>
          <w:p>
            <w:pPr>
              <w:pStyle w:val="39"/>
              <w:rPr>
                <w:u w:val="single"/>
              </w:rPr>
            </w:pPr>
            <w:r>
              <w:rPr>
                <w:u w:val="single"/>
              </w:rPr>
              <w:t>废水量</w:t>
            </w:r>
          </w:p>
          <w:p>
            <w:pPr>
              <w:pStyle w:val="39"/>
              <w:rPr>
                <w:u w:val="single"/>
              </w:rPr>
            </w:pPr>
            <w:r>
              <w:rPr>
                <w:u w:val="single"/>
              </w:rPr>
              <w:t>（m</w:t>
            </w:r>
            <w:r>
              <w:rPr>
                <w:u w:val="single"/>
                <w:vertAlign w:val="superscript"/>
              </w:rPr>
              <w:t>3</w:t>
            </w:r>
            <w:r>
              <w:rPr>
                <w:u w:val="single"/>
              </w:rPr>
              <w:t>/a）</w:t>
            </w:r>
          </w:p>
        </w:tc>
        <w:tc>
          <w:tcPr>
            <w:tcW w:w="1295" w:type="pct"/>
            <w:shd w:val="clear" w:color="auto" w:fill="auto"/>
            <w:vAlign w:val="center"/>
          </w:tcPr>
          <w:p>
            <w:pPr>
              <w:pStyle w:val="39"/>
              <w:rPr>
                <w:u w:val="single"/>
              </w:rPr>
            </w:pPr>
            <w:r>
              <w:rPr>
                <w:u w:val="singl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2" w:type="pct"/>
            <w:shd w:val="clear" w:color="auto" w:fill="auto"/>
            <w:vAlign w:val="center"/>
          </w:tcPr>
          <w:p>
            <w:pPr>
              <w:pStyle w:val="39"/>
              <w:rPr>
                <w:rFonts w:eastAsia="等线"/>
                <w:u w:val="single"/>
              </w:rPr>
            </w:pPr>
            <w:r>
              <w:rPr>
                <w:rFonts w:eastAsia="等线"/>
                <w:u w:val="single"/>
              </w:rPr>
              <w:t>1</w:t>
            </w:r>
          </w:p>
        </w:tc>
        <w:tc>
          <w:tcPr>
            <w:tcW w:w="724" w:type="pct"/>
            <w:shd w:val="clear" w:color="auto" w:fill="auto"/>
            <w:vAlign w:val="center"/>
          </w:tcPr>
          <w:p>
            <w:pPr>
              <w:pStyle w:val="39"/>
              <w:rPr>
                <w:u w:val="single"/>
              </w:rPr>
            </w:pPr>
            <w:r>
              <w:rPr>
                <w:u w:val="single"/>
              </w:rPr>
              <w:t>鸡饮用水</w:t>
            </w:r>
          </w:p>
        </w:tc>
        <w:tc>
          <w:tcPr>
            <w:tcW w:w="618" w:type="pct"/>
            <w:shd w:val="clear" w:color="auto" w:fill="auto"/>
            <w:vAlign w:val="center"/>
          </w:tcPr>
          <w:p>
            <w:pPr>
              <w:pStyle w:val="39"/>
              <w:rPr>
                <w:rFonts w:eastAsia="等线"/>
                <w:u w:val="single"/>
              </w:rPr>
            </w:pPr>
            <w:r>
              <w:rPr>
                <w:u w:val="single"/>
              </w:rPr>
              <w:t>35587.5</w:t>
            </w:r>
          </w:p>
        </w:tc>
        <w:tc>
          <w:tcPr>
            <w:tcW w:w="850" w:type="pct"/>
            <w:shd w:val="clear" w:color="auto" w:fill="auto"/>
            <w:vAlign w:val="center"/>
          </w:tcPr>
          <w:p>
            <w:pPr>
              <w:pStyle w:val="39"/>
              <w:rPr>
                <w:rFonts w:eastAsia="等线"/>
                <w:u w:val="single"/>
              </w:rPr>
            </w:pPr>
            <w:r>
              <w:rPr>
                <w:u w:val="single"/>
              </w:rPr>
              <w:t>35587.5</w:t>
            </w:r>
          </w:p>
        </w:tc>
        <w:tc>
          <w:tcPr>
            <w:tcW w:w="694" w:type="pct"/>
            <w:shd w:val="clear" w:color="auto" w:fill="auto"/>
            <w:vAlign w:val="center"/>
          </w:tcPr>
          <w:p>
            <w:pPr>
              <w:pStyle w:val="39"/>
              <w:rPr>
                <w:rFonts w:eastAsia="等线"/>
                <w:u w:val="single"/>
              </w:rPr>
            </w:pPr>
            <w:r>
              <w:rPr>
                <w:rFonts w:eastAsia="等线"/>
                <w:u w:val="single"/>
              </w:rPr>
              <w:t>12455.63</w:t>
            </w:r>
          </w:p>
        </w:tc>
        <w:tc>
          <w:tcPr>
            <w:tcW w:w="557" w:type="pct"/>
            <w:shd w:val="clear" w:color="auto" w:fill="auto"/>
            <w:vAlign w:val="center"/>
          </w:tcPr>
          <w:p>
            <w:pPr>
              <w:pStyle w:val="39"/>
              <w:rPr>
                <w:rFonts w:eastAsia="等线"/>
                <w:u w:val="single"/>
              </w:rPr>
            </w:pPr>
            <w:r>
              <w:rPr>
                <w:rFonts w:eastAsia="等线"/>
                <w:u w:val="single"/>
              </w:rPr>
              <w:t>0</w:t>
            </w:r>
          </w:p>
        </w:tc>
        <w:tc>
          <w:tcPr>
            <w:tcW w:w="1295" w:type="pct"/>
            <w:shd w:val="clear" w:color="auto" w:fill="auto"/>
            <w:vAlign w:val="center"/>
          </w:tcPr>
          <w:p>
            <w:pPr>
              <w:pStyle w:val="39"/>
              <w:rPr>
                <w:rFonts w:eastAsia="等线"/>
                <w:u w:val="single"/>
              </w:rPr>
            </w:pPr>
            <w:r>
              <w:rPr>
                <w:rFonts w:hint="eastAsia" w:cs="Times New Roman"/>
                <w:u w:val="single"/>
              </w:rPr>
              <w:t>约</w:t>
            </w:r>
            <w:r>
              <w:rPr>
                <w:rFonts w:cs="Times New Roman"/>
                <w:u w:val="single"/>
              </w:rPr>
              <w:t>65%水进入</w:t>
            </w:r>
            <w:r>
              <w:rPr>
                <w:rFonts w:hint="eastAsia" w:cs="Times New Roman"/>
                <w:u w:val="single"/>
              </w:rPr>
              <w:t>鸡</w:t>
            </w:r>
            <w:r>
              <w:rPr>
                <w:rFonts w:cs="Times New Roman"/>
                <w:u w:val="single"/>
              </w:rPr>
              <w:t>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2" w:type="pct"/>
            <w:shd w:val="clear" w:color="auto" w:fill="auto"/>
            <w:vAlign w:val="center"/>
          </w:tcPr>
          <w:p>
            <w:pPr>
              <w:pStyle w:val="39"/>
              <w:rPr>
                <w:rFonts w:eastAsia="等线"/>
                <w:u w:val="single"/>
              </w:rPr>
            </w:pPr>
            <w:r>
              <w:rPr>
                <w:rFonts w:eastAsia="等线"/>
                <w:u w:val="single"/>
              </w:rPr>
              <w:t>2</w:t>
            </w:r>
          </w:p>
        </w:tc>
        <w:tc>
          <w:tcPr>
            <w:tcW w:w="724" w:type="pct"/>
            <w:shd w:val="clear" w:color="auto" w:fill="auto"/>
            <w:vAlign w:val="center"/>
          </w:tcPr>
          <w:p>
            <w:pPr>
              <w:pStyle w:val="39"/>
              <w:rPr>
                <w:u w:val="single"/>
              </w:rPr>
            </w:pPr>
            <w:r>
              <w:rPr>
                <w:u w:val="single"/>
              </w:rPr>
              <w:t>鸡舍冲洗水</w:t>
            </w:r>
          </w:p>
        </w:tc>
        <w:tc>
          <w:tcPr>
            <w:tcW w:w="618" w:type="pct"/>
            <w:shd w:val="clear" w:color="auto" w:fill="auto"/>
            <w:vAlign w:val="center"/>
          </w:tcPr>
          <w:p>
            <w:pPr>
              <w:pStyle w:val="39"/>
              <w:rPr>
                <w:u w:val="single"/>
              </w:rPr>
            </w:pPr>
            <w:r>
              <w:rPr>
                <w:u w:val="single"/>
              </w:rPr>
              <w:t>414.02</w:t>
            </w:r>
          </w:p>
        </w:tc>
        <w:tc>
          <w:tcPr>
            <w:tcW w:w="850" w:type="pct"/>
            <w:shd w:val="clear" w:color="auto" w:fill="auto"/>
            <w:vAlign w:val="center"/>
          </w:tcPr>
          <w:p>
            <w:pPr>
              <w:pStyle w:val="39"/>
              <w:rPr>
                <w:u w:val="single"/>
              </w:rPr>
            </w:pPr>
            <w:r>
              <w:rPr>
                <w:u w:val="single"/>
              </w:rPr>
              <w:t>414.02</w:t>
            </w:r>
          </w:p>
        </w:tc>
        <w:tc>
          <w:tcPr>
            <w:tcW w:w="694" w:type="pct"/>
            <w:shd w:val="clear" w:color="auto" w:fill="auto"/>
            <w:vAlign w:val="center"/>
          </w:tcPr>
          <w:p>
            <w:pPr>
              <w:pStyle w:val="39"/>
              <w:rPr>
                <w:u w:val="single"/>
              </w:rPr>
            </w:pPr>
            <w:r>
              <w:rPr>
                <w:u w:val="single"/>
              </w:rPr>
              <w:t>82.80</w:t>
            </w:r>
          </w:p>
        </w:tc>
        <w:tc>
          <w:tcPr>
            <w:tcW w:w="557" w:type="pct"/>
            <w:shd w:val="clear" w:color="auto" w:fill="auto"/>
            <w:vAlign w:val="center"/>
          </w:tcPr>
          <w:p>
            <w:pPr>
              <w:pStyle w:val="39"/>
              <w:rPr>
                <w:u w:val="single"/>
              </w:rPr>
            </w:pPr>
            <w:r>
              <w:rPr>
                <w:u w:val="single"/>
              </w:rPr>
              <w:t xml:space="preserve">331.22 </w:t>
            </w:r>
          </w:p>
        </w:tc>
        <w:tc>
          <w:tcPr>
            <w:tcW w:w="1295" w:type="pct"/>
            <w:shd w:val="clear" w:color="auto" w:fill="auto"/>
            <w:vAlign w:val="center"/>
          </w:tcPr>
          <w:p>
            <w:pPr>
              <w:pStyle w:val="39"/>
              <w:rPr>
                <w:rFonts w:eastAsia="等线"/>
                <w:u w:val="single"/>
              </w:rPr>
            </w:pPr>
            <w:r>
              <w:rPr>
                <w:rFonts w:eastAsia="等线"/>
                <w:u w:val="single"/>
              </w:rPr>
              <w:t>80%</w:t>
            </w:r>
            <w:r>
              <w:rPr>
                <w:u w:val="single"/>
              </w:rPr>
              <w:t>计入废水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2" w:type="pct"/>
            <w:shd w:val="clear" w:color="auto" w:fill="auto"/>
            <w:vAlign w:val="center"/>
          </w:tcPr>
          <w:p>
            <w:pPr>
              <w:pStyle w:val="39"/>
              <w:rPr>
                <w:u w:val="single"/>
              </w:rPr>
            </w:pPr>
            <w:r>
              <w:rPr>
                <w:u w:val="single"/>
              </w:rPr>
              <w:t>3</w:t>
            </w:r>
          </w:p>
        </w:tc>
        <w:tc>
          <w:tcPr>
            <w:tcW w:w="724" w:type="pct"/>
            <w:shd w:val="clear" w:color="auto" w:fill="auto"/>
            <w:vAlign w:val="center"/>
          </w:tcPr>
          <w:p>
            <w:pPr>
              <w:pStyle w:val="39"/>
              <w:rPr>
                <w:u w:val="single"/>
              </w:rPr>
            </w:pPr>
            <w:r>
              <w:rPr>
                <w:u w:val="single"/>
              </w:rPr>
              <w:t>水帘系统水</w:t>
            </w:r>
          </w:p>
        </w:tc>
        <w:tc>
          <w:tcPr>
            <w:tcW w:w="618" w:type="pct"/>
            <w:shd w:val="clear" w:color="auto" w:fill="auto"/>
            <w:vAlign w:val="center"/>
          </w:tcPr>
          <w:p>
            <w:pPr>
              <w:pStyle w:val="39"/>
              <w:rPr>
                <w:rFonts w:eastAsia="等线"/>
                <w:u w:val="single"/>
              </w:rPr>
            </w:pPr>
            <w:r>
              <w:rPr>
                <w:rFonts w:eastAsia="等线"/>
                <w:u w:val="single"/>
              </w:rPr>
              <w:t>10000</w:t>
            </w:r>
          </w:p>
        </w:tc>
        <w:tc>
          <w:tcPr>
            <w:tcW w:w="850" w:type="pct"/>
            <w:shd w:val="clear" w:color="auto" w:fill="auto"/>
            <w:vAlign w:val="center"/>
          </w:tcPr>
          <w:p>
            <w:pPr>
              <w:pStyle w:val="39"/>
              <w:rPr>
                <w:rFonts w:eastAsia="等线"/>
                <w:u w:val="single"/>
              </w:rPr>
            </w:pPr>
            <w:r>
              <w:rPr>
                <w:rFonts w:hint="eastAsia"/>
                <w:bCs/>
                <w:u w:val="single"/>
              </w:rPr>
              <w:t>1000</w:t>
            </w:r>
          </w:p>
        </w:tc>
        <w:tc>
          <w:tcPr>
            <w:tcW w:w="694" w:type="pct"/>
            <w:shd w:val="clear" w:color="auto" w:fill="auto"/>
            <w:vAlign w:val="center"/>
          </w:tcPr>
          <w:p>
            <w:pPr>
              <w:pStyle w:val="39"/>
              <w:rPr>
                <w:rFonts w:eastAsia="等线"/>
                <w:u w:val="single"/>
              </w:rPr>
            </w:pPr>
            <w:r>
              <w:rPr>
                <w:rFonts w:hint="eastAsia"/>
                <w:bCs/>
                <w:u w:val="single"/>
              </w:rPr>
              <w:t>1000</w:t>
            </w:r>
          </w:p>
        </w:tc>
        <w:tc>
          <w:tcPr>
            <w:tcW w:w="557" w:type="pct"/>
            <w:shd w:val="clear" w:color="auto" w:fill="auto"/>
            <w:vAlign w:val="center"/>
          </w:tcPr>
          <w:p>
            <w:pPr>
              <w:pStyle w:val="39"/>
              <w:rPr>
                <w:rFonts w:eastAsia="等线"/>
                <w:u w:val="single"/>
              </w:rPr>
            </w:pPr>
            <w:r>
              <w:rPr>
                <w:rFonts w:eastAsia="等线"/>
                <w:u w:val="single"/>
              </w:rPr>
              <w:t>0</w:t>
            </w:r>
          </w:p>
        </w:tc>
        <w:tc>
          <w:tcPr>
            <w:tcW w:w="1295" w:type="pct"/>
            <w:shd w:val="clear" w:color="auto" w:fill="auto"/>
            <w:vAlign w:val="center"/>
          </w:tcPr>
          <w:p>
            <w:pPr>
              <w:pStyle w:val="39"/>
              <w:rPr>
                <w:u w:val="single"/>
              </w:rPr>
            </w:pPr>
            <w:r>
              <w:rPr>
                <w:u w:val="single"/>
              </w:rPr>
              <w:t>循环用水量9000m</w:t>
            </w:r>
            <w:r>
              <w:rPr>
                <w:u w:val="single"/>
                <w:vertAlign w:val="superscript"/>
              </w:rPr>
              <w:t>3</w:t>
            </w:r>
            <w:r>
              <w:rPr>
                <w:u w:val="single"/>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2" w:type="pct"/>
            <w:shd w:val="clear" w:color="auto" w:fill="auto"/>
            <w:vAlign w:val="center"/>
          </w:tcPr>
          <w:p>
            <w:pPr>
              <w:pStyle w:val="39"/>
              <w:rPr>
                <w:u w:val="single"/>
              </w:rPr>
            </w:pPr>
            <w:r>
              <w:rPr>
                <w:u w:val="single"/>
              </w:rPr>
              <w:t>4</w:t>
            </w:r>
          </w:p>
        </w:tc>
        <w:tc>
          <w:tcPr>
            <w:tcW w:w="724" w:type="pct"/>
            <w:shd w:val="clear" w:color="auto" w:fill="auto"/>
            <w:vAlign w:val="center"/>
          </w:tcPr>
          <w:p>
            <w:pPr>
              <w:pStyle w:val="39"/>
              <w:rPr>
                <w:u w:val="single"/>
              </w:rPr>
            </w:pPr>
            <w:r>
              <w:rPr>
                <w:u w:val="single"/>
              </w:rPr>
              <w:t>生活用水</w:t>
            </w:r>
          </w:p>
        </w:tc>
        <w:tc>
          <w:tcPr>
            <w:tcW w:w="618" w:type="pct"/>
            <w:shd w:val="clear" w:color="auto" w:fill="auto"/>
            <w:noWrap/>
            <w:vAlign w:val="center"/>
          </w:tcPr>
          <w:p>
            <w:pPr>
              <w:pStyle w:val="39"/>
              <w:rPr>
                <w:rFonts w:eastAsia="等线"/>
                <w:u w:val="single"/>
              </w:rPr>
            </w:pPr>
            <w:r>
              <w:rPr>
                <w:u w:val="single"/>
              </w:rPr>
              <w:t>2098.75</w:t>
            </w:r>
          </w:p>
        </w:tc>
        <w:tc>
          <w:tcPr>
            <w:tcW w:w="850" w:type="pct"/>
            <w:shd w:val="clear" w:color="auto" w:fill="auto"/>
            <w:vAlign w:val="center"/>
          </w:tcPr>
          <w:p>
            <w:pPr>
              <w:pStyle w:val="39"/>
              <w:rPr>
                <w:rFonts w:eastAsia="等线"/>
                <w:u w:val="single"/>
              </w:rPr>
            </w:pPr>
            <w:r>
              <w:rPr>
                <w:u w:val="single"/>
              </w:rPr>
              <w:t>2098.75</w:t>
            </w:r>
          </w:p>
        </w:tc>
        <w:tc>
          <w:tcPr>
            <w:tcW w:w="694" w:type="pct"/>
            <w:shd w:val="clear" w:color="auto" w:fill="auto"/>
            <w:vAlign w:val="center"/>
          </w:tcPr>
          <w:p>
            <w:pPr>
              <w:pStyle w:val="39"/>
              <w:rPr>
                <w:rFonts w:eastAsia="等线"/>
                <w:u w:val="single"/>
              </w:rPr>
            </w:pPr>
            <w:r>
              <w:rPr>
                <w:rFonts w:eastAsia="等线"/>
                <w:u w:val="single"/>
              </w:rPr>
              <w:t>419.75</w:t>
            </w:r>
          </w:p>
        </w:tc>
        <w:tc>
          <w:tcPr>
            <w:tcW w:w="557" w:type="pct"/>
            <w:shd w:val="clear" w:color="auto" w:fill="auto"/>
            <w:vAlign w:val="center"/>
          </w:tcPr>
          <w:p>
            <w:pPr>
              <w:pStyle w:val="39"/>
              <w:rPr>
                <w:rFonts w:eastAsia="等线"/>
                <w:u w:val="single"/>
              </w:rPr>
            </w:pPr>
            <w:r>
              <w:rPr>
                <w:u w:val="single"/>
              </w:rPr>
              <w:t>1679</w:t>
            </w:r>
          </w:p>
        </w:tc>
        <w:tc>
          <w:tcPr>
            <w:tcW w:w="1295" w:type="pct"/>
            <w:shd w:val="clear" w:color="auto" w:fill="auto"/>
            <w:vAlign w:val="center"/>
          </w:tcPr>
          <w:p>
            <w:pPr>
              <w:pStyle w:val="39"/>
              <w:rPr>
                <w:rFonts w:eastAsia="等线"/>
                <w:u w:val="single"/>
              </w:rPr>
            </w:pPr>
            <w:r>
              <w:rPr>
                <w:rFonts w:eastAsia="等线"/>
                <w:u w:val="single"/>
              </w:rPr>
              <w:t>80%</w:t>
            </w:r>
            <w:r>
              <w:rPr>
                <w:u w:val="single"/>
              </w:rPr>
              <w:t>计入废水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2" w:type="pct"/>
            <w:shd w:val="clear" w:color="auto" w:fill="auto"/>
            <w:vAlign w:val="center"/>
          </w:tcPr>
          <w:p>
            <w:pPr>
              <w:pStyle w:val="39"/>
              <w:rPr>
                <w:rFonts w:eastAsia="等线"/>
                <w:u w:val="single"/>
              </w:rPr>
            </w:pPr>
            <w:r>
              <w:rPr>
                <w:rFonts w:eastAsia="等线"/>
                <w:u w:val="single"/>
              </w:rPr>
              <w:t>5</w:t>
            </w:r>
          </w:p>
        </w:tc>
        <w:tc>
          <w:tcPr>
            <w:tcW w:w="724" w:type="pct"/>
            <w:shd w:val="clear" w:color="auto" w:fill="auto"/>
            <w:vAlign w:val="center"/>
          </w:tcPr>
          <w:p>
            <w:pPr>
              <w:pStyle w:val="39"/>
              <w:rPr>
                <w:u w:val="single"/>
              </w:rPr>
            </w:pPr>
            <w:r>
              <w:rPr>
                <w:u w:val="single"/>
              </w:rPr>
              <w:t>消毒用水</w:t>
            </w:r>
          </w:p>
        </w:tc>
        <w:tc>
          <w:tcPr>
            <w:tcW w:w="618" w:type="pct"/>
            <w:shd w:val="clear" w:color="auto" w:fill="auto"/>
            <w:noWrap/>
            <w:vAlign w:val="center"/>
          </w:tcPr>
          <w:p>
            <w:pPr>
              <w:pStyle w:val="39"/>
              <w:rPr>
                <w:rFonts w:eastAsia="等线"/>
                <w:u w:val="single"/>
              </w:rPr>
            </w:pPr>
            <w:r>
              <w:rPr>
                <w:rFonts w:hint="eastAsia"/>
                <w:u w:val="single"/>
              </w:rPr>
              <w:t>1500</w:t>
            </w:r>
          </w:p>
        </w:tc>
        <w:tc>
          <w:tcPr>
            <w:tcW w:w="850" w:type="pct"/>
            <w:shd w:val="clear" w:color="auto" w:fill="auto"/>
            <w:vAlign w:val="center"/>
          </w:tcPr>
          <w:p>
            <w:pPr>
              <w:pStyle w:val="39"/>
              <w:rPr>
                <w:rFonts w:eastAsia="等线"/>
                <w:u w:val="single"/>
              </w:rPr>
            </w:pPr>
            <w:r>
              <w:rPr>
                <w:rFonts w:hint="eastAsia"/>
                <w:u w:val="single"/>
              </w:rPr>
              <w:t>1500</w:t>
            </w:r>
          </w:p>
        </w:tc>
        <w:tc>
          <w:tcPr>
            <w:tcW w:w="694" w:type="pct"/>
            <w:shd w:val="clear" w:color="auto" w:fill="auto"/>
            <w:vAlign w:val="center"/>
          </w:tcPr>
          <w:p>
            <w:pPr>
              <w:pStyle w:val="39"/>
              <w:rPr>
                <w:rFonts w:eastAsia="等线"/>
                <w:u w:val="single"/>
              </w:rPr>
            </w:pPr>
            <w:r>
              <w:rPr>
                <w:rFonts w:hint="eastAsia"/>
                <w:u w:val="single"/>
              </w:rPr>
              <w:t>1500</w:t>
            </w:r>
          </w:p>
        </w:tc>
        <w:tc>
          <w:tcPr>
            <w:tcW w:w="557" w:type="pct"/>
            <w:shd w:val="clear" w:color="auto" w:fill="auto"/>
            <w:vAlign w:val="center"/>
          </w:tcPr>
          <w:p>
            <w:pPr>
              <w:pStyle w:val="39"/>
              <w:rPr>
                <w:rFonts w:eastAsia="等线"/>
                <w:u w:val="single"/>
              </w:rPr>
            </w:pPr>
            <w:r>
              <w:rPr>
                <w:rFonts w:eastAsia="等线"/>
                <w:u w:val="single"/>
              </w:rPr>
              <w:t>0</w:t>
            </w:r>
          </w:p>
        </w:tc>
        <w:tc>
          <w:tcPr>
            <w:tcW w:w="1295" w:type="pct"/>
            <w:shd w:val="clear" w:color="auto" w:fill="auto"/>
            <w:vAlign w:val="center"/>
          </w:tcPr>
          <w:p>
            <w:pPr>
              <w:pStyle w:val="39"/>
              <w:rPr>
                <w:u w:val="single"/>
              </w:rPr>
            </w:pPr>
            <w:r>
              <w:rPr>
                <w:u w:val="single"/>
              </w:rPr>
              <w:t>循环用水量493m</w:t>
            </w:r>
            <w:r>
              <w:rPr>
                <w:u w:val="single"/>
                <w:vertAlign w:val="superscript"/>
              </w:rPr>
              <w:t>3</w:t>
            </w:r>
            <w:r>
              <w:rPr>
                <w:u w:val="single"/>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86" w:type="pct"/>
            <w:gridSpan w:val="2"/>
            <w:shd w:val="clear" w:color="auto" w:fill="auto"/>
            <w:vAlign w:val="center"/>
          </w:tcPr>
          <w:p>
            <w:pPr>
              <w:pStyle w:val="39"/>
              <w:rPr>
                <w:u w:val="single"/>
              </w:rPr>
            </w:pPr>
            <w:r>
              <w:rPr>
                <w:u w:val="single"/>
              </w:rPr>
              <w:t>总计</w:t>
            </w:r>
          </w:p>
        </w:tc>
        <w:tc>
          <w:tcPr>
            <w:tcW w:w="618" w:type="pct"/>
            <w:shd w:val="clear" w:color="auto" w:fill="auto"/>
            <w:vAlign w:val="center"/>
          </w:tcPr>
          <w:p>
            <w:pPr>
              <w:adjustRightInd/>
              <w:snapToGrid/>
              <w:jc w:val="center"/>
              <w:rPr>
                <w:rFonts w:ascii="Times New Roman" w:hAnsi="Times New Roman" w:eastAsia="等线" w:cs="Times New Roman"/>
                <w:color w:val="000000"/>
                <w:u w:val="single"/>
              </w:rPr>
            </w:pPr>
            <w:r>
              <w:rPr>
                <w:rFonts w:ascii="Times New Roman" w:hAnsi="Times New Roman" w:eastAsia="等线" w:cs="Times New Roman"/>
                <w:color w:val="000000"/>
                <w:u w:val="single"/>
              </w:rPr>
              <w:t>49600.27</w:t>
            </w:r>
          </w:p>
        </w:tc>
        <w:tc>
          <w:tcPr>
            <w:tcW w:w="850" w:type="pct"/>
            <w:shd w:val="clear" w:color="auto" w:fill="auto"/>
            <w:vAlign w:val="center"/>
          </w:tcPr>
          <w:p>
            <w:pPr>
              <w:jc w:val="center"/>
              <w:rPr>
                <w:rFonts w:ascii="Times New Roman" w:hAnsi="Times New Roman" w:eastAsia="等线" w:cs="Times New Roman"/>
                <w:color w:val="000000"/>
                <w:u w:val="single"/>
              </w:rPr>
            </w:pPr>
            <w:r>
              <w:rPr>
                <w:rFonts w:ascii="Times New Roman" w:hAnsi="Times New Roman" w:eastAsia="等线" w:cs="Times New Roman"/>
                <w:color w:val="000000"/>
                <w:u w:val="single"/>
              </w:rPr>
              <w:t>40600.27</w:t>
            </w:r>
          </w:p>
        </w:tc>
        <w:tc>
          <w:tcPr>
            <w:tcW w:w="694" w:type="pct"/>
            <w:shd w:val="clear" w:color="auto" w:fill="auto"/>
            <w:vAlign w:val="center"/>
          </w:tcPr>
          <w:p>
            <w:pPr>
              <w:jc w:val="center"/>
              <w:rPr>
                <w:rFonts w:ascii="Times New Roman" w:hAnsi="Times New Roman" w:eastAsia="等线" w:cs="Times New Roman"/>
                <w:color w:val="000000"/>
                <w:u w:val="single"/>
              </w:rPr>
            </w:pPr>
            <w:r>
              <w:rPr>
                <w:rFonts w:ascii="Times New Roman" w:hAnsi="Times New Roman" w:eastAsia="等线" w:cs="Times New Roman"/>
                <w:color w:val="000000"/>
                <w:u w:val="single"/>
              </w:rPr>
              <w:t xml:space="preserve">15458.18 </w:t>
            </w:r>
          </w:p>
        </w:tc>
        <w:tc>
          <w:tcPr>
            <w:tcW w:w="557" w:type="pct"/>
            <w:shd w:val="clear" w:color="auto" w:fill="auto"/>
            <w:vAlign w:val="center"/>
          </w:tcPr>
          <w:p>
            <w:pPr>
              <w:adjustRightInd/>
              <w:snapToGrid/>
              <w:jc w:val="center"/>
              <w:rPr>
                <w:u w:val="single"/>
              </w:rPr>
            </w:pPr>
            <w:bookmarkStart w:id="19" w:name="OLE_LINK1"/>
            <w:r>
              <w:rPr>
                <w:rFonts w:ascii="Times New Roman" w:hAnsi="Times New Roman" w:eastAsia="等线" w:cs="Times New Roman"/>
                <w:color w:val="000000"/>
                <w:u w:val="single"/>
              </w:rPr>
              <w:t>2010.22</w:t>
            </w:r>
            <w:bookmarkEnd w:id="19"/>
          </w:p>
        </w:tc>
        <w:tc>
          <w:tcPr>
            <w:tcW w:w="1295" w:type="pct"/>
            <w:shd w:val="clear" w:color="auto" w:fill="auto"/>
            <w:vAlign w:val="center"/>
          </w:tcPr>
          <w:p>
            <w:pPr>
              <w:pStyle w:val="39"/>
              <w:rPr>
                <w:rFonts w:eastAsia="等线"/>
                <w:u w:val="single"/>
              </w:rPr>
            </w:pPr>
            <w:r>
              <w:rPr>
                <w:rFonts w:eastAsia="等线"/>
                <w:u w:val="single"/>
              </w:rPr>
              <w:t>　</w:t>
            </w:r>
          </w:p>
        </w:tc>
      </w:tr>
    </w:tbl>
    <w:p>
      <w:pPr>
        <w:pStyle w:val="3"/>
        <w:ind w:firstLine="0" w:firstLineChars="0"/>
        <w:rPr>
          <w:color w:val="000000"/>
          <w:u w:val="single"/>
        </w:rPr>
      </w:pPr>
      <w:r>
        <w:rPr>
          <w:u w:val="single"/>
        </w:rPr>
        <w:object>
          <v:shape id="_x0000_i1028" o:spt="75" type="#_x0000_t75" style="height:314.3pt;width:448.3pt;" o:ole="t" filled="f" coordsize="21600,21600">
            <v:path/>
            <v:fill on="f" focussize="0,0"/>
            <v:stroke/>
            <v:imagedata r:id="rId21" o:title=""/>
            <o:lock v:ext="edit" aspectratio="t"/>
            <w10:wrap type="none"/>
            <w10:anchorlock/>
          </v:shape>
          <o:OLEObject Type="Embed" ProgID="Visio.Drawing.15" ShapeID="_x0000_i1028" DrawAspect="Content" ObjectID="_1468075728" r:id="rId20">
            <o:LockedField>false</o:LockedField>
          </o:OLEObject>
        </w:object>
      </w:r>
    </w:p>
    <w:p>
      <w:pPr>
        <w:pStyle w:val="15"/>
        <w:rPr>
          <w:u w:val="single"/>
        </w:rPr>
      </w:pPr>
      <w:r>
        <w:rPr>
          <w:u w:val="single"/>
        </w:rPr>
        <w:t>图3.2-4  本项目水平衡图</w:t>
      </w:r>
    </w:p>
    <w:p>
      <w:pPr>
        <w:pStyle w:val="3"/>
        <w:ind w:firstLine="480"/>
        <w:rPr>
          <w:u w:val="single"/>
        </w:rPr>
      </w:pPr>
    </w:p>
    <w:p>
      <w:pPr>
        <w:pStyle w:val="3"/>
        <w:ind w:firstLine="480"/>
        <w:rPr>
          <w:rFonts w:cs="Times New Roman"/>
          <w:u w:val="single"/>
        </w:rPr>
      </w:pPr>
      <w:r>
        <w:rPr>
          <w:rFonts w:cs="Times New Roman"/>
          <w:u w:val="single"/>
        </w:rPr>
        <w:t>（2）水污染源源强分析</w:t>
      </w:r>
    </w:p>
    <w:p>
      <w:pPr>
        <w:pStyle w:val="3"/>
        <w:ind w:firstLine="480"/>
        <w:rPr>
          <w:rFonts w:cs="Times New Roman"/>
          <w:u w:val="single"/>
        </w:rPr>
      </w:pPr>
      <w:r>
        <w:rPr>
          <w:rFonts w:cs="Times New Roman"/>
          <w:u w:val="single"/>
        </w:rPr>
        <w:t>根据水平衡分析，项目废水</w:t>
      </w:r>
      <w:r>
        <w:rPr>
          <w:rFonts w:hint="eastAsia" w:cs="Times New Roman"/>
          <w:u w:val="single"/>
        </w:rPr>
        <w:t>主要为</w:t>
      </w:r>
      <w:r>
        <w:rPr>
          <w:rFonts w:cs="Times New Roman"/>
          <w:u w:val="single"/>
        </w:rPr>
        <w:t>鸡舍冲洗废水及生活污水。</w:t>
      </w:r>
    </w:p>
    <w:p>
      <w:pPr>
        <w:pStyle w:val="3"/>
        <w:ind w:firstLine="480"/>
        <w:rPr>
          <w:rFonts w:cs="Times New Roman"/>
          <w:u w:val="single"/>
        </w:rPr>
      </w:pPr>
      <w:r>
        <w:rPr>
          <w:rFonts w:cs="Times New Roman"/>
          <w:u w:val="single"/>
        </w:rPr>
        <w:t>鸡舍冲洗废水产生量为331.22</w:t>
      </w:r>
      <w:r>
        <w:rPr>
          <w:rFonts w:cs="Times New Roman" w:eastAsiaTheme="minorEastAsia"/>
          <w:u w:val="single"/>
          <w:lang w:eastAsia="ja-JP"/>
        </w:rPr>
        <w:t>m</w:t>
      </w:r>
      <w:r>
        <w:rPr>
          <w:rFonts w:cs="Times New Roman" w:eastAsiaTheme="minorEastAsia"/>
          <w:u w:val="single"/>
          <w:vertAlign w:val="superscript"/>
          <w:lang w:eastAsia="ja-JP"/>
        </w:rPr>
        <w:t>3</w:t>
      </w:r>
      <w:r>
        <w:rPr>
          <w:rFonts w:cs="Times New Roman" w:eastAsiaTheme="minorEastAsia"/>
          <w:u w:val="single"/>
          <w:lang w:eastAsia="ja-JP"/>
        </w:rPr>
        <w:t>/a</w:t>
      </w:r>
      <w:r>
        <w:rPr>
          <w:rFonts w:cs="Times New Roman"/>
          <w:u w:val="single"/>
        </w:rPr>
        <w:t>，</w:t>
      </w:r>
      <w:r>
        <w:rPr>
          <w:rFonts w:hint="eastAsia" w:cs="Times New Roman"/>
          <w:u w:val="single"/>
        </w:rPr>
        <w:t>主要</w:t>
      </w:r>
      <w:r>
        <w:rPr>
          <w:rFonts w:cs="Times New Roman"/>
          <w:u w:val="single"/>
        </w:rPr>
        <w:t>污染物为有COD</w:t>
      </w:r>
      <w:r>
        <w:rPr>
          <w:rFonts w:cs="Times New Roman"/>
          <w:u w:val="single"/>
          <w:vertAlign w:val="subscript"/>
        </w:rPr>
        <w:t>cr</w:t>
      </w:r>
      <w:r>
        <w:rPr>
          <w:rFonts w:cs="Times New Roman"/>
          <w:u w:val="single"/>
        </w:rPr>
        <w:t>、BOD</w:t>
      </w:r>
      <w:r>
        <w:rPr>
          <w:rFonts w:cs="Times New Roman"/>
          <w:u w:val="single"/>
          <w:vertAlign w:val="subscript"/>
        </w:rPr>
        <w:t>5</w:t>
      </w:r>
      <w:r>
        <w:rPr>
          <w:rFonts w:cs="Times New Roman"/>
          <w:u w:val="single"/>
        </w:rPr>
        <w:t>、NH</w:t>
      </w:r>
      <w:r>
        <w:rPr>
          <w:rFonts w:cs="Times New Roman"/>
          <w:u w:val="single"/>
          <w:vertAlign w:val="subscript"/>
        </w:rPr>
        <w:t>3</w:t>
      </w:r>
      <w:r>
        <w:rPr>
          <w:rFonts w:cs="Times New Roman"/>
          <w:u w:val="single"/>
        </w:rPr>
        <w:t>-N、SS等，由于鸡舍、孵化厂清洗前已将粪便、羽毛、饲料、粉尘等杂物清理的较干净，冲洗废水中COD等污染物浓度也不高。根据《规模化养鸡场冲洗废水三段式处理达标排放可行性试验研究》（宋薇，臧海龙，张峰、刘长青，毕学军，环境工程，2013年第31卷增刊）中的数据及类比同类型种鸡场污水水质大体为：COD</w:t>
      </w:r>
      <w:r>
        <w:rPr>
          <w:rFonts w:cs="Times New Roman"/>
          <w:u w:val="single"/>
          <w:vertAlign w:val="subscript"/>
        </w:rPr>
        <w:t>cr</w:t>
      </w:r>
      <w:r>
        <w:rPr>
          <w:rFonts w:cs="Times New Roman"/>
          <w:u w:val="single"/>
        </w:rPr>
        <w:t>：1415mg/L、BOD</w:t>
      </w:r>
      <w:r>
        <w:rPr>
          <w:rFonts w:cs="Times New Roman"/>
          <w:u w:val="single"/>
          <w:vertAlign w:val="subscript"/>
        </w:rPr>
        <w:t>5</w:t>
      </w:r>
      <w:r>
        <w:rPr>
          <w:rFonts w:cs="Times New Roman"/>
          <w:u w:val="single"/>
        </w:rPr>
        <w:t>：958mg/L、SS：967mg/L、NH</w:t>
      </w:r>
      <w:r>
        <w:rPr>
          <w:rFonts w:cs="Times New Roman"/>
          <w:u w:val="single"/>
          <w:vertAlign w:val="subscript"/>
        </w:rPr>
        <w:t>3</w:t>
      </w:r>
      <w:r>
        <w:rPr>
          <w:rFonts w:cs="Times New Roman"/>
          <w:u w:val="single"/>
        </w:rPr>
        <w:t>-N：236mg/L、TP：20mg/L。项目鸡舍冲洗废水</w:t>
      </w:r>
      <w:r>
        <w:rPr>
          <w:rFonts w:hint="eastAsia" w:cs="Times New Roman"/>
          <w:u w:val="single"/>
        </w:rPr>
        <w:t>进入废水收集池</w:t>
      </w:r>
      <w:r>
        <w:rPr>
          <w:rFonts w:cs="Times New Roman"/>
          <w:u w:val="single"/>
        </w:rPr>
        <w:t>，由</w:t>
      </w:r>
      <w:r>
        <w:rPr>
          <w:rFonts w:hint="eastAsia" w:cs="Times New Roman"/>
          <w:u w:val="single"/>
        </w:rPr>
        <w:t>抽水泵</w:t>
      </w:r>
      <w:r>
        <w:rPr>
          <w:rFonts w:cs="Times New Roman"/>
          <w:u w:val="single"/>
        </w:rPr>
        <w:t>将水</w:t>
      </w:r>
      <w:r>
        <w:rPr>
          <w:rFonts w:hint="eastAsia" w:cs="Times New Roman"/>
          <w:u w:val="single"/>
        </w:rPr>
        <w:t>抽</w:t>
      </w:r>
      <w:r>
        <w:rPr>
          <w:rFonts w:cs="Times New Roman"/>
          <w:u w:val="single"/>
        </w:rPr>
        <w:t>至</w:t>
      </w:r>
      <w:r>
        <w:rPr>
          <w:rFonts w:hint="eastAsia" w:cs="Times New Roman"/>
          <w:u w:val="single"/>
        </w:rPr>
        <w:t>化粪池</w:t>
      </w:r>
      <w:r>
        <w:rPr>
          <w:rFonts w:cs="Times New Roman"/>
          <w:u w:val="single"/>
        </w:rPr>
        <w:t>处理后</w:t>
      </w:r>
      <w:r>
        <w:rPr>
          <w:rFonts w:hint="eastAsia" w:cs="Times New Roman"/>
          <w:u w:val="single"/>
        </w:rPr>
        <w:t>用作</w:t>
      </w:r>
      <w:r>
        <w:rPr>
          <w:rFonts w:cs="Times New Roman"/>
          <w:u w:val="single"/>
        </w:rPr>
        <w:t>农肥。</w:t>
      </w:r>
    </w:p>
    <w:p>
      <w:pPr>
        <w:pStyle w:val="3"/>
        <w:ind w:firstLine="480"/>
        <w:rPr>
          <w:rFonts w:cs="Times New Roman"/>
          <w:u w:val="single"/>
        </w:rPr>
      </w:pPr>
      <w:r>
        <w:rPr>
          <w:rFonts w:cs="Times New Roman"/>
          <w:u w:val="single"/>
        </w:rPr>
        <w:t>生活污水产生量为4.6m³/d（</w:t>
      </w:r>
      <w:r>
        <w:rPr>
          <w:rFonts w:eastAsia="等线" w:cs="Times New Roman"/>
          <w:u w:val="single"/>
        </w:rPr>
        <w:t>1679</w:t>
      </w:r>
      <w:r>
        <w:rPr>
          <w:rFonts w:cs="Times New Roman"/>
          <w:u w:val="single"/>
        </w:rPr>
        <w:t>m³/a），主要污染物有COD</w:t>
      </w:r>
      <w:r>
        <w:rPr>
          <w:rFonts w:cs="Times New Roman"/>
          <w:u w:val="single"/>
          <w:vertAlign w:val="subscript"/>
        </w:rPr>
        <w:t>cr</w:t>
      </w:r>
      <w:r>
        <w:rPr>
          <w:rFonts w:cs="Times New Roman"/>
          <w:u w:val="single"/>
        </w:rPr>
        <w:t>、BOD</w:t>
      </w:r>
      <w:r>
        <w:rPr>
          <w:rFonts w:cs="Times New Roman"/>
          <w:u w:val="single"/>
          <w:vertAlign w:val="subscript"/>
        </w:rPr>
        <w:t>5</w:t>
      </w:r>
      <w:r>
        <w:rPr>
          <w:rFonts w:cs="Times New Roman"/>
          <w:u w:val="single"/>
        </w:rPr>
        <w:t>、NH</w:t>
      </w:r>
      <w:r>
        <w:rPr>
          <w:rFonts w:cs="Times New Roman"/>
          <w:u w:val="single"/>
          <w:vertAlign w:val="subscript"/>
        </w:rPr>
        <w:t>3</w:t>
      </w:r>
      <w:r>
        <w:rPr>
          <w:rFonts w:cs="Times New Roman"/>
          <w:u w:val="single"/>
        </w:rPr>
        <w:t>-N、SS等；浓度为COD</w:t>
      </w:r>
      <w:r>
        <w:rPr>
          <w:rFonts w:cs="Times New Roman"/>
          <w:u w:val="single"/>
          <w:vertAlign w:val="subscript"/>
        </w:rPr>
        <w:t>cr</w:t>
      </w:r>
      <w:r>
        <w:rPr>
          <w:rFonts w:cs="Times New Roman"/>
          <w:u w:val="single"/>
        </w:rPr>
        <w:t>：500mg/L、BOD</w:t>
      </w:r>
      <w:r>
        <w:rPr>
          <w:rFonts w:cs="Times New Roman"/>
          <w:u w:val="single"/>
          <w:vertAlign w:val="subscript"/>
        </w:rPr>
        <w:t>5</w:t>
      </w:r>
      <w:r>
        <w:rPr>
          <w:rFonts w:cs="Times New Roman"/>
          <w:u w:val="single"/>
        </w:rPr>
        <w:t>：300mg/L、SS：400mg/L、NH</w:t>
      </w:r>
      <w:r>
        <w:rPr>
          <w:rFonts w:cs="Times New Roman"/>
          <w:u w:val="single"/>
          <w:vertAlign w:val="subscript"/>
        </w:rPr>
        <w:t>3</w:t>
      </w:r>
      <w:r>
        <w:rPr>
          <w:rFonts w:cs="Times New Roman"/>
          <w:u w:val="single"/>
        </w:rPr>
        <w:t>-N：35mg/L；项目生活污水经化粪池处理后</w:t>
      </w:r>
      <w:r>
        <w:rPr>
          <w:rFonts w:hint="eastAsia" w:cs="Times New Roman"/>
          <w:u w:val="single"/>
        </w:rPr>
        <w:t>用作农肥</w:t>
      </w:r>
      <w:r>
        <w:rPr>
          <w:rFonts w:cs="Times New Roman"/>
          <w:u w:val="single"/>
        </w:rPr>
        <w:t>。</w:t>
      </w:r>
    </w:p>
    <w:p>
      <w:pPr>
        <w:pStyle w:val="3"/>
        <w:ind w:firstLine="480"/>
        <w:rPr>
          <w:rFonts w:eastAsia="MS Mincho" w:cs="Times New Roman"/>
          <w:u w:val="single"/>
          <w:lang w:eastAsia="ja-JP"/>
        </w:rPr>
      </w:pPr>
      <w:r>
        <w:rPr>
          <w:rFonts w:hint="eastAsia" w:cs="Times New Roman"/>
          <w:u w:val="single"/>
        </w:rPr>
        <w:t>综上</w:t>
      </w:r>
      <w:r>
        <w:rPr>
          <w:rFonts w:cs="Times New Roman"/>
          <w:u w:val="single"/>
        </w:rPr>
        <w:t>所述，本项目</w:t>
      </w:r>
      <w:r>
        <w:rPr>
          <w:rFonts w:hint="eastAsia" w:cs="Times New Roman"/>
          <w:u w:val="single"/>
        </w:rPr>
        <w:t>鸡舍</w:t>
      </w:r>
      <w:r>
        <w:rPr>
          <w:rFonts w:cs="Times New Roman"/>
          <w:u w:val="single"/>
        </w:rPr>
        <w:t>冲洗废水</w:t>
      </w:r>
      <w:r>
        <w:rPr>
          <w:rFonts w:hint="eastAsia" w:cs="Times New Roman"/>
          <w:u w:val="single"/>
        </w:rPr>
        <w:t>将与</w:t>
      </w:r>
      <w:r>
        <w:rPr>
          <w:rFonts w:cs="Times New Roman"/>
          <w:u w:val="single"/>
        </w:rPr>
        <w:t>生活污水一并经化粪池处理后用作农肥，</w:t>
      </w:r>
      <w:r>
        <w:rPr>
          <w:rFonts w:hint="eastAsia" w:cs="Times New Roman"/>
          <w:u w:val="single"/>
        </w:rPr>
        <w:t>废水产生</w:t>
      </w:r>
      <w:r>
        <w:rPr>
          <w:rFonts w:cs="Times New Roman"/>
          <w:u w:val="single"/>
        </w:rPr>
        <w:t>量为</w:t>
      </w:r>
      <w:r>
        <w:rPr>
          <w:rFonts w:hint="eastAsia" w:cs="Times New Roman"/>
          <w:u w:val="single"/>
        </w:rPr>
        <w:t>2</w:t>
      </w:r>
      <w:r>
        <w:rPr>
          <w:rFonts w:cs="Times New Roman"/>
          <w:u w:val="single"/>
        </w:rPr>
        <w:t>010</w:t>
      </w:r>
      <w:r>
        <w:rPr>
          <w:rFonts w:hint="eastAsia" w:cs="Times New Roman"/>
          <w:u w:val="single"/>
        </w:rPr>
        <w:t>.22</w:t>
      </w:r>
      <w:r>
        <w:rPr>
          <w:rFonts w:cs="Times New Roman"/>
          <w:u w:val="single"/>
        </w:rPr>
        <w:t>m³/a</w:t>
      </w:r>
      <w:r>
        <w:rPr>
          <w:rFonts w:cs="Times New Roman"/>
          <w:u w:val="single"/>
          <w:lang w:eastAsia="ja-JP"/>
        </w:rPr>
        <w:t>，</w:t>
      </w:r>
      <w:r>
        <w:rPr>
          <w:rFonts w:hint="eastAsia"/>
          <w:u w:val="single"/>
        </w:rPr>
        <w:t>综合水质是根据各类废水的产生量和浓度进行物理加权所得，经化粪池处理</w:t>
      </w:r>
      <w:r>
        <w:rPr>
          <w:u w:val="single"/>
        </w:rPr>
        <w:t>后用作农肥，</w:t>
      </w:r>
      <w:r>
        <w:rPr>
          <w:rFonts w:cs="Times New Roman"/>
          <w:u w:val="single"/>
          <w:lang w:eastAsia="ja-JP"/>
        </w:rPr>
        <w:t>不外排；</w:t>
      </w:r>
      <w:r>
        <w:rPr>
          <w:rFonts w:hint="eastAsia" w:cs="Times New Roman"/>
          <w:u w:val="single"/>
        </w:rPr>
        <w:t>具体</w:t>
      </w:r>
      <w:r>
        <w:rPr>
          <w:rFonts w:cs="Times New Roman"/>
          <w:u w:val="single"/>
          <w:lang w:eastAsia="ja-JP"/>
        </w:rPr>
        <w:t>项目废水产生及排放情况详见表3.2-4。</w:t>
      </w:r>
    </w:p>
    <w:p>
      <w:pPr>
        <w:pStyle w:val="15"/>
        <w:rPr>
          <w:rFonts w:cs="Times New Roman"/>
          <w:u w:val="single"/>
        </w:rPr>
      </w:pPr>
      <w:r>
        <w:rPr>
          <w:rFonts w:cs="Times New Roman"/>
          <w:u w:val="single"/>
          <w:lang w:eastAsia="ja-JP"/>
        </w:rPr>
        <w:t xml:space="preserve">表3.2-4  </w:t>
      </w:r>
      <w:r>
        <w:rPr>
          <w:rFonts w:cs="Times New Roman"/>
          <w:u w:val="single"/>
        </w:rPr>
        <w:t>污水污染源源强核算结果一览表</w:t>
      </w:r>
    </w:p>
    <w:tbl>
      <w:tblPr>
        <w:tblStyle w:val="2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9"/>
        <w:gridCol w:w="980"/>
        <w:gridCol w:w="1125"/>
        <w:gridCol w:w="934"/>
        <w:gridCol w:w="684"/>
        <w:gridCol w:w="811"/>
        <w:gridCol w:w="1339"/>
        <w:gridCol w:w="1559"/>
        <w:gridCol w:w="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90" w:type="pct"/>
            <w:vMerge w:val="restart"/>
            <w:vAlign w:val="center"/>
          </w:tcPr>
          <w:p>
            <w:pPr>
              <w:pStyle w:val="39"/>
              <w:rPr>
                <w:u w:val="single"/>
              </w:rPr>
            </w:pPr>
            <w:r>
              <w:rPr>
                <w:u w:val="single"/>
              </w:rPr>
              <w:t>污染源</w:t>
            </w:r>
          </w:p>
        </w:tc>
        <w:tc>
          <w:tcPr>
            <w:tcW w:w="534" w:type="pct"/>
            <w:vMerge w:val="restart"/>
            <w:vAlign w:val="center"/>
          </w:tcPr>
          <w:p>
            <w:pPr>
              <w:pStyle w:val="39"/>
              <w:rPr>
                <w:u w:val="single"/>
              </w:rPr>
            </w:pPr>
            <w:r>
              <w:rPr>
                <w:u w:val="single"/>
              </w:rPr>
              <w:t>污染物</w:t>
            </w:r>
          </w:p>
        </w:tc>
        <w:tc>
          <w:tcPr>
            <w:tcW w:w="1122" w:type="pct"/>
            <w:gridSpan w:val="2"/>
            <w:vAlign w:val="center"/>
          </w:tcPr>
          <w:p>
            <w:pPr>
              <w:pStyle w:val="39"/>
              <w:rPr>
                <w:u w:val="single"/>
              </w:rPr>
            </w:pPr>
            <w:r>
              <w:rPr>
                <w:u w:val="single"/>
              </w:rPr>
              <w:t>产生情况</w:t>
            </w:r>
          </w:p>
        </w:tc>
        <w:tc>
          <w:tcPr>
            <w:tcW w:w="373" w:type="pct"/>
            <w:vMerge w:val="restart"/>
            <w:vAlign w:val="center"/>
          </w:tcPr>
          <w:p>
            <w:pPr>
              <w:pStyle w:val="39"/>
              <w:rPr>
                <w:u w:val="single"/>
              </w:rPr>
            </w:pPr>
            <w:r>
              <w:rPr>
                <w:u w:val="single"/>
              </w:rPr>
              <w:t>治理措施</w:t>
            </w:r>
          </w:p>
        </w:tc>
        <w:tc>
          <w:tcPr>
            <w:tcW w:w="442" w:type="pct"/>
            <w:vMerge w:val="restart"/>
            <w:vAlign w:val="center"/>
          </w:tcPr>
          <w:p>
            <w:pPr>
              <w:pStyle w:val="39"/>
              <w:rPr>
                <w:u w:val="single"/>
              </w:rPr>
            </w:pPr>
            <w:r>
              <w:rPr>
                <w:u w:val="single"/>
              </w:rPr>
              <w:t>治理效率</w:t>
            </w:r>
          </w:p>
          <w:p>
            <w:pPr>
              <w:pStyle w:val="39"/>
              <w:rPr>
                <w:u w:val="single"/>
              </w:rPr>
            </w:pPr>
            <w:r>
              <w:rPr>
                <w:u w:val="single"/>
              </w:rPr>
              <w:t>（%）</w:t>
            </w:r>
          </w:p>
        </w:tc>
        <w:tc>
          <w:tcPr>
            <w:tcW w:w="1580" w:type="pct"/>
            <w:gridSpan w:val="2"/>
            <w:vAlign w:val="center"/>
          </w:tcPr>
          <w:p>
            <w:pPr>
              <w:pStyle w:val="39"/>
              <w:rPr>
                <w:u w:val="single"/>
              </w:rPr>
            </w:pPr>
            <w:r>
              <w:rPr>
                <w:rFonts w:hint="eastAsia"/>
                <w:u w:val="single"/>
              </w:rPr>
              <w:t>化粪池处理后</w:t>
            </w:r>
            <w:r>
              <w:rPr>
                <w:u w:val="single"/>
              </w:rPr>
              <w:t>的情况</w:t>
            </w:r>
          </w:p>
        </w:tc>
        <w:tc>
          <w:tcPr>
            <w:tcW w:w="460" w:type="pct"/>
            <w:vMerge w:val="restart"/>
            <w:vAlign w:val="center"/>
          </w:tcPr>
          <w:p>
            <w:pPr>
              <w:pStyle w:val="39"/>
              <w:rPr>
                <w:u w:val="single"/>
              </w:rPr>
            </w:pPr>
            <w:r>
              <w:rPr>
                <w:rFonts w:hint="eastAsia"/>
                <w:u w:val="single"/>
              </w:rPr>
              <w:t>排放</w:t>
            </w:r>
            <w:r>
              <w:rPr>
                <w:u w:val="single"/>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90" w:type="pct"/>
            <w:vMerge w:val="continue"/>
            <w:vAlign w:val="center"/>
          </w:tcPr>
          <w:p>
            <w:pPr>
              <w:pStyle w:val="39"/>
              <w:rPr>
                <w:u w:val="single"/>
              </w:rPr>
            </w:pPr>
          </w:p>
        </w:tc>
        <w:tc>
          <w:tcPr>
            <w:tcW w:w="534" w:type="pct"/>
            <w:vMerge w:val="continue"/>
            <w:vAlign w:val="center"/>
          </w:tcPr>
          <w:p>
            <w:pPr>
              <w:pStyle w:val="39"/>
              <w:rPr>
                <w:u w:val="single"/>
              </w:rPr>
            </w:pPr>
          </w:p>
        </w:tc>
        <w:tc>
          <w:tcPr>
            <w:tcW w:w="613" w:type="pct"/>
            <w:vAlign w:val="center"/>
          </w:tcPr>
          <w:p>
            <w:pPr>
              <w:pStyle w:val="39"/>
              <w:rPr>
                <w:u w:val="single"/>
              </w:rPr>
            </w:pPr>
            <w:r>
              <w:rPr>
                <w:u w:val="single"/>
              </w:rPr>
              <w:t>产生浓度</w:t>
            </w:r>
          </w:p>
          <w:p>
            <w:pPr>
              <w:pStyle w:val="39"/>
              <w:rPr>
                <w:u w:val="single"/>
              </w:rPr>
            </w:pPr>
            <w:r>
              <w:rPr>
                <w:u w:val="single"/>
              </w:rPr>
              <w:t>mg/L</w:t>
            </w:r>
          </w:p>
        </w:tc>
        <w:tc>
          <w:tcPr>
            <w:tcW w:w="509" w:type="pct"/>
            <w:vAlign w:val="center"/>
          </w:tcPr>
          <w:p>
            <w:pPr>
              <w:pStyle w:val="39"/>
              <w:rPr>
                <w:u w:val="single"/>
              </w:rPr>
            </w:pPr>
            <w:r>
              <w:rPr>
                <w:u w:val="single"/>
              </w:rPr>
              <w:t>产生量</w:t>
            </w:r>
          </w:p>
          <w:p>
            <w:pPr>
              <w:pStyle w:val="39"/>
              <w:rPr>
                <w:u w:val="single"/>
              </w:rPr>
            </w:pPr>
            <w:r>
              <w:rPr>
                <w:u w:val="single"/>
              </w:rPr>
              <w:t>t/a</w:t>
            </w:r>
          </w:p>
        </w:tc>
        <w:tc>
          <w:tcPr>
            <w:tcW w:w="373" w:type="pct"/>
            <w:vMerge w:val="continue"/>
            <w:vAlign w:val="center"/>
          </w:tcPr>
          <w:p>
            <w:pPr>
              <w:pStyle w:val="39"/>
              <w:rPr>
                <w:u w:val="single"/>
              </w:rPr>
            </w:pPr>
          </w:p>
        </w:tc>
        <w:tc>
          <w:tcPr>
            <w:tcW w:w="442" w:type="pct"/>
            <w:vMerge w:val="continue"/>
            <w:vAlign w:val="center"/>
          </w:tcPr>
          <w:p>
            <w:pPr>
              <w:pStyle w:val="39"/>
              <w:rPr>
                <w:u w:val="single"/>
              </w:rPr>
            </w:pPr>
          </w:p>
        </w:tc>
        <w:tc>
          <w:tcPr>
            <w:tcW w:w="730" w:type="pct"/>
            <w:vAlign w:val="center"/>
          </w:tcPr>
          <w:p>
            <w:pPr>
              <w:pStyle w:val="39"/>
              <w:rPr>
                <w:u w:val="single"/>
              </w:rPr>
            </w:pPr>
            <w:r>
              <w:rPr>
                <w:rFonts w:hint="eastAsia"/>
                <w:u w:val="single"/>
              </w:rPr>
              <w:t>处理</w:t>
            </w:r>
            <w:r>
              <w:rPr>
                <w:u w:val="single"/>
              </w:rPr>
              <w:t>后浓度</w:t>
            </w:r>
          </w:p>
          <w:p>
            <w:pPr>
              <w:pStyle w:val="39"/>
              <w:rPr>
                <w:u w:val="single"/>
              </w:rPr>
            </w:pPr>
            <w:r>
              <w:rPr>
                <w:u w:val="single"/>
              </w:rPr>
              <w:t>mg/L</w:t>
            </w:r>
          </w:p>
        </w:tc>
        <w:tc>
          <w:tcPr>
            <w:tcW w:w="850" w:type="pct"/>
            <w:vAlign w:val="center"/>
          </w:tcPr>
          <w:p>
            <w:pPr>
              <w:pStyle w:val="39"/>
              <w:rPr>
                <w:u w:val="single"/>
              </w:rPr>
            </w:pPr>
            <w:r>
              <w:rPr>
                <w:rFonts w:hint="eastAsia"/>
                <w:u w:val="single"/>
              </w:rPr>
              <w:t>处理</w:t>
            </w:r>
            <w:r>
              <w:rPr>
                <w:u w:val="single"/>
              </w:rPr>
              <w:t>后</w:t>
            </w:r>
            <w:r>
              <w:rPr>
                <w:rFonts w:hint="eastAsia"/>
                <w:u w:val="single"/>
              </w:rPr>
              <w:t>产生量</w:t>
            </w:r>
          </w:p>
          <w:p>
            <w:pPr>
              <w:pStyle w:val="39"/>
              <w:rPr>
                <w:u w:val="single"/>
              </w:rPr>
            </w:pPr>
            <w:r>
              <w:rPr>
                <w:u w:val="single"/>
              </w:rPr>
              <w:t>t/a</w:t>
            </w:r>
          </w:p>
        </w:tc>
        <w:tc>
          <w:tcPr>
            <w:tcW w:w="460" w:type="pct"/>
            <w:vMerge w:val="continue"/>
            <w:vAlign w:val="center"/>
          </w:tcPr>
          <w:p>
            <w:pPr>
              <w:pStyle w:val="39"/>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90" w:type="pct"/>
            <w:vMerge w:val="restart"/>
            <w:vAlign w:val="center"/>
          </w:tcPr>
          <w:p>
            <w:pPr>
              <w:pStyle w:val="39"/>
              <w:rPr>
                <w:u w:val="single"/>
              </w:rPr>
            </w:pPr>
            <w:r>
              <w:rPr>
                <w:rFonts w:hint="eastAsia"/>
                <w:u w:val="single"/>
              </w:rPr>
              <w:t>综合</w:t>
            </w:r>
          </w:p>
          <w:p>
            <w:pPr>
              <w:pStyle w:val="39"/>
              <w:rPr>
                <w:u w:val="single"/>
              </w:rPr>
            </w:pPr>
            <w:r>
              <w:rPr>
                <w:u w:val="single"/>
              </w:rPr>
              <w:t>废水2010.22</w:t>
            </w:r>
          </w:p>
          <w:p>
            <w:pPr>
              <w:pStyle w:val="39"/>
              <w:rPr>
                <w:u w:val="single"/>
              </w:rPr>
            </w:pPr>
            <w:r>
              <w:rPr>
                <w:rFonts w:eastAsia="等线"/>
                <w:u w:val="single"/>
              </w:rPr>
              <w:t>m</w:t>
            </w:r>
            <w:r>
              <w:rPr>
                <w:rFonts w:eastAsia="等线"/>
                <w:u w:val="single"/>
                <w:vertAlign w:val="superscript"/>
              </w:rPr>
              <w:t>3</w:t>
            </w:r>
            <w:r>
              <w:rPr>
                <w:rFonts w:eastAsia="等线"/>
                <w:u w:val="single"/>
              </w:rPr>
              <w:t>/a</w:t>
            </w:r>
          </w:p>
        </w:tc>
        <w:tc>
          <w:tcPr>
            <w:tcW w:w="534" w:type="pct"/>
            <w:vAlign w:val="center"/>
          </w:tcPr>
          <w:p>
            <w:pPr>
              <w:pStyle w:val="39"/>
              <w:rPr>
                <w:u w:val="single"/>
              </w:rPr>
            </w:pPr>
            <w:r>
              <w:rPr>
                <w:u w:val="single"/>
              </w:rPr>
              <w:t>COD</w:t>
            </w:r>
            <w:r>
              <w:rPr>
                <w:u w:val="single"/>
                <w:vertAlign w:val="subscript"/>
              </w:rPr>
              <w:t>cr</w:t>
            </w:r>
          </w:p>
        </w:tc>
        <w:tc>
          <w:tcPr>
            <w:tcW w:w="613" w:type="pct"/>
            <w:vAlign w:val="center"/>
          </w:tcPr>
          <w:p>
            <w:pPr>
              <w:pStyle w:val="39"/>
              <w:rPr>
                <w:rFonts w:eastAsia="等线"/>
                <w:color w:val="000000"/>
                <w:u w:val="single"/>
              </w:rPr>
            </w:pPr>
            <w:r>
              <w:rPr>
                <w:rFonts w:eastAsia="等线"/>
                <w:color w:val="000000"/>
                <w:u w:val="single"/>
              </w:rPr>
              <w:t>651</w:t>
            </w:r>
          </w:p>
        </w:tc>
        <w:tc>
          <w:tcPr>
            <w:tcW w:w="509" w:type="pct"/>
            <w:vAlign w:val="center"/>
          </w:tcPr>
          <w:p>
            <w:pPr>
              <w:pStyle w:val="39"/>
              <w:rPr>
                <w:rFonts w:eastAsia="等线"/>
                <w:color w:val="000000"/>
                <w:u w:val="single"/>
              </w:rPr>
            </w:pPr>
            <w:r>
              <w:rPr>
                <w:rFonts w:eastAsia="等线"/>
                <w:color w:val="000000"/>
                <w:u w:val="single"/>
              </w:rPr>
              <w:t>1.31</w:t>
            </w:r>
          </w:p>
        </w:tc>
        <w:tc>
          <w:tcPr>
            <w:tcW w:w="373" w:type="pct"/>
            <w:vMerge w:val="restart"/>
            <w:vAlign w:val="center"/>
          </w:tcPr>
          <w:p>
            <w:pPr>
              <w:pStyle w:val="39"/>
              <w:rPr>
                <w:u w:val="single"/>
              </w:rPr>
            </w:pPr>
            <w:r>
              <w:rPr>
                <w:rFonts w:hint="eastAsia"/>
                <w:u w:val="single"/>
              </w:rPr>
              <w:t>三级化粪池处理</w:t>
            </w:r>
          </w:p>
        </w:tc>
        <w:tc>
          <w:tcPr>
            <w:tcW w:w="442" w:type="pct"/>
            <w:vAlign w:val="center"/>
          </w:tcPr>
          <w:p>
            <w:pPr>
              <w:pStyle w:val="39"/>
              <w:rPr>
                <w:rFonts w:eastAsia="等线"/>
                <w:kern w:val="0"/>
                <w:u w:val="single"/>
              </w:rPr>
            </w:pPr>
            <w:r>
              <w:rPr>
                <w:rFonts w:eastAsia="等线"/>
                <w:u w:val="single"/>
              </w:rPr>
              <w:t>15</w:t>
            </w:r>
          </w:p>
        </w:tc>
        <w:tc>
          <w:tcPr>
            <w:tcW w:w="730" w:type="pct"/>
            <w:vAlign w:val="center"/>
          </w:tcPr>
          <w:p>
            <w:pPr>
              <w:adjustRightInd/>
              <w:snapToGrid/>
              <w:jc w:val="center"/>
              <w:rPr>
                <w:rFonts w:ascii="Times New Roman" w:hAnsi="Times New Roman" w:eastAsia="等线" w:cs="Times New Roman"/>
                <w:color w:val="000000"/>
                <w:u w:val="single"/>
              </w:rPr>
            </w:pPr>
            <w:r>
              <w:rPr>
                <w:rFonts w:ascii="Times New Roman" w:hAnsi="Times New Roman" w:eastAsia="等线" w:cs="Times New Roman"/>
                <w:color w:val="000000"/>
                <w:u w:val="single"/>
              </w:rPr>
              <w:t>553</w:t>
            </w:r>
          </w:p>
        </w:tc>
        <w:tc>
          <w:tcPr>
            <w:tcW w:w="850" w:type="pct"/>
            <w:vAlign w:val="center"/>
          </w:tcPr>
          <w:p>
            <w:pPr>
              <w:adjustRightInd/>
              <w:snapToGrid/>
              <w:jc w:val="center"/>
              <w:rPr>
                <w:rFonts w:ascii="Times New Roman" w:hAnsi="Times New Roman" w:eastAsia="等线" w:cs="Times New Roman"/>
                <w:color w:val="000000"/>
                <w:u w:val="single"/>
              </w:rPr>
            </w:pPr>
            <w:r>
              <w:rPr>
                <w:rFonts w:ascii="Times New Roman" w:hAnsi="Times New Roman" w:eastAsia="等线" w:cs="Times New Roman"/>
                <w:color w:val="000000"/>
                <w:u w:val="single"/>
              </w:rPr>
              <w:t>1.11</w:t>
            </w:r>
          </w:p>
        </w:tc>
        <w:tc>
          <w:tcPr>
            <w:tcW w:w="460" w:type="pct"/>
            <w:vMerge w:val="restart"/>
            <w:vAlign w:val="center"/>
          </w:tcPr>
          <w:p>
            <w:pPr>
              <w:pStyle w:val="39"/>
              <w:rPr>
                <w:u w:val="single"/>
              </w:rPr>
            </w:pPr>
            <w:r>
              <w:rPr>
                <w:rFonts w:hint="eastAsia"/>
                <w:u w:val="single"/>
              </w:rPr>
              <w:t>用作</w:t>
            </w:r>
            <w:r>
              <w:rPr>
                <w:u w:val="single"/>
              </w:rPr>
              <w:t>农肥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90" w:type="pct"/>
            <w:vMerge w:val="continue"/>
            <w:vAlign w:val="center"/>
          </w:tcPr>
          <w:p>
            <w:pPr>
              <w:pStyle w:val="39"/>
              <w:rPr>
                <w:u w:val="single"/>
              </w:rPr>
            </w:pPr>
          </w:p>
        </w:tc>
        <w:tc>
          <w:tcPr>
            <w:tcW w:w="534" w:type="pct"/>
            <w:vAlign w:val="center"/>
          </w:tcPr>
          <w:p>
            <w:pPr>
              <w:pStyle w:val="39"/>
              <w:rPr>
                <w:u w:val="single"/>
              </w:rPr>
            </w:pPr>
            <w:r>
              <w:rPr>
                <w:u w:val="single"/>
              </w:rPr>
              <w:t>BOD</w:t>
            </w:r>
            <w:r>
              <w:rPr>
                <w:u w:val="single"/>
                <w:vertAlign w:val="subscript"/>
              </w:rPr>
              <w:t>5</w:t>
            </w:r>
          </w:p>
        </w:tc>
        <w:tc>
          <w:tcPr>
            <w:tcW w:w="613" w:type="pct"/>
            <w:vAlign w:val="center"/>
          </w:tcPr>
          <w:p>
            <w:pPr>
              <w:pStyle w:val="39"/>
              <w:rPr>
                <w:rFonts w:eastAsia="等线"/>
                <w:color w:val="000000"/>
                <w:u w:val="single"/>
              </w:rPr>
            </w:pPr>
            <w:r>
              <w:rPr>
                <w:rFonts w:eastAsia="等线"/>
                <w:color w:val="000000"/>
                <w:u w:val="single"/>
              </w:rPr>
              <w:t>408</w:t>
            </w:r>
          </w:p>
        </w:tc>
        <w:tc>
          <w:tcPr>
            <w:tcW w:w="509" w:type="pct"/>
            <w:vAlign w:val="center"/>
          </w:tcPr>
          <w:p>
            <w:pPr>
              <w:pStyle w:val="39"/>
              <w:rPr>
                <w:rFonts w:eastAsia="等线"/>
                <w:color w:val="000000"/>
                <w:u w:val="single"/>
              </w:rPr>
            </w:pPr>
            <w:r>
              <w:rPr>
                <w:rFonts w:eastAsia="等线"/>
                <w:color w:val="000000"/>
                <w:u w:val="single"/>
              </w:rPr>
              <w:t>0.82</w:t>
            </w:r>
          </w:p>
        </w:tc>
        <w:tc>
          <w:tcPr>
            <w:tcW w:w="373" w:type="pct"/>
            <w:vMerge w:val="continue"/>
            <w:vAlign w:val="center"/>
          </w:tcPr>
          <w:p>
            <w:pPr>
              <w:pStyle w:val="39"/>
              <w:rPr>
                <w:u w:val="single"/>
              </w:rPr>
            </w:pPr>
          </w:p>
        </w:tc>
        <w:tc>
          <w:tcPr>
            <w:tcW w:w="442" w:type="pct"/>
            <w:vAlign w:val="center"/>
          </w:tcPr>
          <w:p>
            <w:pPr>
              <w:pStyle w:val="39"/>
              <w:rPr>
                <w:rFonts w:eastAsia="等线"/>
                <w:u w:val="single"/>
              </w:rPr>
            </w:pPr>
            <w:r>
              <w:rPr>
                <w:rFonts w:eastAsia="等线"/>
                <w:u w:val="single"/>
              </w:rPr>
              <w:t>9</w:t>
            </w:r>
          </w:p>
        </w:tc>
        <w:tc>
          <w:tcPr>
            <w:tcW w:w="730" w:type="pct"/>
            <w:vAlign w:val="center"/>
          </w:tcPr>
          <w:p>
            <w:pPr>
              <w:jc w:val="center"/>
              <w:rPr>
                <w:rFonts w:ascii="Times New Roman" w:hAnsi="Times New Roman" w:eastAsia="等线" w:cs="Times New Roman"/>
                <w:color w:val="000000"/>
                <w:u w:val="single"/>
              </w:rPr>
            </w:pPr>
            <w:r>
              <w:rPr>
                <w:rFonts w:ascii="Times New Roman" w:hAnsi="Times New Roman" w:eastAsia="等线" w:cs="Times New Roman"/>
                <w:color w:val="000000"/>
                <w:u w:val="single"/>
              </w:rPr>
              <w:t>372</w:t>
            </w:r>
          </w:p>
        </w:tc>
        <w:tc>
          <w:tcPr>
            <w:tcW w:w="850" w:type="pct"/>
            <w:vAlign w:val="center"/>
          </w:tcPr>
          <w:p>
            <w:pPr>
              <w:jc w:val="center"/>
              <w:rPr>
                <w:rFonts w:ascii="Times New Roman" w:hAnsi="Times New Roman" w:eastAsia="等线" w:cs="Times New Roman"/>
                <w:color w:val="000000"/>
                <w:u w:val="single"/>
              </w:rPr>
            </w:pPr>
            <w:r>
              <w:rPr>
                <w:rFonts w:ascii="Times New Roman" w:hAnsi="Times New Roman" w:eastAsia="等线" w:cs="Times New Roman"/>
                <w:color w:val="000000"/>
                <w:u w:val="single"/>
              </w:rPr>
              <w:t>0.75</w:t>
            </w:r>
          </w:p>
        </w:tc>
        <w:tc>
          <w:tcPr>
            <w:tcW w:w="460" w:type="pct"/>
            <w:vMerge w:val="continue"/>
            <w:vAlign w:val="center"/>
          </w:tcPr>
          <w:p>
            <w:pPr>
              <w:pStyle w:val="39"/>
              <w:rPr>
                <w:rFonts w:eastAsia="等线"/>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90" w:type="pct"/>
            <w:vMerge w:val="continue"/>
            <w:vAlign w:val="center"/>
          </w:tcPr>
          <w:p>
            <w:pPr>
              <w:pStyle w:val="39"/>
              <w:rPr>
                <w:u w:val="single"/>
              </w:rPr>
            </w:pPr>
          </w:p>
        </w:tc>
        <w:tc>
          <w:tcPr>
            <w:tcW w:w="534" w:type="pct"/>
            <w:vAlign w:val="center"/>
          </w:tcPr>
          <w:p>
            <w:pPr>
              <w:pStyle w:val="39"/>
              <w:rPr>
                <w:u w:val="single"/>
              </w:rPr>
            </w:pPr>
            <w:r>
              <w:rPr>
                <w:u w:val="single"/>
              </w:rPr>
              <w:t>NH</w:t>
            </w:r>
            <w:r>
              <w:rPr>
                <w:u w:val="single"/>
                <w:vertAlign w:val="subscript"/>
              </w:rPr>
              <w:t>3</w:t>
            </w:r>
            <w:r>
              <w:rPr>
                <w:u w:val="single"/>
              </w:rPr>
              <w:t>-N</w:t>
            </w:r>
          </w:p>
        </w:tc>
        <w:tc>
          <w:tcPr>
            <w:tcW w:w="613" w:type="pct"/>
            <w:vAlign w:val="center"/>
          </w:tcPr>
          <w:p>
            <w:pPr>
              <w:pStyle w:val="39"/>
              <w:rPr>
                <w:rFonts w:eastAsia="等线"/>
                <w:color w:val="000000"/>
                <w:u w:val="single"/>
              </w:rPr>
            </w:pPr>
            <w:r>
              <w:rPr>
                <w:rFonts w:eastAsia="等线"/>
                <w:color w:val="000000"/>
                <w:u w:val="single"/>
              </w:rPr>
              <w:t>68</w:t>
            </w:r>
          </w:p>
        </w:tc>
        <w:tc>
          <w:tcPr>
            <w:tcW w:w="509" w:type="pct"/>
            <w:vAlign w:val="center"/>
          </w:tcPr>
          <w:p>
            <w:pPr>
              <w:pStyle w:val="39"/>
              <w:rPr>
                <w:rFonts w:eastAsia="等线"/>
                <w:color w:val="000000"/>
                <w:u w:val="single"/>
              </w:rPr>
            </w:pPr>
            <w:r>
              <w:rPr>
                <w:rFonts w:eastAsia="等线"/>
                <w:color w:val="000000"/>
                <w:u w:val="single"/>
              </w:rPr>
              <w:t>0.14</w:t>
            </w:r>
          </w:p>
        </w:tc>
        <w:tc>
          <w:tcPr>
            <w:tcW w:w="373" w:type="pct"/>
            <w:vMerge w:val="continue"/>
            <w:vAlign w:val="center"/>
          </w:tcPr>
          <w:p>
            <w:pPr>
              <w:pStyle w:val="39"/>
              <w:rPr>
                <w:u w:val="single"/>
              </w:rPr>
            </w:pPr>
          </w:p>
        </w:tc>
        <w:tc>
          <w:tcPr>
            <w:tcW w:w="442" w:type="pct"/>
            <w:vAlign w:val="center"/>
          </w:tcPr>
          <w:p>
            <w:pPr>
              <w:pStyle w:val="39"/>
              <w:rPr>
                <w:rFonts w:eastAsia="等线"/>
                <w:u w:val="single"/>
              </w:rPr>
            </w:pPr>
            <w:r>
              <w:rPr>
                <w:rFonts w:eastAsia="等线"/>
                <w:u w:val="single"/>
              </w:rPr>
              <w:t>3</w:t>
            </w:r>
          </w:p>
        </w:tc>
        <w:tc>
          <w:tcPr>
            <w:tcW w:w="730" w:type="pct"/>
            <w:vAlign w:val="center"/>
          </w:tcPr>
          <w:p>
            <w:pPr>
              <w:jc w:val="center"/>
              <w:rPr>
                <w:rFonts w:ascii="Times New Roman" w:hAnsi="Times New Roman" w:eastAsia="等线" w:cs="Times New Roman"/>
                <w:color w:val="000000"/>
                <w:u w:val="single"/>
              </w:rPr>
            </w:pPr>
            <w:r>
              <w:rPr>
                <w:rFonts w:ascii="Times New Roman" w:hAnsi="Times New Roman" w:eastAsia="等线" w:cs="Times New Roman"/>
                <w:color w:val="000000"/>
                <w:u w:val="single"/>
              </w:rPr>
              <w:t>66</w:t>
            </w:r>
          </w:p>
        </w:tc>
        <w:tc>
          <w:tcPr>
            <w:tcW w:w="850" w:type="pct"/>
            <w:vAlign w:val="center"/>
          </w:tcPr>
          <w:p>
            <w:pPr>
              <w:jc w:val="center"/>
              <w:rPr>
                <w:rFonts w:ascii="Times New Roman" w:hAnsi="Times New Roman" w:eastAsia="等线" w:cs="Times New Roman"/>
                <w:color w:val="000000"/>
                <w:u w:val="single"/>
              </w:rPr>
            </w:pPr>
            <w:r>
              <w:rPr>
                <w:rFonts w:ascii="Times New Roman" w:hAnsi="Times New Roman" w:eastAsia="等线" w:cs="Times New Roman"/>
                <w:color w:val="000000"/>
                <w:u w:val="single"/>
              </w:rPr>
              <w:t>0.13</w:t>
            </w:r>
          </w:p>
        </w:tc>
        <w:tc>
          <w:tcPr>
            <w:tcW w:w="460" w:type="pct"/>
            <w:vMerge w:val="continue"/>
            <w:vAlign w:val="center"/>
          </w:tcPr>
          <w:p>
            <w:pPr>
              <w:pStyle w:val="39"/>
              <w:rPr>
                <w:rFonts w:eastAsia="等线"/>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90" w:type="pct"/>
            <w:vMerge w:val="continue"/>
            <w:vAlign w:val="center"/>
          </w:tcPr>
          <w:p>
            <w:pPr>
              <w:pStyle w:val="39"/>
              <w:rPr>
                <w:u w:val="single"/>
              </w:rPr>
            </w:pPr>
          </w:p>
        </w:tc>
        <w:tc>
          <w:tcPr>
            <w:tcW w:w="534" w:type="pct"/>
            <w:vAlign w:val="center"/>
          </w:tcPr>
          <w:p>
            <w:pPr>
              <w:pStyle w:val="39"/>
              <w:rPr>
                <w:u w:val="single"/>
              </w:rPr>
            </w:pPr>
            <w:r>
              <w:rPr>
                <w:u w:val="single"/>
              </w:rPr>
              <w:t>SS</w:t>
            </w:r>
          </w:p>
        </w:tc>
        <w:tc>
          <w:tcPr>
            <w:tcW w:w="613" w:type="pct"/>
            <w:vAlign w:val="center"/>
          </w:tcPr>
          <w:p>
            <w:pPr>
              <w:pStyle w:val="39"/>
              <w:rPr>
                <w:rFonts w:eastAsia="等线"/>
                <w:color w:val="000000"/>
                <w:u w:val="single"/>
              </w:rPr>
            </w:pPr>
            <w:r>
              <w:rPr>
                <w:rFonts w:eastAsia="等线"/>
                <w:color w:val="000000"/>
                <w:u w:val="single"/>
              </w:rPr>
              <w:t>493</w:t>
            </w:r>
          </w:p>
        </w:tc>
        <w:tc>
          <w:tcPr>
            <w:tcW w:w="509" w:type="pct"/>
            <w:vAlign w:val="center"/>
          </w:tcPr>
          <w:p>
            <w:pPr>
              <w:pStyle w:val="39"/>
              <w:rPr>
                <w:rFonts w:eastAsia="等线"/>
                <w:color w:val="000000"/>
                <w:u w:val="single"/>
              </w:rPr>
            </w:pPr>
            <w:r>
              <w:rPr>
                <w:rFonts w:eastAsia="等线"/>
                <w:color w:val="000000"/>
                <w:u w:val="single"/>
              </w:rPr>
              <w:t>0.99</w:t>
            </w:r>
          </w:p>
        </w:tc>
        <w:tc>
          <w:tcPr>
            <w:tcW w:w="373" w:type="pct"/>
            <w:vMerge w:val="continue"/>
            <w:vAlign w:val="center"/>
          </w:tcPr>
          <w:p>
            <w:pPr>
              <w:pStyle w:val="39"/>
              <w:rPr>
                <w:u w:val="single"/>
              </w:rPr>
            </w:pPr>
          </w:p>
        </w:tc>
        <w:tc>
          <w:tcPr>
            <w:tcW w:w="442" w:type="pct"/>
            <w:vAlign w:val="center"/>
          </w:tcPr>
          <w:p>
            <w:pPr>
              <w:pStyle w:val="39"/>
              <w:rPr>
                <w:rFonts w:eastAsia="等线"/>
                <w:u w:val="single"/>
              </w:rPr>
            </w:pPr>
            <w:r>
              <w:rPr>
                <w:rFonts w:eastAsia="等线"/>
                <w:u w:val="single"/>
              </w:rPr>
              <w:t>30</w:t>
            </w:r>
          </w:p>
        </w:tc>
        <w:tc>
          <w:tcPr>
            <w:tcW w:w="730" w:type="pct"/>
            <w:vAlign w:val="center"/>
          </w:tcPr>
          <w:p>
            <w:pPr>
              <w:jc w:val="center"/>
              <w:rPr>
                <w:rFonts w:ascii="Times New Roman" w:hAnsi="Times New Roman" w:eastAsia="等线" w:cs="Times New Roman"/>
                <w:color w:val="000000"/>
                <w:u w:val="single"/>
              </w:rPr>
            </w:pPr>
            <w:r>
              <w:rPr>
                <w:rFonts w:ascii="Times New Roman" w:hAnsi="Times New Roman" w:eastAsia="等线" w:cs="Times New Roman"/>
                <w:color w:val="000000"/>
                <w:u w:val="single"/>
              </w:rPr>
              <w:t>345</w:t>
            </w:r>
          </w:p>
        </w:tc>
        <w:tc>
          <w:tcPr>
            <w:tcW w:w="850" w:type="pct"/>
            <w:vAlign w:val="center"/>
          </w:tcPr>
          <w:p>
            <w:pPr>
              <w:jc w:val="center"/>
              <w:rPr>
                <w:rFonts w:ascii="Times New Roman" w:hAnsi="Times New Roman" w:eastAsia="等线" w:cs="Times New Roman"/>
                <w:color w:val="000000"/>
                <w:u w:val="single"/>
              </w:rPr>
            </w:pPr>
            <w:r>
              <w:rPr>
                <w:rFonts w:ascii="Times New Roman" w:hAnsi="Times New Roman" w:eastAsia="等线" w:cs="Times New Roman"/>
                <w:color w:val="000000"/>
                <w:u w:val="single"/>
              </w:rPr>
              <w:t>0.69</w:t>
            </w:r>
          </w:p>
        </w:tc>
        <w:tc>
          <w:tcPr>
            <w:tcW w:w="460" w:type="pct"/>
            <w:vMerge w:val="continue"/>
            <w:vAlign w:val="center"/>
          </w:tcPr>
          <w:p>
            <w:pPr>
              <w:pStyle w:val="39"/>
              <w:rPr>
                <w:rFonts w:eastAsia="等线"/>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90" w:type="pct"/>
            <w:vMerge w:val="continue"/>
            <w:vAlign w:val="center"/>
          </w:tcPr>
          <w:p>
            <w:pPr>
              <w:pStyle w:val="39"/>
              <w:rPr>
                <w:u w:val="single"/>
              </w:rPr>
            </w:pPr>
          </w:p>
        </w:tc>
        <w:tc>
          <w:tcPr>
            <w:tcW w:w="534" w:type="pct"/>
            <w:vAlign w:val="center"/>
          </w:tcPr>
          <w:p>
            <w:pPr>
              <w:pStyle w:val="39"/>
              <w:rPr>
                <w:u w:val="single"/>
              </w:rPr>
            </w:pPr>
            <w:r>
              <w:rPr>
                <w:u w:val="single"/>
              </w:rPr>
              <w:t>TP</w:t>
            </w:r>
          </w:p>
        </w:tc>
        <w:tc>
          <w:tcPr>
            <w:tcW w:w="613" w:type="pct"/>
            <w:vAlign w:val="center"/>
          </w:tcPr>
          <w:p>
            <w:pPr>
              <w:pStyle w:val="39"/>
              <w:rPr>
                <w:rFonts w:eastAsia="等线"/>
                <w:color w:val="000000"/>
                <w:u w:val="single"/>
              </w:rPr>
            </w:pPr>
            <w:r>
              <w:rPr>
                <w:rFonts w:eastAsia="等线"/>
                <w:color w:val="000000"/>
                <w:u w:val="single"/>
              </w:rPr>
              <w:t>3</w:t>
            </w:r>
          </w:p>
        </w:tc>
        <w:tc>
          <w:tcPr>
            <w:tcW w:w="509" w:type="pct"/>
            <w:vAlign w:val="center"/>
          </w:tcPr>
          <w:p>
            <w:pPr>
              <w:pStyle w:val="39"/>
              <w:rPr>
                <w:rFonts w:eastAsia="等线"/>
                <w:color w:val="000000"/>
                <w:u w:val="single"/>
              </w:rPr>
            </w:pPr>
            <w:r>
              <w:rPr>
                <w:rFonts w:eastAsia="等线"/>
                <w:color w:val="000000"/>
                <w:u w:val="single"/>
              </w:rPr>
              <w:t>0.01</w:t>
            </w:r>
          </w:p>
        </w:tc>
        <w:tc>
          <w:tcPr>
            <w:tcW w:w="373" w:type="pct"/>
            <w:vMerge w:val="continue"/>
            <w:vAlign w:val="center"/>
          </w:tcPr>
          <w:p>
            <w:pPr>
              <w:pStyle w:val="39"/>
              <w:rPr>
                <w:u w:val="single"/>
              </w:rPr>
            </w:pPr>
          </w:p>
        </w:tc>
        <w:tc>
          <w:tcPr>
            <w:tcW w:w="442" w:type="pct"/>
            <w:vAlign w:val="center"/>
          </w:tcPr>
          <w:p>
            <w:pPr>
              <w:pStyle w:val="39"/>
              <w:rPr>
                <w:rFonts w:eastAsia="等线"/>
                <w:u w:val="single"/>
              </w:rPr>
            </w:pPr>
            <w:r>
              <w:rPr>
                <w:rFonts w:eastAsia="等线"/>
                <w:u w:val="single"/>
              </w:rPr>
              <w:t>0</w:t>
            </w:r>
          </w:p>
        </w:tc>
        <w:tc>
          <w:tcPr>
            <w:tcW w:w="730" w:type="pct"/>
            <w:vAlign w:val="center"/>
          </w:tcPr>
          <w:p>
            <w:pPr>
              <w:jc w:val="center"/>
              <w:rPr>
                <w:rFonts w:ascii="Times New Roman" w:hAnsi="Times New Roman" w:eastAsia="等线" w:cs="Times New Roman"/>
                <w:color w:val="000000"/>
                <w:u w:val="single"/>
              </w:rPr>
            </w:pPr>
            <w:r>
              <w:rPr>
                <w:rFonts w:ascii="Times New Roman" w:hAnsi="Times New Roman" w:eastAsia="等线" w:cs="Times New Roman"/>
                <w:color w:val="000000"/>
                <w:u w:val="single"/>
              </w:rPr>
              <w:t>3</w:t>
            </w:r>
          </w:p>
        </w:tc>
        <w:tc>
          <w:tcPr>
            <w:tcW w:w="850" w:type="pct"/>
            <w:vAlign w:val="center"/>
          </w:tcPr>
          <w:p>
            <w:pPr>
              <w:jc w:val="center"/>
              <w:rPr>
                <w:rFonts w:ascii="Times New Roman" w:hAnsi="Times New Roman" w:eastAsia="等线" w:cs="Times New Roman"/>
                <w:color w:val="000000"/>
                <w:u w:val="single"/>
              </w:rPr>
            </w:pPr>
            <w:r>
              <w:rPr>
                <w:rFonts w:ascii="Times New Roman" w:hAnsi="Times New Roman" w:eastAsia="等线" w:cs="Times New Roman"/>
                <w:color w:val="000000"/>
                <w:u w:val="single"/>
              </w:rPr>
              <w:t>0.01</w:t>
            </w:r>
          </w:p>
        </w:tc>
        <w:tc>
          <w:tcPr>
            <w:tcW w:w="460" w:type="pct"/>
            <w:vMerge w:val="continue"/>
            <w:vAlign w:val="center"/>
          </w:tcPr>
          <w:p>
            <w:pPr>
              <w:pStyle w:val="39"/>
              <w:rPr>
                <w:rFonts w:eastAsia="等线"/>
                <w:u w:val="single"/>
              </w:rPr>
            </w:pPr>
          </w:p>
        </w:tc>
      </w:tr>
    </w:tbl>
    <w:p>
      <w:pPr>
        <w:pStyle w:val="3"/>
        <w:ind w:firstLine="480"/>
        <w:rPr>
          <w:color w:val="000000"/>
        </w:rPr>
      </w:pPr>
    </w:p>
    <w:p>
      <w:pPr>
        <w:pStyle w:val="7"/>
      </w:pPr>
      <w:r>
        <w:t>大气污染源分析</w:t>
      </w:r>
    </w:p>
    <w:p>
      <w:pPr>
        <w:pStyle w:val="3"/>
        <w:ind w:firstLine="480"/>
        <w:rPr>
          <w:rFonts w:cs="Times New Roman"/>
        </w:rPr>
      </w:pPr>
      <w:r>
        <w:rPr>
          <w:rFonts w:cs="Times New Roman"/>
        </w:rPr>
        <w:t>本项目大气污染源包括恶臭（鸡舍、鸡粪处理区、废水收集池）</w:t>
      </w:r>
      <w:r>
        <w:rPr>
          <w:rFonts w:hint="eastAsia" w:cs="Times New Roman"/>
        </w:rPr>
        <w:t>、</w:t>
      </w:r>
      <w:r>
        <w:rPr>
          <w:rFonts w:cs="Times New Roman"/>
        </w:rPr>
        <w:t>备用发电机废气、食堂油烟废气、鸡舍粉尘</w:t>
      </w:r>
      <w:r>
        <w:rPr>
          <w:rFonts w:hint="eastAsia" w:cs="Times New Roman"/>
        </w:rPr>
        <w:t>、生物质</w:t>
      </w:r>
      <w:r>
        <w:rPr>
          <w:rFonts w:cs="Times New Roman"/>
        </w:rPr>
        <w:t>锅炉燃烧废气。</w:t>
      </w:r>
    </w:p>
    <w:p>
      <w:pPr>
        <w:pStyle w:val="3"/>
        <w:ind w:firstLine="480"/>
        <w:rPr>
          <w:rFonts w:cs="Times New Roman"/>
          <w:u w:val="single"/>
        </w:rPr>
      </w:pPr>
      <w:r>
        <w:rPr>
          <w:rFonts w:cs="Times New Roman"/>
          <w:u w:val="single"/>
        </w:rPr>
        <w:t>（1）恶臭</w:t>
      </w:r>
    </w:p>
    <w:p>
      <w:pPr>
        <w:pStyle w:val="3"/>
        <w:ind w:firstLine="480"/>
        <w:rPr>
          <w:rFonts w:cs="Times New Roman"/>
          <w:u w:val="single"/>
        </w:rPr>
      </w:pPr>
      <w:r>
        <w:rPr>
          <w:rFonts w:hint="eastAsia" w:ascii="宋体" w:hAnsi="宋体" w:cs="宋体"/>
          <w:u w:val="single"/>
        </w:rPr>
        <w:t>①</w:t>
      </w:r>
      <w:r>
        <w:rPr>
          <w:rFonts w:cs="Times New Roman"/>
          <w:u w:val="single"/>
        </w:rPr>
        <w:t>鸡舍</w:t>
      </w:r>
      <w:r>
        <w:rPr>
          <w:rFonts w:hint="eastAsia" w:cs="Times New Roman"/>
          <w:u w:val="single"/>
        </w:rPr>
        <w:t>及鸡</w:t>
      </w:r>
      <w:r>
        <w:rPr>
          <w:rFonts w:cs="Times New Roman"/>
          <w:u w:val="single"/>
        </w:rPr>
        <w:t>粪处理区恶臭</w:t>
      </w:r>
    </w:p>
    <w:p>
      <w:pPr>
        <w:pStyle w:val="3"/>
        <w:ind w:firstLine="480"/>
        <w:rPr>
          <w:u w:val="single"/>
        </w:rPr>
      </w:pPr>
      <w:r>
        <w:rPr>
          <w:rFonts w:cs="Times New Roman"/>
          <w:u w:val="single"/>
        </w:rPr>
        <w:t>鸡舍恶臭气体是恶臭与温室气体，其主要来源为有机物腐败时所产生的氨气、动物有机体中蛋白质腐败时所产生的硫化氢及饲料中纤维分解时所产生的甲烷等，</w:t>
      </w:r>
      <w:r>
        <w:rPr>
          <w:rFonts w:hint="eastAsia"/>
          <w:u w:val="single"/>
        </w:rPr>
        <w:t>由于养殖场臭气产生量与气温、鸡舍清洁条件、饲料等有关，且属于面源污染，无组织扩散，目前较难统计出较准确的产生量。根据《排污许可证申请与核发技术规范</w:t>
      </w:r>
      <w:r>
        <w:rPr>
          <w:u w:val="single"/>
        </w:rPr>
        <w:t xml:space="preserve"> </w:t>
      </w:r>
      <w:r>
        <w:rPr>
          <w:rFonts w:hint="eastAsia"/>
          <w:u w:val="single"/>
        </w:rPr>
        <w:t>畜禽养殖行业》表</w:t>
      </w:r>
      <w:r>
        <w:rPr>
          <w:u w:val="single"/>
        </w:rPr>
        <w:t xml:space="preserve"> 9“</w:t>
      </w:r>
      <w:r>
        <w:rPr>
          <w:rFonts w:hint="eastAsia"/>
          <w:u w:val="single"/>
        </w:rPr>
        <w:t>各类禽污染物产生量</w:t>
      </w:r>
      <w:r>
        <w:rPr>
          <w:u w:val="single"/>
        </w:rPr>
        <w:t>”</w:t>
      </w:r>
      <w:r>
        <w:rPr>
          <w:rFonts w:hint="eastAsia"/>
          <w:u w:val="single"/>
        </w:rPr>
        <w:t>可知蛋鸡的粪便污染物产生量详见下表。</w:t>
      </w:r>
    </w:p>
    <w:p>
      <w:pPr>
        <w:pStyle w:val="15"/>
        <w:rPr>
          <w:u w:val="single"/>
        </w:rPr>
      </w:pPr>
      <w:r>
        <w:rPr>
          <w:rFonts w:hint="eastAsia"/>
          <w:u w:val="single"/>
        </w:rPr>
        <w:t>表</w:t>
      </w:r>
      <w:r>
        <w:rPr>
          <w:u w:val="single"/>
        </w:rPr>
        <w:t xml:space="preserve"> 3.2-5   </w:t>
      </w:r>
      <w:r>
        <w:rPr>
          <w:rFonts w:hint="eastAsia"/>
          <w:u w:val="single"/>
        </w:rPr>
        <w:t>蛋鸡养殖排污系数</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0"/>
        <w:gridCol w:w="2490"/>
        <w:gridCol w:w="3546"/>
        <w:gridCol w:w="1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8" w:type="pct"/>
            <w:vMerge w:val="restart"/>
            <w:vAlign w:val="center"/>
          </w:tcPr>
          <w:p>
            <w:pPr>
              <w:pStyle w:val="39"/>
              <w:rPr>
                <w:u w:val="single"/>
              </w:rPr>
            </w:pPr>
            <w:r>
              <w:rPr>
                <w:rFonts w:hint="eastAsia"/>
                <w:u w:val="single"/>
              </w:rPr>
              <w:t>种类</w:t>
            </w:r>
          </w:p>
        </w:tc>
        <w:tc>
          <w:tcPr>
            <w:tcW w:w="1357" w:type="pct"/>
            <w:vMerge w:val="restart"/>
            <w:vAlign w:val="center"/>
          </w:tcPr>
          <w:p>
            <w:pPr>
              <w:pStyle w:val="39"/>
              <w:rPr>
                <w:u w:val="single"/>
              </w:rPr>
            </w:pPr>
            <w:r>
              <w:rPr>
                <w:rFonts w:hint="eastAsia"/>
                <w:u w:val="single"/>
              </w:rPr>
              <w:t>粪便产生量（</w:t>
            </w:r>
            <w:r>
              <w:rPr>
                <w:u w:val="single"/>
              </w:rPr>
              <w:t xml:space="preserve">kg/d </w:t>
            </w:r>
            <w:r>
              <w:rPr>
                <w:rFonts w:hint="eastAsia"/>
                <w:u w:val="single"/>
              </w:rPr>
              <w:t>头</w:t>
            </w:r>
            <w:r>
              <w:rPr>
                <w:u w:val="single"/>
              </w:rPr>
              <w:t>/</w:t>
            </w:r>
            <w:r>
              <w:rPr>
                <w:rFonts w:hint="eastAsia"/>
                <w:u w:val="single"/>
              </w:rPr>
              <w:t>只）</w:t>
            </w:r>
          </w:p>
        </w:tc>
        <w:tc>
          <w:tcPr>
            <w:tcW w:w="1933" w:type="pct"/>
            <w:vAlign w:val="center"/>
          </w:tcPr>
          <w:p>
            <w:pPr>
              <w:pStyle w:val="39"/>
              <w:rPr>
                <w:u w:val="single"/>
              </w:rPr>
            </w:pPr>
            <w:r>
              <w:rPr>
                <w:rFonts w:hint="eastAsia"/>
                <w:u w:val="single"/>
              </w:rPr>
              <w:t>粪便中污染物含量（</w:t>
            </w:r>
            <w:r>
              <w:rPr>
                <w:u w:val="single"/>
              </w:rPr>
              <w:t xml:space="preserve">g/d </w:t>
            </w:r>
            <w:r>
              <w:rPr>
                <w:rFonts w:hint="eastAsia"/>
                <w:u w:val="single"/>
              </w:rPr>
              <w:t>头</w:t>
            </w:r>
            <w:r>
              <w:rPr>
                <w:u w:val="single"/>
              </w:rPr>
              <w:t>/</w:t>
            </w:r>
            <w:r>
              <w:rPr>
                <w:rFonts w:hint="eastAsia"/>
                <w:u w:val="single"/>
              </w:rPr>
              <w:t>只）</w:t>
            </w:r>
          </w:p>
        </w:tc>
        <w:tc>
          <w:tcPr>
            <w:tcW w:w="1012" w:type="pct"/>
            <w:vMerge w:val="restart"/>
            <w:vAlign w:val="center"/>
          </w:tcPr>
          <w:p>
            <w:pPr>
              <w:pStyle w:val="39"/>
              <w:rPr>
                <w:u w:val="single"/>
              </w:rPr>
            </w:pPr>
            <w:r>
              <w:rPr>
                <w:rFonts w:hint="eastAsia"/>
                <w:u w:val="single"/>
              </w:rPr>
              <w:t>清粪工艺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0" w:type="auto"/>
            <w:vMerge w:val="continue"/>
            <w:vAlign w:val="center"/>
          </w:tcPr>
          <w:p>
            <w:pPr>
              <w:pStyle w:val="39"/>
              <w:rPr>
                <w:u w:val="single"/>
              </w:rPr>
            </w:pPr>
          </w:p>
        </w:tc>
        <w:tc>
          <w:tcPr>
            <w:tcW w:w="0" w:type="auto"/>
            <w:vMerge w:val="continue"/>
            <w:vAlign w:val="center"/>
          </w:tcPr>
          <w:p>
            <w:pPr>
              <w:pStyle w:val="39"/>
              <w:rPr>
                <w:u w:val="single"/>
              </w:rPr>
            </w:pPr>
          </w:p>
        </w:tc>
        <w:tc>
          <w:tcPr>
            <w:tcW w:w="1933" w:type="pct"/>
            <w:vAlign w:val="center"/>
          </w:tcPr>
          <w:p>
            <w:pPr>
              <w:pStyle w:val="39"/>
              <w:rPr>
                <w:u w:val="single"/>
              </w:rPr>
            </w:pPr>
            <w:r>
              <w:rPr>
                <w:rFonts w:hint="eastAsia"/>
                <w:u w:val="single"/>
              </w:rPr>
              <w:t>总氮</w:t>
            </w:r>
          </w:p>
        </w:tc>
        <w:tc>
          <w:tcPr>
            <w:tcW w:w="0" w:type="auto"/>
            <w:vMerge w:val="continue"/>
            <w:vAlign w:val="center"/>
          </w:tcPr>
          <w:p>
            <w:pPr>
              <w:pStyle w:val="39"/>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8" w:type="pct"/>
            <w:vAlign w:val="center"/>
          </w:tcPr>
          <w:p>
            <w:pPr>
              <w:pStyle w:val="39"/>
              <w:rPr>
                <w:u w:val="single"/>
              </w:rPr>
            </w:pPr>
            <w:r>
              <w:rPr>
                <w:rFonts w:hint="eastAsia"/>
                <w:u w:val="single"/>
              </w:rPr>
              <w:t>蛋鸡</w:t>
            </w:r>
          </w:p>
        </w:tc>
        <w:tc>
          <w:tcPr>
            <w:tcW w:w="1357" w:type="pct"/>
            <w:vAlign w:val="center"/>
          </w:tcPr>
          <w:p>
            <w:pPr>
              <w:pStyle w:val="39"/>
              <w:rPr>
                <w:u w:val="single"/>
              </w:rPr>
            </w:pPr>
            <w:r>
              <w:rPr>
                <w:u w:val="single"/>
              </w:rPr>
              <w:t>0.13</w:t>
            </w:r>
          </w:p>
        </w:tc>
        <w:tc>
          <w:tcPr>
            <w:tcW w:w="1933" w:type="pct"/>
            <w:vAlign w:val="center"/>
          </w:tcPr>
          <w:p>
            <w:pPr>
              <w:pStyle w:val="39"/>
              <w:rPr>
                <w:u w:val="single"/>
              </w:rPr>
            </w:pPr>
            <w:r>
              <w:rPr>
                <w:u w:val="single"/>
              </w:rPr>
              <w:t>1.2</w:t>
            </w:r>
          </w:p>
        </w:tc>
        <w:tc>
          <w:tcPr>
            <w:tcW w:w="1012" w:type="pct"/>
            <w:vAlign w:val="center"/>
          </w:tcPr>
          <w:p>
            <w:pPr>
              <w:pStyle w:val="39"/>
              <w:rPr>
                <w:u w:val="single"/>
              </w:rPr>
            </w:pPr>
            <w:r>
              <w:rPr>
                <w:rFonts w:hint="eastAsia"/>
                <w:u w:val="single"/>
              </w:rPr>
              <w:t>干清粪</w:t>
            </w:r>
          </w:p>
        </w:tc>
      </w:tr>
    </w:tbl>
    <w:p>
      <w:pPr>
        <w:pStyle w:val="3"/>
        <w:ind w:firstLine="480"/>
        <w:rPr>
          <w:rFonts w:cs="Times New Roman"/>
          <w:u w:val="single"/>
        </w:rPr>
      </w:pPr>
    </w:p>
    <w:p>
      <w:pPr>
        <w:pStyle w:val="3"/>
        <w:ind w:firstLine="480"/>
        <w:rPr>
          <w:u w:val="single"/>
        </w:rPr>
      </w:pPr>
      <w:r>
        <w:rPr>
          <w:u w:val="single"/>
        </w:rPr>
        <w:t>本项目</w:t>
      </w:r>
      <w:r>
        <w:rPr>
          <w:rFonts w:hint="eastAsia"/>
          <w:u w:val="single"/>
        </w:rPr>
        <w:t>蛋鸡</w:t>
      </w:r>
      <w:r>
        <w:rPr>
          <w:u w:val="single"/>
        </w:rPr>
        <w:t>存栏为65万</w:t>
      </w:r>
      <w:r>
        <w:rPr>
          <w:rFonts w:hint="eastAsia"/>
          <w:u w:val="single"/>
        </w:rPr>
        <w:t>羽</w:t>
      </w:r>
      <w:r>
        <w:rPr>
          <w:u w:val="single"/>
        </w:rPr>
        <w:t>，其中雏鸡</w:t>
      </w:r>
      <w:r>
        <w:rPr>
          <w:rFonts w:hint="eastAsia"/>
          <w:u w:val="single"/>
        </w:rPr>
        <w:t>常年</w:t>
      </w:r>
      <w:r>
        <w:rPr>
          <w:u w:val="single"/>
        </w:rPr>
        <w:t>存栏20万</w:t>
      </w:r>
      <w:r>
        <w:rPr>
          <w:rFonts w:hint="eastAsia"/>
          <w:u w:val="single"/>
        </w:rPr>
        <w:t>羽，折算</w:t>
      </w:r>
      <w:r>
        <w:rPr>
          <w:u w:val="single"/>
        </w:rPr>
        <w:t>成年蛋鸡约</w:t>
      </w:r>
      <w:r>
        <w:rPr>
          <w:rFonts w:hint="eastAsia"/>
          <w:u w:val="single"/>
        </w:rPr>
        <w:t>5万</w:t>
      </w:r>
      <w:r>
        <w:rPr>
          <w:u w:val="single"/>
        </w:rPr>
        <w:t>羽，产蛋鸡</w:t>
      </w:r>
      <w:r>
        <w:rPr>
          <w:rFonts w:hint="eastAsia"/>
          <w:u w:val="single"/>
        </w:rPr>
        <w:t>60</w:t>
      </w:r>
      <w:r>
        <w:rPr>
          <w:u w:val="single"/>
        </w:rPr>
        <w:t>万</w:t>
      </w:r>
      <w:r>
        <w:rPr>
          <w:rFonts w:hint="eastAsia"/>
          <w:u w:val="single"/>
        </w:rPr>
        <w:t>羽</w:t>
      </w:r>
      <w:r>
        <w:rPr>
          <w:u w:val="single"/>
        </w:rPr>
        <w:t>。</w:t>
      </w:r>
      <w:r>
        <w:rPr>
          <w:rFonts w:hint="eastAsia"/>
          <w:u w:val="single"/>
        </w:rPr>
        <w:t>鸡粪的产生量为</w:t>
      </w:r>
      <w:r>
        <w:rPr>
          <w:szCs w:val="22"/>
          <w:u w:val="single"/>
        </w:rPr>
        <w:t>30842.5t/a</w:t>
      </w:r>
      <w:r>
        <w:rPr>
          <w:rFonts w:hint="eastAsia"/>
          <w:szCs w:val="22"/>
          <w:u w:val="single"/>
        </w:rPr>
        <w:t>，则</w:t>
      </w:r>
      <w:r>
        <w:rPr>
          <w:rFonts w:hint="eastAsia"/>
          <w:u w:val="single"/>
        </w:rPr>
        <w:t>粪便中总氮含量为</w:t>
      </w:r>
      <w:r>
        <w:rPr>
          <w:u w:val="single"/>
        </w:rPr>
        <w:t>284.7t/a</w:t>
      </w:r>
      <w:r>
        <w:rPr>
          <w:rFonts w:hint="eastAsia"/>
          <w:u w:val="single"/>
        </w:rPr>
        <w:t>，由于粪便中只有游离的氨氮才能转化为氨气，本次</w:t>
      </w:r>
      <w:r>
        <w:rPr>
          <w:u w:val="single"/>
        </w:rPr>
        <w:t>评价按氮的挥发量约占总量的10%，H</w:t>
      </w:r>
      <w:r>
        <w:rPr>
          <w:u w:val="single"/>
          <w:vertAlign w:val="subscript"/>
        </w:rPr>
        <w:t>2</w:t>
      </w:r>
      <w:r>
        <w:rPr>
          <w:u w:val="single"/>
        </w:rPr>
        <w:t>S含量以NH</w:t>
      </w:r>
      <w:r>
        <w:rPr>
          <w:u w:val="single"/>
          <w:vertAlign w:val="subscript"/>
        </w:rPr>
        <w:t>3</w:t>
      </w:r>
      <w:r>
        <w:rPr>
          <w:u w:val="single"/>
        </w:rPr>
        <w:t>的10%计</w:t>
      </w:r>
      <w:r>
        <w:rPr>
          <w:rFonts w:hint="eastAsia"/>
          <w:u w:val="single"/>
        </w:rPr>
        <w:t>；由于</w:t>
      </w:r>
      <w:r>
        <w:rPr>
          <w:rFonts w:cs="Times New Roman"/>
          <w:u w:val="single"/>
        </w:rPr>
        <w:t>鸡舍采用履带式自动清粪系统，</w:t>
      </w:r>
      <w:r>
        <w:rPr>
          <w:rFonts w:hint="eastAsia"/>
          <w:u w:val="single"/>
        </w:rPr>
        <w:t>每天清</w:t>
      </w:r>
      <w:r>
        <w:rPr>
          <w:u w:val="single"/>
        </w:rPr>
        <w:t>粪</w:t>
      </w:r>
      <w:r>
        <w:rPr>
          <w:rFonts w:hint="eastAsia"/>
          <w:u w:val="single"/>
        </w:rPr>
        <w:t>3次，则</w:t>
      </w:r>
      <w:r>
        <w:rPr>
          <w:u w:val="single"/>
        </w:rPr>
        <w:t>鸡粪</w:t>
      </w:r>
      <w:r>
        <w:rPr>
          <w:rFonts w:hint="eastAsia"/>
          <w:u w:val="single"/>
        </w:rPr>
        <w:t>处于</w:t>
      </w:r>
      <w:r>
        <w:rPr>
          <w:u w:val="single"/>
        </w:rPr>
        <w:t>鸡舍内的每天</w:t>
      </w:r>
      <w:r>
        <w:rPr>
          <w:rFonts w:hint="eastAsia"/>
          <w:u w:val="single"/>
        </w:rPr>
        <w:t>产生</w:t>
      </w:r>
      <w:r>
        <w:rPr>
          <w:u w:val="single"/>
        </w:rPr>
        <w:t>的恶臭源强为</w:t>
      </w:r>
      <w:r>
        <w:rPr>
          <w:rFonts w:hint="eastAsia"/>
          <w:u w:val="single"/>
        </w:rPr>
        <w:t>1/3，</w:t>
      </w:r>
      <w:r>
        <w:rPr>
          <w:u w:val="single"/>
        </w:rPr>
        <w:t>则项目运营期鸡粪中NH</w:t>
      </w:r>
      <w:r>
        <w:rPr>
          <w:u w:val="single"/>
          <w:vertAlign w:val="subscript"/>
        </w:rPr>
        <w:t>3</w:t>
      </w:r>
      <w:r>
        <w:rPr>
          <w:u w:val="single"/>
        </w:rPr>
        <w:t>、H</w:t>
      </w:r>
      <w:r>
        <w:rPr>
          <w:u w:val="single"/>
          <w:vertAlign w:val="subscript"/>
        </w:rPr>
        <w:t>2</w:t>
      </w:r>
      <w:r>
        <w:rPr>
          <w:u w:val="single"/>
        </w:rPr>
        <w:t>S含量详见下表。</w:t>
      </w:r>
    </w:p>
    <w:p>
      <w:pPr>
        <w:pStyle w:val="15"/>
        <w:rPr>
          <w:rFonts w:cs="Times New Roman"/>
          <w:u w:val="single"/>
        </w:rPr>
      </w:pPr>
      <w:r>
        <w:rPr>
          <w:rFonts w:cs="Times New Roman"/>
          <w:u w:val="single"/>
        </w:rPr>
        <w:t>表3.2-6    鸡粪中NH</w:t>
      </w:r>
      <w:r>
        <w:rPr>
          <w:rFonts w:cs="Times New Roman"/>
          <w:sz w:val="16"/>
          <w:szCs w:val="16"/>
          <w:u w:val="single"/>
        </w:rPr>
        <w:t>3</w:t>
      </w:r>
      <w:r>
        <w:rPr>
          <w:rFonts w:cs="Times New Roman"/>
          <w:u w:val="single"/>
        </w:rPr>
        <w:t>、H</w:t>
      </w:r>
      <w:r>
        <w:rPr>
          <w:rFonts w:cs="Times New Roman"/>
          <w:sz w:val="16"/>
          <w:szCs w:val="16"/>
          <w:u w:val="single"/>
        </w:rPr>
        <w:t>2</w:t>
      </w:r>
      <w:r>
        <w:rPr>
          <w:rFonts w:cs="Times New Roman"/>
          <w:u w:val="single"/>
        </w:rPr>
        <w:t>S含量</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567"/>
        <w:gridCol w:w="1418"/>
        <w:gridCol w:w="1417"/>
        <w:gridCol w:w="1418"/>
        <w:gridCol w:w="1290"/>
        <w:gridCol w:w="1194"/>
        <w:gridCol w:w="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42" w:type="dxa"/>
            <w:gridSpan w:val="2"/>
            <w:vAlign w:val="center"/>
          </w:tcPr>
          <w:p>
            <w:pPr>
              <w:pStyle w:val="39"/>
              <w:rPr>
                <w:u w:val="single"/>
              </w:rPr>
            </w:pPr>
            <w:r>
              <w:rPr>
                <w:u w:val="single"/>
              </w:rPr>
              <w:t>存栏规模</w:t>
            </w:r>
          </w:p>
          <w:p>
            <w:pPr>
              <w:pStyle w:val="39"/>
              <w:rPr>
                <w:u w:val="single"/>
              </w:rPr>
            </w:pPr>
            <w:r>
              <w:rPr>
                <w:u w:val="single"/>
              </w:rPr>
              <w:t>（万</w:t>
            </w:r>
            <w:r>
              <w:rPr>
                <w:rFonts w:hint="eastAsia"/>
                <w:u w:val="single"/>
              </w:rPr>
              <w:t>羽</w:t>
            </w:r>
            <w:r>
              <w:rPr>
                <w:u w:val="single"/>
              </w:rPr>
              <w:t>）</w:t>
            </w:r>
          </w:p>
        </w:tc>
        <w:tc>
          <w:tcPr>
            <w:tcW w:w="1418" w:type="dxa"/>
            <w:vAlign w:val="center"/>
          </w:tcPr>
          <w:p>
            <w:pPr>
              <w:pStyle w:val="39"/>
              <w:rPr>
                <w:u w:val="single"/>
              </w:rPr>
            </w:pPr>
            <w:r>
              <w:rPr>
                <w:u w:val="single"/>
              </w:rPr>
              <w:t>全氮产生系数（g/只·d）</w:t>
            </w:r>
          </w:p>
        </w:tc>
        <w:tc>
          <w:tcPr>
            <w:tcW w:w="1417" w:type="dxa"/>
            <w:vAlign w:val="center"/>
          </w:tcPr>
          <w:p>
            <w:pPr>
              <w:pStyle w:val="39"/>
              <w:rPr>
                <w:u w:val="single"/>
              </w:rPr>
            </w:pPr>
            <w:r>
              <w:rPr>
                <w:u w:val="single"/>
              </w:rPr>
              <w:t>全氮产生量</w:t>
            </w:r>
          </w:p>
          <w:p>
            <w:pPr>
              <w:pStyle w:val="39"/>
              <w:rPr>
                <w:u w:val="single"/>
              </w:rPr>
            </w:pPr>
            <w:r>
              <w:rPr>
                <w:u w:val="single"/>
              </w:rPr>
              <w:t>（t/d）</w:t>
            </w:r>
          </w:p>
        </w:tc>
        <w:tc>
          <w:tcPr>
            <w:tcW w:w="1418" w:type="dxa"/>
            <w:vAlign w:val="center"/>
          </w:tcPr>
          <w:p>
            <w:pPr>
              <w:pStyle w:val="39"/>
              <w:rPr>
                <w:u w:val="single"/>
              </w:rPr>
            </w:pPr>
            <w:r>
              <w:rPr>
                <w:u w:val="single"/>
              </w:rPr>
              <w:t>全氮产生量</w:t>
            </w:r>
          </w:p>
          <w:p>
            <w:pPr>
              <w:pStyle w:val="39"/>
              <w:rPr>
                <w:u w:val="single"/>
              </w:rPr>
            </w:pPr>
            <w:r>
              <w:rPr>
                <w:u w:val="single"/>
              </w:rPr>
              <w:t>（t/a）</w:t>
            </w:r>
          </w:p>
        </w:tc>
        <w:tc>
          <w:tcPr>
            <w:tcW w:w="1290" w:type="dxa"/>
            <w:vAlign w:val="center"/>
          </w:tcPr>
          <w:p>
            <w:pPr>
              <w:pStyle w:val="39"/>
              <w:rPr>
                <w:u w:val="single"/>
              </w:rPr>
            </w:pPr>
            <w:r>
              <w:rPr>
                <w:u w:val="single"/>
              </w:rPr>
              <w:t>氮的挥发量</w:t>
            </w:r>
          </w:p>
          <w:p>
            <w:pPr>
              <w:pStyle w:val="39"/>
              <w:rPr>
                <w:u w:val="single"/>
              </w:rPr>
            </w:pPr>
            <w:r>
              <w:rPr>
                <w:u w:val="single"/>
              </w:rPr>
              <w:t>（t/a）</w:t>
            </w:r>
          </w:p>
        </w:tc>
        <w:tc>
          <w:tcPr>
            <w:tcW w:w="1194" w:type="dxa"/>
            <w:vAlign w:val="center"/>
          </w:tcPr>
          <w:p>
            <w:pPr>
              <w:pStyle w:val="39"/>
              <w:rPr>
                <w:u w:val="single"/>
                <w:vertAlign w:val="subscript"/>
              </w:rPr>
            </w:pPr>
            <w:r>
              <w:rPr>
                <w:u w:val="single"/>
              </w:rPr>
              <w:t>折合成NH</w:t>
            </w:r>
            <w:r>
              <w:rPr>
                <w:u w:val="single"/>
                <w:vertAlign w:val="subscript"/>
              </w:rPr>
              <w:t>3</w:t>
            </w:r>
          </w:p>
          <w:p>
            <w:pPr>
              <w:pStyle w:val="39"/>
              <w:rPr>
                <w:u w:val="single"/>
              </w:rPr>
            </w:pPr>
            <w:r>
              <w:rPr>
                <w:u w:val="single"/>
              </w:rPr>
              <w:t>（t/a）</w:t>
            </w:r>
          </w:p>
        </w:tc>
        <w:tc>
          <w:tcPr>
            <w:tcW w:w="1194" w:type="dxa"/>
            <w:vAlign w:val="center"/>
          </w:tcPr>
          <w:p>
            <w:pPr>
              <w:pStyle w:val="39"/>
              <w:rPr>
                <w:u w:val="single"/>
              </w:rPr>
            </w:pPr>
            <w:r>
              <w:rPr>
                <w:u w:val="single"/>
              </w:rPr>
              <w:t>折合成H</w:t>
            </w:r>
            <w:r>
              <w:rPr>
                <w:u w:val="single"/>
                <w:vertAlign w:val="subscript"/>
              </w:rPr>
              <w:t>2</w:t>
            </w:r>
            <w:r>
              <w:rPr>
                <w:u w:val="single"/>
              </w:rPr>
              <w:t>S</w:t>
            </w:r>
          </w:p>
          <w:p>
            <w:pPr>
              <w:pStyle w:val="39"/>
              <w:rPr>
                <w:u w:val="single"/>
              </w:rPr>
            </w:pPr>
            <w:r>
              <w:rPr>
                <w:u w:val="single"/>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5" w:type="dxa"/>
            <w:vAlign w:val="center"/>
          </w:tcPr>
          <w:p>
            <w:pPr>
              <w:pStyle w:val="39"/>
              <w:rPr>
                <w:u w:val="single"/>
              </w:rPr>
            </w:pPr>
            <w:r>
              <w:rPr>
                <w:rFonts w:hint="eastAsia"/>
                <w:u w:val="single"/>
              </w:rPr>
              <w:t>蛋鸡</w:t>
            </w:r>
          </w:p>
        </w:tc>
        <w:tc>
          <w:tcPr>
            <w:tcW w:w="567" w:type="dxa"/>
            <w:vAlign w:val="center"/>
          </w:tcPr>
          <w:p>
            <w:pPr>
              <w:pStyle w:val="39"/>
              <w:rPr>
                <w:u w:val="single"/>
              </w:rPr>
            </w:pPr>
            <w:r>
              <w:rPr>
                <w:u w:val="single"/>
              </w:rPr>
              <w:t>65</w:t>
            </w:r>
          </w:p>
        </w:tc>
        <w:tc>
          <w:tcPr>
            <w:tcW w:w="1418" w:type="dxa"/>
            <w:vAlign w:val="center"/>
          </w:tcPr>
          <w:p>
            <w:pPr>
              <w:pStyle w:val="39"/>
              <w:rPr>
                <w:u w:val="single"/>
              </w:rPr>
            </w:pPr>
            <w:r>
              <w:rPr>
                <w:u w:val="single"/>
              </w:rPr>
              <w:t>1.2</w:t>
            </w:r>
          </w:p>
        </w:tc>
        <w:tc>
          <w:tcPr>
            <w:tcW w:w="1417" w:type="dxa"/>
            <w:vAlign w:val="center"/>
          </w:tcPr>
          <w:p>
            <w:pPr>
              <w:pStyle w:val="39"/>
              <w:rPr>
                <w:rFonts w:eastAsia="等线"/>
                <w:u w:val="single"/>
              </w:rPr>
            </w:pPr>
            <w:r>
              <w:rPr>
                <w:rFonts w:hint="eastAsia" w:eastAsia="等线"/>
                <w:u w:val="single"/>
              </w:rPr>
              <w:t>0.26</w:t>
            </w:r>
          </w:p>
        </w:tc>
        <w:tc>
          <w:tcPr>
            <w:tcW w:w="1418" w:type="dxa"/>
            <w:vAlign w:val="center"/>
          </w:tcPr>
          <w:p>
            <w:pPr>
              <w:pStyle w:val="39"/>
              <w:rPr>
                <w:u w:val="single"/>
              </w:rPr>
            </w:pPr>
            <w:r>
              <w:rPr>
                <w:u w:val="single"/>
              </w:rPr>
              <w:t>94.9</w:t>
            </w:r>
          </w:p>
        </w:tc>
        <w:tc>
          <w:tcPr>
            <w:tcW w:w="1290" w:type="dxa"/>
            <w:vAlign w:val="center"/>
          </w:tcPr>
          <w:p>
            <w:pPr>
              <w:pStyle w:val="39"/>
              <w:rPr>
                <w:u w:val="single"/>
              </w:rPr>
            </w:pPr>
            <w:r>
              <w:rPr>
                <w:u w:val="single"/>
              </w:rPr>
              <w:t>9.49</w:t>
            </w:r>
          </w:p>
        </w:tc>
        <w:tc>
          <w:tcPr>
            <w:tcW w:w="1194" w:type="dxa"/>
            <w:vAlign w:val="center"/>
          </w:tcPr>
          <w:p>
            <w:pPr>
              <w:pStyle w:val="39"/>
              <w:rPr>
                <w:u w:val="single"/>
              </w:rPr>
            </w:pPr>
            <w:r>
              <w:rPr>
                <w:u w:val="single"/>
              </w:rPr>
              <w:t xml:space="preserve">11.52 </w:t>
            </w:r>
          </w:p>
        </w:tc>
        <w:tc>
          <w:tcPr>
            <w:tcW w:w="1194" w:type="dxa"/>
            <w:vAlign w:val="center"/>
          </w:tcPr>
          <w:p>
            <w:pPr>
              <w:pStyle w:val="39"/>
              <w:rPr>
                <w:u w:val="single"/>
              </w:rPr>
            </w:pPr>
            <w:r>
              <w:rPr>
                <w:u w:val="single"/>
              </w:rPr>
              <w:t xml:space="preserve">1.15 </w:t>
            </w:r>
          </w:p>
        </w:tc>
      </w:tr>
    </w:tbl>
    <w:p>
      <w:pPr>
        <w:pStyle w:val="3"/>
        <w:ind w:firstLine="480"/>
        <w:rPr>
          <w:color w:val="000000"/>
          <w:u w:val="single"/>
        </w:rPr>
      </w:pPr>
    </w:p>
    <w:p>
      <w:pPr>
        <w:pStyle w:val="3"/>
        <w:ind w:firstLine="480"/>
        <w:rPr>
          <w:rFonts w:cs="Times New Roman"/>
          <w:u w:val="single"/>
        </w:rPr>
      </w:pPr>
      <w:r>
        <w:rPr>
          <w:rFonts w:cs="Times New Roman"/>
          <w:u w:val="single"/>
        </w:rPr>
        <w:t>本项目拟采用的饲料中添加EM菌剂、并采用低氮饲料喂养鸡，从源头减少恶臭产生量。根据《家畜环境卫生学》（安立龙，高等教育出版社）中研究资料，在畜禽口粮中投放EM菌等有益微生物复合制剂，能有效降解NH</w:t>
      </w:r>
      <w:r>
        <w:rPr>
          <w:rFonts w:cs="Times New Roman"/>
          <w:u w:val="single"/>
          <w:vertAlign w:val="subscript"/>
        </w:rPr>
        <w:t>3</w:t>
      </w:r>
      <w:r>
        <w:rPr>
          <w:rFonts w:cs="Times New Roman"/>
          <w:u w:val="single"/>
        </w:rPr>
        <w:t>、H</w:t>
      </w:r>
      <w:r>
        <w:rPr>
          <w:rFonts w:cs="Times New Roman"/>
          <w:u w:val="single"/>
          <w:vertAlign w:val="subscript"/>
        </w:rPr>
        <w:t>2</w:t>
      </w:r>
      <w:r>
        <w:rPr>
          <w:rFonts w:cs="Times New Roman"/>
          <w:u w:val="single"/>
        </w:rPr>
        <w:t>S等有害气体，NH</w:t>
      </w:r>
      <w:r>
        <w:rPr>
          <w:rFonts w:cs="Times New Roman"/>
          <w:u w:val="single"/>
          <w:vertAlign w:val="subscript"/>
        </w:rPr>
        <w:t>3</w:t>
      </w:r>
      <w:r>
        <w:rPr>
          <w:rFonts w:cs="Times New Roman"/>
          <w:u w:val="single"/>
        </w:rPr>
        <w:t>的降解率&gt;75%，H</w:t>
      </w:r>
      <w:r>
        <w:rPr>
          <w:rFonts w:cs="Times New Roman"/>
          <w:u w:val="single"/>
          <w:vertAlign w:val="subscript"/>
        </w:rPr>
        <w:t>2</w:t>
      </w:r>
      <w:r>
        <w:rPr>
          <w:rFonts w:cs="Times New Roman"/>
          <w:u w:val="single"/>
        </w:rPr>
        <w:t>S的降解率&gt;85%。</w:t>
      </w:r>
    </w:p>
    <w:p>
      <w:pPr>
        <w:pStyle w:val="3"/>
        <w:ind w:firstLine="480"/>
        <w:rPr>
          <w:rFonts w:cs="Times New Roman"/>
          <w:u w:val="single"/>
        </w:rPr>
      </w:pPr>
      <w:r>
        <w:rPr>
          <w:rFonts w:cs="Times New Roman"/>
          <w:u w:val="single"/>
        </w:rPr>
        <w:t>本项目鸡舍采用履带式自动清粪系统，</w:t>
      </w:r>
      <w:r>
        <w:rPr>
          <w:rFonts w:hint="eastAsia"/>
          <w:u w:val="single"/>
        </w:rPr>
        <w:t>将传送带上搜集的鸡粪清理至法国多赛干燥机内，</w:t>
      </w:r>
      <w:r>
        <w:rPr>
          <w:rFonts w:hint="eastAsia" w:cs="Times New Roman"/>
          <w:u w:val="single"/>
        </w:rPr>
        <w:t>鸡</w:t>
      </w:r>
      <w:r>
        <w:rPr>
          <w:rFonts w:cs="Times New Roman"/>
          <w:u w:val="single"/>
        </w:rPr>
        <w:t>粪在养殖区内的积累和堆存时间相对较短，而多集中在</w:t>
      </w:r>
      <w:r>
        <w:rPr>
          <w:rFonts w:hint="eastAsia" w:cs="Times New Roman"/>
          <w:u w:val="single"/>
        </w:rPr>
        <w:t>鸡粪</w:t>
      </w:r>
      <w:r>
        <w:rPr>
          <w:rFonts w:cs="Times New Roman"/>
          <w:u w:val="single"/>
        </w:rPr>
        <w:t>处理区内</w:t>
      </w:r>
      <w:r>
        <w:rPr>
          <w:rFonts w:hint="eastAsia" w:cs="Times New Roman"/>
          <w:u w:val="single"/>
        </w:rPr>
        <w:t>，鸡</w:t>
      </w:r>
      <w:r>
        <w:rPr>
          <w:rFonts w:cs="Times New Roman"/>
          <w:u w:val="single"/>
        </w:rPr>
        <w:t>舍和</w:t>
      </w:r>
      <w:r>
        <w:rPr>
          <w:rFonts w:hint="eastAsia" w:cs="Times New Roman"/>
          <w:u w:val="single"/>
        </w:rPr>
        <w:t>鸡粪</w:t>
      </w:r>
      <w:r>
        <w:rPr>
          <w:rFonts w:cs="Times New Roman"/>
          <w:u w:val="single"/>
        </w:rPr>
        <w:t>处理区的大气污染源产生量分别为产生总量的10%和90%，则项目运营期</w:t>
      </w:r>
      <w:r>
        <w:rPr>
          <w:rFonts w:hint="eastAsia" w:cs="Times New Roman"/>
          <w:u w:val="single"/>
        </w:rPr>
        <w:t>鸡</w:t>
      </w:r>
      <w:r>
        <w:rPr>
          <w:rFonts w:cs="Times New Roman"/>
          <w:u w:val="single"/>
        </w:rPr>
        <w:t>粪恶臭污染物NH</w:t>
      </w:r>
      <w:r>
        <w:rPr>
          <w:rFonts w:cs="Times New Roman"/>
          <w:u w:val="single"/>
          <w:vertAlign w:val="subscript"/>
        </w:rPr>
        <w:t>3</w:t>
      </w:r>
      <w:r>
        <w:rPr>
          <w:rFonts w:cs="Times New Roman"/>
          <w:u w:val="single"/>
        </w:rPr>
        <w:t>、H</w:t>
      </w:r>
      <w:r>
        <w:rPr>
          <w:rFonts w:cs="Times New Roman"/>
          <w:u w:val="single"/>
          <w:vertAlign w:val="subscript"/>
        </w:rPr>
        <w:t>2</w:t>
      </w:r>
      <w:r>
        <w:rPr>
          <w:rFonts w:cs="Times New Roman"/>
          <w:u w:val="single"/>
        </w:rPr>
        <w:t>S产生量详见下表。</w:t>
      </w:r>
    </w:p>
    <w:p>
      <w:pPr>
        <w:pStyle w:val="15"/>
        <w:rPr>
          <w:rFonts w:cs="Times New Roman"/>
          <w:u w:val="single"/>
        </w:rPr>
      </w:pPr>
      <w:r>
        <w:rPr>
          <w:rFonts w:cs="Times New Roman"/>
          <w:u w:val="single"/>
        </w:rPr>
        <w:t>表</w:t>
      </w:r>
      <w:r>
        <w:rPr>
          <w:rFonts w:cs="Times New Roman"/>
          <w:bCs/>
          <w:u w:val="single"/>
        </w:rPr>
        <w:t>3.2-1</w:t>
      </w:r>
      <w:r>
        <w:rPr>
          <w:rFonts w:hint="eastAsia" w:cs="Times New Roman"/>
          <w:bCs/>
          <w:u w:val="single"/>
        </w:rPr>
        <w:t>2</w:t>
      </w:r>
      <w:r>
        <w:rPr>
          <w:rFonts w:cs="Times New Roman"/>
          <w:bCs/>
          <w:u w:val="single"/>
        </w:rPr>
        <w:t xml:space="preserve">   </w:t>
      </w:r>
      <w:r>
        <w:rPr>
          <w:rFonts w:cs="Times New Roman"/>
          <w:u w:val="single"/>
        </w:rPr>
        <w:t>鸡舍恶臭污染物产生量一览表</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1"/>
        <w:gridCol w:w="2293"/>
        <w:gridCol w:w="2293"/>
        <w:gridCol w:w="2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49" w:type="pct"/>
            <w:vMerge w:val="restart"/>
            <w:vAlign w:val="center"/>
          </w:tcPr>
          <w:p>
            <w:pPr>
              <w:pStyle w:val="39"/>
              <w:rPr>
                <w:rFonts w:cs="Times New Roman"/>
                <w:u w:val="single"/>
              </w:rPr>
            </w:pPr>
            <w:r>
              <w:rPr>
                <w:rFonts w:cs="Times New Roman"/>
                <w:u w:val="single"/>
              </w:rPr>
              <w:t>污染物</w:t>
            </w:r>
          </w:p>
        </w:tc>
        <w:tc>
          <w:tcPr>
            <w:tcW w:w="1250" w:type="pct"/>
            <w:vMerge w:val="restart"/>
            <w:vAlign w:val="center"/>
          </w:tcPr>
          <w:p>
            <w:pPr>
              <w:pStyle w:val="39"/>
              <w:rPr>
                <w:rFonts w:cs="Times New Roman"/>
                <w:u w:val="single"/>
              </w:rPr>
            </w:pPr>
            <w:r>
              <w:rPr>
                <w:rFonts w:cs="Times New Roman"/>
                <w:u w:val="single"/>
              </w:rPr>
              <w:t>总产生量</w:t>
            </w:r>
            <w:r>
              <w:rPr>
                <w:rFonts w:hint="eastAsia" w:cs="Times New Roman"/>
                <w:u w:val="single"/>
              </w:rPr>
              <w:t>（科学</w:t>
            </w:r>
            <w:r>
              <w:rPr>
                <w:rFonts w:cs="Times New Roman"/>
                <w:u w:val="single"/>
              </w:rPr>
              <w:t>饲养</w:t>
            </w:r>
            <w:r>
              <w:rPr>
                <w:rFonts w:hint="eastAsia" w:cs="Times New Roman"/>
                <w:u w:val="single"/>
              </w:rPr>
              <w:t>）</w:t>
            </w:r>
          </w:p>
          <w:p>
            <w:pPr>
              <w:pStyle w:val="39"/>
              <w:rPr>
                <w:rFonts w:cs="Times New Roman"/>
                <w:u w:val="single"/>
              </w:rPr>
            </w:pPr>
            <w:r>
              <w:rPr>
                <w:rFonts w:hint="eastAsia" w:cs="Times New Roman"/>
                <w:u w:val="single"/>
              </w:rPr>
              <w:t>（t</w:t>
            </w:r>
            <w:r>
              <w:rPr>
                <w:rFonts w:cs="Times New Roman"/>
                <w:u w:val="single"/>
              </w:rPr>
              <w:t>/a</w:t>
            </w:r>
            <w:r>
              <w:rPr>
                <w:rFonts w:hint="eastAsia" w:cs="Times New Roman"/>
                <w:u w:val="single"/>
              </w:rPr>
              <w:t>）</w:t>
            </w:r>
          </w:p>
        </w:tc>
        <w:tc>
          <w:tcPr>
            <w:tcW w:w="2501" w:type="pct"/>
            <w:gridSpan w:val="2"/>
            <w:vAlign w:val="center"/>
          </w:tcPr>
          <w:p>
            <w:pPr>
              <w:pStyle w:val="39"/>
              <w:rPr>
                <w:rFonts w:cs="Times New Roman"/>
                <w:u w:val="single"/>
              </w:rPr>
            </w:pPr>
            <w:r>
              <w:rPr>
                <w:rFonts w:cs="Times New Roman"/>
                <w:u w:val="single"/>
              </w:rPr>
              <w:t>污染源</w:t>
            </w:r>
            <w:r>
              <w:rPr>
                <w:rFonts w:hint="eastAsia" w:cs="Times New Roman"/>
                <w:u w:val="single"/>
              </w:rPr>
              <w:t>（t</w:t>
            </w:r>
            <w:r>
              <w:rPr>
                <w:rFonts w:cs="Times New Roman"/>
                <w:u w:val="single"/>
              </w:rPr>
              <w:t>/a</w:t>
            </w:r>
            <w:r>
              <w:rPr>
                <w:rFonts w:hint="eastAsia" w:cs="Times New Roman"/>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49" w:type="pct"/>
            <w:vMerge w:val="continue"/>
            <w:vAlign w:val="center"/>
          </w:tcPr>
          <w:p>
            <w:pPr>
              <w:pStyle w:val="39"/>
              <w:rPr>
                <w:rFonts w:cs="Times New Roman"/>
                <w:u w:val="single"/>
              </w:rPr>
            </w:pPr>
          </w:p>
        </w:tc>
        <w:tc>
          <w:tcPr>
            <w:tcW w:w="1250" w:type="pct"/>
            <w:vMerge w:val="continue"/>
            <w:vAlign w:val="center"/>
          </w:tcPr>
          <w:p>
            <w:pPr>
              <w:pStyle w:val="39"/>
              <w:rPr>
                <w:rFonts w:cs="Times New Roman"/>
                <w:u w:val="single"/>
              </w:rPr>
            </w:pPr>
          </w:p>
        </w:tc>
        <w:tc>
          <w:tcPr>
            <w:tcW w:w="1250" w:type="pct"/>
            <w:vAlign w:val="center"/>
          </w:tcPr>
          <w:p>
            <w:pPr>
              <w:pStyle w:val="39"/>
              <w:rPr>
                <w:rFonts w:cs="Times New Roman"/>
                <w:u w:val="single"/>
              </w:rPr>
            </w:pPr>
            <w:r>
              <w:rPr>
                <w:rFonts w:hint="eastAsia" w:cs="Times New Roman"/>
                <w:u w:val="single"/>
              </w:rPr>
              <w:t>鸡</w:t>
            </w:r>
            <w:r>
              <w:rPr>
                <w:rFonts w:cs="Times New Roman"/>
                <w:u w:val="single"/>
              </w:rPr>
              <w:t>舍10%</w:t>
            </w:r>
          </w:p>
        </w:tc>
        <w:tc>
          <w:tcPr>
            <w:tcW w:w="1250" w:type="pct"/>
            <w:vAlign w:val="center"/>
          </w:tcPr>
          <w:p>
            <w:pPr>
              <w:pStyle w:val="39"/>
              <w:rPr>
                <w:rFonts w:cs="Times New Roman"/>
                <w:u w:val="single"/>
              </w:rPr>
            </w:pPr>
            <w:r>
              <w:rPr>
                <w:rFonts w:hint="eastAsia" w:cs="Times New Roman"/>
                <w:u w:val="single"/>
              </w:rPr>
              <w:t>鸡粪</w:t>
            </w:r>
            <w:r>
              <w:rPr>
                <w:rFonts w:cs="Times New Roman"/>
                <w:u w:val="single"/>
              </w:rPr>
              <w:t>处理区90%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49" w:type="pct"/>
            <w:vAlign w:val="center"/>
          </w:tcPr>
          <w:p>
            <w:pPr>
              <w:pStyle w:val="39"/>
              <w:rPr>
                <w:rFonts w:cs="Times New Roman"/>
                <w:u w:val="single"/>
              </w:rPr>
            </w:pPr>
            <w:r>
              <w:rPr>
                <w:rFonts w:cs="Times New Roman"/>
                <w:u w:val="single"/>
              </w:rPr>
              <w:t>NH</w:t>
            </w:r>
            <w:r>
              <w:rPr>
                <w:rFonts w:cs="Times New Roman"/>
                <w:u w:val="single"/>
                <w:vertAlign w:val="subscript"/>
              </w:rPr>
              <w:t>3</w:t>
            </w:r>
          </w:p>
        </w:tc>
        <w:tc>
          <w:tcPr>
            <w:tcW w:w="1250" w:type="pct"/>
            <w:vAlign w:val="center"/>
          </w:tcPr>
          <w:p>
            <w:pPr>
              <w:pStyle w:val="39"/>
              <w:rPr>
                <w:rFonts w:cs="Times New Roman"/>
                <w:u w:val="single"/>
              </w:rPr>
            </w:pPr>
            <w:r>
              <w:rPr>
                <w:rFonts w:cs="Times New Roman"/>
                <w:u w:val="single"/>
              </w:rPr>
              <w:t>2.88</w:t>
            </w:r>
          </w:p>
        </w:tc>
        <w:tc>
          <w:tcPr>
            <w:tcW w:w="1250" w:type="pct"/>
            <w:vAlign w:val="center"/>
          </w:tcPr>
          <w:p>
            <w:pPr>
              <w:pStyle w:val="39"/>
              <w:rPr>
                <w:rFonts w:cs="Times New Roman"/>
                <w:u w:val="single"/>
              </w:rPr>
            </w:pPr>
            <w:r>
              <w:rPr>
                <w:rFonts w:cs="Times New Roman"/>
                <w:u w:val="single"/>
              </w:rPr>
              <w:t>0.29</w:t>
            </w:r>
          </w:p>
        </w:tc>
        <w:tc>
          <w:tcPr>
            <w:tcW w:w="1250" w:type="pct"/>
            <w:vAlign w:val="center"/>
          </w:tcPr>
          <w:p>
            <w:pPr>
              <w:pStyle w:val="39"/>
              <w:rPr>
                <w:rFonts w:cs="Times New Roman"/>
                <w:u w:val="single"/>
              </w:rPr>
            </w:pPr>
            <w:r>
              <w:rPr>
                <w:rFonts w:cs="Times New Roman"/>
                <w:u w:val="single"/>
              </w:rPr>
              <w:t>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49" w:type="pct"/>
            <w:vAlign w:val="center"/>
          </w:tcPr>
          <w:p>
            <w:pPr>
              <w:pStyle w:val="39"/>
              <w:rPr>
                <w:rFonts w:cs="Times New Roman"/>
                <w:u w:val="single"/>
              </w:rPr>
            </w:pPr>
            <w:r>
              <w:rPr>
                <w:rFonts w:cs="Times New Roman"/>
                <w:u w:val="single"/>
              </w:rPr>
              <w:t>H</w:t>
            </w:r>
            <w:r>
              <w:rPr>
                <w:rFonts w:cs="Times New Roman"/>
                <w:u w:val="single"/>
                <w:vertAlign w:val="subscript"/>
              </w:rPr>
              <w:t>2</w:t>
            </w:r>
            <w:r>
              <w:rPr>
                <w:rFonts w:cs="Times New Roman"/>
                <w:u w:val="single"/>
              </w:rPr>
              <w:t>S</w:t>
            </w:r>
          </w:p>
        </w:tc>
        <w:tc>
          <w:tcPr>
            <w:tcW w:w="1250" w:type="pct"/>
            <w:vAlign w:val="center"/>
          </w:tcPr>
          <w:p>
            <w:pPr>
              <w:pStyle w:val="39"/>
              <w:rPr>
                <w:rFonts w:cs="Times New Roman"/>
                <w:u w:val="single"/>
              </w:rPr>
            </w:pPr>
            <w:r>
              <w:rPr>
                <w:rFonts w:cs="Times New Roman"/>
                <w:u w:val="single"/>
              </w:rPr>
              <w:t>0.17</w:t>
            </w:r>
          </w:p>
        </w:tc>
        <w:tc>
          <w:tcPr>
            <w:tcW w:w="1250" w:type="pct"/>
            <w:vAlign w:val="center"/>
          </w:tcPr>
          <w:p>
            <w:pPr>
              <w:pStyle w:val="39"/>
              <w:rPr>
                <w:rFonts w:cs="Times New Roman"/>
                <w:u w:val="single"/>
              </w:rPr>
            </w:pPr>
            <w:r>
              <w:rPr>
                <w:rFonts w:cs="Times New Roman"/>
                <w:u w:val="single"/>
              </w:rPr>
              <w:t>0.02</w:t>
            </w:r>
          </w:p>
        </w:tc>
        <w:tc>
          <w:tcPr>
            <w:tcW w:w="1250" w:type="pct"/>
            <w:vAlign w:val="center"/>
          </w:tcPr>
          <w:p>
            <w:pPr>
              <w:pStyle w:val="39"/>
              <w:rPr>
                <w:rFonts w:cs="Times New Roman"/>
                <w:u w:val="single"/>
              </w:rPr>
            </w:pPr>
            <w:r>
              <w:rPr>
                <w:rFonts w:cs="Times New Roman"/>
                <w:u w:val="single"/>
              </w:rPr>
              <w:t>0.16</w:t>
            </w:r>
          </w:p>
        </w:tc>
      </w:tr>
    </w:tbl>
    <w:p>
      <w:pPr>
        <w:pStyle w:val="3"/>
        <w:ind w:firstLine="480"/>
        <w:rPr>
          <w:u w:val="single"/>
        </w:rPr>
      </w:pPr>
    </w:p>
    <w:p>
      <w:pPr>
        <w:pStyle w:val="3"/>
        <w:ind w:firstLine="480"/>
        <w:rPr>
          <w:rFonts w:cs="Times New Roman"/>
          <w:u w:val="single"/>
        </w:rPr>
      </w:pPr>
      <w:r>
        <w:rPr>
          <w:rFonts w:cs="Times New Roman"/>
          <w:u w:val="single"/>
        </w:rPr>
        <w:t>由于</w:t>
      </w:r>
      <w:r>
        <w:rPr>
          <w:rFonts w:hint="eastAsia" w:cs="Times New Roman"/>
          <w:u w:val="single"/>
        </w:rPr>
        <w:t>鸡</w:t>
      </w:r>
      <w:r>
        <w:rPr>
          <w:rFonts w:cs="Times New Roman"/>
          <w:u w:val="single"/>
        </w:rPr>
        <w:t>舍内对温度、采光、通风等条件要求较严格，因而无法对鸡舍密闭。根据设计生产期</w:t>
      </w:r>
      <w:r>
        <w:rPr>
          <w:rFonts w:hint="eastAsia" w:cs="Times New Roman"/>
          <w:u w:val="single"/>
        </w:rPr>
        <w:t>鸡</w:t>
      </w:r>
      <w:r>
        <w:rPr>
          <w:rFonts w:cs="Times New Roman"/>
          <w:u w:val="single"/>
        </w:rPr>
        <w:t>舍内使用除臭剂，在每个</w:t>
      </w:r>
      <w:r>
        <w:rPr>
          <w:rFonts w:hint="eastAsia" w:cs="Times New Roman"/>
          <w:u w:val="single"/>
        </w:rPr>
        <w:t>鸡</w:t>
      </w:r>
      <w:r>
        <w:rPr>
          <w:rFonts w:cs="Times New Roman"/>
          <w:u w:val="single"/>
        </w:rPr>
        <w:t>舍设有水帘通风系统，整个养殖过程风机不间歇运转，确保鸡舍通风。</w:t>
      </w:r>
    </w:p>
    <w:p>
      <w:pPr>
        <w:pStyle w:val="3"/>
        <w:ind w:firstLine="480"/>
        <w:rPr>
          <w:u w:val="single"/>
        </w:rPr>
      </w:pPr>
      <w:r>
        <w:rPr>
          <w:rFonts w:hint="eastAsia"/>
          <w:u w:val="single"/>
        </w:rPr>
        <w:t>根据西北农林科技大学植物保护学院苟丽霞等人发表的《微生物源抗菌除臭剂—万洁芬在禽畜养殖中的应用研究》（环境卫生工程，2009 年10 月，第17 卷增刊），喷洒除臭剂后，舍内NH</w:t>
      </w:r>
      <w:r>
        <w:rPr>
          <w:rFonts w:hint="eastAsia"/>
          <w:u w:val="single"/>
          <w:vertAlign w:val="subscript"/>
        </w:rPr>
        <w:t>3</w:t>
      </w:r>
      <w:r>
        <w:rPr>
          <w:rFonts w:hint="eastAsia"/>
          <w:u w:val="single"/>
        </w:rPr>
        <w:t>和H</w:t>
      </w:r>
      <w:r>
        <w:rPr>
          <w:rFonts w:hint="eastAsia"/>
          <w:u w:val="single"/>
          <w:vertAlign w:val="subscript"/>
        </w:rPr>
        <w:t>2</w:t>
      </w:r>
      <w:r>
        <w:rPr>
          <w:rFonts w:hint="eastAsia"/>
          <w:u w:val="single"/>
        </w:rPr>
        <w:t>S浓度分别下降73.2%和81.6%。保守估算，本项目鸡舍NH</w:t>
      </w:r>
      <w:r>
        <w:rPr>
          <w:rFonts w:hint="eastAsia"/>
          <w:u w:val="single"/>
          <w:vertAlign w:val="subscript"/>
        </w:rPr>
        <w:t>3</w:t>
      </w:r>
      <w:r>
        <w:rPr>
          <w:rFonts w:hint="eastAsia"/>
          <w:u w:val="single"/>
        </w:rPr>
        <w:t>和H</w:t>
      </w:r>
      <w:r>
        <w:rPr>
          <w:rFonts w:hint="eastAsia"/>
          <w:u w:val="single"/>
          <w:vertAlign w:val="subscript"/>
        </w:rPr>
        <w:t>2</w:t>
      </w:r>
      <w:r>
        <w:rPr>
          <w:rFonts w:hint="eastAsia"/>
          <w:u w:val="single"/>
        </w:rPr>
        <w:t>S的去除效率分别取70%、80%，则项目鸡舍恶臭污染物排放情况。则项目鸡舍恶臭污染物排放情况见下表。</w:t>
      </w:r>
    </w:p>
    <w:p>
      <w:pPr>
        <w:pStyle w:val="3"/>
        <w:ind w:firstLine="480"/>
        <w:rPr>
          <w:u w:val="single"/>
        </w:rPr>
      </w:pPr>
    </w:p>
    <w:p>
      <w:pPr>
        <w:pStyle w:val="3"/>
        <w:ind w:firstLine="480"/>
        <w:rPr>
          <w:u w:val="single"/>
        </w:rPr>
      </w:pPr>
    </w:p>
    <w:p>
      <w:pPr>
        <w:pStyle w:val="3"/>
        <w:ind w:firstLine="480"/>
        <w:rPr>
          <w:rFonts w:cs="Times New Roman"/>
          <w:u w:val="single"/>
        </w:rPr>
      </w:pPr>
    </w:p>
    <w:p>
      <w:pPr>
        <w:pStyle w:val="15"/>
        <w:rPr>
          <w:rFonts w:cs="Times New Roman"/>
          <w:u w:val="single"/>
        </w:rPr>
      </w:pPr>
      <w:r>
        <w:rPr>
          <w:rFonts w:cs="Times New Roman"/>
          <w:u w:val="single"/>
        </w:rPr>
        <w:t>表</w:t>
      </w:r>
      <w:r>
        <w:rPr>
          <w:rFonts w:eastAsia="TimesNewRomanPS-BoldMT" w:cs="Times New Roman"/>
          <w:bCs/>
          <w:u w:val="single"/>
        </w:rPr>
        <w:t>3.2-1</w:t>
      </w:r>
      <w:r>
        <w:rPr>
          <w:rFonts w:hint="eastAsia" w:eastAsia="TimesNewRomanPS-BoldMT" w:cs="Times New Roman"/>
          <w:bCs/>
          <w:u w:val="single"/>
        </w:rPr>
        <w:t>3</w:t>
      </w:r>
      <w:r>
        <w:rPr>
          <w:rFonts w:eastAsia="TimesNewRomanPS-BoldMT" w:cs="Times New Roman"/>
          <w:bCs/>
          <w:u w:val="single"/>
        </w:rPr>
        <w:t xml:space="preserve">  </w:t>
      </w:r>
      <w:r>
        <w:rPr>
          <w:rFonts w:hint="eastAsia" w:cs="Times New Roman"/>
          <w:u w:val="single"/>
        </w:rPr>
        <w:t>鸡</w:t>
      </w:r>
      <w:r>
        <w:rPr>
          <w:rFonts w:cs="Times New Roman"/>
          <w:u w:val="single"/>
        </w:rPr>
        <w:t>舍恶臭排放情况一览表</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1418"/>
        <w:gridCol w:w="1134"/>
        <w:gridCol w:w="992"/>
        <w:gridCol w:w="2410"/>
        <w:gridCol w:w="1131"/>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42" w:type="dxa"/>
            <w:vAlign w:val="center"/>
          </w:tcPr>
          <w:p>
            <w:pPr>
              <w:pStyle w:val="39"/>
              <w:rPr>
                <w:rFonts w:cs="Times New Roman"/>
                <w:u w:val="single"/>
              </w:rPr>
            </w:pPr>
            <w:r>
              <w:rPr>
                <w:rFonts w:cs="Times New Roman"/>
                <w:u w:val="single"/>
              </w:rPr>
              <w:t>排放方式</w:t>
            </w:r>
          </w:p>
        </w:tc>
        <w:tc>
          <w:tcPr>
            <w:tcW w:w="1418" w:type="dxa"/>
            <w:vAlign w:val="center"/>
          </w:tcPr>
          <w:p>
            <w:pPr>
              <w:pStyle w:val="39"/>
              <w:rPr>
                <w:rFonts w:cs="Times New Roman"/>
                <w:u w:val="single"/>
              </w:rPr>
            </w:pPr>
            <w:r>
              <w:rPr>
                <w:rFonts w:cs="Times New Roman"/>
                <w:u w:val="single"/>
              </w:rPr>
              <w:t>污染物</w:t>
            </w:r>
          </w:p>
        </w:tc>
        <w:tc>
          <w:tcPr>
            <w:tcW w:w="1134" w:type="dxa"/>
            <w:vAlign w:val="center"/>
          </w:tcPr>
          <w:p>
            <w:pPr>
              <w:pStyle w:val="39"/>
              <w:rPr>
                <w:rFonts w:cs="Times New Roman"/>
                <w:u w:val="single"/>
              </w:rPr>
            </w:pPr>
            <w:r>
              <w:rPr>
                <w:rFonts w:cs="Times New Roman"/>
                <w:u w:val="single"/>
              </w:rPr>
              <w:t>产生速率</w:t>
            </w:r>
          </w:p>
          <w:p>
            <w:pPr>
              <w:pStyle w:val="39"/>
              <w:rPr>
                <w:rFonts w:cs="Times New Roman"/>
                <w:u w:val="single"/>
              </w:rPr>
            </w:pPr>
            <w:r>
              <w:rPr>
                <w:rFonts w:cs="Times New Roman"/>
                <w:u w:val="single"/>
              </w:rPr>
              <w:t>（kg/h）</w:t>
            </w:r>
          </w:p>
        </w:tc>
        <w:tc>
          <w:tcPr>
            <w:tcW w:w="992" w:type="dxa"/>
            <w:vAlign w:val="center"/>
          </w:tcPr>
          <w:p>
            <w:pPr>
              <w:pStyle w:val="39"/>
              <w:rPr>
                <w:rFonts w:cs="Times New Roman"/>
                <w:u w:val="single"/>
              </w:rPr>
            </w:pPr>
            <w:r>
              <w:rPr>
                <w:rFonts w:cs="Times New Roman"/>
                <w:u w:val="single"/>
              </w:rPr>
              <w:t>产生量</w:t>
            </w:r>
          </w:p>
          <w:p>
            <w:pPr>
              <w:pStyle w:val="39"/>
              <w:rPr>
                <w:rFonts w:cs="Times New Roman"/>
                <w:u w:val="single"/>
              </w:rPr>
            </w:pPr>
            <w:r>
              <w:rPr>
                <w:rFonts w:cs="Times New Roman"/>
                <w:u w:val="single"/>
              </w:rPr>
              <w:t>（t/a）</w:t>
            </w:r>
          </w:p>
        </w:tc>
        <w:tc>
          <w:tcPr>
            <w:tcW w:w="2410" w:type="dxa"/>
            <w:vAlign w:val="center"/>
          </w:tcPr>
          <w:p>
            <w:pPr>
              <w:pStyle w:val="39"/>
              <w:rPr>
                <w:rFonts w:cs="Times New Roman"/>
                <w:u w:val="single"/>
              </w:rPr>
            </w:pPr>
            <w:r>
              <w:rPr>
                <w:rFonts w:cs="Times New Roman"/>
                <w:u w:val="single"/>
              </w:rPr>
              <w:t>治理措施及效率</w:t>
            </w:r>
          </w:p>
        </w:tc>
        <w:tc>
          <w:tcPr>
            <w:tcW w:w="1131" w:type="dxa"/>
            <w:vAlign w:val="center"/>
          </w:tcPr>
          <w:p>
            <w:pPr>
              <w:pStyle w:val="39"/>
              <w:rPr>
                <w:rFonts w:cs="Times New Roman"/>
                <w:u w:val="single"/>
              </w:rPr>
            </w:pPr>
            <w:r>
              <w:rPr>
                <w:rFonts w:cs="Times New Roman"/>
                <w:u w:val="single"/>
              </w:rPr>
              <w:t>排放速率</w:t>
            </w:r>
          </w:p>
          <w:p>
            <w:pPr>
              <w:pStyle w:val="39"/>
              <w:rPr>
                <w:rFonts w:cs="Times New Roman"/>
                <w:u w:val="single"/>
              </w:rPr>
            </w:pPr>
            <w:r>
              <w:rPr>
                <w:rFonts w:cs="Times New Roman"/>
                <w:u w:val="single"/>
              </w:rPr>
              <w:t>（kg/h）</w:t>
            </w:r>
          </w:p>
        </w:tc>
        <w:tc>
          <w:tcPr>
            <w:tcW w:w="846" w:type="dxa"/>
            <w:vAlign w:val="center"/>
          </w:tcPr>
          <w:p>
            <w:pPr>
              <w:pStyle w:val="39"/>
              <w:rPr>
                <w:rFonts w:cs="Times New Roman"/>
                <w:u w:val="single"/>
              </w:rPr>
            </w:pPr>
            <w:r>
              <w:rPr>
                <w:rFonts w:cs="Times New Roman"/>
                <w:u w:val="single"/>
              </w:rPr>
              <w:t>排放量</w:t>
            </w:r>
          </w:p>
          <w:p>
            <w:pPr>
              <w:pStyle w:val="39"/>
              <w:rPr>
                <w:rFonts w:cs="Times New Roman"/>
                <w:u w:val="single"/>
              </w:rPr>
            </w:pPr>
            <w:r>
              <w:rPr>
                <w:rFonts w:cs="Times New Roman"/>
                <w:u w:val="single"/>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42" w:type="dxa"/>
            <w:vMerge w:val="restart"/>
            <w:vAlign w:val="center"/>
          </w:tcPr>
          <w:p>
            <w:pPr>
              <w:pStyle w:val="39"/>
              <w:rPr>
                <w:rFonts w:cs="Times New Roman"/>
                <w:u w:val="single"/>
              </w:rPr>
            </w:pPr>
            <w:r>
              <w:rPr>
                <w:rFonts w:cs="Times New Roman"/>
                <w:u w:val="single"/>
              </w:rPr>
              <w:t>无组织排放</w:t>
            </w:r>
          </w:p>
        </w:tc>
        <w:tc>
          <w:tcPr>
            <w:tcW w:w="1418" w:type="dxa"/>
            <w:vAlign w:val="center"/>
          </w:tcPr>
          <w:p>
            <w:pPr>
              <w:pStyle w:val="39"/>
              <w:rPr>
                <w:rFonts w:cs="Times New Roman"/>
                <w:u w:val="single"/>
              </w:rPr>
            </w:pPr>
            <w:r>
              <w:rPr>
                <w:rFonts w:cs="Times New Roman"/>
                <w:u w:val="single"/>
              </w:rPr>
              <w:t>NH</w:t>
            </w:r>
            <w:r>
              <w:rPr>
                <w:rFonts w:cs="Times New Roman"/>
                <w:u w:val="single"/>
                <w:vertAlign w:val="subscript"/>
              </w:rPr>
              <w:t>3</w:t>
            </w:r>
          </w:p>
        </w:tc>
        <w:tc>
          <w:tcPr>
            <w:tcW w:w="1134" w:type="dxa"/>
            <w:vAlign w:val="center"/>
          </w:tcPr>
          <w:p>
            <w:pPr>
              <w:adjustRightInd/>
              <w:snapToGrid/>
              <w:jc w:val="center"/>
              <w:rPr>
                <w:rFonts w:ascii="Times New Roman" w:hAnsi="Times New Roman" w:eastAsia="等线" w:cs="Times New Roman"/>
                <w:color w:val="000000"/>
                <w:u w:val="single"/>
              </w:rPr>
            </w:pPr>
            <w:r>
              <w:rPr>
                <w:rFonts w:ascii="Times New Roman" w:hAnsi="Times New Roman" w:eastAsia="等线" w:cs="Times New Roman"/>
                <w:color w:val="000000"/>
                <w:u w:val="single"/>
              </w:rPr>
              <w:t xml:space="preserve">0.033 </w:t>
            </w:r>
          </w:p>
        </w:tc>
        <w:tc>
          <w:tcPr>
            <w:tcW w:w="992" w:type="dxa"/>
            <w:vAlign w:val="center"/>
          </w:tcPr>
          <w:p>
            <w:pPr>
              <w:jc w:val="center"/>
              <w:rPr>
                <w:rFonts w:ascii="Times New Roman" w:hAnsi="Times New Roman" w:eastAsia="等线" w:cs="Times New Roman"/>
                <w:color w:val="000000"/>
                <w:u w:val="single"/>
              </w:rPr>
            </w:pPr>
            <w:r>
              <w:rPr>
                <w:rFonts w:ascii="Times New Roman" w:hAnsi="Times New Roman" w:eastAsia="等线" w:cs="Times New Roman"/>
                <w:color w:val="000000"/>
                <w:u w:val="single"/>
              </w:rPr>
              <w:t xml:space="preserve">0.29 </w:t>
            </w:r>
          </w:p>
        </w:tc>
        <w:tc>
          <w:tcPr>
            <w:tcW w:w="2410" w:type="dxa"/>
            <w:vAlign w:val="center"/>
          </w:tcPr>
          <w:p>
            <w:pPr>
              <w:pStyle w:val="39"/>
              <w:rPr>
                <w:rFonts w:cs="Times New Roman"/>
                <w:u w:val="single"/>
              </w:rPr>
            </w:pPr>
            <w:r>
              <w:rPr>
                <w:rFonts w:cs="Times New Roman"/>
                <w:u w:val="single"/>
              </w:rPr>
              <w:t>喷洒除臭剂，去除</w:t>
            </w:r>
            <w:r>
              <w:rPr>
                <w:rFonts w:hint="eastAsia" w:cs="Times New Roman"/>
                <w:u w:val="single"/>
              </w:rPr>
              <w:t>7</w:t>
            </w:r>
            <w:r>
              <w:rPr>
                <w:rFonts w:cs="Times New Roman"/>
                <w:u w:val="single"/>
              </w:rPr>
              <w:t>0%</w:t>
            </w:r>
          </w:p>
        </w:tc>
        <w:tc>
          <w:tcPr>
            <w:tcW w:w="1131" w:type="dxa"/>
            <w:vAlign w:val="center"/>
          </w:tcPr>
          <w:p>
            <w:pPr>
              <w:adjustRightInd/>
              <w:snapToGrid/>
              <w:jc w:val="center"/>
              <w:rPr>
                <w:rFonts w:ascii="Times New Roman" w:hAnsi="Times New Roman" w:eastAsia="等线" w:cs="Times New Roman"/>
                <w:color w:val="000000"/>
                <w:u w:val="single"/>
              </w:rPr>
            </w:pPr>
            <w:r>
              <w:rPr>
                <w:rFonts w:ascii="Times New Roman" w:hAnsi="Times New Roman" w:eastAsia="等线" w:cs="Times New Roman"/>
                <w:color w:val="000000"/>
                <w:u w:val="single"/>
              </w:rPr>
              <w:t xml:space="preserve">0.010 </w:t>
            </w:r>
          </w:p>
        </w:tc>
        <w:tc>
          <w:tcPr>
            <w:tcW w:w="846" w:type="dxa"/>
            <w:vAlign w:val="center"/>
          </w:tcPr>
          <w:p>
            <w:pPr>
              <w:jc w:val="center"/>
              <w:rPr>
                <w:rFonts w:ascii="Times New Roman" w:hAnsi="Times New Roman" w:eastAsia="等线" w:cs="Times New Roman"/>
                <w:color w:val="000000"/>
                <w:u w:val="single"/>
              </w:rPr>
            </w:pPr>
            <w:r>
              <w:rPr>
                <w:rFonts w:ascii="Times New Roman" w:hAnsi="Times New Roman" w:eastAsia="等线" w:cs="Times New Roman"/>
                <w:color w:val="000000"/>
                <w:u w:val="single"/>
              </w:rPr>
              <w:t xml:space="preserve">0.086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42" w:type="dxa"/>
            <w:vMerge w:val="continue"/>
            <w:vAlign w:val="center"/>
          </w:tcPr>
          <w:p>
            <w:pPr>
              <w:pStyle w:val="39"/>
              <w:rPr>
                <w:rFonts w:cs="Times New Roman"/>
                <w:u w:val="single"/>
              </w:rPr>
            </w:pPr>
          </w:p>
        </w:tc>
        <w:tc>
          <w:tcPr>
            <w:tcW w:w="1418" w:type="dxa"/>
            <w:vAlign w:val="center"/>
          </w:tcPr>
          <w:p>
            <w:pPr>
              <w:pStyle w:val="39"/>
              <w:rPr>
                <w:rFonts w:cs="Times New Roman"/>
                <w:u w:val="single"/>
              </w:rPr>
            </w:pPr>
            <w:r>
              <w:rPr>
                <w:rFonts w:cs="Times New Roman"/>
                <w:u w:val="single"/>
              </w:rPr>
              <w:t>H</w:t>
            </w:r>
            <w:r>
              <w:rPr>
                <w:rFonts w:cs="Times New Roman"/>
                <w:u w:val="single"/>
                <w:vertAlign w:val="subscript"/>
              </w:rPr>
              <w:t>2</w:t>
            </w:r>
            <w:r>
              <w:rPr>
                <w:rFonts w:cs="Times New Roman"/>
                <w:u w:val="single"/>
              </w:rPr>
              <w:t>S</w:t>
            </w:r>
          </w:p>
        </w:tc>
        <w:tc>
          <w:tcPr>
            <w:tcW w:w="1134" w:type="dxa"/>
            <w:vAlign w:val="center"/>
          </w:tcPr>
          <w:p>
            <w:pPr>
              <w:jc w:val="center"/>
              <w:rPr>
                <w:rFonts w:ascii="Times New Roman" w:hAnsi="Times New Roman" w:eastAsia="等线" w:cs="Times New Roman"/>
                <w:color w:val="000000"/>
                <w:u w:val="single"/>
              </w:rPr>
            </w:pPr>
            <w:r>
              <w:rPr>
                <w:rFonts w:ascii="Times New Roman" w:hAnsi="Times New Roman" w:eastAsia="等线" w:cs="Times New Roman"/>
                <w:color w:val="000000"/>
                <w:u w:val="single"/>
              </w:rPr>
              <w:t xml:space="preserve">0.002 </w:t>
            </w:r>
          </w:p>
        </w:tc>
        <w:tc>
          <w:tcPr>
            <w:tcW w:w="992" w:type="dxa"/>
            <w:vAlign w:val="center"/>
          </w:tcPr>
          <w:p>
            <w:pPr>
              <w:jc w:val="center"/>
              <w:rPr>
                <w:rFonts w:ascii="Times New Roman" w:hAnsi="Times New Roman" w:eastAsia="等线" w:cs="Times New Roman"/>
                <w:color w:val="000000"/>
                <w:u w:val="single"/>
              </w:rPr>
            </w:pPr>
            <w:r>
              <w:rPr>
                <w:rFonts w:ascii="Times New Roman" w:hAnsi="Times New Roman" w:eastAsia="等线" w:cs="Times New Roman"/>
                <w:color w:val="000000"/>
                <w:u w:val="single"/>
              </w:rPr>
              <w:t xml:space="preserve">0.02 </w:t>
            </w:r>
          </w:p>
        </w:tc>
        <w:tc>
          <w:tcPr>
            <w:tcW w:w="2410" w:type="dxa"/>
            <w:vAlign w:val="center"/>
          </w:tcPr>
          <w:p>
            <w:pPr>
              <w:pStyle w:val="39"/>
              <w:rPr>
                <w:rFonts w:cs="Times New Roman"/>
                <w:u w:val="single"/>
              </w:rPr>
            </w:pPr>
            <w:r>
              <w:rPr>
                <w:rFonts w:cs="Times New Roman"/>
                <w:u w:val="single"/>
              </w:rPr>
              <w:t>喷洒除臭剂，去除8</w:t>
            </w:r>
            <w:r>
              <w:rPr>
                <w:rFonts w:hint="eastAsia" w:cs="Times New Roman"/>
                <w:u w:val="single"/>
              </w:rPr>
              <w:t>0</w:t>
            </w:r>
            <w:r>
              <w:rPr>
                <w:rFonts w:cs="Times New Roman"/>
                <w:u w:val="single"/>
              </w:rPr>
              <w:t>%</w:t>
            </w:r>
          </w:p>
        </w:tc>
        <w:tc>
          <w:tcPr>
            <w:tcW w:w="1131" w:type="dxa"/>
            <w:vAlign w:val="center"/>
          </w:tcPr>
          <w:p>
            <w:pPr>
              <w:jc w:val="center"/>
              <w:rPr>
                <w:rFonts w:ascii="Times New Roman" w:hAnsi="Times New Roman" w:eastAsia="等线" w:cs="Times New Roman"/>
                <w:color w:val="000000"/>
                <w:u w:val="single"/>
              </w:rPr>
            </w:pPr>
            <w:r>
              <w:rPr>
                <w:rFonts w:ascii="Times New Roman" w:hAnsi="Times New Roman" w:eastAsia="等线" w:cs="Times New Roman"/>
                <w:color w:val="000000"/>
                <w:u w:val="single"/>
              </w:rPr>
              <w:t xml:space="preserve">0.0004 </w:t>
            </w:r>
          </w:p>
        </w:tc>
        <w:tc>
          <w:tcPr>
            <w:tcW w:w="846" w:type="dxa"/>
            <w:vAlign w:val="center"/>
          </w:tcPr>
          <w:p>
            <w:pPr>
              <w:jc w:val="center"/>
              <w:rPr>
                <w:rFonts w:ascii="Times New Roman" w:hAnsi="Times New Roman" w:eastAsia="等线" w:cs="Times New Roman"/>
                <w:color w:val="000000"/>
                <w:u w:val="single"/>
              </w:rPr>
            </w:pPr>
            <w:r>
              <w:rPr>
                <w:rFonts w:ascii="Times New Roman" w:hAnsi="Times New Roman" w:eastAsia="等线" w:cs="Times New Roman"/>
                <w:color w:val="000000"/>
                <w:u w:val="single"/>
              </w:rPr>
              <w:t xml:space="preserve">0.003 </w:t>
            </w:r>
          </w:p>
        </w:tc>
      </w:tr>
    </w:tbl>
    <w:p>
      <w:pPr>
        <w:pStyle w:val="3"/>
        <w:ind w:firstLine="480"/>
        <w:rPr>
          <w:rFonts w:ascii="宋体" w:hAnsi="宋体" w:cs="宋体"/>
          <w:u w:val="single"/>
        </w:rPr>
      </w:pPr>
    </w:p>
    <w:p>
      <w:pPr>
        <w:pStyle w:val="3"/>
        <w:ind w:firstLine="480"/>
        <w:rPr>
          <w:u w:val="single"/>
        </w:rPr>
      </w:pPr>
      <w:r>
        <w:rPr>
          <w:rFonts w:hint="eastAsia" w:ascii="宋体" w:hAnsi="宋体" w:cs="宋体"/>
          <w:u w:val="single"/>
        </w:rPr>
        <w:t>②</w:t>
      </w:r>
      <w:r>
        <w:rPr>
          <w:rFonts w:hint="eastAsia"/>
          <w:u w:val="single"/>
        </w:rPr>
        <w:t>鸡粪处理区</w:t>
      </w:r>
      <w:r>
        <w:rPr>
          <w:rFonts w:cs="Times New Roman"/>
          <w:u w:val="single"/>
        </w:rPr>
        <w:t>恶臭气体</w:t>
      </w:r>
    </w:p>
    <w:p>
      <w:pPr>
        <w:pStyle w:val="3"/>
        <w:ind w:firstLine="480"/>
        <w:rPr>
          <w:rFonts w:cs="Times New Roman"/>
          <w:u w:val="single"/>
        </w:rPr>
      </w:pPr>
      <w:r>
        <w:rPr>
          <w:rFonts w:cs="Times New Roman"/>
          <w:u w:val="single"/>
        </w:rPr>
        <w:t>根据建设单位提供资料，</w:t>
      </w:r>
      <w:r>
        <w:rPr>
          <w:rFonts w:hint="eastAsia" w:cs="Times New Roman"/>
          <w:u w:val="single"/>
        </w:rPr>
        <w:t>拟将采用</w:t>
      </w:r>
      <w:r>
        <w:rPr>
          <w:rFonts w:cs="Times New Roman"/>
          <w:u w:val="single"/>
        </w:rPr>
        <w:t>法国干燥机</w:t>
      </w:r>
      <w:r>
        <w:rPr>
          <w:rFonts w:hint="eastAsia" w:cs="Times New Roman"/>
          <w:u w:val="single"/>
        </w:rPr>
        <w:t>将</w:t>
      </w:r>
      <w:r>
        <w:rPr>
          <w:rFonts w:cs="Times New Roman"/>
          <w:u w:val="single"/>
        </w:rPr>
        <w:t>鸡粪干燥为有机肥</w:t>
      </w:r>
      <w:r>
        <w:rPr>
          <w:rFonts w:hint="eastAsia" w:cs="Times New Roman"/>
          <w:u w:val="single"/>
        </w:rPr>
        <w:t>，鸡粪</w:t>
      </w:r>
      <w:r>
        <w:rPr>
          <w:rFonts w:cs="Times New Roman"/>
          <w:u w:val="single"/>
        </w:rPr>
        <w:t>处理</w:t>
      </w:r>
      <w:r>
        <w:rPr>
          <w:rFonts w:hint="eastAsia" w:cs="Times New Roman"/>
          <w:u w:val="single"/>
        </w:rPr>
        <w:t>区</w:t>
      </w:r>
      <w:r>
        <w:rPr>
          <w:rFonts w:cs="Times New Roman"/>
          <w:u w:val="single"/>
        </w:rPr>
        <w:t>设置在鸡舍北</w:t>
      </w:r>
      <w:r>
        <w:rPr>
          <w:rFonts w:hint="eastAsia" w:cs="Times New Roman"/>
          <w:u w:val="single"/>
        </w:rPr>
        <w:t>端</w:t>
      </w:r>
      <w:r>
        <w:rPr>
          <w:rFonts w:cs="Times New Roman"/>
          <w:u w:val="single"/>
        </w:rPr>
        <w:t>，鸡舍采用履带式自动清粪系统，</w:t>
      </w:r>
      <w:r>
        <w:rPr>
          <w:rFonts w:hint="eastAsia"/>
          <w:u w:val="single"/>
        </w:rPr>
        <w:t>清粪带平常保持静止状态，8小时启动一次传送带，将传送带上搜集的鸡粪清理至法国多赛干燥机内，然后通过</w:t>
      </w:r>
      <w:r>
        <w:rPr>
          <w:rFonts w:hint="eastAsia" w:cs="Times New Roman"/>
          <w:kern w:val="0"/>
          <w:u w:val="single"/>
        </w:rPr>
        <w:t>鸡舍内的热气将新鲜鸡粪进行干燥成有机肥，每8小时生产一批有机肥，并打包暂存至鸡粪（有机肥）暂存库，</w:t>
      </w:r>
      <w:r>
        <w:rPr>
          <w:rFonts w:hint="eastAsia"/>
          <w:u w:val="single"/>
        </w:rPr>
        <w:t>因鸡粪利用鸡舍尾端废气进行干燥，并未发酵，由于</w:t>
      </w:r>
      <w:r>
        <w:rPr>
          <w:u w:val="single"/>
        </w:rPr>
        <w:t>鸡粪逐步干燥过程中产生的</w:t>
      </w:r>
      <w:r>
        <w:rPr>
          <w:rFonts w:hint="eastAsia"/>
          <w:u w:val="single"/>
        </w:rPr>
        <w:t>恶臭</w:t>
      </w:r>
      <w:r>
        <w:rPr>
          <w:u w:val="single"/>
        </w:rPr>
        <w:t>逐渐降低，</w:t>
      </w:r>
      <w:r>
        <w:rPr>
          <w:rFonts w:hint="eastAsia" w:cs="Times New Roman"/>
          <w:u w:val="single"/>
        </w:rPr>
        <w:t>因此</w:t>
      </w:r>
      <w:r>
        <w:rPr>
          <w:rFonts w:cs="Times New Roman"/>
          <w:u w:val="single"/>
        </w:rPr>
        <w:t>，</w:t>
      </w:r>
      <w:r>
        <w:rPr>
          <w:rFonts w:hint="eastAsia" w:cs="Times New Roman"/>
          <w:u w:val="single"/>
        </w:rPr>
        <w:t>本次评价鸡</w:t>
      </w:r>
      <w:r>
        <w:rPr>
          <w:rFonts w:cs="Times New Roman"/>
          <w:u w:val="single"/>
        </w:rPr>
        <w:t>粪处理区大气污染源</w:t>
      </w:r>
      <w:r>
        <w:rPr>
          <w:rFonts w:hint="eastAsia" w:cs="Times New Roman"/>
          <w:u w:val="single"/>
        </w:rPr>
        <w:t>恶臭</w:t>
      </w:r>
      <w:r>
        <w:rPr>
          <w:rFonts w:cs="Times New Roman"/>
          <w:u w:val="single"/>
        </w:rPr>
        <w:t>气体</w:t>
      </w:r>
      <w:r>
        <w:rPr>
          <w:rFonts w:hint="eastAsia" w:cs="Times New Roman"/>
          <w:u w:val="single"/>
        </w:rPr>
        <w:t>按上表3.2-12的</w:t>
      </w:r>
      <w:r>
        <w:rPr>
          <w:rFonts w:cs="Times New Roman"/>
          <w:u w:val="single"/>
        </w:rPr>
        <w:t>产生总量的50%</w:t>
      </w:r>
      <w:r>
        <w:rPr>
          <w:rFonts w:hint="eastAsia" w:cs="Times New Roman"/>
          <w:u w:val="single"/>
        </w:rPr>
        <w:t>计</w:t>
      </w:r>
      <w:r>
        <w:rPr>
          <w:rFonts w:cs="Times New Roman"/>
          <w:u w:val="single"/>
        </w:rPr>
        <w:t>，则项目运营期鸡粪恶臭污染物NH</w:t>
      </w:r>
      <w:r>
        <w:rPr>
          <w:rFonts w:cs="Times New Roman"/>
          <w:u w:val="single"/>
          <w:vertAlign w:val="subscript"/>
        </w:rPr>
        <w:t>3</w:t>
      </w:r>
      <w:r>
        <w:rPr>
          <w:rFonts w:cs="Times New Roman"/>
          <w:u w:val="single"/>
        </w:rPr>
        <w:t>、H</w:t>
      </w:r>
      <w:r>
        <w:rPr>
          <w:rFonts w:cs="Times New Roman"/>
          <w:u w:val="single"/>
          <w:vertAlign w:val="subscript"/>
        </w:rPr>
        <w:t>2</w:t>
      </w:r>
      <w:r>
        <w:rPr>
          <w:rFonts w:cs="Times New Roman"/>
          <w:u w:val="single"/>
        </w:rPr>
        <w:t>S产生量详见下表。</w:t>
      </w:r>
    </w:p>
    <w:p>
      <w:pPr>
        <w:pStyle w:val="15"/>
        <w:rPr>
          <w:rFonts w:cs="Times New Roman"/>
          <w:u w:val="single"/>
        </w:rPr>
      </w:pPr>
      <w:r>
        <w:rPr>
          <w:rFonts w:cs="Times New Roman"/>
          <w:u w:val="single"/>
        </w:rPr>
        <w:t>表</w:t>
      </w:r>
      <w:r>
        <w:rPr>
          <w:rFonts w:cs="Times New Roman"/>
          <w:bCs/>
          <w:u w:val="single"/>
        </w:rPr>
        <w:t xml:space="preserve">3.2-7   </w:t>
      </w:r>
      <w:r>
        <w:rPr>
          <w:rFonts w:cs="Times New Roman"/>
          <w:u w:val="single"/>
        </w:rPr>
        <w:t>鸡舍恶臭污染物产生量一览表   单位：t/a</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2918"/>
        <w:gridCol w:w="4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68" w:type="dxa"/>
            <w:vAlign w:val="center"/>
          </w:tcPr>
          <w:p>
            <w:pPr>
              <w:pStyle w:val="39"/>
              <w:rPr>
                <w:rFonts w:cs="Times New Roman"/>
                <w:u w:val="single"/>
              </w:rPr>
            </w:pPr>
            <w:r>
              <w:rPr>
                <w:rFonts w:cs="Times New Roman"/>
                <w:u w:val="single"/>
              </w:rPr>
              <w:t>污染物</w:t>
            </w:r>
          </w:p>
        </w:tc>
        <w:tc>
          <w:tcPr>
            <w:tcW w:w="2918" w:type="dxa"/>
            <w:vAlign w:val="center"/>
          </w:tcPr>
          <w:p>
            <w:pPr>
              <w:pStyle w:val="39"/>
              <w:rPr>
                <w:rFonts w:cs="Times New Roman"/>
                <w:u w:val="single"/>
              </w:rPr>
            </w:pPr>
            <w:r>
              <w:rPr>
                <w:rFonts w:hint="eastAsia" w:cs="Times New Roman"/>
                <w:u w:val="single"/>
              </w:rPr>
              <w:t>鸡粪处理</w:t>
            </w:r>
            <w:r>
              <w:rPr>
                <w:rFonts w:cs="Times New Roman"/>
                <w:u w:val="single"/>
              </w:rPr>
              <w:t>区产生量</w:t>
            </w:r>
          </w:p>
          <w:p>
            <w:pPr>
              <w:pStyle w:val="39"/>
              <w:rPr>
                <w:rFonts w:cs="Times New Roman"/>
                <w:u w:val="single"/>
              </w:rPr>
            </w:pPr>
            <w:r>
              <w:rPr>
                <w:rFonts w:hint="eastAsia" w:cs="Times New Roman"/>
                <w:u w:val="single"/>
              </w:rPr>
              <w:t>（科学</w:t>
            </w:r>
            <w:r>
              <w:rPr>
                <w:rFonts w:cs="Times New Roman"/>
                <w:u w:val="single"/>
              </w:rPr>
              <w:t>饲养</w:t>
            </w:r>
            <w:r>
              <w:rPr>
                <w:rFonts w:hint="eastAsia" w:cs="Times New Roman"/>
                <w:u w:val="single"/>
              </w:rPr>
              <w:t>）</w:t>
            </w:r>
          </w:p>
        </w:tc>
        <w:tc>
          <w:tcPr>
            <w:tcW w:w="4587" w:type="dxa"/>
            <w:vAlign w:val="center"/>
          </w:tcPr>
          <w:p>
            <w:pPr>
              <w:pStyle w:val="39"/>
              <w:rPr>
                <w:rFonts w:cs="Times New Roman"/>
                <w:u w:val="single"/>
              </w:rPr>
            </w:pPr>
            <w:r>
              <w:rPr>
                <w:rFonts w:hint="eastAsia" w:cs="Times New Roman"/>
                <w:u w:val="single"/>
              </w:rPr>
              <w:t>实际生产</w:t>
            </w:r>
            <w:r>
              <w:rPr>
                <w:rFonts w:cs="Times New Roman"/>
                <w:u w:val="single"/>
              </w:rPr>
              <w:t>过程中污染源</w:t>
            </w:r>
          </w:p>
          <w:p>
            <w:pPr>
              <w:pStyle w:val="39"/>
              <w:rPr>
                <w:rFonts w:cs="Times New Roman"/>
                <w:u w:val="single"/>
              </w:rPr>
            </w:pPr>
            <w:r>
              <w:rPr>
                <w:rFonts w:hint="eastAsia" w:cs="Times New Roman"/>
                <w:u w:val="single"/>
              </w:rPr>
              <w:t>（</w:t>
            </w:r>
            <w:r>
              <w:rPr>
                <w:rFonts w:cs="Times New Roman"/>
                <w:u w:val="single"/>
              </w:rPr>
              <w:t>鸡粪处理区</w:t>
            </w:r>
            <w:r>
              <w:rPr>
                <w:rFonts w:hint="eastAsia" w:cs="Times New Roman"/>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68" w:type="dxa"/>
            <w:vAlign w:val="center"/>
          </w:tcPr>
          <w:p>
            <w:pPr>
              <w:pStyle w:val="39"/>
              <w:rPr>
                <w:rFonts w:cs="Times New Roman"/>
                <w:u w:val="single"/>
              </w:rPr>
            </w:pPr>
            <w:r>
              <w:rPr>
                <w:rFonts w:cs="Times New Roman"/>
                <w:u w:val="single"/>
              </w:rPr>
              <w:t>NH</w:t>
            </w:r>
            <w:r>
              <w:rPr>
                <w:rFonts w:cs="Times New Roman"/>
                <w:u w:val="single"/>
                <w:vertAlign w:val="subscript"/>
              </w:rPr>
              <w:t>3</w:t>
            </w:r>
          </w:p>
        </w:tc>
        <w:tc>
          <w:tcPr>
            <w:tcW w:w="2918" w:type="dxa"/>
            <w:vAlign w:val="center"/>
          </w:tcPr>
          <w:p>
            <w:pPr>
              <w:pStyle w:val="39"/>
              <w:rPr>
                <w:rFonts w:cs="Times New Roman"/>
                <w:u w:val="single"/>
              </w:rPr>
            </w:pPr>
            <w:r>
              <w:rPr>
                <w:rFonts w:cs="Times New Roman"/>
                <w:u w:val="single"/>
              </w:rPr>
              <w:t>2.59</w:t>
            </w:r>
          </w:p>
        </w:tc>
        <w:tc>
          <w:tcPr>
            <w:tcW w:w="4587" w:type="dxa"/>
            <w:vAlign w:val="center"/>
          </w:tcPr>
          <w:p>
            <w:pPr>
              <w:pStyle w:val="39"/>
              <w:rPr>
                <w:rFonts w:cs="Times New Roman"/>
                <w:u w:val="single"/>
              </w:rPr>
            </w:pPr>
            <w:r>
              <w:rPr>
                <w:rFonts w:hint="eastAsia" w:cs="Times New Roman"/>
                <w:u w:val="single"/>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68" w:type="dxa"/>
            <w:vAlign w:val="center"/>
          </w:tcPr>
          <w:p>
            <w:pPr>
              <w:pStyle w:val="39"/>
              <w:rPr>
                <w:rFonts w:cs="Times New Roman"/>
                <w:u w:val="single"/>
              </w:rPr>
            </w:pPr>
            <w:r>
              <w:rPr>
                <w:rFonts w:cs="Times New Roman"/>
                <w:u w:val="single"/>
              </w:rPr>
              <w:t>H</w:t>
            </w:r>
            <w:r>
              <w:rPr>
                <w:rFonts w:cs="Times New Roman"/>
                <w:u w:val="single"/>
                <w:vertAlign w:val="subscript"/>
              </w:rPr>
              <w:t>2</w:t>
            </w:r>
            <w:r>
              <w:rPr>
                <w:rFonts w:cs="Times New Roman"/>
                <w:u w:val="single"/>
              </w:rPr>
              <w:t>S</w:t>
            </w:r>
          </w:p>
        </w:tc>
        <w:tc>
          <w:tcPr>
            <w:tcW w:w="2918" w:type="dxa"/>
            <w:vAlign w:val="center"/>
          </w:tcPr>
          <w:p>
            <w:pPr>
              <w:pStyle w:val="39"/>
              <w:rPr>
                <w:rFonts w:cs="Times New Roman"/>
                <w:u w:val="single"/>
              </w:rPr>
            </w:pPr>
            <w:r>
              <w:rPr>
                <w:rFonts w:cs="Times New Roman"/>
                <w:u w:val="single"/>
              </w:rPr>
              <w:t>0.16</w:t>
            </w:r>
          </w:p>
        </w:tc>
        <w:tc>
          <w:tcPr>
            <w:tcW w:w="4587" w:type="dxa"/>
            <w:vAlign w:val="center"/>
          </w:tcPr>
          <w:p>
            <w:pPr>
              <w:pStyle w:val="39"/>
              <w:rPr>
                <w:rFonts w:cs="Times New Roman"/>
                <w:u w:val="single"/>
              </w:rPr>
            </w:pPr>
            <w:r>
              <w:rPr>
                <w:rFonts w:hint="eastAsia" w:cs="Times New Roman"/>
                <w:u w:val="single"/>
              </w:rPr>
              <w:t>0.08</w:t>
            </w:r>
          </w:p>
        </w:tc>
      </w:tr>
    </w:tbl>
    <w:p>
      <w:pPr>
        <w:pStyle w:val="3"/>
        <w:ind w:firstLine="480"/>
        <w:rPr>
          <w:rFonts w:cs="Times New Roman"/>
          <w:u w:val="single"/>
        </w:rPr>
      </w:pPr>
    </w:p>
    <w:p>
      <w:pPr>
        <w:pStyle w:val="3"/>
        <w:ind w:firstLine="480"/>
        <w:rPr>
          <w:rFonts w:cs="Times New Roman"/>
          <w:u w:val="single"/>
        </w:rPr>
      </w:pPr>
      <w:r>
        <w:rPr>
          <w:rFonts w:hint="eastAsia"/>
          <w:u w:val="single"/>
        </w:rPr>
        <w:t>因鸡粪利用鸡舍尾端废气进行干燥，评价</w:t>
      </w:r>
      <w:r>
        <w:rPr>
          <w:u w:val="single"/>
        </w:rPr>
        <w:t>建议</w:t>
      </w:r>
      <w:r>
        <w:rPr>
          <w:rFonts w:hint="eastAsia"/>
          <w:u w:val="single"/>
        </w:rPr>
        <w:t>通过采取定时</w:t>
      </w:r>
      <w:r>
        <w:rPr>
          <w:u w:val="single"/>
        </w:rPr>
        <w:t>喷洒除臭剂</w:t>
      </w:r>
      <w:r>
        <w:rPr>
          <w:rFonts w:hint="eastAsia"/>
          <w:u w:val="single"/>
        </w:rPr>
        <w:t>的</w:t>
      </w:r>
      <w:r>
        <w:rPr>
          <w:u w:val="single"/>
        </w:rPr>
        <w:t>方式，</w:t>
      </w:r>
      <w:r>
        <w:rPr>
          <w:rFonts w:hint="eastAsia"/>
          <w:u w:val="single"/>
        </w:rPr>
        <w:t>减少恶臭气体排放较少</w:t>
      </w:r>
      <w:r>
        <w:rPr>
          <w:rFonts w:cs="Times New Roman"/>
          <w:u w:val="single"/>
        </w:rPr>
        <w:t>。根据西北农林科技大学植物保护学院苟丽霞等人发表的《微生物源抗菌除臭剂—万洁芬在禽畜养殖中的应用研究》（环境卫生工程，2009 年10 月，第17 卷增刊），鸡舍喷洒除臭剂后，舍内NH</w:t>
      </w:r>
      <w:r>
        <w:rPr>
          <w:rFonts w:cs="Times New Roman"/>
          <w:u w:val="single"/>
          <w:vertAlign w:val="subscript"/>
        </w:rPr>
        <w:t>3</w:t>
      </w:r>
      <w:r>
        <w:rPr>
          <w:rFonts w:cs="Times New Roman"/>
          <w:u w:val="single"/>
        </w:rPr>
        <w:t>和H</w:t>
      </w:r>
      <w:r>
        <w:rPr>
          <w:rFonts w:cs="Times New Roman"/>
          <w:u w:val="single"/>
          <w:vertAlign w:val="subscript"/>
        </w:rPr>
        <w:t>2</w:t>
      </w:r>
      <w:r>
        <w:rPr>
          <w:rFonts w:cs="Times New Roman"/>
          <w:u w:val="single"/>
        </w:rPr>
        <w:t>S浓度分别下降73.2%和81.6%。保守估算，本项目鸡舍NH</w:t>
      </w:r>
      <w:r>
        <w:rPr>
          <w:rFonts w:cs="Times New Roman"/>
          <w:u w:val="single"/>
          <w:vertAlign w:val="subscript"/>
        </w:rPr>
        <w:t>3</w:t>
      </w:r>
      <w:r>
        <w:rPr>
          <w:rFonts w:cs="Times New Roman"/>
          <w:u w:val="single"/>
        </w:rPr>
        <w:t>和H</w:t>
      </w:r>
      <w:r>
        <w:rPr>
          <w:rFonts w:cs="Times New Roman"/>
          <w:u w:val="single"/>
          <w:vertAlign w:val="subscript"/>
        </w:rPr>
        <w:t>2</w:t>
      </w:r>
      <w:r>
        <w:rPr>
          <w:rFonts w:cs="Times New Roman"/>
          <w:u w:val="single"/>
        </w:rPr>
        <w:t>S的去除效率分别取70%、80%，则项目鸡舍</w:t>
      </w:r>
      <w:r>
        <w:rPr>
          <w:rFonts w:hint="eastAsia" w:cs="Times New Roman"/>
          <w:u w:val="single"/>
        </w:rPr>
        <w:t>及</w:t>
      </w:r>
      <w:r>
        <w:rPr>
          <w:rFonts w:cs="Times New Roman"/>
          <w:u w:val="single"/>
        </w:rPr>
        <w:t>鸡粪处理区恶臭污染物排放情况。</w:t>
      </w:r>
    </w:p>
    <w:p>
      <w:pPr>
        <w:pStyle w:val="15"/>
        <w:rPr>
          <w:rFonts w:cs="Times New Roman"/>
          <w:u w:val="single"/>
        </w:rPr>
      </w:pPr>
      <w:r>
        <w:rPr>
          <w:rFonts w:cs="Times New Roman"/>
          <w:u w:val="single"/>
        </w:rPr>
        <w:t>表</w:t>
      </w:r>
      <w:r>
        <w:rPr>
          <w:rFonts w:eastAsia="TimesNewRomanPS-BoldMT" w:cs="Times New Roman"/>
          <w:bCs/>
          <w:u w:val="single"/>
        </w:rPr>
        <w:t xml:space="preserve">3.2-8  </w:t>
      </w:r>
      <w:r>
        <w:rPr>
          <w:rFonts w:cs="Times New Roman"/>
          <w:u w:val="single"/>
        </w:rPr>
        <w:t>鸡粪处理区恶臭排放情况一览表</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843"/>
        <w:gridCol w:w="1417"/>
        <w:gridCol w:w="1559"/>
        <w:gridCol w:w="1866"/>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9" w:type="dxa"/>
            <w:vAlign w:val="center"/>
          </w:tcPr>
          <w:p>
            <w:pPr>
              <w:pStyle w:val="39"/>
              <w:rPr>
                <w:u w:val="single"/>
              </w:rPr>
            </w:pPr>
            <w:r>
              <w:rPr>
                <w:u w:val="single"/>
              </w:rPr>
              <w:t>污染物</w:t>
            </w:r>
          </w:p>
        </w:tc>
        <w:tc>
          <w:tcPr>
            <w:tcW w:w="1843" w:type="dxa"/>
            <w:vAlign w:val="center"/>
          </w:tcPr>
          <w:p>
            <w:pPr>
              <w:pStyle w:val="39"/>
              <w:rPr>
                <w:u w:val="single"/>
              </w:rPr>
            </w:pPr>
            <w:r>
              <w:rPr>
                <w:u w:val="single"/>
              </w:rPr>
              <w:t>产生速率（kg/h）</w:t>
            </w:r>
          </w:p>
        </w:tc>
        <w:tc>
          <w:tcPr>
            <w:tcW w:w="1417" w:type="dxa"/>
            <w:vAlign w:val="center"/>
          </w:tcPr>
          <w:p>
            <w:pPr>
              <w:pStyle w:val="39"/>
              <w:rPr>
                <w:u w:val="single"/>
              </w:rPr>
            </w:pPr>
            <w:r>
              <w:rPr>
                <w:u w:val="single"/>
              </w:rPr>
              <w:t>产生量（t/a）</w:t>
            </w:r>
          </w:p>
        </w:tc>
        <w:tc>
          <w:tcPr>
            <w:tcW w:w="1559" w:type="dxa"/>
            <w:vAlign w:val="center"/>
          </w:tcPr>
          <w:p>
            <w:pPr>
              <w:pStyle w:val="39"/>
              <w:rPr>
                <w:u w:val="single"/>
              </w:rPr>
            </w:pPr>
            <w:r>
              <w:rPr>
                <w:u w:val="single"/>
              </w:rPr>
              <w:t>治理效率</w:t>
            </w:r>
          </w:p>
        </w:tc>
        <w:tc>
          <w:tcPr>
            <w:tcW w:w="1866" w:type="dxa"/>
            <w:vAlign w:val="center"/>
          </w:tcPr>
          <w:p>
            <w:pPr>
              <w:pStyle w:val="39"/>
              <w:rPr>
                <w:u w:val="single"/>
              </w:rPr>
            </w:pPr>
            <w:r>
              <w:rPr>
                <w:u w:val="single"/>
              </w:rPr>
              <w:t>排放速率（kg/h）</w:t>
            </w:r>
          </w:p>
        </w:tc>
        <w:tc>
          <w:tcPr>
            <w:tcW w:w="1529" w:type="dxa"/>
            <w:vAlign w:val="center"/>
          </w:tcPr>
          <w:p>
            <w:pPr>
              <w:pStyle w:val="39"/>
              <w:rPr>
                <w:u w:val="single"/>
              </w:rPr>
            </w:pPr>
            <w:r>
              <w:rPr>
                <w:u w:val="single"/>
              </w:rPr>
              <w:t>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9" w:type="dxa"/>
            <w:vAlign w:val="center"/>
          </w:tcPr>
          <w:p>
            <w:pPr>
              <w:pStyle w:val="39"/>
              <w:rPr>
                <w:u w:val="single"/>
              </w:rPr>
            </w:pPr>
            <w:r>
              <w:rPr>
                <w:u w:val="single"/>
              </w:rPr>
              <w:t>NH</w:t>
            </w:r>
            <w:r>
              <w:rPr>
                <w:u w:val="single"/>
                <w:vertAlign w:val="subscript"/>
              </w:rPr>
              <w:t>3</w:t>
            </w:r>
          </w:p>
        </w:tc>
        <w:tc>
          <w:tcPr>
            <w:tcW w:w="1843" w:type="dxa"/>
            <w:vAlign w:val="center"/>
          </w:tcPr>
          <w:p>
            <w:pPr>
              <w:pStyle w:val="39"/>
              <w:rPr>
                <w:rFonts w:eastAsia="等线"/>
                <w:color w:val="000000"/>
                <w:u w:val="single"/>
              </w:rPr>
            </w:pPr>
            <w:r>
              <w:rPr>
                <w:rFonts w:eastAsia="等线"/>
                <w:color w:val="000000"/>
                <w:u w:val="single"/>
              </w:rPr>
              <w:t xml:space="preserve">0.148 </w:t>
            </w:r>
          </w:p>
        </w:tc>
        <w:tc>
          <w:tcPr>
            <w:tcW w:w="1417" w:type="dxa"/>
            <w:vAlign w:val="center"/>
          </w:tcPr>
          <w:p>
            <w:pPr>
              <w:pStyle w:val="39"/>
              <w:rPr>
                <w:u w:val="single"/>
              </w:rPr>
            </w:pPr>
            <w:r>
              <w:rPr>
                <w:u w:val="single"/>
              </w:rPr>
              <w:t>1.30</w:t>
            </w:r>
          </w:p>
        </w:tc>
        <w:tc>
          <w:tcPr>
            <w:tcW w:w="1559" w:type="dxa"/>
            <w:vAlign w:val="center"/>
          </w:tcPr>
          <w:p>
            <w:pPr>
              <w:pStyle w:val="39"/>
              <w:rPr>
                <w:u w:val="single"/>
              </w:rPr>
            </w:pPr>
            <w:r>
              <w:rPr>
                <w:kern w:val="0"/>
                <w:u w:val="single"/>
              </w:rPr>
              <w:t>除臭剂</w:t>
            </w:r>
            <w:r>
              <w:rPr>
                <w:rFonts w:eastAsia="TimesNewRomanPSMT"/>
                <w:kern w:val="0"/>
                <w:u w:val="single"/>
              </w:rPr>
              <w:t>70%</w:t>
            </w:r>
          </w:p>
        </w:tc>
        <w:tc>
          <w:tcPr>
            <w:tcW w:w="1866" w:type="dxa"/>
            <w:vAlign w:val="center"/>
          </w:tcPr>
          <w:p>
            <w:pPr>
              <w:pStyle w:val="39"/>
              <w:rPr>
                <w:rFonts w:eastAsia="等线"/>
                <w:color w:val="000000"/>
                <w:u w:val="single"/>
              </w:rPr>
            </w:pPr>
            <w:r>
              <w:rPr>
                <w:rFonts w:eastAsia="等线"/>
                <w:color w:val="000000"/>
                <w:u w:val="single"/>
              </w:rPr>
              <w:t>0.044</w:t>
            </w:r>
          </w:p>
        </w:tc>
        <w:tc>
          <w:tcPr>
            <w:tcW w:w="1529" w:type="dxa"/>
            <w:vAlign w:val="center"/>
          </w:tcPr>
          <w:p>
            <w:pPr>
              <w:pStyle w:val="39"/>
              <w:rPr>
                <w:rFonts w:eastAsia="等线"/>
                <w:color w:val="000000"/>
                <w:u w:val="single"/>
              </w:rPr>
            </w:pPr>
            <w:r>
              <w:rPr>
                <w:rFonts w:eastAsia="等线"/>
                <w:color w:val="000000"/>
                <w:u w:val="single"/>
              </w:rPr>
              <w:t>0.389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9" w:type="dxa"/>
            <w:vAlign w:val="center"/>
          </w:tcPr>
          <w:p>
            <w:pPr>
              <w:pStyle w:val="39"/>
              <w:rPr>
                <w:u w:val="single"/>
              </w:rPr>
            </w:pPr>
            <w:r>
              <w:rPr>
                <w:u w:val="single"/>
              </w:rPr>
              <w:t>H</w:t>
            </w:r>
            <w:r>
              <w:rPr>
                <w:u w:val="single"/>
                <w:vertAlign w:val="subscript"/>
              </w:rPr>
              <w:t>2</w:t>
            </w:r>
            <w:r>
              <w:rPr>
                <w:u w:val="single"/>
              </w:rPr>
              <w:t>S</w:t>
            </w:r>
          </w:p>
        </w:tc>
        <w:tc>
          <w:tcPr>
            <w:tcW w:w="1843" w:type="dxa"/>
            <w:vAlign w:val="center"/>
          </w:tcPr>
          <w:p>
            <w:pPr>
              <w:pStyle w:val="39"/>
              <w:rPr>
                <w:rFonts w:eastAsia="等线"/>
                <w:color w:val="000000"/>
                <w:u w:val="single"/>
              </w:rPr>
            </w:pPr>
            <w:r>
              <w:rPr>
                <w:rFonts w:eastAsia="等线"/>
                <w:color w:val="000000"/>
                <w:u w:val="single"/>
              </w:rPr>
              <w:t xml:space="preserve">0.009 </w:t>
            </w:r>
          </w:p>
        </w:tc>
        <w:tc>
          <w:tcPr>
            <w:tcW w:w="1417" w:type="dxa"/>
            <w:vAlign w:val="center"/>
          </w:tcPr>
          <w:p>
            <w:pPr>
              <w:pStyle w:val="39"/>
              <w:rPr>
                <w:u w:val="single"/>
              </w:rPr>
            </w:pPr>
            <w:r>
              <w:rPr>
                <w:u w:val="single"/>
              </w:rPr>
              <w:t>0.08</w:t>
            </w:r>
          </w:p>
        </w:tc>
        <w:tc>
          <w:tcPr>
            <w:tcW w:w="1559" w:type="dxa"/>
            <w:vAlign w:val="center"/>
          </w:tcPr>
          <w:p>
            <w:pPr>
              <w:pStyle w:val="39"/>
              <w:rPr>
                <w:u w:val="single"/>
              </w:rPr>
            </w:pPr>
            <w:r>
              <w:rPr>
                <w:kern w:val="0"/>
                <w:u w:val="single"/>
              </w:rPr>
              <w:t>除臭剂</w:t>
            </w:r>
            <w:r>
              <w:rPr>
                <w:rFonts w:eastAsia="TimesNewRomanPSMT"/>
                <w:kern w:val="0"/>
                <w:u w:val="single"/>
              </w:rPr>
              <w:t>80%</w:t>
            </w:r>
          </w:p>
        </w:tc>
        <w:tc>
          <w:tcPr>
            <w:tcW w:w="1866" w:type="dxa"/>
            <w:vAlign w:val="center"/>
          </w:tcPr>
          <w:p>
            <w:pPr>
              <w:pStyle w:val="39"/>
              <w:rPr>
                <w:rFonts w:eastAsia="等线"/>
                <w:color w:val="000000"/>
                <w:u w:val="single"/>
              </w:rPr>
            </w:pPr>
            <w:r>
              <w:rPr>
                <w:rFonts w:eastAsia="等线"/>
                <w:color w:val="000000"/>
                <w:u w:val="single"/>
              </w:rPr>
              <w:t>0.002</w:t>
            </w:r>
          </w:p>
        </w:tc>
        <w:tc>
          <w:tcPr>
            <w:tcW w:w="1529" w:type="dxa"/>
            <w:vAlign w:val="center"/>
          </w:tcPr>
          <w:p>
            <w:pPr>
              <w:pStyle w:val="39"/>
              <w:rPr>
                <w:rFonts w:eastAsia="等线"/>
                <w:color w:val="000000"/>
                <w:u w:val="single"/>
              </w:rPr>
            </w:pPr>
            <w:r>
              <w:rPr>
                <w:rFonts w:eastAsia="等线"/>
                <w:color w:val="000000"/>
                <w:u w:val="single"/>
              </w:rPr>
              <w:t>0.016</w:t>
            </w:r>
          </w:p>
        </w:tc>
      </w:tr>
    </w:tbl>
    <w:p>
      <w:pPr>
        <w:pStyle w:val="3"/>
        <w:ind w:firstLine="480"/>
        <w:rPr>
          <w:rFonts w:cs="Times New Roman"/>
        </w:rPr>
      </w:pPr>
    </w:p>
    <w:p>
      <w:pPr>
        <w:pStyle w:val="3"/>
        <w:ind w:firstLine="480"/>
        <w:rPr>
          <w:rFonts w:cs="Times New Roman"/>
        </w:rPr>
      </w:pPr>
      <w:r>
        <w:rPr>
          <w:rFonts w:cs="Times New Roman"/>
        </w:rPr>
        <w:t>（2）备用发电机废气</w:t>
      </w:r>
    </w:p>
    <w:p>
      <w:pPr>
        <w:pStyle w:val="3"/>
        <w:ind w:firstLine="480"/>
        <w:rPr>
          <w:rFonts w:cs="Times New Roman"/>
        </w:rPr>
      </w:pPr>
      <w:r>
        <w:rPr>
          <w:rFonts w:cs="Times New Roman"/>
        </w:rPr>
        <w:t>项目拟设2台（400kw/h）备用柴油发电机，当外电源停电时，柴油发电机自动起动向消防及重要负荷供电，备用柴油发电机位于项目专用发电机房内。</w:t>
      </w:r>
    </w:p>
    <w:p>
      <w:pPr>
        <w:pStyle w:val="3"/>
        <w:ind w:firstLine="480"/>
        <w:rPr>
          <w:rFonts w:cs="Times New Roman"/>
        </w:rPr>
      </w:pPr>
      <w:r>
        <w:rPr>
          <w:rFonts w:cs="Times New Roman"/>
        </w:rPr>
        <w:t>柴油发电机采用柴油满足《普通柴油》（GB252-2015）的规定，使用含硫量＜0.001%的轻质柴油作为备用发电机燃料。根据备用发电机一般的定期保养规程：“每2周需空载运行10分钟，每半年带负载运行半小时”，备用发电机保养运行时间保守以5小时估算；此外，根据南方电网的有关公布，</w:t>
      </w:r>
      <w:r>
        <w:rPr>
          <w:rFonts w:hint="eastAsia" w:cs="Times New Roman"/>
        </w:rPr>
        <w:t>衡阳县</w:t>
      </w:r>
      <w:r>
        <w:rPr>
          <w:rFonts w:cs="Times New Roman"/>
        </w:rPr>
        <w:t>电保证率较高，结合定期保养及应急使用情况估算，全年总运行时间约25小时，按单位耗油量220g/kW·h计，则年耗油量约为4.4t/a（柴油密度约0.86，则年耗油量体积约为5m</w:t>
      </w:r>
      <w:r>
        <w:rPr>
          <w:rFonts w:cs="Times New Roman"/>
          <w:vertAlign w:val="superscript"/>
        </w:rPr>
        <w:t>3</w:t>
      </w:r>
      <w:r>
        <w:rPr>
          <w:rFonts w:cs="Times New Roman"/>
        </w:rPr>
        <w:t>）。</w:t>
      </w:r>
    </w:p>
    <w:p>
      <w:pPr>
        <w:pStyle w:val="3"/>
        <w:ind w:firstLine="480"/>
        <w:rPr>
          <w:rFonts w:cs="Times New Roman"/>
        </w:rPr>
      </w:pPr>
      <w:r>
        <w:rPr>
          <w:rFonts w:cs="Times New Roman"/>
        </w:rPr>
        <w:t>参考《备用发电机排烟管道设计规范》，废气量取15m</w:t>
      </w:r>
      <w:r>
        <w:rPr>
          <w:rFonts w:cs="Times New Roman"/>
          <w:vertAlign w:val="superscript"/>
        </w:rPr>
        <w:t>3</w:t>
      </w:r>
      <w:r>
        <w:rPr>
          <w:rFonts w:cs="Times New Roman"/>
        </w:rPr>
        <w:t>/h·kW，则本项目备用发电机尾气排放量为12000m</w:t>
      </w:r>
      <w:r>
        <w:rPr>
          <w:rFonts w:cs="Times New Roman"/>
          <w:vertAlign w:val="superscript"/>
        </w:rPr>
        <w:t>3</w:t>
      </w:r>
      <w:r>
        <w:rPr>
          <w:rFonts w:cs="Times New Roman"/>
        </w:rPr>
        <w:t>/h（30万m</w:t>
      </w:r>
      <w:r>
        <w:rPr>
          <w:rFonts w:cs="Times New Roman"/>
          <w:vertAlign w:val="superscript"/>
        </w:rPr>
        <w:t>3</w:t>
      </w:r>
      <w:r>
        <w:rPr>
          <w:rFonts w:cs="Times New Roman"/>
        </w:rPr>
        <w:t>/a）。根据《中国环境影响评价培训教材》：燃烧1m</w:t>
      </w:r>
      <w:r>
        <w:rPr>
          <w:rFonts w:cs="Times New Roman"/>
          <w:vertAlign w:val="superscript"/>
        </w:rPr>
        <w:t>3</w:t>
      </w:r>
      <w:r>
        <w:rPr>
          <w:rFonts w:cs="Times New Roman"/>
        </w:rPr>
        <w:t>的柴油排放的主要大气污染物总量：氮氧化物（以NO</w:t>
      </w:r>
      <w:r>
        <w:rPr>
          <w:rFonts w:cs="Times New Roman"/>
          <w:vertAlign w:val="subscript"/>
        </w:rPr>
        <w:t>2</w:t>
      </w:r>
      <w:r>
        <w:rPr>
          <w:rFonts w:cs="Times New Roman"/>
        </w:rPr>
        <w:t>计）8.57kg/m</w:t>
      </w:r>
      <w:r>
        <w:rPr>
          <w:rFonts w:cs="Times New Roman"/>
          <w:vertAlign w:val="superscript"/>
        </w:rPr>
        <w:t>3</w:t>
      </w:r>
      <w:r>
        <w:rPr>
          <w:rFonts w:cs="Times New Roman"/>
        </w:rPr>
        <w:t>，二氧化硫10.0kg/m</w:t>
      </w:r>
      <w:r>
        <w:rPr>
          <w:rFonts w:cs="Times New Roman"/>
          <w:vertAlign w:val="superscript"/>
        </w:rPr>
        <w:t>3</w:t>
      </w:r>
      <w:r>
        <w:rPr>
          <w:rFonts w:cs="Times New Roman"/>
        </w:rPr>
        <w:t>，烟尘1.80kg/m</w:t>
      </w:r>
      <w:r>
        <w:rPr>
          <w:rFonts w:cs="Times New Roman"/>
          <w:vertAlign w:val="superscript"/>
        </w:rPr>
        <w:t>3</w:t>
      </w:r>
      <w:r>
        <w:rPr>
          <w:rFonts w:cs="Times New Roman"/>
        </w:rPr>
        <w:t>，备用发电机大气污染物排放量如下表所示。发电机燃烧废气由专用烟道引至发电机房楼顶排放。</w:t>
      </w:r>
    </w:p>
    <w:p>
      <w:pPr>
        <w:pStyle w:val="15"/>
        <w:rPr>
          <w:rFonts w:cs="Times New Roman"/>
        </w:rPr>
      </w:pPr>
      <w:r>
        <w:rPr>
          <w:rFonts w:cs="Times New Roman"/>
        </w:rPr>
        <w:t>表3.2-</w:t>
      </w:r>
      <w:r>
        <w:rPr>
          <w:rFonts w:hint="eastAsia" w:cs="Times New Roman"/>
        </w:rPr>
        <w:t>9</w:t>
      </w:r>
      <w:r>
        <w:rPr>
          <w:rFonts w:cs="Times New Roman"/>
        </w:rPr>
        <w:t xml:space="preserve">   备用发电机废气排放情况一览表</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69"/>
        <w:gridCol w:w="1451"/>
        <w:gridCol w:w="1451"/>
        <w:gridCol w:w="1451"/>
        <w:gridCol w:w="1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3369" w:type="dxa"/>
            <w:vAlign w:val="center"/>
          </w:tcPr>
          <w:p>
            <w:pPr>
              <w:pStyle w:val="39"/>
              <w:rPr>
                <w:rFonts w:cs="Times New Roman"/>
              </w:rPr>
            </w:pPr>
            <w:r>
              <w:rPr>
                <w:rFonts w:cs="Times New Roman"/>
              </w:rPr>
              <w:t>污染物</w:t>
            </w:r>
          </w:p>
        </w:tc>
        <w:tc>
          <w:tcPr>
            <w:tcW w:w="1451" w:type="dxa"/>
            <w:vAlign w:val="center"/>
          </w:tcPr>
          <w:p>
            <w:pPr>
              <w:pStyle w:val="39"/>
              <w:rPr>
                <w:rFonts w:cs="Times New Roman"/>
              </w:rPr>
            </w:pPr>
            <w:r>
              <w:rPr>
                <w:rFonts w:eastAsia="TimesNewRomanPSMT" w:cs="Times New Roman"/>
                <w:kern w:val="0"/>
              </w:rPr>
              <w:t>SO</w:t>
            </w:r>
            <w:r>
              <w:rPr>
                <w:rFonts w:eastAsia="TimesNewRomanPSMT" w:cs="Times New Roman"/>
                <w:kern w:val="0"/>
                <w:sz w:val="14"/>
                <w:szCs w:val="14"/>
              </w:rPr>
              <w:t>2</w:t>
            </w:r>
          </w:p>
        </w:tc>
        <w:tc>
          <w:tcPr>
            <w:tcW w:w="1451" w:type="dxa"/>
            <w:vAlign w:val="center"/>
          </w:tcPr>
          <w:p>
            <w:pPr>
              <w:pStyle w:val="39"/>
              <w:rPr>
                <w:rFonts w:cs="Times New Roman"/>
              </w:rPr>
            </w:pPr>
            <w:r>
              <w:rPr>
                <w:rFonts w:eastAsia="TimesNewRomanPSMT" w:cs="Times New Roman"/>
                <w:kern w:val="0"/>
              </w:rPr>
              <w:t>NOx</w:t>
            </w:r>
          </w:p>
        </w:tc>
        <w:tc>
          <w:tcPr>
            <w:tcW w:w="1451" w:type="dxa"/>
            <w:vAlign w:val="center"/>
          </w:tcPr>
          <w:p>
            <w:pPr>
              <w:pStyle w:val="39"/>
              <w:rPr>
                <w:rFonts w:cs="Times New Roman"/>
              </w:rPr>
            </w:pPr>
            <w:r>
              <w:rPr>
                <w:rFonts w:cs="Times New Roman"/>
              </w:rPr>
              <w:t>烟尘</w:t>
            </w:r>
          </w:p>
        </w:tc>
        <w:tc>
          <w:tcPr>
            <w:tcW w:w="1451" w:type="dxa"/>
            <w:vAlign w:val="center"/>
          </w:tcPr>
          <w:p>
            <w:pPr>
              <w:pStyle w:val="39"/>
              <w:rPr>
                <w:rFonts w:cs="Times New Roman"/>
              </w:rPr>
            </w:pPr>
            <w:r>
              <w:rPr>
                <w:rFonts w:cs="Times New Roman"/>
              </w:rPr>
              <w:t>废气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369" w:type="dxa"/>
            <w:vAlign w:val="center"/>
          </w:tcPr>
          <w:p>
            <w:pPr>
              <w:pStyle w:val="39"/>
              <w:rPr>
                <w:rFonts w:cs="Times New Roman"/>
              </w:rPr>
            </w:pPr>
            <w:r>
              <w:rPr>
                <w:rFonts w:cs="Times New Roman"/>
              </w:rPr>
              <w:t>污染物排放系数（kg/m</w:t>
            </w:r>
            <w:r>
              <w:rPr>
                <w:rFonts w:cs="Times New Roman"/>
                <w:vertAlign w:val="superscript"/>
              </w:rPr>
              <w:t>3</w:t>
            </w:r>
            <w:r>
              <w:rPr>
                <w:rFonts w:cs="Times New Roman"/>
              </w:rPr>
              <w:t>油）</w:t>
            </w:r>
          </w:p>
        </w:tc>
        <w:tc>
          <w:tcPr>
            <w:tcW w:w="1451" w:type="dxa"/>
            <w:vAlign w:val="center"/>
          </w:tcPr>
          <w:p>
            <w:pPr>
              <w:pStyle w:val="39"/>
              <w:rPr>
                <w:rFonts w:cs="Times New Roman"/>
              </w:rPr>
            </w:pPr>
            <w:r>
              <w:rPr>
                <w:rFonts w:cs="Times New Roman"/>
              </w:rPr>
              <w:t>10.0</w:t>
            </w:r>
          </w:p>
        </w:tc>
        <w:tc>
          <w:tcPr>
            <w:tcW w:w="1451" w:type="dxa"/>
            <w:vAlign w:val="center"/>
          </w:tcPr>
          <w:p>
            <w:pPr>
              <w:pStyle w:val="39"/>
              <w:rPr>
                <w:rFonts w:cs="Times New Roman"/>
              </w:rPr>
            </w:pPr>
            <w:r>
              <w:rPr>
                <w:rFonts w:cs="Times New Roman"/>
              </w:rPr>
              <w:t>8.57</w:t>
            </w:r>
          </w:p>
        </w:tc>
        <w:tc>
          <w:tcPr>
            <w:tcW w:w="1451" w:type="dxa"/>
            <w:vAlign w:val="center"/>
          </w:tcPr>
          <w:p>
            <w:pPr>
              <w:pStyle w:val="39"/>
              <w:rPr>
                <w:rFonts w:cs="Times New Roman"/>
              </w:rPr>
            </w:pPr>
            <w:r>
              <w:rPr>
                <w:rFonts w:cs="Times New Roman"/>
              </w:rPr>
              <w:t>1.80</w:t>
            </w:r>
          </w:p>
        </w:tc>
        <w:tc>
          <w:tcPr>
            <w:tcW w:w="1451" w:type="dxa"/>
            <w:vMerge w:val="restart"/>
            <w:vAlign w:val="center"/>
          </w:tcPr>
          <w:p>
            <w:pPr>
              <w:pStyle w:val="39"/>
              <w:rPr>
                <w:rFonts w:cs="Times New Roman"/>
              </w:rPr>
            </w:pPr>
            <w:r>
              <w:rPr>
                <w:rFonts w:cs="Times New Roman"/>
              </w:rPr>
              <w:t>12000m</w:t>
            </w:r>
            <w:r>
              <w:rPr>
                <w:rFonts w:cs="Times New Roman"/>
                <w:vertAlign w:val="superscript"/>
              </w:rPr>
              <w:t>3</w:t>
            </w:r>
            <w:r>
              <w:rPr>
                <w:rFonts w:cs="Times New Roman"/>
              </w:rPr>
              <w:t>/h</w:t>
            </w:r>
          </w:p>
          <w:p>
            <w:pPr>
              <w:pStyle w:val="39"/>
              <w:rPr>
                <w:rFonts w:cs="Times New Roman"/>
              </w:rPr>
            </w:pPr>
            <w:r>
              <w:rPr>
                <w:rFonts w:cs="Times New Roman"/>
              </w:rPr>
              <w:t>30万m</w:t>
            </w:r>
            <w:r>
              <w:rPr>
                <w:rFonts w:cs="Times New Roman"/>
                <w:vertAlign w:val="superscript"/>
              </w:rPr>
              <w:t>3</w:t>
            </w:r>
            <w:r>
              <w:rPr>
                <w:rFonts w:cs="Times New Roma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369" w:type="dxa"/>
            <w:vAlign w:val="center"/>
          </w:tcPr>
          <w:p>
            <w:pPr>
              <w:pStyle w:val="39"/>
              <w:rPr>
                <w:rFonts w:cs="Times New Roman"/>
              </w:rPr>
            </w:pPr>
            <w:r>
              <w:rPr>
                <w:rFonts w:cs="Times New Roman"/>
              </w:rPr>
              <w:t>年产生量（t/a）</w:t>
            </w:r>
          </w:p>
        </w:tc>
        <w:tc>
          <w:tcPr>
            <w:tcW w:w="1451" w:type="dxa"/>
            <w:vAlign w:val="center"/>
          </w:tcPr>
          <w:p>
            <w:pPr>
              <w:adjustRightInd/>
              <w:snapToGrid/>
              <w:jc w:val="center"/>
              <w:rPr>
                <w:rFonts w:ascii="Times New Roman" w:hAnsi="Times New Roman" w:eastAsia="等线" w:cs="Times New Roman"/>
                <w:color w:val="000000"/>
              </w:rPr>
            </w:pPr>
            <w:r>
              <w:rPr>
                <w:rFonts w:ascii="Times New Roman" w:hAnsi="Times New Roman" w:eastAsia="等线" w:cs="Times New Roman"/>
                <w:color w:val="000000"/>
              </w:rPr>
              <w:t xml:space="preserve">0.050 </w:t>
            </w:r>
          </w:p>
        </w:tc>
        <w:tc>
          <w:tcPr>
            <w:tcW w:w="1451" w:type="dxa"/>
            <w:vAlign w:val="center"/>
          </w:tcPr>
          <w:p>
            <w:pPr>
              <w:jc w:val="center"/>
              <w:rPr>
                <w:rFonts w:ascii="Times New Roman" w:hAnsi="Times New Roman" w:eastAsia="等线" w:cs="Times New Roman"/>
                <w:color w:val="000000"/>
              </w:rPr>
            </w:pPr>
            <w:r>
              <w:rPr>
                <w:rFonts w:ascii="Times New Roman" w:hAnsi="Times New Roman" w:eastAsia="等线" w:cs="Times New Roman"/>
                <w:color w:val="000000"/>
              </w:rPr>
              <w:t xml:space="preserve">0.043 </w:t>
            </w:r>
          </w:p>
        </w:tc>
        <w:tc>
          <w:tcPr>
            <w:tcW w:w="1451" w:type="dxa"/>
            <w:vAlign w:val="center"/>
          </w:tcPr>
          <w:p>
            <w:pPr>
              <w:jc w:val="center"/>
              <w:rPr>
                <w:rFonts w:ascii="Times New Roman" w:hAnsi="Times New Roman" w:eastAsia="等线" w:cs="Times New Roman"/>
                <w:color w:val="000000"/>
              </w:rPr>
            </w:pPr>
            <w:r>
              <w:rPr>
                <w:rFonts w:ascii="Times New Roman" w:hAnsi="Times New Roman" w:eastAsia="等线" w:cs="Times New Roman"/>
                <w:color w:val="000000"/>
              </w:rPr>
              <w:t xml:space="preserve">0.009 </w:t>
            </w:r>
          </w:p>
        </w:tc>
        <w:tc>
          <w:tcPr>
            <w:tcW w:w="1451" w:type="dxa"/>
            <w:vMerge w:val="continue"/>
            <w:vAlign w:val="center"/>
          </w:tcPr>
          <w:p>
            <w:pPr>
              <w:pStyle w:val="3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369" w:type="dxa"/>
            <w:vAlign w:val="center"/>
          </w:tcPr>
          <w:p>
            <w:pPr>
              <w:pStyle w:val="39"/>
              <w:rPr>
                <w:rFonts w:cs="Times New Roman"/>
              </w:rPr>
            </w:pPr>
            <w:r>
              <w:rPr>
                <w:rFonts w:cs="Times New Roman"/>
              </w:rPr>
              <w:t>产生速率（kg/h）</w:t>
            </w:r>
          </w:p>
        </w:tc>
        <w:tc>
          <w:tcPr>
            <w:tcW w:w="1451" w:type="dxa"/>
            <w:vAlign w:val="center"/>
          </w:tcPr>
          <w:p>
            <w:pPr>
              <w:jc w:val="center"/>
              <w:rPr>
                <w:rFonts w:ascii="Times New Roman" w:hAnsi="Times New Roman" w:eastAsia="等线" w:cs="Times New Roman"/>
                <w:color w:val="000000"/>
              </w:rPr>
            </w:pPr>
            <w:r>
              <w:rPr>
                <w:rFonts w:ascii="Times New Roman" w:hAnsi="Times New Roman" w:eastAsia="等线" w:cs="Times New Roman"/>
                <w:color w:val="000000"/>
              </w:rPr>
              <w:t xml:space="preserve">2.00 </w:t>
            </w:r>
          </w:p>
        </w:tc>
        <w:tc>
          <w:tcPr>
            <w:tcW w:w="1451" w:type="dxa"/>
            <w:vAlign w:val="center"/>
          </w:tcPr>
          <w:p>
            <w:pPr>
              <w:jc w:val="center"/>
              <w:rPr>
                <w:rFonts w:ascii="Times New Roman" w:hAnsi="Times New Roman" w:eastAsia="等线" w:cs="Times New Roman"/>
                <w:color w:val="000000"/>
              </w:rPr>
            </w:pPr>
            <w:r>
              <w:rPr>
                <w:rFonts w:ascii="Times New Roman" w:hAnsi="Times New Roman" w:eastAsia="等线" w:cs="Times New Roman"/>
                <w:color w:val="000000"/>
              </w:rPr>
              <w:t xml:space="preserve">1.71 </w:t>
            </w:r>
          </w:p>
        </w:tc>
        <w:tc>
          <w:tcPr>
            <w:tcW w:w="1451" w:type="dxa"/>
            <w:vAlign w:val="center"/>
          </w:tcPr>
          <w:p>
            <w:pPr>
              <w:jc w:val="center"/>
              <w:rPr>
                <w:rFonts w:ascii="Times New Roman" w:hAnsi="Times New Roman" w:eastAsia="等线" w:cs="Times New Roman"/>
                <w:color w:val="000000"/>
              </w:rPr>
            </w:pPr>
            <w:r>
              <w:rPr>
                <w:rFonts w:ascii="Times New Roman" w:hAnsi="Times New Roman" w:eastAsia="等线" w:cs="Times New Roman"/>
                <w:color w:val="000000"/>
              </w:rPr>
              <w:t xml:space="preserve">0.36 </w:t>
            </w:r>
          </w:p>
        </w:tc>
        <w:tc>
          <w:tcPr>
            <w:tcW w:w="1451" w:type="dxa"/>
            <w:vMerge w:val="continue"/>
            <w:vAlign w:val="center"/>
          </w:tcPr>
          <w:p>
            <w:pPr>
              <w:pStyle w:val="3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369" w:type="dxa"/>
            <w:vAlign w:val="center"/>
          </w:tcPr>
          <w:p>
            <w:pPr>
              <w:pStyle w:val="39"/>
              <w:rPr>
                <w:rFonts w:cs="Times New Roman"/>
              </w:rPr>
            </w:pPr>
            <w:r>
              <w:rPr>
                <w:rFonts w:cs="Times New Roman"/>
              </w:rPr>
              <w:t>产生浓度（mg/m</w:t>
            </w:r>
            <w:r>
              <w:rPr>
                <w:rFonts w:cs="Times New Roman"/>
                <w:vertAlign w:val="superscript"/>
              </w:rPr>
              <w:t>3</w:t>
            </w:r>
            <w:r>
              <w:rPr>
                <w:rFonts w:cs="Times New Roman"/>
              </w:rPr>
              <w:t>）</w:t>
            </w:r>
          </w:p>
        </w:tc>
        <w:tc>
          <w:tcPr>
            <w:tcW w:w="1451" w:type="dxa"/>
            <w:vAlign w:val="center"/>
          </w:tcPr>
          <w:p>
            <w:pPr>
              <w:pStyle w:val="39"/>
            </w:pPr>
            <w:r>
              <w:t xml:space="preserve">166.67 </w:t>
            </w:r>
          </w:p>
        </w:tc>
        <w:tc>
          <w:tcPr>
            <w:tcW w:w="1451" w:type="dxa"/>
            <w:vAlign w:val="center"/>
          </w:tcPr>
          <w:p>
            <w:pPr>
              <w:pStyle w:val="39"/>
            </w:pPr>
            <w:r>
              <w:t xml:space="preserve">142.83 </w:t>
            </w:r>
          </w:p>
        </w:tc>
        <w:tc>
          <w:tcPr>
            <w:tcW w:w="1451" w:type="dxa"/>
            <w:vAlign w:val="center"/>
          </w:tcPr>
          <w:p>
            <w:pPr>
              <w:pStyle w:val="39"/>
            </w:pPr>
            <w:r>
              <w:t xml:space="preserve">30.00 </w:t>
            </w:r>
          </w:p>
        </w:tc>
        <w:tc>
          <w:tcPr>
            <w:tcW w:w="1451" w:type="dxa"/>
            <w:vMerge w:val="continue"/>
            <w:vAlign w:val="center"/>
          </w:tcPr>
          <w:p>
            <w:pPr>
              <w:pStyle w:val="3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369" w:type="dxa"/>
            <w:vAlign w:val="center"/>
          </w:tcPr>
          <w:p>
            <w:pPr>
              <w:pStyle w:val="39"/>
              <w:rPr>
                <w:rFonts w:cs="Times New Roman"/>
              </w:rPr>
            </w:pPr>
            <w:r>
              <w:rPr>
                <w:rFonts w:cs="Times New Roman"/>
              </w:rPr>
              <w:t>（GB16297-1996）表2中二级标准</w:t>
            </w:r>
          </w:p>
          <w:p>
            <w:pPr>
              <w:pStyle w:val="39"/>
              <w:rPr>
                <w:rFonts w:cs="Times New Roman"/>
              </w:rPr>
            </w:pPr>
            <w:r>
              <w:rPr>
                <w:rFonts w:cs="Times New Roman"/>
              </w:rPr>
              <w:t>（mg/m</w:t>
            </w:r>
            <w:r>
              <w:rPr>
                <w:rFonts w:cs="Times New Roman"/>
                <w:vertAlign w:val="superscript"/>
              </w:rPr>
              <w:t>3</w:t>
            </w:r>
            <w:r>
              <w:rPr>
                <w:rFonts w:cs="Times New Roman"/>
              </w:rPr>
              <w:t>）</w:t>
            </w:r>
          </w:p>
        </w:tc>
        <w:tc>
          <w:tcPr>
            <w:tcW w:w="1451" w:type="dxa"/>
            <w:vAlign w:val="center"/>
          </w:tcPr>
          <w:p>
            <w:pPr>
              <w:pStyle w:val="39"/>
              <w:rPr>
                <w:rFonts w:cs="Times New Roman"/>
              </w:rPr>
            </w:pPr>
            <w:r>
              <w:rPr>
                <w:rFonts w:cs="Times New Roman"/>
              </w:rPr>
              <w:t>550</w:t>
            </w:r>
          </w:p>
        </w:tc>
        <w:tc>
          <w:tcPr>
            <w:tcW w:w="1451" w:type="dxa"/>
            <w:vAlign w:val="center"/>
          </w:tcPr>
          <w:p>
            <w:pPr>
              <w:pStyle w:val="39"/>
              <w:rPr>
                <w:rFonts w:cs="Times New Roman"/>
              </w:rPr>
            </w:pPr>
            <w:r>
              <w:rPr>
                <w:rFonts w:cs="Times New Roman"/>
              </w:rPr>
              <w:t>240</w:t>
            </w:r>
          </w:p>
        </w:tc>
        <w:tc>
          <w:tcPr>
            <w:tcW w:w="1451" w:type="dxa"/>
            <w:vAlign w:val="center"/>
          </w:tcPr>
          <w:p>
            <w:pPr>
              <w:pStyle w:val="39"/>
              <w:rPr>
                <w:rFonts w:cs="Times New Roman"/>
              </w:rPr>
            </w:pPr>
            <w:r>
              <w:rPr>
                <w:rFonts w:cs="Times New Roman"/>
              </w:rPr>
              <w:t>120</w:t>
            </w:r>
          </w:p>
        </w:tc>
        <w:tc>
          <w:tcPr>
            <w:tcW w:w="1451" w:type="dxa"/>
            <w:vAlign w:val="center"/>
          </w:tcPr>
          <w:p>
            <w:pPr>
              <w:pStyle w:val="39"/>
              <w:rPr>
                <w:rFonts w:cs="Times New Roman"/>
              </w:rPr>
            </w:pPr>
            <w:r>
              <w:rPr>
                <w:rFonts w:cs="Times New Roman"/>
              </w:rPr>
              <w:t>/</w:t>
            </w:r>
          </w:p>
        </w:tc>
      </w:tr>
    </w:tbl>
    <w:p>
      <w:pPr>
        <w:pStyle w:val="3"/>
        <w:ind w:firstLine="480"/>
        <w:rPr>
          <w:rFonts w:cs="Times New Roman"/>
        </w:rPr>
      </w:pPr>
    </w:p>
    <w:p>
      <w:pPr>
        <w:pStyle w:val="3"/>
        <w:ind w:firstLine="480"/>
        <w:rPr>
          <w:rFonts w:cs="Times New Roman"/>
        </w:rPr>
      </w:pPr>
      <w:r>
        <w:rPr>
          <w:rFonts w:cs="Times New Roman"/>
        </w:rPr>
        <w:t>（3）食堂油烟废气</w:t>
      </w:r>
    </w:p>
    <w:p>
      <w:pPr>
        <w:pStyle w:val="3"/>
        <w:ind w:firstLine="480"/>
        <w:rPr>
          <w:rFonts w:cs="Times New Roman"/>
        </w:rPr>
      </w:pPr>
      <w:r>
        <w:rPr>
          <w:rFonts w:cs="Times New Roman"/>
        </w:rPr>
        <w:t>食堂烟气主要成份燃料燃烧废气和油烟废气。</w:t>
      </w:r>
    </w:p>
    <w:p>
      <w:pPr>
        <w:pStyle w:val="3"/>
        <w:ind w:firstLine="480"/>
        <w:rPr>
          <w:rFonts w:cs="Times New Roman"/>
        </w:rPr>
      </w:pPr>
      <w:r>
        <w:rPr>
          <w:rFonts w:cs="Times New Roman"/>
        </w:rPr>
        <w:t>本建设项目有食堂，采用清洁能源液化石油气作为燃料，其燃烧后产生的大气污染物较少，可忽略。</w:t>
      </w:r>
    </w:p>
    <w:p>
      <w:pPr>
        <w:pStyle w:val="3"/>
        <w:ind w:firstLine="480"/>
        <w:rPr>
          <w:rFonts w:cs="Times New Roman"/>
        </w:rPr>
      </w:pPr>
      <w:r>
        <w:rPr>
          <w:rFonts w:cs="Times New Roman"/>
        </w:rPr>
        <w:t>食物在烹饪、加工过程中将挥发出油脂、有机质及热分解或裂解产物，从而产生油烟废气。根据对项目用餐人员数量（按50人计），按人均食用油日用量约40g/人·d，一般油烟挥发量占总耗油量的2～4%，平均为2.83%，则项目油烟产生量40.75g/d。食堂共设置2个灶头，每天工作6h，每年365天，油烟风量2000m</w:t>
      </w:r>
      <w:r>
        <w:rPr>
          <w:rFonts w:cs="Times New Roman"/>
          <w:vertAlign w:val="superscript"/>
        </w:rPr>
        <w:t>3</w:t>
      </w:r>
      <w:r>
        <w:rPr>
          <w:rFonts w:cs="Times New Roman"/>
        </w:rPr>
        <w:t>/h；则该项目油烟产生情况见表3.2-1</w:t>
      </w:r>
      <w:r>
        <w:rPr>
          <w:rFonts w:hint="eastAsia" w:cs="Times New Roman"/>
        </w:rPr>
        <w:t>0</w:t>
      </w:r>
      <w:r>
        <w:rPr>
          <w:rFonts w:cs="Times New Roman"/>
        </w:rPr>
        <w:t>。</w:t>
      </w:r>
    </w:p>
    <w:p>
      <w:pPr>
        <w:pStyle w:val="15"/>
        <w:rPr>
          <w:rFonts w:cs="Times New Roman"/>
        </w:rPr>
      </w:pPr>
      <w:r>
        <w:rPr>
          <w:rFonts w:cs="Times New Roman"/>
        </w:rPr>
        <w:t>表3.2-1</w:t>
      </w:r>
      <w:r>
        <w:rPr>
          <w:rFonts w:hint="eastAsia" w:cs="Times New Roman"/>
        </w:rPr>
        <w:t>0</w:t>
      </w:r>
      <w:r>
        <w:rPr>
          <w:rFonts w:cs="Times New Roman"/>
        </w:rPr>
        <w:t xml:space="preserve">   食用油消耗和油烟废气产生情况</w:t>
      </w:r>
    </w:p>
    <w:tbl>
      <w:tblPr>
        <w:tblStyle w:val="26"/>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4"/>
        <w:gridCol w:w="2243"/>
        <w:gridCol w:w="2268"/>
        <w:gridCol w:w="1843"/>
        <w:gridCol w:w="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34" w:type="dxa"/>
            <w:vAlign w:val="center"/>
          </w:tcPr>
          <w:p>
            <w:pPr>
              <w:pStyle w:val="39"/>
              <w:rPr>
                <w:rFonts w:cs="Times New Roman"/>
              </w:rPr>
            </w:pPr>
            <w:r>
              <w:rPr>
                <w:rFonts w:cs="Times New Roman"/>
              </w:rPr>
              <w:t>油烟产生量（t/a）</w:t>
            </w:r>
          </w:p>
        </w:tc>
        <w:tc>
          <w:tcPr>
            <w:tcW w:w="2243" w:type="dxa"/>
            <w:vAlign w:val="center"/>
          </w:tcPr>
          <w:p>
            <w:pPr>
              <w:pStyle w:val="39"/>
              <w:rPr>
                <w:rFonts w:cs="Times New Roman"/>
              </w:rPr>
            </w:pPr>
            <w:r>
              <w:rPr>
                <w:rFonts w:cs="Times New Roman"/>
              </w:rPr>
              <w:t>油烟产生浓度(mg/m</w:t>
            </w:r>
            <w:r>
              <w:rPr>
                <w:rFonts w:cs="Times New Roman"/>
                <w:vertAlign w:val="superscript"/>
              </w:rPr>
              <w:t>3</w:t>
            </w:r>
            <w:r>
              <w:rPr>
                <w:rFonts w:cs="Times New Roman"/>
              </w:rPr>
              <w:t>)</w:t>
            </w:r>
          </w:p>
        </w:tc>
        <w:tc>
          <w:tcPr>
            <w:tcW w:w="2268" w:type="dxa"/>
            <w:vAlign w:val="center"/>
          </w:tcPr>
          <w:p>
            <w:pPr>
              <w:pStyle w:val="39"/>
              <w:rPr>
                <w:rFonts w:cs="Times New Roman"/>
              </w:rPr>
            </w:pPr>
            <w:r>
              <w:rPr>
                <w:rFonts w:cs="Times New Roman"/>
              </w:rPr>
              <w:t>油烟排放量（t/a）</w:t>
            </w:r>
          </w:p>
        </w:tc>
        <w:tc>
          <w:tcPr>
            <w:tcW w:w="1843" w:type="dxa"/>
            <w:vAlign w:val="center"/>
          </w:tcPr>
          <w:p>
            <w:pPr>
              <w:pStyle w:val="39"/>
              <w:rPr>
                <w:rFonts w:cs="Times New Roman"/>
              </w:rPr>
            </w:pPr>
            <w:r>
              <w:rPr>
                <w:rFonts w:cs="Times New Roman"/>
              </w:rPr>
              <w:t>排放浓度(mg/m</w:t>
            </w:r>
            <w:r>
              <w:rPr>
                <w:rFonts w:cs="Times New Roman"/>
                <w:vertAlign w:val="superscript"/>
              </w:rPr>
              <w:t>3</w:t>
            </w:r>
            <w:r>
              <w:rPr>
                <w:rFonts w:cs="Times New Roman"/>
              </w:rPr>
              <w:t>)</w:t>
            </w:r>
          </w:p>
        </w:tc>
        <w:tc>
          <w:tcPr>
            <w:tcW w:w="986" w:type="dxa"/>
            <w:vAlign w:val="center"/>
          </w:tcPr>
          <w:p>
            <w:pPr>
              <w:pStyle w:val="39"/>
              <w:rPr>
                <w:rFonts w:cs="Times New Roman"/>
              </w:rPr>
            </w:pPr>
            <w:r>
              <w:rPr>
                <w:rFonts w:cs="Times New Roman"/>
              </w:rPr>
              <w:t>处理率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34" w:type="dxa"/>
            <w:vAlign w:val="center"/>
          </w:tcPr>
          <w:p>
            <w:pPr>
              <w:adjustRightInd/>
              <w:snapToGrid/>
              <w:jc w:val="center"/>
              <w:rPr>
                <w:rFonts w:ascii="Times New Roman" w:hAnsi="Times New Roman" w:eastAsia="等线" w:cs="Times New Roman"/>
                <w:color w:val="000000"/>
              </w:rPr>
            </w:pPr>
            <w:r>
              <w:rPr>
                <w:rFonts w:ascii="Times New Roman" w:hAnsi="Times New Roman" w:eastAsia="等线" w:cs="Times New Roman"/>
                <w:color w:val="000000"/>
              </w:rPr>
              <w:t xml:space="preserve">0.021 </w:t>
            </w:r>
          </w:p>
        </w:tc>
        <w:tc>
          <w:tcPr>
            <w:tcW w:w="2243" w:type="dxa"/>
            <w:vAlign w:val="center"/>
          </w:tcPr>
          <w:p>
            <w:pPr>
              <w:jc w:val="center"/>
              <w:rPr>
                <w:rFonts w:ascii="Times New Roman" w:hAnsi="Times New Roman" w:eastAsia="等线" w:cs="Times New Roman"/>
                <w:color w:val="000000"/>
              </w:rPr>
            </w:pPr>
            <w:r>
              <w:rPr>
                <w:rFonts w:ascii="Times New Roman" w:hAnsi="Times New Roman" w:eastAsia="等线" w:cs="Times New Roman"/>
                <w:color w:val="000000"/>
              </w:rPr>
              <w:t xml:space="preserve">2.36 </w:t>
            </w:r>
          </w:p>
        </w:tc>
        <w:tc>
          <w:tcPr>
            <w:tcW w:w="2268" w:type="dxa"/>
            <w:vAlign w:val="center"/>
          </w:tcPr>
          <w:p>
            <w:pPr>
              <w:jc w:val="center"/>
              <w:rPr>
                <w:rFonts w:ascii="Times New Roman" w:hAnsi="Times New Roman" w:eastAsia="等线" w:cs="Times New Roman"/>
                <w:color w:val="000000"/>
              </w:rPr>
            </w:pPr>
            <w:r>
              <w:rPr>
                <w:rFonts w:ascii="Times New Roman" w:hAnsi="Times New Roman" w:eastAsia="等线" w:cs="Times New Roman"/>
                <w:color w:val="000000"/>
              </w:rPr>
              <w:t xml:space="preserve">0.008 </w:t>
            </w:r>
          </w:p>
        </w:tc>
        <w:tc>
          <w:tcPr>
            <w:tcW w:w="1843" w:type="dxa"/>
            <w:vAlign w:val="center"/>
          </w:tcPr>
          <w:p>
            <w:pPr>
              <w:jc w:val="center"/>
              <w:rPr>
                <w:rFonts w:ascii="Times New Roman" w:hAnsi="Times New Roman" w:eastAsia="等线" w:cs="Times New Roman"/>
                <w:color w:val="000000"/>
              </w:rPr>
            </w:pPr>
            <w:r>
              <w:rPr>
                <w:rFonts w:ascii="Times New Roman" w:hAnsi="Times New Roman" w:eastAsia="等线" w:cs="Times New Roman"/>
                <w:color w:val="000000"/>
              </w:rPr>
              <w:t xml:space="preserve">0.35 </w:t>
            </w:r>
          </w:p>
        </w:tc>
        <w:tc>
          <w:tcPr>
            <w:tcW w:w="986" w:type="dxa"/>
            <w:vAlign w:val="center"/>
          </w:tcPr>
          <w:p>
            <w:pPr>
              <w:jc w:val="center"/>
              <w:rPr>
                <w:rFonts w:ascii="Times New Roman" w:hAnsi="Times New Roman" w:eastAsia="等线" w:cs="Times New Roman"/>
                <w:color w:val="000000"/>
              </w:rPr>
            </w:pPr>
            <w:r>
              <w:rPr>
                <w:rFonts w:ascii="Times New Roman" w:hAnsi="Times New Roman" w:eastAsia="等线" w:cs="Times New Roman"/>
                <w:color w:val="000000"/>
              </w:rPr>
              <w:t>60%</w:t>
            </w:r>
          </w:p>
        </w:tc>
      </w:tr>
    </w:tbl>
    <w:p>
      <w:pPr>
        <w:pStyle w:val="3"/>
        <w:ind w:firstLine="480"/>
        <w:rPr>
          <w:rFonts w:cs="Times New Roman"/>
        </w:rPr>
      </w:pPr>
    </w:p>
    <w:p>
      <w:pPr>
        <w:pStyle w:val="3"/>
        <w:ind w:firstLine="480"/>
        <w:rPr>
          <w:rFonts w:cs="Times New Roman"/>
        </w:rPr>
      </w:pPr>
      <w:r>
        <w:rPr>
          <w:rFonts w:cs="Times New Roman"/>
        </w:rPr>
        <w:t>（4）鸡舍粉尘</w:t>
      </w:r>
    </w:p>
    <w:p>
      <w:pPr>
        <w:pStyle w:val="3"/>
        <w:ind w:firstLine="480"/>
        <w:rPr>
          <w:rFonts w:cs="Times New Roman"/>
        </w:rPr>
      </w:pPr>
      <w:r>
        <w:rPr>
          <w:rFonts w:cs="Times New Roman"/>
        </w:rPr>
        <w:t>根据建设单位提供的资料，本项目采用科学喂养方式，全自动送料饲养过程，鸡舍饲料基本不残留，因此饲料粉尘极少，主要是鸡毛等杂质。每栋鸡舍均配有通风系统，在通风系统处配有过滤网，可有效减少鸡毛对大气的影响，因此本评价不做具体分析。</w:t>
      </w:r>
    </w:p>
    <w:p>
      <w:pPr>
        <w:pStyle w:val="3"/>
        <w:ind w:firstLine="480"/>
        <w:rPr>
          <w:color w:val="000000"/>
        </w:rPr>
      </w:pPr>
      <w:r>
        <w:rPr>
          <w:rFonts w:hint="eastAsia"/>
          <w:color w:val="000000"/>
        </w:rPr>
        <w:t>（5）生物质锅炉燃烧废气</w:t>
      </w:r>
    </w:p>
    <w:p>
      <w:pPr>
        <w:pStyle w:val="3"/>
        <w:ind w:firstLine="480"/>
        <w:rPr>
          <w:color w:val="000000"/>
          <w:u w:val="single"/>
        </w:rPr>
      </w:pPr>
      <w:r>
        <w:rPr>
          <w:rFonts w:hint="eastAsia"/>
          <w:color w:val="000000"/>
          <w:u w:val="single"/>
        </w:rPr>
        <w:t>本项目育雏鸡舍冬季取暖采用</w:t>
      </w:r>
      <w:r>
        <w:rPr>
          <w:color w:val="000000"/>
          <w:u w:val="single"/>
        </w:rPr>
        <w:t>3</w:t>
      </w:r>
      <w:r>
        <w:rPr>
          <w:rFonts w:hint="eastAsia"/>
          <w:color w:val="000000"/>
          <w:u w:val="single"/>
        </w:rPr>
        <w:t>台40万</w:t>
      </w:r>
      <w:r>
        <w:rPr>
          <w:color w:val="000000"/>
          <w:u w:val="single"/>
        </w:rPr>
        <w:t>大卡</w:t>
      </w:r>
      <w:r>
        <w:rPr>
          <w:rFonts w:hint="eastAsia"/>
          <w:color w:val="000000"/>
          <w:u w:val="single"/>
        </w:rPr>
        <w:t>/</w:t>
      </w:r>
      <w:r>
        <w:rPr>
          <w:color w:val="000000"/>
          <w:u w:val="single"/>
        </w:rPr>
        <w:t>h</w:t>
      </w:r>
      <w:r>
        <w:rPr>
          <w:rFonts w:hint="eastAsia"/>
          <w:color w:val="000000"/>
          <w:u w:val="single"/>
        </w:rPr>
        <w:t>（即0</w:t>
      </w:r>
      <w:r>
        <w:rPr>
          <w:color w:val="000000"/>
          <w:u w:val="single"/>
        </w:rPr>
        <w:t>.47MW</w:t>
      </w:r>
      <w:r>
        <w:rPr>
          <w:rFonts w:hint="eastAsia"/>
          <w:color w:val="000000"/>
          <w:u w:val="single"/>
        </w:rPr>
        <w:t>）热水锅炉，燃料</w:t>
      </w:r>
      <w:r>
        <w:rPr>
          <w:color w:val="000000"/>
          <w:u w:val="single"/>
        </w:rPr>
        <w:t>为生物质合理，</w:t>
      </w:r>
      <w:r>
        <w:rPr>
          <w:rFonts w:hint="eastAsia"/>
          <w:color w:val="000000"/>
          <w:u w:val="single"/>
        </w:rPr>
        <w:t>锅炉烟气各经布袋除尘器及</w:t>
      </w:r>
      <w:r>
        <w:rPr>
          <w:color w:val="000000"/>
          <w:u w:val="single"/>
        </w:rPr>
        <w:t>各自的20</w:t>
      </w:r>
      <w:r>
        <w:rPr>
          <w:rFonts w:hint="eastAsia"/>
          <w:color w:val="000000"/>
          <w:u w:val="single"/>
        </w:rPr>
        <w:t>m高排气筒排放，共</w:t>
      </w:r>
      <w:r>
        <w:rPr>
          <w:color w:val="000000"/>
          <w:u w:val="single"/>
        </w:rPr>
        <w:t>设置</w:t>
      </w:r>
      <w:r>
        <w:rPr>
          <w:rFonts w:hint="eastAsia"/>
          <w:color w:val="000000"/>
          <w:u w:val="single"/>
        </w:rPr>
        <w:t>3个20</w:t>
      </w:r>
      <w:r>
        <w:rPr>
          <w:color w:val="000000"/>
          <w:u w:val="single"/>
        </w:rPr>
        <w:t>m</w:t>
      </w:r>
      <w:r>
        <w:rPr>
          <w:rFonts w:hint="eastAsia"/>
          <w:color w:val="000000"/>
          <w:u w:val="single"/>
        </w:rPr>
        <w:t>高</w:t>
      </w:r>
      <w:r>
        <w:rPr>
          <w:color w:val="000000"/>
          <w:u w:val="single"/>
        </w:rPr>
        <w:t>排气筒</w:t>
      </w:r>
      <w:r>
        <w:rPr>
          <w:rFonts w:hint="eastAsia"/>
          <w:color w:val="000000"/>
          <w:u w:val="single"/>
        </w:rPr>
        <w:t>。</w:t>
      </w:r>
    </w:p>
    <w:p>
      <w:pPr>
        <w:pStyle w:val="3"/>
        <w:ind w:firstLine="480"/>
        <w:rPr>
          <w:u w:val="single"/>
        </w:rPr>
      </w:pPr>
      <w:r>
        <w:rPr>
          <w:u w:val="single"/>
        </w:rPr>
        <w:t>燃烧生物质颗粒将产生SO</w:t>
      </w:r>
      <w:r>
        <w:rPr>
          <w:u w:val="single"/>
          <w:vertAlign w:val="subscript"/>
        </w:rPr>
        <w:t>2</w:t>
      </w:r>
      <w:r>
        <w:rPr>
          <w:u w:val="single"/>
        </w:rPr>
        <w:t>、NO</w:t>
      </w:r>
      <w:r>
        <w:rPr>
          <w:u w:val="single"/>
          <w:vertAlign w:val="subscript"/>
        </w:rPr>
        <w:t>X</w:t>
      </w:r>
      <w:r>
        <w:rPr>
          <w:u w:val="single"/>
        </w:rPr>
        <w:t>及烟尘。根据建设单位提供资料，生物质锅炉年工作时间90天，一天24小时，</w:t>
      </w:r>
      <w:r>
        <w:rPr>
          <w:rFonts w:hint="eastAsia"/>
          <w:u w:val="single"/>
        </w:rPr>
        <w:t>按生物质颗粒</w:t>
      </w:r>
      <w:r>
        <w:rPr>
          <w:u w:val="single"/>
        </w:rPr>
        <w:t>平均</w:t>
      </w:r>
      <w:r>
        <w:rPr>
          <w:rFonts w:hint="eastAsia"/>
          <w:u w:val="single"/>
        </w:rPr>
        <w:t>热值4</w:t>
      </w:r>
      <w:r>
        <w:rPr>
          <w:u w:val="single"/>
        </w:rPr>
        <w:t>000</w:t>
      </w:r>
      <w:r>
        <w:rPr>
          <w:rFonts w:hint="eastAsia"/>
          <w:u w:val="single"/>
        </w:rPr>
        <w:t>大卡/kg计，</w:t>
      </w:r>
      <w:r>
        <w:rPr>
          <w:u w:val="single"/>
        </w:rPr>
        <w:t>则每天</w:t>
      </w:r>
      <w:r>
        <w:rPr>
          <w:rFonts w:hint="eastAsia"/>
          <w:u w:val="single"/>
        </w:rPr>
        <w:t>1台</w:t>
      </w:r>
      <w:r>
        <w:rPr>
          <w:u w:val="single"/>
        </w:rPr>
        <w:t>锅炉消耗生物质</w:t>
      </w:r>
      <w:r>
        <w:rPr>
          <w:rFonts w:hint="eastAsia"/>
          <w:u w:val="single"/>
        </w:rPr>
        <w:t>颗粒</w:t>
      </w:r>
      <w:r>
        <w:rPr>
          <w:u w:val="single"/>
        </w:rPr>
        <w:t>约</w:t>
      </w:r>
      <w:r>
        <w:rPr>
          <w:rFonts w:hint="eastAsia"/>
          <w:u w:val="single"/>
        </w:rPr>
        <w:t>2.4</w:t>
      </w:r>
      <w:r>
        <w:rPr>
          <w:u w:val="single"/>
        </w:rPr>
        <w:t>t/d</w:t>
      </w:r>
      <w:r>
        <w:rPr>
          <w:rFonts w:hint="eastAsia"/>
          <w:u w:val="single"/>
        </w:rPr>
        <w:t>，即</w:t>
      </w:r>
      <w:r>
        <w:rPr>
          <w:szCs w:val="24"/>
          <w:u w:val="single"/>
        </w:rPr>
        <w:t>生物质</w:t>
      </w:r>
      <w:r>
        <w:rPr>
          <w:rFonts w:hint="eastAsia"/>
          <w:szCs w:val="24"/>
          <w:u w:val="single"/>
        </w:rPr>
        <w:t>年</w:t>
      </w:r>
      <w:r>
        <w:rPr>
          <w:szCs w:val="24"/>
          <w:u w:val="single"/>
        </w:rPr>
        <w:t>消耗量为648t/a</w:t>
      </w:r>
      <w:r>
        <w:rPr>
          <w:u w:val="single"/>
        </w:rPr>
        <w:t>。根据《</w:t>
      </w:r>
      <w:r>
        <w:rPr>
          <w:rFonts w:hint="eastAsia"/>
          <w:u w:val="single"/>
        </w:rPr>
        <w:t>排放源统计调查产排污核算方法和系数手册》：4430工业锅炉（热力生产和供应行业）产污系数表-生物质工业锅炉</w:t>
      </w:r>
      <w:r>
        <w:rPr>
          <w:u w:val="single"/>
        </w:rPr>
        <w:t>的产排污系数见表3.2-11。</w:t>
      </w:r>
    </w:p>
    <w:p>
      <w:pPr>
        <w:pStyle w:val="15"/>
        <w:rPr>
          <w:u w:val="single"/>
        </w:rPr>
      </w:pPr>
      <w:r>
        <w:rPr>
          <w:u w:val="single"/>
        </w:rPr>
        <w:t>表3.2-11   生物质燃料产排污系数表</w:t>
      </w:r>
    </w:p>
    <w:tbl>
      <w:tblPr>
        <w:tblStyle w:val="26"/>
        <w:tblW w:w="5000" w:type="pct"/>
        <w:jc w:val="center"/>
        <w:tblLayout w:type="autofit"/>
        <w:tblCellMar>
          <w:top w:w="0" w:type="dxa"/>
          <w:left w:w="108" w:type="dxa"/>
          <w:bottom w:w="0" w:type="dxa"/>
          <w:right w:w="108" w:type="dxa"/>
        </w:tblCellMar>
      </w:tblPr>
      <w:tblGrid>
        <w:gridCol w:w="1170"/>
        <w:gridCol w:w="1328"/>
        <w:gridCol w:w="1112"/>
        <w:gridCol w:w="897"/>
        <w:gridCol w:w="1561"/>
        <w:gridCol w:w="1857"/>
        <w:gridCol w:w="1248"/>
      </w:tblGrid>
      <w:tr>
        <w:tblPrEx>
          <w:tblCellMar>
            <w:top w:w="0" w:type="dxa"/>
            <w:left w:w="108" w:type="dxa"/>
            <w:bottom w:w="0" w:type="dxa"/>
            <w:right w:w="108" w:type="dxa"/>
          </w:tblCellMar>
        </w:tblPrEx>
        <w:trPr>
          <w:trHeight w:val="340" w:hRule="atLeast"/>
          <w:jc w:val="center"/>
        </w:trPr>
        <w:tc>
          <w:tcPr>
            <w:tcW w:w="638" w:type="pct"/>
            <w:tcBorders>
              <w:top w:val="single" w:color="auto" w:sz="4" w:space="0"/>
              <w:left w:val="single" w:color="auto" w:sz="4" w:space="0"/>
              <w:bottom w:val="single" w:color="auto" w:sz="4" w:space="0"/>
              <w:right w:val="single" w:color="auto" w:sz="4" w:space="0"/>
            </w:tcBorders>
            <w:vAlign w:val="center"/>
          </w:tcPr>
          <w:p>
            <w:pPr>
              <w:pStyle w:val="39"/>
              <w:rPr>
                <w:u w:val="single"/>
              </w:rPr>
            </w:pPr>
            <w:r>
              <w:rPr>
                <w:u w:val="single"/>
              </w:rPr>
              <w:t>产品</w:t>
            </w:r>
          </w:p>
          <w:p>
            <w:pPr>
              <w:pStyle w:val="39"/>
              <w:rPr>
                <w:u w:val="single"/>
              </w:rPr>
            </w:pPr>
            <w:r>
              <w:rPr>
                <w:u w:val="single"/>
              </w:rPr>
              <w:t>名称</w:t>
            </w:r>
          </w:p>
        </w:tc>
        <w:tc>
          <w:tcPr>
            <w:tcW w:w="724" w:type="pct"/>
            <w:tcBorders>
              <w:top w:val="single" w:color="auto" w:sz="4" w:space="0"/>
              <w:left w:val="single" w:color="auto" w:sz="4" w:space="0"/>
              <w:bottom w:val="single" w:color="auto" w:sz="4" w:space="0"/>
              <w:right w:val="single" w:color="auto" w:sz="4" w:space="0"/>
            </w:tcBorders>
            <w:vAlign w:val="center"/>
          </w:tcPr>
          <w:p>
            <w:pPr>
              <w:pStyle w:val="39"/>
              <w:rPr>
                <w:u w:val="single"/>
              </w:rPr>
            </w:pPr>
            <w:r>
              <w:rPr>
                <w:u w:val="single"/>
              </w:rPr>
              <w:t>原料</w:t>
            </w:r>
          </w:p>
          <w:p>
            <w:pPr>
              <w:pStyle w:val="39"/>
              <w:rPr>
                <w:u w:val="single"/>
              </w:rPr>
            </w:pPr>
            <w:r>
              <w:rPr>
                <w:u w:val="single"/>
              </w:rPr>
              <w:t>名称</w:t>
            </w:r>
          </w:p>
        </w:tc>
        <w:tc>
          <w:tcPr>
            <w:tcW w:w="606" w:type="pct"/>
            <w:tcBorders>
              <w:top w:val="single" w:color="auto" w:sz="4" w:space="0"/>
              <w:left w:val="single" w:color="auto" w:sz="4" w:space="0"/>
              <w:bottom w:val="single" w:color="auto" w:sz="4" w:space="0"/>
              <w:right w:val="single" w:color="auto" w:sz="4" w:space="0"/>
            </w:tcBorders>
            <w:vAlign w:val="center"/>
          </w:tcPr>
          <w:p>
            <w:pPr>
              <w:pStyle w:val="39"/>
              <w:rPr>
                <w:u w:val="single"/>
              </w:rPr>
            </w:pPr>
            <w:r>
              <w:rPr>
                <w:u w:val="single"/>
              </w:rPr>
              <w:t>工艺</w:t>
            </w:r>
          </w:p>
          <w:p>
            <w:pPr>
              <w:pStyle w:val="39"/>
              <w:rPr>
                <w:u w:val="single"/>
              </w:rPr>
            </w:pPr>
            <w:r>
              <w:rPr>
                <w:u w:val="single"/>
              </w:rPr>
              <w:t>名称</w:t>
            </w:r>
          </w:p>
        </w:tc>
        <w:tc>
          <w:tcPr>
            <w:tcW w:w="489" w:type="pct"/>
            <w:tcBorders>
              <w:top w:val="single" w:color="auto" w:sz="4" w:space="0"/>
              <w:left w:val="single" w:color="auto" w:sz="4" w:space="0"/>
              <w:bottom w:val="single" w:color="auto" w:sz="4" w:space="0"/>
              <w:right w:val="single" w:color="auto" w:sz="4" w:space="0"/>
            </w:tcBorders>
            <w:vAlign w:val="center"/>
          </w:tcPr>
          <w:p>
            <w:pPr>
              <w:pStyle w:val="39"/>
              <w:rPr>
                <w:u w:val="single"/>
              </w:rPr>
            </w:pPr>
            <w:r>
              <w:rPr>
                <w:u w:val="single"/>
              </w:rPr>
              <w:t>规模等级</w:t>
            </w:r>
          </w:p>
        </w:tc>
        <w:tc>
          <w:tcPr>
            <w:tcW w:w="851" w:type="pct"/>
            <w:tcBorders>
              <w:top w:val="single" w:color="auto" w:sz="4" w:space="0"/>
              <w:left w:val="single" w:color="auto" w:sz="4" w:space="0"/>
              <w:bottom w:val="single" w:color="auto" w:sz="4" w:space="0"/>
              <w:right w:val="single" w:color="auto" w:sz="4" w:space="0"/>
            </w:tcBorders>
            <w:vAlign w:val="center"/>
          </w:tcPr>
          <w:p>
            <w:pPr>
              <w:pStyle w:val="39"/>
              <w:rPr>
                <w:u w:val="single"/>
              </w:rPr>
            </w:pPr>
            <w:r>
              <w:rPr>
                <w:u w:val="single"/>
              </w:rPr>
              <w:t>污染物</w:t>
            </w:r>
          </w:p>
          <w:p>
            <w:pPr>
              <w:pStyle w:val="39"/>
              <w:rPr>
                <w:u w:val="single"/>
              </w:rPr>
            </w:pPr>
            <w:r>
              <w:rPr>
                <w:u w:val="single"/>
              </w:rPr>
              <w:t>指标</w:t>
            </w:r>
          </w:p>
        </w:tc>
        <w:tc>
          <w:tcPr>
            <w:tcW w:w="1012" w:type="pct"/>
            <w:tcBorders>
              <w:top w:val="single" w:color="auto" w:sz="4" w:space="0"/>
              <w:left w:val="single" w:color="auto" w:sz="4" w:space="0"/>
              <w:bottom w:val="single" w:color="auto" w:sz="4" w:space="0"/>
              <w:right w:val="single" w:color="auto" w:sz="4" w:space="0"/>
            </w:tcBorders>
            <w:vAlign w:val="center"/>
          </w:tcPr>
          <w:p>
            <w:pPr>
              <w:pStyle w:val="39"/>
              <w:rPr>
                <w:u w:val="single"/>
              </w:rPr>
            </w:pPr>
            <w:r>
              <w:rPr>
                <w:u w:val="single"/>
              </w:rPr>
              <w:t>单位</w:t>
            </w:r>
          </w:p>
        </w:tc>
        <w:tc>
          <w:tcPr>
            <w:tcW w:w="680" w:type="pct"/>
            <w:tcBorders>
              <w:top w:val="single" w:color="auto" w:sz="4" w:space="0"/>
              <w:left w:val="single" w:color="auto" w:sz="4" w:space="0"/>
              <w:bottom w:val="single" w:color="auto" w:sz="4" w:space="0"/>
              <w:right w:val="single" w:color="auto" w:sz="4" w:space="0"/>
            </w:tcBorders>
            <w:vAlign w:val="center"/>
          </w:tcPr>
          <w:p>
            <w:pPr>
              <w:pStyle w:val="39"/>
              <w:rPr>
                <w:u w:val="single"/>
              </w:rPr>
            </w:pPr>
            <w:r>
              <w:rPr>
                <w:u w:val="single"/>
              </w:rPr>
              <w:t>产污</w:t>
            </w:r>
          </w:p>
          <w:p>
            <w:pPr>
              <w:pStyle w:val="39"/>
              <w:rPr>
                <w:u w:val="single"/>
              </w:rPr>
            </w:pPr>
            <w:r>
              <w:rPr>
                <w:u w:val="single"/>
              </w:rPr>
              <w:t>系数</w:t>
            </w:r>
          </w:p>
        </w:tc>
      </w:tr>
      <w:tr>
        <w:tblPrEx>
          <w:tblCellMar>
            <w:top w:w="0" w:type="dxa"/>
            <w:left w:w="108" w:type="dxa"/>
            <w:bottom w:w="0" w:type="dxa"/>
            <w:right w:w="108" w:type="dxa"/>
          </w:tblCellMar>
        </w:tblPrEx>
        <w:trPr>
          <w:trHeight w:val="340" w:hRule="atLeast"/>
          <w:jc w:val="center"/>
        </w:trPr>
        <w:tc>
          <w:tcPr>
            <w:tcW w:w="638" w:type="pct"/>
            <w:vMerge w:val="restart"/>
            <w:tcBorders>
              <w:top w:val="single" w:color="auto" w:sz="4" w:space="0"/>
              <w:left w:val="single" w:color="auto" w:sz="4" w:space="0"/>
              <w:right w:val="single" w:color="auto" w:sz="4" w:space="0"/>
            </w:tcBorders>
            <w:vAlign w:val="center"/>
          </w:tcPr>
          <w:p>
            <w:pPr>
              <w:pStyle w:val="39"/>
              <w:rPr>
                <w:u w:val="single"/>
              </w:rPr>
            </w:pPr>
            <w:r>
              <w:rPr>
                <w:u w:val="single"/>
              </w:rPr>
              <w:t>蒸气/热水/其他</w:t>
            </w:r>
          </w:p>
        </w:tc>
        <w:tc>
          <w:tcPr>
            <w:tcW w:w="724" w:type="pct"/>
            <w:vMerge w:val="restart"/>
            <w:tcBorders>
              <w:top w:val="single" w:color="auto" w:sz="4" w:space="0"/>
              <w:left w:val="single" w:color="auto" w:sz="4" w:space="0"/>
              <w:right w:val="single" w:color="auto" w:sz="4" w:space="0"/>
            </w:tcBorders>
            <w:vAlign w:val="center"/>
          </w:tcPr>
          <w:p>
            <w:pPr>
              <w:pStyle w:val="39"/>
              <w:rPr>
                <w:u w:val="single"/>
              </w:rPr>
            </w:pPr>
            <w:r>
              <w:rPr>
                <w:u w:val="single"/>
              </w:rPr>
              <w:t>生物质颗粒</w:t>
            </w:r>
          </w:p>
        </w:tc>
        <w:tc>
          <w:tcPr>
            <w:tcW w:w="606" w:type="pct"/>
            <w:vMerge w:val="restart"/>
            <w:tcBorders>
              <w:top w:val="single" w:color="auto" w:sz="4" w:space="0"/>
              <w:left w:val="single" w:color="auto" w:sz="4" w:space="0"/>
              <w:right w:val="single" w:color="auto" w:sz="4" w:space="0"/>
            </w:tcBorders>
            <w:vAlign w:val="center"/>
          </w:tcPr>
          <w:p>
            <w:pPr>
              <w:pStyle w:val="39"/>
              <w:rPr>
                <w:u w:val="single"/>
              </w:rPr>
            </w:pPr>
            <w:r>
              <w:rPr>
                <w:rFonts w:hint="eastAsia"/>
                <w:u w:val="single"/>
              </w:rPr>
              <w:t>层</w:t>
            </w:r>
            <w:r>
              <w:rPr>
                <w:u w:val="single"/>
              </w:rPr>
              <w:t>燃炉</w:t>
            </w:r>
            <w:r>
              <w:rPr>
                <w:rFonts w:hint="eastAsia"/>
                <w:u w:val="single"/>
              </w:rPr>
              <w:t>-生物质压块</w:t>
            </w:r>
          </w:p>
        </w:tc>
        <w:tc>
          <w:tcPr>
            <w:tcW w:w="489" w:type="pct"/>
            <w:vMerge w:val="restart"/>
            <w:tcBorders>
              <w:top w:val="single" w:color="auto" w:sz="4" w:space="0"/>
              <w:left w:val="single" w:color="auto" w:sz="4" w:space="0"/>
              <w:right w:val="single" w:color="auto" w:sz="4" w:space="0"/>
            </w:tcBorders>
            <w:vAlign w:val="center"/>
          </w:tcPr>
          <w:p>
            <w:pPr>
              <w:pStyle w:val="39"/>
              <w:rPr>
                <w:u w:val="single"/>
              </w:rPr>
            </w:pPr>
            <w:r>
              <w:rPr>
                <w:u w:val="single"/>
              </w:rPr>
              <w:t>所有规模</w:t>
            </w:r>
          </w:p>
        </w:tc>
        <w:tc>
          <w:tcPr>
            <w:tcW w:w="851" w:type="pct"/>
            <w:tcBorders>
              <w:top w:val="single" w:color="auto" w:sz="4" w:space="0"/>
              <w:left w:val="single" w:color="auto" w:sz="4" w:space="0"/>
              <w:bottom w:val="single" w:color="auto" w:sz="4" w:space="0"/>
              <w:right w:val="single" w:color="auto" w:sz="4" w:space="0"/>
            </w:tcBorders>
            <w:vAlign w:val="center"/>
          </w:tcPr>
          <w:p>
            <w:pPr>
              <w:pStyle w:val="39"/>
              <w:rPr>
                <w:u w:val="single"/>
              </w:rPr>
            </w:pPr>
            <w:r>
              <w:rPr>
                <w:u w:val="single"/>
              </w:rPr>
              <w:t>工业废气量</w:t>
            </w:r>
          </w:p>
        </w:tc>
        <w:tc>
          <w:tcPr>
            <w:tcW w:w="1012" w:type="pct"/>
            <w:tcBorders>
              <w:top w:val="single" w:color="auto" w:sz="4" w:space="0"/>
              <w:left w:val="single" w:color="auto" w:sz="4" w:space="0"/>
              <w:bottom w:val="single" w:color="auto" w:sz="4" w:space="0"/>
              <w:right w:val="single" w:color="auto" w:sz="4" w:space="0"/>
            </w:tcBorders>
            <w:vAlign w:val="center"/>
          </w:tcPr>
          <w:p>
            <w:pPr>
              <w:pStyle w:val="39"/>
              <w:rPr>
                <w:u w:val="single"/>
              </w:rPr>
            </w:pPr>
            <w:r>
              <w:rPr>
                <w:u w:val="single"/>
              </w:rPr>
              <w:t>标立方</w:t>
            </w:r>
            <w:r>
              <w:rPr>
                <w:rFonts w:hint="eastAsia"/>
                <w:u w:val="single"/>
              </w:rPr>
              <w:t>米</w:t>
            </w:r>
            <w:r>
              <w:rPr>
                <w:u w:val="single"/>
              </w:rPr>
              <w:t>/吨-</w:t>
            </w:r>
            <w:r>
              <w:rPr>
                <w:rFonts w:hint="eastAsia"/>
                <w:u w:val="single"/>
              </w:rPr>
              <w:t>原</w:t>
            </w:r>
            <w:r>
              <w:rPr>
                <w:u w:val="single"/>
              </w:rPr>
              <w:t>料</w:t>
            </w:r>
          </w:p>
        </w:tc>
        <w:tc>
          <w:tcPr>
            <w:tcW w:w="680" w:type="pct"/>
            <w:tcBorders>
              <w:top w:val="single" w:color="auto" w:sz="4" w:space="0"/>
              <w:left w:val="single" w:color="auto" w:sz="4" w:space="0"/>
              <w:bottom w:val="single" w:color="auto" w:sz="4" w:space="0"/>
              <w:right w:val="single" w:color="auto" w:sz="4" w:space="0"/>
            </w:tcBorders>
            <w:vAlign w:val="center"/>
          </w:tcPr>
          <w:p>
            <w:pPr>
              <w:pStyle w:val="39"/>
              <w:rPr>
                <w:u w:val="single"/>
              </w:rPr>
            </w:pPr>
            <w:r>
              <w:rPr>
                <w:u w:val="single"/>
              </w:rPr>
              <w:t>6240.28</w:t>
            </w:r>
          </w:p>
        </w:tc>
      </w:tr>
      <w:tr>
        <w:tblPrEx>
          <w:tblCellMar>
            <w:top w:w="0" w:type="dxa"/>
            <w:left w:w="108" w:type="dxa"/>
            <w:bottom w:w="0" w:type="dxa"/>
            <w:right w:w="108" w:type="dxa"/>
          </w:tblCellMar>
        </w:tblPrEx>
        <w:trPr>
          <w:trHeight w:val="340" w:hRule="atLeast"/>
          <w:jc w:val="center"/>
        </w:trPr>
        <w:tc>
          <w:tcPr>
            <w:tcW w:w="638" w:type="pct"/>
            <w:vMerge w:val="continue"/>
            <w:tcBorders>
              <w:left w:val="single" w:color="auto" w:sz="4" w:space="0"/>
              <w:right w:val="single" w:color="auto" w:sz="4" w:space="0"/>
            </w:tcBorders>
            <w:vAlign w:val="center"/>
          </w:tcPr>
          <w:p>
            <w:pPr>
              <w:pStyle w:val="39"/>
              <w:rPr>
                <w:u w:val="single"/>
              </w:rPr>
            </w:pPr>
          </w:p>
        </w:tc>
        <w:tc>
          <w:tcPr>
            <w:tcW w:w="724" w:type="pct"/>
            <w:vMerge w:val="continue"/>
            <w:tcBorders>
              <w:left w:val="single" w:color="auto" w:sz="4" w:space="0"/>
              <w:right w:val="single" w:color="auto" w:sz="4" w:space="0"/>
            </w:tcBorders>
            <w:vAlign w:val="center"/>
          </w:tcPr>
          <w:p>
            <w:pPr>
              <w:pStyle w:val="39"/>
              <w:rPr>
                <w:u w:val="single"/>
              </w:rPr>
            </w:pPr>
          </w:p>
        </w:tc>
        <w:tc>
          <w:tcPr>
            <w:tcW w:w="606" w:type="pct"/>
            <w:vMerge w:val="continue"/>
            <w:tcBorders>
              <w:left w:val="single" w:color="auto" w:sz="4" w:space="0"/>
              <w:right w:val="single" w:color="auto" w:sz="4" w:space="0"/>
            </w:tcBorders>
            <w:vAlign w:val="center"/>
          </w:tcPr>
          <w:p>
            <w:pPr>
              <w:pStyle w:val="39"/>
              <w:rPr>
                <w:u w:val="single"/>
              </w:rPr>
            </w:pPr>
          </w:p>
        </w:tc>
        <w:tc>
          <w:tcPr>
            <w:tcW w:w="489" w:type="pct"/>
            <w:vMerge w:val="continue"/>
            <w:tcBorders>
              <w:left w:val="single" w:color="auto" w:sz="4" w:space="0"/>
              <w:right w:val="single" w:color="auto" w:sz="4" w:space="0"/>
            </w:tcBorders>
            <w:vAlign w:val="center"/>
          </w:tcPr>
          <w:p>
            <w:pPr>
              <w:pStyle w:val="39"/>
              <w:rPr>
                <w:u w:val="single"/>
              </w:rPr>
            </w:pPr>
          </w:p>
        </w:tc>
        <w:tc>
          <w:tcPr>
            <w:tcW w:w="851" w:type="pct"/>
            <w:tcBorders>
              <w:top w:val="single" w:color="auto" w:sz="4" w:space="0"/>
              <w:left w:val="single" w:color="auto" w:sz="4" w:space="0"/>
              <w:bottom w:val="single" w:color="auto" w:sz="4" w:space="0"/>
              <w:right w:val="single" w:color="auto" w:sz="4" w:space="0"/>
            </w:tcBorders>
            <w:vAlign w:val="center"/>
          </w:tcPr>
          <w:p>
            <w:pPr>
              <w:pStyle w:val="39"/>
              <w:rPr>
                <w:u w:val="single"/>
              </w:rPr>
            </w:pPr>
            <w:r>
              <w:rPr>
                <w:u w:val="single"/>
              </w:rPr>
              <w:t>二氧化硫</w:t>
            </w:r>
          </w:p>
        </w:tc>
        <w:tc>
          <w:tcPr>
            <w:tcW w:w="1012" w:type="pct"/>
            <w:tcBorders>
              <w:top w:val="single" w:color="auto" w:sz="4" w:space="0"/>
              <w:left w:val="single" w:color="auto" w:sz="4" w:space="0"/>
              <w:bottom w:val="single" w:color="auto" w:sz="4" w:space="0"/>
              <w:right w:val="single" w:color="auto" w:sz="4" w:space="0"/>
            </w:tcBorders>
            <w:vAlign w:val="center"/>
          </w:tcPr>
          <w:p>
            <w:pPr>
              <w:pStyle w:val="39"/>
              <w:rPr>
                <w:u w:val="single"/>
              </w:rPr>
            </w:pPr>
            <w:r>
              <w:rPr>
                <w:u w:val="single"/>
              </w:rPr>
              <w:t>千克/吨-原料</w:t>
            </w:r>
          </w:p>
        </w:tc>
        <w:tc>
          <w:tcPr>
            <w:tcW w:w="680" w:type="pct"/>
            <w:tcBorders>
              <w:top w:val="single" w:color="auto" w:sz="4" w:space="0"/>
              <w:left w:val="single" w:color="auto" w:sz="4" w:space="0"/>
              <w:bottom w:val="single" w:color="auto" w:sz="4" w:space="0"/>
              <w:right w:val="single" w:color="auto" w:sz="4" w:space="0"/>
            </w:tcBorders>
            <w:vAlign w:val="center"/>
          </w:tcPr>
          <w:p>
            <w:pPr>
              <w:pStyle w:val="39"/>
              <w:rPr>
                <w:u w:val="single"/>
              </w:rPr>
            </w:pPr>
            <w:r>
              <w:rPr>
                <w:u w:val="single"/>
              </w:rPr>
              <w:t>17S</w:t>
            </w:r>
            <w:r>
              <w:rPr>
                <w:u w:val="single"/>
              </w:rPr>
              <w:fldChar w:fldCharType="begin"/>
            </w:r>
            <w:r>
              <w:rPr>
                <w:u w:val="single"/>
              </w:rPr>
              <w:instrText xml:space="preserve"> = 1 \* GB3 </w:instrText>
            </w:r>
            <w:r>
              <w:rPr>
                <w:u w:val="single"/>
              </w:rPr>
              <w:fldChar w:fldCharType="separate"/>
            </w:r>
            <w:r>
              <w:rPr>
                <w:rFonts w:hint="eastAsia" w:ascii="宋体" w:hAnsi="宋体" w:cs="宋体"/>
                <w:u w:val="single"/>
              </w:rPr>
              <w:t>①</w:t>
            </w:r>
            <w:r>
              <w:rPr>
                <w:u w:val="single"/>
              </w:rPr>
              <w:fldChar w:fldCharType="end"/>
            </w:r>
          </w:p>
        </w:tc>
      </w:tr>
      <w:tr>
        <w:tblPrEx>
          <w:tblCellMar>
            <w:top w:w="0" w:type="dxa"/>
            <w:left w:w="108" w:type="dxa"/>
            <w:bottom w:w="0" w:type="dxa"/>
            <w:right w:w="108" w:type="dxa"/>
          </w:tblCellMar>
        </w:tblPrEx>
        <w:trPr>
          <w:trHeight w:val="340" w:hRule="atLeast"/>
          <w:jc w:val="center"/>
        </w:trPr>
        <w:tc>
          <w:tcPr>
            <w:tcW w:w="638" w:type="pct"/>
            <w:vMerge w:val="continue"/>
            <w:tcBorders>
              <w:left w:val="single" w:color="auto" w:sz="4" w:space="0"/>
              <w:right w:val="single" w:color="auto" w:sz="4" w:space="0"/>
            </w:tcBorders>
            <w:vAlign w:val="center"/>
          </w:tcPr>
          <w:p>
            <w:pPr>
              <w:pStyle w:val="39"/>
              <w:rPr>
                <w:u w:val="single"/>
              </w:rPr>
            </w:pPr>
          </w:p>
        </w:tc>
        <w:tc>
          <w:tcPr>
            <w:tcW w:w="724" w:type="pct"/>
            <w:vMerge w:val="continue"/>
            <w:tcBorders>
              <w:left w:val="single" w:color="auto" w:sz="4" w:space="0"/>
              <w:right w:val="single" w:color="auto" w:sz="4" w:space="0"/>
            </w:tcBorders>
            <w:vAlign w:val="center"/>
          </w:tcPr>
          <w:p>
            <w:pPr>
              <w:pStyle w:val="39"/>
              <w:rPr>
                <w:u w:val="single"/>
              </w:rPr>
            </w:pPr>
          </w:p>
        </w:tc>
        <w:tc>
          <w:tcPr>
            <w:tcW w:w="606" w:type="pct"/>
            <w:vMerge w:val="continue"/>
            <w:tcBorders>
              <w:left w:val="single" w:color="auto" w:sz="4" w:space="0"/>
              <w:right w:val="single" w:color="auto" w:sz="4" w:space="0"/>
            </w:tcBorders>
            <w:vAlign w:val="center"/>
          </w:tcPr>
          <w:p>
            <w:pPr>
              <w:pStyle w:val="39"/>
              <w:rPr>
                <w:u w:val="single"/>
              </w:rPr>
            </w:pPr>
          </w:p>
        </w:tc>
        <w:tc>
          <w:tcPr>
            <w:tcW w:w="489" w:type="pct"/>
            <w:vMerge w:val="continue"/>
            <w:tcBorders>
              <w:left w:val="single" w:color="auto" w:sz="4" w:space="0"/>
              <w:right w:val="single" w:color="auto" w:sz="4" w:space="0"/>
            </w:tcBorders>
            <w:vAlign w:val="center"/>
          </w:tcPr>
          <w:p>
            <w:pPr>
              <w:pStyle w:val="39"/>
              <w:rPr>
                <w:u w:val="single"/>
              </w:rPr>
            </w:pPr>
          </w:p>
        </w:tc>
        <w:tc>
          <w:tcPr>
            <w:tcW w:w="851" w:type="pct"/>
            <w:tcBorders>
              <w:top w:val="single" w:color="auto" w:sz="4" w:space="0"/>
              <w:left w:val="single" w:color="auto" w:sz="4" w:space="0"/>
              <w:bottom w:val="single" w:color="auto" w:sz="4" w:space="0"/>
              <w:right w:val="single" w:color="auto" w:sz="4" w:space="0"/>
            </w:tcBorders>
            <w:vAlign w:val="center"/>
          </w:tcPr>
          <w:p>
            <w:pPr>
              <w:pStyle w:val="39"/>
              <w:rPr>
                <w:u w:val="single"/>
              </w:rPr>
            </w:pPr>
            <w:r>
              <w:rPr>
                <w:u w:val="single"/>
              </w:rPr>
              <w:t>烟尘（压块）</w:t>
            </w:r>
          </w:p>
        </w:tc>
        <w:tc>
          <w:tcPr>
            <w:tcW w:w="1012" w:type="pct"/>
            <w:tcBorders>
              <w:top w:val="single" w:color="auto" w:sz="4" w:space="0"/>
              <w:left w:val="single" w:color="auto" w:sz="4" w:space="0"/>
              <w:bottom w:val="single" w:color="auto" w:sz="4" w:space="0"/>
              <w:right w:val="single" w:color="auto" w:sz="4" w:space="0"/>
            </w:tcBorders>
            <w:vAlign w:val="center"/>
          </w:tcPr>
          <w:p>
            <w:pPr>
              <w:pStyle w:val="39"/>
              <w:rPr>
                <w:u w:val="single"/>
              </w:rPr>
            </w:pPr>
            <w:r>
              <w:rPr>
                <w:u w:val="single"/>
              </w:rPr>
              <w:t>千克/吨-原料</w:t>
            </w:r>
          </w:p>
        </w:tc>
        <w:tc>
          <w:tcPr>
            <w:tcW w:w="680" w:type="pct"/>
            <w:tcBorders>
              <w:top w:val="single" w:color="auto" w:sz="4" w:space="0"/>
              <w:left w:val="single" w:color="auto" w:sz="4" w:space="0"/>
              <w:bottom w:val="single" w:color="auto" w:sz="4" w:space="0"/>
              <w:right w:val="single" w:color="auto" w:sz="4" w:space="0"/>
            </w:tcBorders>
            <w:vAlign w:val="center"/>
          </w:tcPr>
          <w:p>
            <w:pPr>
              <w:pStyle w:val="39"/>
              <w:rPr>
                <w:u w:val="single"/>
              </w:rPr>
            </w:pPr>
            <w:r>
              <w:rPr>
                <w:u w:val="single"/>
              </w:rPr>
              <w:t>0.5</w:t>
            </w:r>
          </w:p>
        </w:tc>
      </w:tr>
      <w:tr>
        <w:tblPrEx>
          <w:tblCellMar>
            <w:top w:w="0" w:type="dxa"/>
            <w:left w:w="108" w:type="dxa"/>
            <w:bottom w:w="0" w:type="dxa"/>
            <w:right w:w="108" w:type="dxa"/>
          </w:tblCellMar>
        </w:tblPrEx>
        <w:trPr>
          <w:trHeight w:val="340" w:hRule="atLeast"/>
          <w:jc w:val="center"/>
        </w:trPr>
        <w:tc>
          <w:tcPr>
            <w:tcW w:w="638" w:type="pct"/>
            <w:vMerge w:val="continue"/>
            <w:tcBorders>
              <w:left w:val="single" w:color="auto" w:sz="4" w:space="0"/>
              <w:bottom w:val="single" w:color="auto" w:sz="4" w:space="0"/>
              <w:right w:val="single" w:color="auto" w:sz="4" w:space="0"/>
            </w:tcBorders>
            <w:vAlign w:val="center"/>
          </w:tcPr>
          <w:p>
            <w:pPr>
              <w:pStyle w:val="39"/>
              <w:rPr>
                <w:u w:val="single"/>
              </w:rPr>
            </w:pPr>
          </w:p>
        </w:tc>
        <w:tc>
          <w:tcPr>
            <w:tcW w:w="724" w:type="pct"/>
            <w:vMerge w:val="continue"/>
            <w:tcBorders>
              <w:left w:val="single" w:color="auto" w:sz="4" w:space="0"/>
              <w:bottom w:val="single" w:color="auto" w:sz="4" w:space="0"/>
              <w:right w:val="single" w:color="auto" w:sz="4" w:space="0"/>
            </w:tcBorders>
            <w:vAlign w:val="center"/>
          </w:tcPr>
          <w:p>
            <w:pPr>
              <w:pStyle w:val="39"/>
              <w:rPr>
                <w:u w:val="single"/>
              </w:rPr>
            </w:pPr>
          </w:p>
        </w:tc>
        <w:tc>
          <w:tcPr>
            <w:tcW w:w="606" w:type="pct"/>
            <w:vMerge w:val="continue"/>
            <w:tcBorders>
              <w:left w:val="single" w:color="auto" w:sz="4" w:space="0"/>
              <w:bottom w:val="single" w:color="auto" w:sz="4" w:space="0"/>
              <w:right w:val="single" w:color="auto" w:sz="4" w:space="0"/>
            </w:tcBorders>
            <w:vAlign w:val="center"/>
          </w:tcPr>
          <w:p>
            <w:pPr>
              <w:pStyle w:val="39"/>
              <w:rPr>
                <w:u w:val="single"/>
              </w:rPr>
            </w:pPr>
          </w:p>
        </w:tc>
        <w:tc>
          <w:tcPr>
            <w:tcW w:w="489" w:type="pct"/>
            <w:vMerge w:val="continue"/>
            <w:tcBorders>
              <w:left w:val="single" w:color="auto" w:sz="4" w:space="0"/>
              <w:bottom w:val="single" w:color="auto" w:sz="4" w:space="0"/>
              <w:right w:val="single" w:color="auto" w:sz="4" w:space="0"/>
            </w:tcBorders>
            <w:vAlign w:val="center"/>
          </w:tcPr>
          <w:p>
            <w:pPr>
              <w:pStyle w:val="39"/>
              <w:rPr>
                <w:u w:val="single"/>
              </w:rPr>
            </w:pPr>
          </w:p>
        </w:tc>
        <w:tc>
          <w:tcPr>
            <w:tcW w:w="851" w:type="pct"/>
            <w:tcBorders>
              <w:top w:val="single" w:color="auto" w:sz="4" w:space="0"/>
              <w:left w:val="single" w:color="auto" w:sz="4" w:space="0"/>
              <w:bottom w:val="single" w:color="auto" w:sz="4" w:space="0"/>
              <w:right w:val="single" w:color="auto" w:sz="4" w:space="0"/>
            </w:tcBorders>
            <w:vAlign w:val="center"/>
          </w:tcPr>
          <w:p>
            <w:pPr>
              <w:pStyle w:val="39"/>
              <w:rPr>
                <w:u w:val="single"/>
              </w:rPr>
            </w:pPr>
            <w:r>
              <w:rPr>
                <w:u w:val="single"/>
              </w:rPr>
              <w:t>氮氧化物</w:t>
            </w:r>
          </w:p>
        </w:tc>
        <w:tc>
          <w:tcPr>
            <w:tcW w:w="1012" w:type="pct"/>
            <w:tcBorders>
              <w:top w:val="single" w:color="auto" w:sz="4" w:space="0"/>
              <w:left w:val="single" w:color="auto" w:sz="4" w:space="0"/>
              <w:bottom w:val="single" w:color="auto" w:sz="4" w:space="0"/>
              <w:right w:val="single" w:color="auto" w:sz="4" w:space="0"/>
            </w:tcBorders>
            <w:vAlign w:val="center"/>
          </w:tcPr>
          <w:p>
            <w:pPr>
              <w:pStyle w:val="39"/>
              <w:rPr>
                <w:u w:val="single"/>
              </w:rPr>
            </w:pPr>
            <w:r>
              <w:rPr>
                <w:u w:val="single"/>
              </w:rPr>
              <w:t>千克/吨-原料</w:t>
            </w:r>
          </w:p>
        </w:tc>
        <w:tc>
          <w:tcPr>
            <w:tcW w:w="680" w:type="pct"/>
            <w:tcBorders>
              <w:top w:val="single" w:color="auto" w:sz="4" w:space="0"/>
              <w:left w:val="single" w:color="auto" w:sz="4" w:space="0"/>
              <w:bottom w:val="single" w:color="auto" w:sz="4" w:space="0"/>
              <w:right w:val="single" w:color="auto" w:sz="4" w:space="0"/>
            </w:tcBorders>
            <w:vAlign w:val="center"/>
          </w:tcPr>
          <w:p>
            <w:pPr>
              <w:pStyle w:val="39"/>
              <w:rPr>
                <w:u w:val="single"/>
              </w:rPr>
            </w:pPr>
            <w:r>
              <w:rPr>
                <w:u w:val="single"/>
              </w:rPr>
              <w:t>1.02</w:t>
            </w:r>
          </w:p>
        </w:tc>
      </w:tr>
    </w:tbl>
    <w:p>
      <w:pPr>
        <w:pStyle w:val="3"/>
        <w:ind w:firstLine="361"/>
        <w:rPr>
          <w:sz w:val="18"/>
          <w:szCs w:val="18"/>
          <w:u w:val="single"/>
        </w:rPr>
      </w:pPr>
      <w:r>
        <w:rPr>
          <w:b/>
          <w:sz w:val="18"/>
          <w:szCs w:val="18"/>
          <w:u w:val="single"/>
        </w:rPr>
        <w:t>注：</w:t>
      </w:r>
      <w:r>
        <w:rPr>
          <w:sz w:val="18"/>
          <w:szCs w:val="18"/>
          <w:u w:val="single"/>
        </w:rPr>
        <w:fldChar w:fldCharType="begin"/>
      </w:r>
      <w:r>
        <w:rPr>
          <w:sz w:val="18"/>
          <w:szCs w:val="18"/>
          <w:u w:val="single"/>
        </w:rPr>
        <w:instrText xml:space="preserve"> = 1 \* GB3 </w:instrText>
      </w:r>
      <w:r>
        <w:rPr>
          <w:sz w:val="18"/>
          <w:szCs w:val="18"/>
          <w:u w:val="single"/>
        </w:rPr>
        <w:fldChar w:fldCharType="separate"/>
      </w:r>
      <w:r>
        <w:rPr>
          <w:rFonts w:hint="eastAsia" w:ascii="宋体" w:hAnsi="宋体" w:cs="宋体"/>
          <w:sz w:val="18"/>
          <w:szCs w:val="18"/>
          <w:u w:val="single"/>
        </w:rPr>
        <w:t>①</w:t>
      </w:r>
      <w:r>
        <w:rPr>
          <w:sz w:val="18"/>
          <w:szCs w:val="18"/>
          <w:u w:val="single"/>
        </w:rPr>
        <w:fldChar w:fldCharType="end"/>
      </w:r>
      <w:r>
        <w:rPr>
          <w:sz w:val="18"/>
          <w:szCs w:val="18"/>
          <w:u w:val="single"/>
        </w:rPr>
        <w:t>二氧化硫的产排污系数是以含硫量（S％）的形式表示的，其中含硫量（S％）是指生物质收到基硫分含量，以质量百分数的形式表示</w:t>
      </w:r>
      <w:r>
        <w:rPr>
          <w:rFonts w:hint="eastAsia"/>
          <w:sz w:val="18"/>
          <w:szCs w:val="18"/>
          <w:u w:val="single"/>
        </w:rPr>
        <w:t>；根据建设</w:t>
      </w:r>
      <w:r>
        <w:rPr>
          <w:sz w:val="18"/>
          <w:szCs w:val="18"/>
          <w:u w:val="single"/>
        </w:rPr>
        <w:t>单位提供的资料，S%为</w:t>
      </w:r>
      <w:r>
        <w:rPr>
          <w:rFonts w:hint="eastAsia"/>
          <w:sz w:val="18"/>
          <w:szCs w:val="18"/>
          <w:u w:val="single"/>
        </w:rPr>
        <w:t>0.</w:t>
      </w:r>
      <w:r>
        <w:rPr>
          <w:sz w:val="18"/>
          <w:szCs w:val="18"/>
          <w:u w:val="single"/>
        </w:rPr>
        <w:t>02</w:t>
      </w:r>
      <w:r>
        <w:rPr>
          <w:rFonts w:hint="eastAsia"/>
          <w:sz w:val="18"/>
          <w:szCs w:val="18"/>
          <w:u w:val="single"/>
        </w:rPr>
        <w:t>，</w:t>
      </w:r>
      <w:r>
        <w:rPr>
          <w:sz w:val="18"/>
          <w:szCs w:val="18"/>
          <w:u w:val="single"/>
        </w:rPr>
        <w:t>则</w:t>
      </w:r>
      <w:r>
        <w:rPr>
          <w:rFonts w:hint="eastAsia"/>
          <w:sz w:val="18"/>
          <w:szCs w:val="18"/>
          <w:u w:val="single"/>
        </w:rPr>
        <w:t>S=</w:t>
      </w:r>
      <w:r>
        <w:rPr>
          <w:sz w:val="18"/>
          <w:szCs w:val="18"/>
          <w:u w:val="single"/>
        </w:rPr>
        <w:t>0.02。</w:t>
      </w:r>
    </w:p>
    <w:p>
      <w:pPr>
        <w:pStyle w:val="3"/>
        <w:ind w:firstLine="480"/>
        <w:rPr>
          <w:u w:val="single"/>
        </w:rPr>
      </w:pPr>
    </w:p>
    <w:p>
      <w:pPr>
        <w:pStyle w:val="3"/>
        <w:ind w:firstLine="480"/>
        <w:rPr>
          <w:u w:val="single"/>
        </w:rPr>
      </w:pPr>
      <w:r>
        <w:rPr>
          <w:u w:val="single"/>
        </w:rPr>
        <w:t>本项目</w:t>
      </w:r>
      <w:r>
        <w:rPr>
          <w:rFonts w:hint="eastAsia"/>
          <w:u w:val="single"/>
        </w:rPr>
        <w:t>各</w:t>
      </w:r>
      <w:r>
        <w:rPr>
          <w:u w:val="single"/>
        </w:rPr>
        <w:t>锅炉设置1套布袋除尘器对生物质颗粒燃料废气进行处理后由</w:t>
      </w:r>
      <w:r>
        <w:rPr>
          <w:rFonts w:hint="eastAsia"/>
          <w:u w:val="single"/>
        </w:rPr>
        <w:t>各自离地高度</w:t>
      </w:r>
      <w:r>
        <w:rPr>
          <w:u w:val="single"/>
        </w:rPr>
        <w:t>20m高排气筒排放</w:t>
      </w:r>
      <w:r>
        <w:rPr>
          <w:rFonts w:hint="eastAsia"/>
          <w:u w:val="single"/>
        </w:rPr>
        <w:t>；</w:t>
      </w:r>
      <w:r>
        <w:rPr>
          <w:color w:val="000000"/>
          <w:u w:val="single"/>
        </w:rPr>
        <w:t>由于</w:t>
      </w:r>
      <w:r>
        <w:rPr>
          <w:rFonts w:hint="eastAsia"/>
          <w:color w:val="000000"/>
          <w:u w:val="single"/>
        </w:rPr>
        <w:t>三个</w:t>
      </w:r>
      <w:r>
        <w:rPr>
          <w:color w:val="000000"/>
          <w:u w:val="single"/>
        </w:rPr>
        <w:t>锅炉均设置在育雏鸡舍的</w:t>
      </w:r>
      <w:r>
        <w:rPr>
          <w:rFonts w:hint="eastAsia"/>
          <w:color w:val="000000"/>
          <w:u w:val="single"/>
        </w:rPr>
        <w:t>南端</w:t>
      </w:r>
      <w:r>
        <w:rPr>
          <w:color w:val="000000"/>
          <w:u w:val="single"/>
        </w:rPr>
        <w:t>，</w:t>
      </w:r>
      <w:r>
        <w:rPr>
          <w:rFonts w:hint="eastAsia"/>
          <w:color w:val="000000"/>
          <w:u w:val="single"/>
        </w:rPr>
        <w:t>排气筒</w:t>
      </w:r>
      <w:r>
        <w:rPr>
          <w:color w:val="000000"/>
          <w:u w:val="single"/>
        </w:rPr>
        <w:t>之间的距离</w:t>
      </w:r>
      <w:r>
        <w:rPr>
          <w:rFonts w:hint="eastAsia"/>
          <w:color w:val="000000"/>
          <w:u w:val="single"/>
        </w:rPr>
        <w:t>最远</w:t>
      </w:r>
      <w:r>
        <w:rPr>
          <w:color w:val="000000"/>
          <w:u w:val="single"/>
        </w:rPr>
        <w:t>为</w:t>
      </w:r>
      <w:r>
        <w:rPr>
          <w:rFonts w:hint="eastAsia"/>
          <w:color w:val="000000"/>
          <w:u w:val="single"/>
        </w:rPr>
        <w:t>30</w:t>
      </w:r>
      <w:r>
        <w:rPr>
          <w:color w:val="000000"/>
          <w:u w:val="single"/>
        </w:rPr>
        <w:t>m</w:t>
      </w:r>
      <w:r>
        <w:rPr>
          <w:rFonts w:hint="eastAsia"/>
          <w:color w:val="000000"/>
          <w:u w:val="single"/>
        </w:rPr>
        <w:t>小于</w:t>
      </w:r>
      <w:r>
        <w:rPr>
          <w:color w:val="000000"/>
          <w:u w:val="single"/>
        </w:rPr>
        <w:t>两两排气筒</w:t>
      </w:r>
      <w:r>
        <w:rPr>
          <w:rFonts w:hint="eastAsia"/>
          <w:color w:val="000000"/>
          <w:u w:val="single"/>
        </w:rPr>
        <w:t>高度</w:t>
      </w:r>
      <w:r>
        <w:rPr>
          <w:color w:val="000000"/>
          <w:u w:val="single"/>
        </w:rPr>
        <w:t>和</w:t>
      </w:r>
      <w:r>
        <w:rPr>
          <w:rFonts w:hint="eastAsia"/>
          <w:color w:val="000000"/>
          <w:u w:val="single"/>
        </w:rPr>
        <w:t>40</w:t>
      </w:r>
      <w:r>
        <w:rPr>
          <w:color w:val="000000"/>
          <w:u w:val="single"/>
        </w:rPr>
        <w:t>m</w:t>
      </w:r>
      <w:r>
        <w:rPr>
          <w:rFonts w:hint="eastAsia"/>
          <w:color w:val="000000"/>
          <w:u w:val="single"/>
        </w:rPr>
        <w:t>，</w:t>
      </w:r>
      <w:r>
        <w:rPr>
          <w:color w:val="000000"/>
          <w:u w:val="single"/>
        </w:rPr>
        <w:t>因此三根排气筒</w:t>
      </w:r>
      <w:r>
        <w:rPr>
          <w:rFonts w:hint="eastAsia"/>
          <w:color w:val="000000"/>
          <w:u w:val="single"/>
        </w:rPr>
        <w:t>等效</w:t>
      </w:r>
      <w:r>
        <w:rPr>
          <w:color w:val="000000"/>
          <w:u w:val="single"/>
        </w:rPr>
        <w:t>为一根排气筒</w:t>
      </w:r>
      <w:r>
        <w:rPr>
          <w:rFonts w:hint="eastAsia"/>
          <w:u w:val="single"/>
        </w:rPr>
        <w:t>，</w:t>
      </w:r>
      <w:r>
        <w:rPr>
          <w:u w:val="single"/>
        </w:rPr>
        <w:t>生物质颗粒燃料废气污染物产生及排放情况详见表3.2-12。</w:t>
      </w:r>
    </w:p>
    <w:p>
      <w:pPr>
        <w:pStyle w:val="3"/>
        <w:ind w:firstLine="480"/>
        <w:rPr>
          <w:u w:val="single"/>
        </w:rPr>
      </w:pPr>
    </w:p>
    <w:p>
      <w:pPr>
        <w:pStyle w:val="15"/>
        <w:rPr>
          <w:u w:val="single"/>
        </w:rPr>
      </w:pPr>
      <w:r>
        <w:rPr>
          <w:u w:val="single"/>
        </w:rPr>
        <w:t>表3.2-12   生物质颗粒燃料废气产排污情况一览表</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0"/>
        <w:gridCol w:w="605"/>
        <w:gridCol w:w="816"/>
        <w:gridCol w:w="1101"/>
        <w:gridCol w:w="879"/>
        <w:gridCol w:w="899"/>
        <w:gridCol w:w="1383"/>
        <w:gridCol w:w="1103"/>
        <w:gridCol w:w="1004"/>
        <w:gridCol w:w="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11" w:type="pct"/>
            <w:vMerge w:val="restart"/>
            <w:vAlign w:val="center"/>
          </w:tcPr>
          <w:p>
            <w:pPr>
              <w:pStyle w:val="14"/>
              <w:adjustRightInd w:val="0"/>
              <w:snapToGrid w:val="0"/>
              <w:ind w:firstLine="0" w:firstLineChars="0"/>
              <w:jc w:val="center"/>
              <w:rPr>
                <w:sz w:val="21"/>
                <w:szCs w:val="21"/>
                <w:u w:val="single"/>
              </w:rPr>
            </w:pPr>
            <w:r>
              <w:rPr>
                <w:sz w:val="21"/>
                <w:szCs w:val="21"/>
                <w:u w:val="single"/>
              </w:rPr>
              <w:t>污染源</w:t>
            </w:r>
          </w:p>
        </w:tc>
        <w:tc>
          <w:tcPr>
            <w:tcW w:w="330" w:type="pct"/>
            <w:vMerge w:val="restart"/>
            <w:vAlign w:val="center"/>
          </w:tcPr>
          <w:p>
            <w:pPr>
              <w:pStyle w:val="14"/>
              <w:adjustRightInd w:val="0"/>
              <w:snapToGrid w:val="0"/>
              <w:ind w:firstLine="0" w:firstLineChars="0"/>
              <w:jc w:val="center"/>
              <w:rPr>
                <w:sz w:val="21"/>
                <w:szCs w:val="21"/>
                <w:u w:val="single"/>
              </w:rPr>
            </w:pPr>
            <w:r>
              <w:rPr>
                <w:sz w:val="21"/>
                <w:szCs w:val="21"/>
                <w:u w:val="single"/>
              </w:rPr>
              <w:t>类型</w:t>
            </w:r>
          </w:p>
        </w:tc>
        <w:tc>
          <w:tcPr>
            <w:tcW w:w="445" w:type="pct"/>
            <w:vMerge w:val="restart"/>
            <w:vAlign w:val="center"/>
          </w:tcPr>
          <w:p>
            <w:pPr>
              <w:pStyle w:val="14"/>
              <w:adjustRightInd w:val="0"/>
              <w:snapToGrid w:val="0"/>
              <w:ind w:firstLine="0" w:firstLineChars="0"/>
              <w:jc w:val="center"/>
              <w:rPr>
                <w:sz w:val="21"/>
                <w:szCs w:val="21"/>
                <w:u w:val="single"/>
              </w:rPr>
            </w:pPr>
            <w:r>
              <w:rPr>
                <w:sz w:val="21"/>
                <w:szCs w:val="21"/>
                <w:u w:val="single"/>
              </w:rPr>
              <w:t>污染物</w:t>
            </w:r>
          </w:p>
        </w:tc>
        <w:tc>
          <w:tcPr>
            <w:tcW w:w="600" w:type="pct"/>
            <w:vMerge w:val="restart"/>
            <w:vAlign w:val="center"/>
          </w:tcPr>
          <w:p>
            <w:pPr>
              <w:pStyle w:val="14"/>
              <w:adjustRightInd w:val="0"/>
              <w:snapToGrid w:val="0"/>
              <w:ind w:firstLine="0" w:firstLineChars="0"/>
              <w:jc w:val="center"/>
              <w:rPr>
                <w:sz w:val="21"/>
                <w:szCs w:val="21"/>
                <w:u w:val="single"/>
              </w:rPr>
            </w:pPr>
            <w:r>
              <w:rPr>
                <w:sz w:val="21"/>
                <w:szCs w:val="21"/>
                <w:u w:val="single"/>
              </w:rPr>
              <w:t>排气量</w:t>
            </w:r>
          </w:p>
          <w:p>
            <w:pPr>
              <w:pStyle w:val="14"/>
              <w:adjustRightInd w:val="0"/>
              <w:snapToGrid w:val="0"/>
              <w:ind w:firstLine="0" w:firstLineChars="0"/>
              <w:jc w:val="center"/>
              <w:rPr>
                <w:sz w:val="21"/>
                <w:szCs w:val="21"/>
                <w:u w:val="single"/>
              </w:rPr>
            </w:pPr>
            <w:r>
              <w:rPr>
                <w:sz w:val="21"/>
                <w:szCs w:val="21"/>
                <w:u w:val="single"/>
              </w:rPr>
              <w:t>万Nm</w:t>
            </w:r>
            <w:r>
              <w:rPr>
                <w:sz w:val="21"/>
                <w:szCs w:val="21"/>
                <w:u w:val="single"/>
                <w:vertAlign w:val="superscript"/>
              </w:rPr>
              <w:t>3</w:t>
            </w:r>
            <w:r>
              <w:rPr>
                <w:sz w:val="21"/>
                <w:szCs w:val="21"/>
                <w:u w:val="single"/>
              </w:rPr>
              <w:t>/a</w:t>
            </w:r>
          </w:p>
        </w:tc>
        <w:tc>
          <w:tcPr>
            <w:tcW w:w="969" w:type="pct"/>
            <w:gridSpan w:val="2"/>
            <w:vAlign w:val="center"/>
          </w:tcPr>
          <w:p>
            <w:pPr>
              <w:pStyle w:val="14"/>
              <w:adjustRightInd w:val="0"/>
              <w:snapToGrid w:val="0"/>
              <w:ind w:firstLine="0" w:firstLineChars="0"/>
              <w:jc w:val="center"/>
              <w:rPr>
                <w:sz w:val="21"/>
                <w:szCs w:val="21"/>
                <w:u w:val="single"/>
              </w:rPr>
            </w:pPr>
            <w:r>
              <w:rPr>
                <w:sz w:val="21"/>
                <w:szCs w:val="21"/>
                <w:u w:val="single"/>
              </w:rPr>
              <w:t>产生</w:t>
            </w:r>
          </w:p>
        </w:tc>
        <w:tc>
          <w:tcPr>
            <w:tcW w:w="754" w:type="pct"/>
            <w:vMerge w:val="restart"/>
            <w:vAlign w:val="center"/>
          </w:tcPr>
          <w:p>
            <w:pPr>
              <w:pStyle w:val="14"/>
              <w:adjustRightInd w:val="0"/>
              <w:snapToGrid w:val="0"/>
              <w:ind w:firstLine="0" w:firstLineChars="0"/>
              <w:jc w:val="center"/>
              <w:rPr>
                <w:sz w:val="21"/>
                <w:szCs w:val="21"/>
                <w:u w:val="single"/>
              </w:rPr>
            </w:pPr>
            <w:r>
              <w:rPr>
                <w:sz w:val="21"/>
                <w:szCs w:val="21"/>
                <w:u w:val="single"/>
              </w:rPr>
              <w:t>处理措施</w:t>
            </w:r>
          </w:p>
        </w:tc>
        <w:tc>
          <w:tcPr>
            <w:tcW w:w="601" w:type="pct"/>
            <w:vMerge w:val="restart"/>
            <w:vAlign w:val="center"/>
          </w:tcPr>
          <w:p>
            <w:pPr>
              <w:pStyle w:val="14"/>
              <w:adjustRightInd w:val="0"/>
              <w:snapToGrid w:val="0"/>
              <w:ind w:firstLine="0" w:firstLineChars="0"/>
              <w:jc w:val="center"/>
              <w:rPr>
                <w:sz w:val="21"/>
                <w:szCs w:val="21"/>
                <w:u w:val="single"/>
              </w:rPr>
            </w:pPr>
            <w:r>
              <w:rPr>
                <w:color w:val="000000"/>
                <w:kern w:val="0"/>
                <w:sz w:val="21"/>
                <w:szCs w:val="21"/>
                <w:u w:val="single"/>
                <w:lang w:val="zh-CN"/>
              </w:rPr>
              <w:t>处理效率%</w:t>
            </w:r>
          </w:p>
        </w:tc>
        <w:tc>
          <w:tcPr>
            <w:tcW w:w="990" w:type="pct"/>
            <w:gridSpan w:val="2"/>
            <w:vAlign w:val="center"/>
          </w:tcPr>
          <w:p>
            <w:pPr>
              <w:pStyle w:val="14"/>
              <w:adjustRightInd w:val="0"/>
              <w:snapToGrid w:val="0"/>
              <w:ind w:firstLine="0" w:firstLineChars="0"/>
              <w:jc w:val="center"/>
              <w:rPr>
                <w:sz w:val="21"/>
                <w:szCs w:val="21"/>
                <w:u w:val="single"/>
              </w:rPr>
            </w:pPr>
            <w:r>
              <w:rPr>
                <w:sz w:val="21"/>
                <w:szCs w:val="21"/>
                <w:u w:val="single"/>
              </w:rPr>
              <w:t>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11" w:type="pct"/>
            <w:vMerge w:val="continue"/>
            <w:vAlign w:val="center"/>
          </w:tcPr>
          <w:p>
            <w:pPr>
              <w:pStyle w:val="14"/>
              <w:adjustRightInd w:val="0"/>
              <w:snapToGrid w:val="0"/>
              <w:ind w:firstLine="0" w:firstLineChars="0"/>
              <w:jc w:val="center"/>
              <w:rPr>
                <w:sz w:val="21"/>
                <w:szCs w:val="21"/>
                <w:u w:val="single"/>
              </w:rPr>
            </w:pPr>
          </w:p>
        </w:tc>
        <w:tc>
          <w:tcPr>
            <w:tcW w:w="330" w:type="pct"/>
            <w:vMerge w:val="continue"/>
            <w:vAlign w:val="center"/>
          </w:tcPr>
          <w:p>
            <w:pPr>
              <w:pStyle w:val="14"/>
              <w:adjustRightInd w:val="0"/>
              <w:snapToGrid w:val="0"/>
              <w:ind w:firstLine="0" w:firstLineChars="0"/>
              <w:jc w:val="center"/>
              <w:rPr>
                <w:sz w:val="21"/>
                <w:szCs w:val="21"/>
                <w:u w:val="single"/>
              </w:rPr>
            </w:pPr>
          </w:p>
        </w:tc>
        <w:tc>
          <w:tcPr>
            <w:tcW w:w="445" w:type="pct"/>
            <w:vMerge w:val="continue"/>
            <w:vAlign w:val="center"/>
          </w:tcPr>
          <w:p>
            <w:pPr>
              <w:pStyle w:val="14"/>
              <w:adjustRightInd w:val="0"/>
              <w:snapToGrid w:val="0"/>
              <w:ind w:firstLine="0" w:firstLineChars="0"/>
              <w:jc w:val="center"/>
              <w:rPr>
                <w:sz w:val="21"/>
                <w:szCs w:val="21"/>
                <w:u w:val="single"/>
              </w:rPr>
            </w:pPr>
          </w:p>
        </w:tc>
        <w:tc>
          <w:tcPr>
            <w:tcW w:w="600" w:type="pct"/>
            <w:vMerge w:val="continue"/>
            <w:vAlign w:val="center"/>
          </w:tcPr>
          <w:p>
            <w:pPr>
              <w:pStyle w:val="14"/>
              <w:adjustRightInd w:val="0"/>
              <w:snapToGrid w:val="0"/>
              <w:ind w:firstLine="0" w:firstLineChars="0"/>
              <w:jc w:val="center"/>
              <w:rPr>
                <w:sz w:val="21"/>
                <w:szCs w:val="21"/>
                <w:u w:val="single"/>
              </w:rPr>
            </w:pPr>
          </w:p>
        </w:tc>
        <w:tc>
          <w:tcPr>
            <w:tcW w:w="479" w:type="pct"/>
            <w:vAlign w:val="center"/>
          </w:tcPr>
          <w:p>
            <w:pPr>
              <w:pStyle w:val="14"/>
              <w:adjustRightInd w:val="0"/>
              <w:snapToGrid w:val="0"/>
              <w:ind w:firstLine="0" w:firstLineChars="0"/>
              <w:jc w:val="center"/>
              <w:rPr>
                <w:sz w:val="21"/>
                <w:szCs w:val="21"/>
                <w:u w:val="single"/>
              </w:rPr>
            </w:pPr>
            <w:r>
              <w:rPr>
                <w:sz w:val="21"/>
                <w:szCs w:val="21"/>
                <w:u w:val="single"/>
              </w:rPr>
              <w:t>量t/a</w:t>
            </w:r>
          </w:p>
        </w:tc>
        <w:tc>
          <w:tcPr>
            <w:tcW w:w="490" w:type="pct"/>
            <w:vAlign w:val="center"/>
          </w:tcPr>
          <w:p>
            <w:pPr>
              <w:pStyle w:val="14"/>
              <w:adjustRightInd w:val="0"/>
              <w:snapToGrid w:val="0"/>
              <w:ind w:firstLine="0" w:firstLineChars="0"/>
              <w:jc w:val="center"/>
              <w:rPr>
                <w:sz w:val="21"/>
                <w:szCs w:val="21"/>
                <w:u w:val="single"/>
              </w:rPr>
            </w:pPr>
            <w:r>
              <w:rPr>
                <w:sz w:val="21"/>
                <w:szCs w:val="21"/>
                <w:u w:val="single"/>
              </w:rPr>
              <w:t>浓度mg/m</w:t>
            </w:r>
            <w:r>
              <w:rPr>
                <w:sz w:val="21"/>
                <w:szCs w:val="21"/>
                <w:u w:val="single"/>
                <w:vertAlign w:val="superscript"/>
              </w:rPr>
              <w:t>3</w:t>
            </w:r>
          </w:p>
        </w:tc>
        <w:tc>
          <w:tcPr>
            <w:tcW w:w="754" w:type="pct"/>
            <w:vMerge w:val="continue"/>
            <w:vAlign w:val="center"/>
          </w:tcPr>
          <w:p>
            <w:pPr>
              <w:pStyle w:val="14"/>
              <w:adjustRightInd w:val="0"/>
              <w:snapToGrid w:val="0"/>
              <w:ind w:firstLine="0" w:firstLineChars="0"/>
              <w:jc w:val="center"/>
              <w:rPr>
                <w:sz w:val="21"/>
                <w:szCs w:val="21"/>
                <w:u w:val="single"/>
              </w:rPr>
            </w:pPr>
          </w:p>
        </w:tc>
        <w:tc>
          <w:tcPr>
            <w:tcW w:w="601" w:type="pct"/>
            <w:vMerge w:val="continue"/>
            <w:vAlign w:val="center"/>
          </w:tcPr>
          <w:p>
            <w:pPr>
              <w:pStyle w:val="14"/>
              <w:adjustRightInd w:val="0"/>
              <w:snapToGrid w:val="0"/>
              <w:ind w:firstLine="0" w:firstLineChars="0"/>
              <w:jc w:val="center"/>
              <w:rPr>
                <w:sz w:val="21"/>
                <w:szCs w:val="21"/>
                <w:u w:val="single"/>
              </w:rPr>
            </w:pPr>
          </w:p>
        </w:tc>
        <w:tc>
          <w:tcPr>
            <w:tcW w:w="547" w:type="pct"/>
            <w:vAlign w:val="center"/>
          </w:tcPr>
          <w:p>
            <w:pPr>
              <w:pStyle w:val="14"/>
              <w:adjustRightInd w:val="0"/>
              <w:snapToGrid w:val="0"/>
              <w:ind w:firstLine="0" w:firstLineChars="0"/>
              <w:jc w:val="center"/>
              <w:rPr>
                <w:sz w:val="21"/>
                <w:szCs w:val="21"/>
                <w:u w:val="single"/>
              </w:rPr>
            </w:pPr>
            <w:r>
              <w:rPr>
                <w:sz w:val="21"/>
                <w:szCs w:val="21"/>
                <w:u w:val="single"/>
              </w:rPr>
              <w:t>量t/a</w:t>
            </w:r>
          </w:p>
        </w:tc>
        <w:tc>
          <w:tcPr>
            <w:tcW w:w="443" w:type="pct"/>
            <w:vAlign w:val="center"/>
          </w:tcPr>
          <w:p>
            <w:pPr>
              <w:pStyle w:val="14"/>
              <w:adjustRightInd w:val="0"/>
              <w:snapToGrid w:val="0"/>
              <w:ind w:firstLine="0" w:firstLineChars="0"/>
              <w:jc w:val="center"/>
              <w:rPr>
                <w:sz w:val="21"/>
                <w:szCs w:val="21"/>
                <w:u w:val="single"/>
              </w:rPr>
            </w:pPr>
            <w:r>
              <w:rPr>
                <w:sz w:val="21"/>
                <w:szCs w:val="21"/>
                <w:u w:val="single"/>
              </w:rPr>
              <w:t>浓度mg/m</w:t>
            </w:r>
            <w:r>
              <w:rPr>
                <w:sz w:val="21"/>
                <w:szCs w:val="21"/>
                <w:u w:val="single"/>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311" w:type="pct"/>
            <w:vMerge w:val="restart"/>
            <w:vAlign w:val="center"/>
          </w:tcPr>
          <w:p>
            <w:pPr>
              <w:pStyle w:val="14"/>
              <w:adjustRightInd w:val="0"/>
              <w:snapToGrid w:val="0"/>
              <w:ind w:firstLine="0" w:firstLineChars="0"/>
              <w:jc w:val="center"/>
              <w:rPr>
                <w:sz w:val="21"/>
                <w:szCs w:val="21"/>
                <w:u w:val="single"/>
              </w:rPr>
            </w:pPr>
            <w:r>
              <w:rPr>
                <w:rFonts w:hint="eastAsia"/>
                <w:sz w:val="21"/>
                <w:szCs w:val="21"/>
                <w:u w:val="single"/>
              </w:rPr>
              <w:t>锅炉</w:t>
            </w:r>
          </w:p>
        </w:tc>
        <w:tc>
          <w:tcPr>
            <w:tcW w:w="330" w:type="pct"/>
            <w:vMerge w:val="restart"/>
            <w:vAlign w:val="center"/>
          </w:tcPr>
          <w:p>
            <w:pPr>
              <w:pStyle w:val="14"/>
              <w:adjustRightInd w:val="0"/>
              <w:snapToGrid w:val="0"/>
              <w:ind w:firstLine="0" w:firstLineChars="0"/>
              <w:jc w:val="center"/>
              <w:rPr>
                <w:sz w:val="21"/>
                <w:szCs w:val="21"/>
                <w:u w:val="single"/>
              </w:rPr>
            </w:pPr>
            <w:r>
              <w:rPr>
                <w:sz w:val="21"/>
                <w:szCs w:val="21"/>
                <w:u w:val="single"/>
              </w:rPr>
              <w:t>有组织</w:t>
            </w:r>
          </w:p>
        </w:tc>
        <w:tc>
          <w:tcPr>
            <w:tcW w:w="445" w:type="pct"/>
            <w:vAlign w:val="center"/>
          </w:tcPr>
          <w:p>
            <w:pPr>
              <w:pStyle w:val="14"/>
              <w:adjustRightInd w:val="0"/>
              <w:snapToGrid w:val="0"/>
              <w:ind w:firstLine="0" w:firstLineChars="0"/>
              <w:jc w:val="center"/>
              <w:rPr>
                <w:sz w:val="21"/>
                <w:szCs w:val="21"/>
                <w:u w:val="single"/>
              </w:rPr>
            </w:pPr>
            <w:r>
              <w:rPr>
                <w:sz w:val="21"/>
                <w:szCs w:val="21"/>
                <w:u w:val="single"/>
              </w:rPr>
              <w:t>SO</w:t>
            </w:r>
            <w:r>
              <w:rPr>
                <w:sz w:val="21"/>
                <w:szCs w:val="21"/>
                <w:u w:val="single"/>
                <w:vertAlign w:val="subscript"/>
              </w:rPr>
              <w:t>2</w:t>
            </w:r>
          </w:p>
        </w:tc>
        <w:tc>
          <w:tcPr>
            <w:tcW w:w="600" w:type="pct"/>
            <w:vMerge w:val="restart"/>
            <w:vAlign w:val="center"/>
          </w:tcPr>
          <w:p>
            <w:pPr>
              <w:jc w:val="center"/>
              <w:rPr>
                <w:rFonts w:ascii="Times New Roman" w:hAnsi="Times New Roman"/>
                <w:color w:val="000000"/>
                <w:u w:val="single"/>
              </w:rPr>
            </w:pPr>
            <w:r>
              <w:rPr>
                <w:rFonts w:ascii="Times New Roman" w:hAnsi="Times New Roman"/>
                <w:color w:val="000000"/>
                <w:u w:val="single"/>
              </w:rPr>
              <w:t>404.4</w:t>
            </w:r>
          </w:p>
        </w:tc>
        <w:tc>
          <w:tcPr>
            <w:tcW w:w="479" w:type="pct"/>
            <w:vAlign w:val="center"/>
          </w:tcPr>
          <w:p>
            <w:pPr>
              <w:adjustRightInd/>
              <w:snapToGrid/>
              <w:jc w:val="center"/>
              <w:rPr>
                <w:rFonts w:ascii="Times New Roman" w:hAnsi="Times New Roman" w:eastAsia="等线" w:cs="Times New Roman"/>
                <w:color w:val="000000"/>
                <w:u w:val="single"/>
              </w:rPr>
            </w:pPr>
            <w:r>
              <w:rPr>
                <w:rFonts w:ascii="Times New Roman" w:hAnsi="Times New Roman" w:eastAsia="等线" w:cs="Times New Roman"/>
                <w:color w:val="000000"/>
                <w:u w:val="single"/>
              </w:rPr>
              <w:t xml:space="preserve">0.22 </w:t>
            </w:r>
          </w:p>
        </w:tc>
        <w:tc>
          <w:tcPr>
            <w:tcW w:w="490" w:type="pct"/>
            <w:vAlign w:val="center"/>
          </w:tcPr>
          <w:p>
            <w:pPr>
              <w:jc w:val="center"/>
              <w:rPr>
                <w:rFonts w:ascii="Times New Roman" w:hAnsi="Times New Roman" w:eastAsia="等线" w:cs="Times New Roman"/>
                <w:color w:val="000000"/>
                <w:u w:val="single"/>
              </w:rPr>
            </w:pPr>
            <w:r>
              <w:rPr>
                <w:rFonts w:ascii="Times New Roman" w:hAnsi="Times New Roman" w:eastAsia="等线" w:cs="Times New Roman"/>
                <w:color w:val="000000"/>
                <w:u w:val="single"/>
              </w:rPr>
              <w:t xml:space="preserve">54.48 </w:t>
            </w:r>
          </w:p>
        </w:tc>
        <w:tc>
          <w:tcPr>
            <w:tcW w:w="754" w:type="pct"/>
            <w:vMerge w:val="restart"/>
            <w:vAlign w:val="center"/>
          </w:tcPr>
          <w:p>
            <w:pPr>
              <w:pStyle w:val="14"/>
              <w:adjustRightInd w:val="0"/>
              <w:snapToGrid w:val="0"/>
              <w:ind w:firstLine="0" w:firstLineChars="0"/>
              <w:jc w:val="center"/>
              <w:rPr>
                <w:sz w:val="21"/>
                <w:szCs w:val="21"/>
                <w:u w:val="single"/>
              </w:rPr>
            </w:pPr>
            <w:r>
              <w:rPr>
                <w:sz w:val="21"/>
                <w:szCs w:val="21"/>
                <w:u w:val="single"/>
              </w:rPr>
              <w:t>布袋除尘器+20m高排气筒</w:t>
            </w:r>
          </w:p>
        </w:tc>
        <w:tc>
          <w:tcPr>
            <w:tcW w:w="601" w:type="pct"/>
            <w:vAlign w:val="center"/>
          </w:tcPr>
          <w:p>
            <w:pPr>
              <w:pStyle w:val="14"/>
              <w:adjustRightInd w:val="0"/>
              <w:snapToGrid w:val="0"/>
              <w:ind w:firstLine="0" w:firstLineChars="0"/>
              <w:jc w:val="center"/>
              <w:rPr>
                <w:sz w:val="21"/>
                <w:szCs w:val="21"/>
                <w:u w:val="single"/>
              </w:rPr>
            </w:pPr>
            <w:r>
              <w:rPr>
                <w:sz w:val="21"/>
                <w:szCs w:val="21"/>
                <w:u w:val="single"/>
              </w:rPr>
              <w:t>0</w:t>
            </w:r>
          </w:p>
        </w:tc>
        <w:tc>
          <w:tcPr>
            <w:tcW w:w="547" w:type="pct"/>
            <w:vAlign w:val="center"/>
          </w:tcPr>
          <w:p>
            <w:pPr>
              <w:adjustRightInd/>
              <w:snapToGrid/>
              <w:jc w:val="center"/>
              <w:rPr>
                <w:rFonts w:ascii="Times New Roman" w:hAnsi="Times New Roman" w:eastAsia="等线" w:cs="Times New Roman"/>
                <w:color w:val="000000"/>
                <w:u w:val="single"/>
              </w:rPr>
            </w:pPr>
            <w:r>
              <w:rPr>
                <w:rFonts w:ascii="Times New Roman" w:hAnsi="Times New Roman" w:eastAsia="等线" w:cs="Times New Roman"/>
                <w:color w:val="000000"/>
                <w:u w:val="single"/>
              </w:rPr>
              <w:t xml:space="preserve">0.22 </w:t>
            </w:r>
          </w:p>
        </w:tc>
        <w:tc>
          <w:tcPr>
            <w:tcW w:w="443" w:type="pct"/>
            <w:vAlign w:val="center"/>
          </w:tcPr>
          <w:p>
            <w:pPr>
              <w:jc w:val="center"/>
              <w:rPr>
                <w:rFonts w:ascii="Times New Roman" w:hAnsi="Times New Roman" w:eastAsia="等线" w:cs="Times New Roman"/>
                <w:color w:val="000000"/>
                <w:u w:val="single"/>
              </w:rPr>
            </w:pPr>
            <w:r>
              <w:rPr>
                <w:rFonts w:ascii="Times New Roman" w:hAnsi="Times New Roman" w:eastAsia="等线" w:cs="Times New Roman"/>
                <w:color w:val="000000"/>
                <w:u w:val="single"/>
              </w:rPr>
              <w:t xml:space="preserve">54.48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311" w:type="pct"/>
            <w:vMerge w:val="continue"/>
            <w:vAlign w:val="center"/>
          </w:tcPr>
          <w:p>
            <w:pPr>
              <w:pStyle w:val="14"/>
              <w:adjustRightInd w:val="0"/>
              <w:snapToGrid w:val="0"/>
              <w:ind w:firstLine="0" w:firstLineChars="0"/>
              <w:jc w:val="center"/>
              <w:rPr>
                <w:sz w:val="21"/>
                <w:szCs w:val="21"/>
                <w:u w:val="single"/>
              </w:rPr>
            </w:pPr>
          </w:p>
        </w:tc>
        <w:tc>
          <w:tcPr>
            <w:tcW w:w="330" w:type="pct"/>
            <w:vMerge w:val="continue"/>
            <w:vAlign w:val="center"/>
          </w:tcPr>
          <w:p>
            <w:pPr>
              <w:pStyle w:val="14"/>
              <w:adjustRightInd w:val="0"/>
              <w:snapToGrid w:val="0"/>
              <w:ind w:firstLine="0" w:firstLineChars="0"/>
              <w:jc w:val="center"/>
              <w:rPr>
                <w:sz w:val="21"/>
                <w:szCs w:val="21"/>
                <w:u w:val="single"/>
              </w:rPr>
            </w:pPr>
          </w:p>
        </w:tc>
        <w:tc>
          <w:tcPr>
            <w:tcW w:w="445" w:type="pct"/>
            <w:vAlign w:val="center"/>
          </w:tcPr>
          <w:p>
            <w:pPr>
              <w:pStyle w:val="14"/>
              <w:adjustRightInd w:val="0"/>
              <w:snapToGrid w:val="0"/>
              <w:ind w:firstLine="0" w:firstLineChars="0"/>
              <w:jc w:val="center"/>
              <w:rPr>
                <w:sz w:val="21"/>
                <w:szCs w:val="21"/>
                <w:u w:val="single"/>
              </w:rPr>
            </w:pPr>
            <w:r>
              <w:rPr>
                <w:sz w:val="21"/>
                <w:szCs w:val="21"/>
                <w:u w:val="single"/>
              </w:rPr>
              <w:t>烟尘</w:t>
            </w:r>
          </w:p>
        </w:tc>
        <w:tc>
          <w:tcPr>
            <w:tcW w:w="600" w:type="pct"/>
            <w:vMerge w:val="continue"/>
            <w:vAlign w:val="center"/>
          </w:tcPr>
          <w:p>
            <w:pPr>
              <w:pStyle w:val="14"/>
              <w:adjustRightInd w:val="0"/>
              <w:snapToGrid w:val="0"/>
              <w:ind w:firstLine="0" w:firstLineChars="0"/>
              <w:jc w:val="center"/>
              <w:rPr>
                <w:sz w:val="21"/>
                <w:szCs w:val="21"/>
                <w:u w:val="single"/>
              </w:rPr>
            </w:pPr>
          </w:p>
        </w:tc>
        <w:tc>
          <w:tcPr>
            <w:tcW w:w="479" w:type="pct"/>
            <w:vAlign w:val="center"/>
          </w:tcPr>
          <w:p>
            <w:pPr>
              <w:jc w:val="center"/>
              <w:rPr>
                <w:rFonts w:ascii="Times New Roman" w:hAnsi="Times New Roman" w:eastAsia="等线" w:cs="Times New Roman"/>
                <w:color w:val="000000"/>
                <w:u w:val="single"/>
              </w:rPr>
            </w:pPr>
            <w:r>
              <w:rPr>
                <w:rFonts w:ascii="Times New Roman" w:hAnsi="Times New Roman" w:eastAsia="等线" w:cs="Times New Roman"/>
                <w:color w:val="000000"/>
                <w:u w:val="single"/>
              </w:rPr>
              <w:t xml:space="preserve">0.32 </w:t>
            </w:r>
          </w:p>
        </w:tc>
        <w:tc>
          <w:tcPr>
            <w:tcW w:w="490" w:type="pct"/>
            <w:vAlign w:val="center"/>
          </w:tcPr>
          <w:p>
            <w:pPr>
              <w:jc w:val="center"/>
              <w:rPr>
                <w:rFonts w:ascii="Times New Roman" w:hAnsi="Times New Roman" w:eastAsia="等线" w:cs="Times New Roman"/>
                <w:color w:val="000000"/>
                <w:u w:val="single"/>
              </w:rPr>
            </w:pPr>
            <w:r>
              <w:rPr>
                <w:rFonts w:ascii="Times New Roman" w:hAnsi="Times New Roman" w:eastAsia="等线" w:cs="Times New Roman"/>
                <w:color w:val="000000"/>
                <w:u w:val="single"/>
              </w:rPr>
              <w:t xml:space="preserve">80.12 </w:t>
            </w:r>
          </w:p>
        </w:tc>
        <w:tc>
          <w:tcPr>
            <w:tcW w:w="754" w:type="pct"/>
            <w:vMerge w:val="continue"/>
            <w:vAlign w:val="center"/>
          </w:tcPr>
          <w:p>
            <w:pPr>
              <w:pStyle w:val="14"/>
              <w:adjustRightInd w:val="0"/>
              <w:snapToGrid w:val="0"/>
              <w:ind w:firstLine="0" w:firstLineChars="0"/>
              <w:jc w:val="center"/>
              <w:rPr>
                <w:sz w:val="21"/>
                <w:szCs w:val="21"/>
                <w:u w:val="single"/>
              </w:rPr>
            </w:pPr>
          </w:p>
        </w:tc>
        <w:tc>
          <w:tcPr>
            <w:tcW w:w="601" w:type="pct"/>
            <w:vAlign w:val="center"/>
          </w:tcPr>
          <w:p>
            <w:pPr>
              <w:pStyle w:val="14"/>
              <w:adjustRightInd w:val="0"/>
              <w:snapToGrid w:val="0"/>
              <w:ind w:firstLine="0" w:firstLineChars="0"/>
              <w:jc w:val="center"/>
              <w:rPr>
                <w:sz w:val="21"/>
                <w:szCs w:val="21"/>
                <w:u w:val="single"/>
              </w:rPr>
            </w:pPr>
            <w:r>
              <w:rPr>
                <w:color w:val="000000"/>
                <w:sz w:val="21"/>
                <w:szCs w:val="21"/>
                <w:u w:val="single"/>
              </w:rPr>
              <w:t>99</w:t>
            </w:r>
            <w:r>
              <w:rPr>
                <w:rFonts w:hint="eastAsia"/>
                <w:color w:val="000000"/>
                <w:sz w:val="21"/>
                <w:szCs w:val="21"/>
                <w:u w:val="single"/>
              </w:rPr>
              <w:t>.5</w:t>
            </w:r>
          </w:p>
        </w:tc>
        <w:tc>
          <w:tcPr>
            <w:tcW w:w="547" w:type="pct"/>
            <w:vAlign w:val="center"/>
          </w:tcPr>
          <w:p>
            <w:pPr>
              <w:jc w:val="center"/>
              <w:rPr>
                <w:rFonts w:ascii="Times New Roman" w:hAnsi="Times New Roman" w:eastAsia="等线" w:cs="Times New Roman"/>
                <w:color w:val="000000"/>
                <w:u w:val="single"/>
              </w:rPr>
            </w:pPr>
            <w:r>
              <w:rPr>
                <w:rFonts w:ascii="Times New Roman" w:hAnsi="Times New Roman" w:eastAsia="等线" w:cs="Times New Roman"/>
                <w:color w:val="000000"/>
                <w:u w:val="single"/>
              </w:rPr>
              <w:t xml:space="preserve">0.002 </w:t>
            </w:r>
          </w:p>
        </w:tc>
        <w:tc>
          <w:tcPr>
            <w:tcW w:w="443" w:type="pct"/>
            <w:vAlign w:val="center"/>
          </w:tcPr>
          <w:p>
            <w:pPr>
              <w:jc w:val="center"/>
              <w:rPr>
                <w:rFonts w:ascii="Times New Roman" w:hAnsi="Times New Roman" w:eastAsia="等线" w:cs="Times New Roman"/>
                <w:color w:val="000000"/>
                <w:u w:val="single"/>
              </w:rPr>
            </w:pPr>
            <w:r>
              <w:rPr>
                <w:rFonts w:ascii="Times New Roman" w:hAnsi="Times New Roman" w:eastAsia="等线" w:cs="Times New Roman"/>
                <w:color w:val="000000"/>
                <w:u w:val="single"/>
              </w:rPr>
              <w:t xml:space="preserve">0.40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11" w:type="pct"/>
            <w:vMerge w:val="continue"/>
            <w:vAlign w:val="center"/>
          </w:tcPr>
          <w:p>
            <w:pPr>
              <w:pStyle w:val="14"/>
              <w:adjustRightInd w:val="0"/>
              <w:snapToGrid w:val="0"/>
              <w:ind w:firstLine="0" w:firstLineChars="0"/>
              <w:jc w:val="center"/>
              <w:rPr>
                <w:sz w:val="21"/>
                <w:szCs w:val="21"/>
                <w:u w:val="single"/>
              </w:rPr>
            </w:pPr>
          </w:p>
        </w:tc>
        <w:tc>
          <w:tcPr>
            <w:tcW w:w="330" w:type="pct"/>
            <w:vMerge w:val="continue"/>
            <w:vAlign w:val="center"/>
          </w:tcPr>
          <w:p>
            <w:pPr>
              <w:pStyle w:val="14"/>
              <w:adjustRightInd w:val="0"/>
              <w:snapToGrid w:val="0"/>
              <w:ind w:firstLine="0" w:firstLineChars="0"/>
              <w:jc w:val="center"/>
              <w:rPr>
                <w:sz w:val="21"/>
                <w:szCs w:val="21"/>
                <w:u w:val="single"/>
              </w:rPr>
            </w:pPr>
          </w:p>
        </w:tc>
        <w:tc>
          <w:tcPr>
            <w:tcW w:w="445" w:type="pct"/>
            <w:vAlign w:val="center"/>
          </w:tcPr>
          <w:p>
            <w:pPr>
              <w:pStyle w:val="14"/>
              <w:adjustRightInd w:val="0"/>
              <w:snapToGrid w:val="0"/>
              <w:ind w:firstLine="0" w:firstLineChars="0"/>
              <w:jc w:val="center"/>
              <w:rPr>
                <w:sz w:val="21"/>
                <w:szCs w:val="21"/>
                <w:u w:val="single"/>
              </w:rPr>
            </w:pPr>
            <w:r>
              <w:rPr>
                <w:rFonts w:hint="eastAsia"/>
                <w:sz w:val="21"/>
                <w:szCs w:val="21"/>
                <w:u w:val="single"/>
              </w:rPr>
              <w:t>N</w:t>
            </w:r>
            <w:r>
              <w:rPr>
                <w:sz w:val="21"/>
                <w:szCs w:val="21"/>
                <w:u w:val="single"/>
              </w:rPr>
              <w:t>Ox</w:t>
            </w:r>
          </w:p>
        </w:tc>
        <w:tc>
          <w:tcPr>
            <w:tcW w:w="600" w:type="pct"/>
            <w:vMerge w:val="continue"/>
            <w:vAlign w:val="center"/>
          </w:tcPr>
          <w:p>
            <w:pPr>
              <w:pStyle w:val="14"/>
              <w:adjustRightInd w:val="0"/>
              <w:snapToGrid w:val="0"/>
              <w:ind w:firstLine="0" w:firstLineChars="0"/>
              <w:jc w:val="center"/>
              <w:rPr>
                <w:sz w:val="21"/>
                <w:szCs w:val="21"/>
                <w:u w:val="single"/>
              </w:rPr>
            </w:pPr>
          </w:p>
        </w:tc>
        <w:tc>
          <w:tcPr>
            <w:tcW w:w="479" w:type="pct"/>
            <w:vAlign w:val="center"/>
          </w:tcPr>
          <w:p>
            <w:pPr>
              <w:jc w:val="center"/>
              <w:rPr>
                <w:rFonts w:ascii="Times New Roman" w:hAnsi="Times New Roman" w:eastAsia="等线" w:cs="Times New Roman"/>
                <w:color w:val="000000"/>
                <w:u w:val="single"/>
              </w:rPr>
            </w:pPr>
            <w:r>
              <w:rPr>
                <w:rFonts w:ascii="Times New Roman" w:hAnsi="Times New Roman" w:eastAsia="等线" w:cs="Times New Roman"/>
                <w:color w:val="000000"/>
                <w:u w:val="single"/>
              </w:rPr>
              <w:t xml:space="preserve">0.66 </w:t>
            </w:r>
          </w:p>
        </w:tc>
        <w:tc>
          <w:tcPr>
            <w:tcW w:w="490" w:type="pct"/>
            <w:vAlign w:val="center"/>
          </w:tcPr>
          <w:p>
            <w:pPr>
              <w:jc w:val="center"/>
              <w:rPr>
                <w:rFonts w:ascii="Times New Roman" w:hAnsi="Times New Roman" w:eastAsia="等线" w:cs="Times New Roman"/>
                <w:color w:val="000000"/>
                <w:u w:val="single"/>
              </w:rPr>
            </w:pPr>
            <w:r>
              <w:rPr>
                <w:rFonts w:ascii="Times New Roman" w:hAnsi="Times New Roman" w:eastAsia="等线" w:cs="Times New Roman"/>
                <w:color w:val="000000"/>
                <w:u w:val="single"/>
              </w:rPr>
              <w:t xml:space="preserve">163.44 </w:t>
            </w:r>
          </w:p>
        </w:tc>
        <w:tc>
          <w:tcPr>
            <w:tcW w:w="754" w:type="pct"/>
            <w:vMerge w:val="continue"/>
            <w:vAlign w:val="center"/>
          </w:tcPr>
          <w:p>
            <w:pPr>
              <w:pStyle w:val="14"/>
              <w:adjustRightInd w:val="0"/>
              <w:snapToGrid w:val="0"/>
              <w:ind w:firstLine="0" w:firstLineChars="0"/>
              <w:jc w:val="center"/>
              <w:rPr>
                <w:sz w:val="21"/>
                <w:szCs w:val="21"/>
                <w:u w:val="single"/>
              </w:rPr>
            </w:pPr>
          </w:p>
        </w:tc>
        <w:tc>
          <w:tcPr>
            <w:tcW w:w="601" w:type="pct"/>
            <w:vAlign w:val="center"/>
          </w:tcPr>
          <w:p>
            <w:pPr>
              <w:pStyle w:val="14"/>
              <w:adjustRightInd w:val="0"/>
              <w:snapToGrid w:val="0"/>
              <w:ind w:firstLine="0" w:firstLineChars="0"/>
              <w:jc w:val="center"/>
              <w:rPr>
                <w:sz w:val="21"/>
                <w:szCs w:val="21"/>
                <w:u w:val="single"/>
              </w:rPr>
            </w:pPr>
            <w:r>
              <w:rPr>
                <w:sz w:val="21"/>
                <w:szCs w:val="21"/>
                <w:u w:val="single"/>
              </w:rPr>
              <w:t>0</w:t>
            </w:r>
          </w:p>
        </w:tc>
        <w:tc>
          <w:tcPr>
            <w:tcW w:w="547" w:type="pct"/>
            <w:vAlign w:val="center"/>
          </w:tcPr>
          <w:p>
            <w:pPr>
              <w:jc w:val="center"/>
              <w:rPr>
                <w:rFonts w:ascii="Times New Roman" w:hAnsi="Times New Roman" w:eastAsia="等线" w:cs="Times New Roman"/>
                <w:color w:val="000000"/>
                <w:u w:val="single"/>
              </w:rPr>
            </w:pPr>
            <w:r>
              <w:rPr>
                <w:rFonts w:ascii="Times New Roman" w:hAnsi="Times New Roman" w:eastAsia="等线" w:cs="Times New Roman"/>
                <w:color w:val="000000"/>
                <w:u w:val="single"/>
              </w:rPr>
              <w:t xml:space="preserve">0.66 </w:t>
            </w:r>
          </w:p>
        </w:tc>
        <w:tc>
          <w:tcPr>
            <w:tcW w:w="443" w:type="pct"/>
            <w:vAlign w:val="center"/>
          </w:tcPr>
          <w:p>
            <w:pPr>
              <w:jc w:val="center"/>
              <w:rPr>
                <w:rFonts w:ascii="Times New Roman" w:hAnsi="Times New Roman" w:eastAsia="等线" w:cs="Times New Roman"/>
                <w:color w:val="000000"/>
                <w:u w:val="single"/>
              </w:rPr>
            </w:pPr>
            <w:r>
              <w:rPr>
                <w:rFonts w:ascii="Times New Roman" w:hAnsi="Times New Roman" w:eastAsia="等线" w:cs="Times New Roman"/>
                <w:color w:val="000000"/>
                <w:u w:val="single"/>
              </w:rPr>
              <w:t xml:space="preserve">163.44 </w:t>
            </w:r>
          </w:p>
        </w:tc>
      </w:tr>
    </w:tbl>
    <w:p>
      <w:pPr>
        <w:pStyle w:val="3"/>
        <w:ind w:firstLine="480"/>
        <w:rPr>
          <w:rFonts w:cs="Times New Roman"/>
        </w:rPr>
      </w:pPr>
    </w:p>
    <w:p>
      <w:pPr>
        <w:pStyle w:val="3"/>
        <w:ind w:firstLine="480"/>
        <w:rPr>
          <w:rFonts w:cs="Times New Roman"/>
        </w:rPr>
      </w:pPr>
      <w:r>
        <w:rPr>
          <w:rFonts w:cs="Times New Roman"/>
        </w:rPr>
        <w:t>（6）废气污染源源强核算</w:t>
      </w:r>
    </w:p>
    <w:p>
      <w:pPr>
        <w:pStyle w:val="3"/>
        <w:ind w:firstLine="480"/>
        <w:rPr>
          <w:rFonts w:cs="Times New Roman"/>
        </w:rPr>
      </w:pPr>
      <w:r>
        <w:rPr>
          <w:rFonts w:cs="Times New Roman"/>
        </w:rPr>
        <w:t>项目废气产生及排放情况详见表3.2-1</w:t>
      </w:r>
      <w:r>
        <w:rPr>
          <w:rFonts w:hint="eastAsia" w:cs="Times New Roman"/>
        </w:rPr>
        <w:t>3</w:t>
      </w:r>
      <w:r>
        <w:rPr>
          <w:rFonts w:cs="Times New Roman"/>
        </w:rPr>
        <w:t>。</w:t>
      </w:r>
    </w:p>
    <w:p>
      <w:pPr>
        <w:pStyle w:val="15"/>
        <w:rPr>
          <w:rFonts w:cs="Times New Roman"/>
        </w:rPr>
      </w:pPr>
      <w:r>
        <w:rPr>
          <w:rFonts w:cs="Times New Roman"/>
        </w:rPr>
        <w:t>表3.2-1</w:t>
      </w:r>
      <w:r>
        <w:rPr>
          <w:rFonts w:hint="eastAsia" w:cs="Times New Roman"/>
        </w:rPr>
        <w:t>3</w:t>
      </w:r>
      <w:r>
        <w:rPr>
          <w:rFonts w:cs="Times New Roman"/>
        </w:rPr>
        <w:t xml:space="preserve">   废气污染源源强核算结果及相关参数一览表</w:t>
      </w:r>
    </w:p>
    <w:tbl>
      <w:tblPr>
        <w:tblStyle w:val="2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4"/>
        <w:gridCol w:w="686"/>
        <w:gridCol w:w="827"/>
        <w:gridCol w:w="1196"/>
        <w:gridCol w:w="899"/>
        <w:gridCol w:w="1255"/>
        <w:gridCol w:w="1126"/>
        <w:gridCol w:w="1437"/>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433" w:type="pct"/>
            <w:vMerge w:val="restart"/>
            <w:vAlign w:val="center"/>
          </w:tcPr>
          <w:p>
            <w:pPr>
              <w:pStyle w:val="39"/>
              <w:rPr>
                <w:rFonts w:cs="Times New Roman"/>
              </w:rPr>
            </w:pPr>
            <w:r>
              <w:rPr>
                <w:rFonts w:cs="Times New Roman"/>
              </w:rPr>
              <w:t>产污工序</w:t>
            </w:r>
          </w:p>
        </w:tc>
        <w:tc>
          <w:tcPr>
            <w:tcW w:w="374" w:type="pct"/>
            <w:vMerge w:val="restart"/>
            <w:vAlign w:val="center"/>
          </w:tcPr>
          <w:p>
            <w:pPr>
              <w:pStyle w:val="39"/>
              <w:rPr>
                <w:rFonts w:cs="Times New Roman"/>
              </w:rPr>
            </w:pPr>
            <w:r>
              <w:rPr>
                <w:rFonts w:cs="Times New Roman"/>
              </w:rPr>
              <w:t>污染源</w:t>
            </w:r>
          </w:p>
        </w:tc>
        <w:tc>
          <w:tcPr>
            <w:tcW w:w="451" w:type="pct"/>
            <w:vMerge w:val="restart"/>
            <w:vAlign w:val="center"/>
          </w:tcPr>
          <w:p>
            <w:pPr>
              <w:pStyle w:val="39"/>
              <w:rPr>
                <w:rFonts w:cs="Times New Roman"/>
              </w:rPr>
            </w:pPr>
            <w:r>
              <w:rPr>
                <w:rFonts w:cs="Times New Roman"/>
              </w:rPr>
              <w:t>污染物</w:t>
            </w:r>
          </w:p>
        </w:tc>
        <w:tc>
          <w:tcPr>
            <w:tcW w:w="1142" w:type="pct"/>
            <w:gridSpan w:val="2"/>
            <w:vAlign w:val="center"/>
          </w:tcPr>
          <w:p>
            <w:pPr>
              <w:pStyle w:val="39"/>
              <w:rPr>
                <w:rFonts w:cs="Times New Roman"/>
              </w:rPr>
            </w:pPr>
            <w:r>
              <w:rPr>
                <w:rFonts w:cs="Times New Roman"/>
              </w:rPr>
              <w:t>污染物产生</w:t>
            </w:r>
          </w:p>
        </w:tc>
        <w:tc>
          <w:tcPr>
            <w:tcW w:w="1298" w:type="pct"/>
            <w:gridSpan w:val="2"/>
            <w:vAlign w:val="center"/>
          </w:tcPr>
          <w:p>
            <w:pPr>
              <w:pStyle w:val="39"/>
              <w:rPr>
                <w:rFonts w:cs="Times New Roman"/>
              </w:rPr>
            </w:pPr>
            <w:r>
              <w:rPr>
                <w:rFonts w:cs="Times New Roman"/>
              </w:rPr>
              <w:t>治理措施</w:t>
            </w:r>
          </w:p>
        </w:tc>
        <w:tc>
          <w:tcPr>
            <w:tcW w:w="1302" w:type="pct"/>
            <w:gridSpan w:val="2"/>
            <w:vAlign w:val="center"/>
          </w:tcPr>
          <w:p>
            <w:pPr>
              <w:pStyle w:val="39"/>
              <w:rPr>
                <w:rFonts w:cs="Times New Roman"/>
              </w:rPr>
            </w:pPr>
            <w:r>
              <w:rPr>
                <w:rFonts w:cs="Times New Roman"/>
              </w:rPr>
              <w:t>污染物排放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433" w:type="pct"/>
            <w:vMerge w:val="continue"/>
            <w:vAlign w:val="center"/>
          </w:tcPr>
          <w:p>
            <w:pPr>
              <w:pStyle w:val="39"/>
              <w:rPr>
                <w:rFonts w:cs="Times New Roman"/>
              </w:rPr>
            </w:pPr>
          </w:p>
        </w:tc>
        <w:tc>
          <w:tcPr>
            <w:tcW w:w="374" w:type="pct"/>
            <w:vMerge w:val="continue"/>
            <w:vAlign w:val="center"/>
          </w:tcPr>
          <w:p>
            <w:pPr>
              <w:pStyle w:val="39"/>
              <w:rPr>
                <w:rFonts w:cs="Times New Roman"/>
              </w:rPr>
            </w:pPr>
          </w:p>
        </w:tc>
        <w:tc>
          <w:tcPr>
            <w:tcW w:w="451" w:type="pct"/>
            <w:vMerge w:val="continue"/>
            <w:vAlign w:val="center"/>
          </w:tcPr>
          <w:p>
            <w:pPr>
              <w:pStyle w:val="39"/>
              <w:rPr>
                <w:rFonts w:cs="Times New Roman"/>
              </w:rPr>
            </w:pPr>
          </w:p>
        </w:tc>
        <w:tc>
          <w:tcPr>
            <w:tcW w:w="652" w:type="pct"/>
            <w:vAlign w:val="center"/>
          </w:tcPr>
          <w:p>
            <w:pPr>
              <w:pStyle w:val="39"/>
              <w:rPr>
                <w:rFonts w:cs="Times New Roman"/>
              </w:rPr>
            </w:pPr>
            <w:r>
              <w:rPr>
                <w:rFonts w:cs="Times New Roman"/>
              </w:rPr>
              <w:t>产生浓度</w:t>
            </w:r>
          </w:p>
          <w:p>
            <w:pPr>
              <w:pStyle w:val="39"/>
              <w:rPr>
                <w:rFonts w:cs="Times New Roman"/>
              </w:rPr>
            </w:pPr>
            <w:r>
              <w:rPr>
                <w:rFonts w:cs="Times New Roman"/>
              </w:rPr>
              <w:t>（mg/m</w:t>
            </w:r>
            <w:r>
              <w:rPr>
                <w:rFonts w:cs="Times New Roman"/>
                <w:vertAlign w:val="superscript"/>
              </w:rPr>
              <w:t>3</w:t>
            </w:r>
            <w:r>
              <w:rPr>
                <w:rFonts w:cs="Times New Roman"/>
              </w:rPr>
              <w:t>）</w:t>
            </w:r>
          </w:p>
        </w:tc>
        <w:tc>
          <w:tcPr>
            <w:tcW w:w="490" w:type="pct"/>
            <w:vAlign w:val="center"/>
          </w:tcPr>
          <w:p>
            <w:pPr>
              <w:pStyle w:val="39"/>
              <w:rPr>
                <w:rFonts w:cs="Times New Roman"/>
              </w:rPr>
            </w:pPr>
            <w:r>
              <w:rPr>
                <w:rFonts w:cs="Times New Roman"/>
              </w:rPr>
              <w:t>产生量</w:t>
            </w:r>
          </w:p>
          <w:p>
            <w:pPr>
              <w:pStyle w:val="39"/>
              <w:rPr>
                <w:rFonts w:cs="Times New Roman"/>
              </w:rPr>
            </w:pPr>
            <w:r>
              <w:rPr>
                <w:rFonts w:cs="Times New Roman"/>
              </w:rPr>
              <w:t>（t/a）</w:t>
            </w:r>
          </w:p>
        </w:tc>
        <w:tc>
          <w:tcPr>
            <w:tcW w:w="684" w:type="pct"/>
            <w:vAlign w:val="center"/>
          </w:tcPr>
          <w:p>
            <w:pPr>
              <w:pStyle w:val="39"/>
              <w:rPr>
                <w:rFonts w:cs="Times New Roman"/>
              </w:rPr>
            </w:pPr>
            <w:r>
              <w:rPr>
                <w:rFonts w:cs="Times New Roman"/>
              </w:rPr>
              <w:t>工艺</w:t>
            </w:r>
          </w:p>
        </w:tc>
        <w:tc>
          <w:tcPr>
            <w:tcW w:w="614" w:type="pct"/>
            <w:vAlign w:val="center"/>
          </w:tcPr>
          <w:p>
            <w:pPr>
              <w:pStyle w:val="39"/>
              <w:rPr>
                <w:rFonts w:cs="Times New Roman"/>
              </w:rPr>
            </w:pPr>
            <w:r>
              <w:rPr>
                <w:rFonts w:cs="Times New Roman"/>
              </w:rPr>
              <w:t>效率（%）</w:t>
            </w:r>
          </w:p>
        </w:tc>
        <w:tc>
          <w:tcPr>
            <w:tcW w:w="783" w:type="pct"/>
            <w:vAlign w:val="center"/>
          </w:tcPr>
          <w:p>
            <w:pPr>
              <w:pStyle w:val="39"/>
              <w:rPr>
                <w:rFonts w:cs="Times New Roman"/>
              </w:rPr>
            </w:pPr>
            <w:r>
              <w:rPr>
                <w:rFonts w:cs="Times New Roman"/>
              </w:rPr>
              <w:t>排放浓度（mg/m</w:t>
            </w:r>
            <w:r>
              <w:rPr>
                <w:rFonts w:cs="Times New Roman"/>
                <w:vertAlign w:val="superscript"/>
              </w:rPr>
              <w:t>3</w:t>
            </w:r>
            <w:r>
              <w:rPr>
                <w:rFonts w:cs="Times New Roman"/>
              </w:rPr>
              <w:t>）</w:t>
            </w:r>
          </w:p>
        </w:tc>
        <w:tc>
          <w:tcPr>
            <w:tcW w:w="519" w:type="pct"/>
            <w:vAlign w:val="center"/>
          </w:tcPr>
          <w:p>
            <w:pPr>
              <w:pStyle w:val="39"/>
              <w:rPr>
                <w:rFonts w:cs="Times New Roman"/>
              </w:rPr>
            </w:pPr>
            <w:r>
              <w:rPr>
                <w:rFonts w:cs="Times New Roman"/>
              </w:rPr>
              <w:t>排放量</w:t>
            </w:r>
          </w:p>
          <w:p>
            <w:pPr>
              <w:pStyle w:val="39"/>
              <w:rPr>
                <w:rFonts w:cs="Times New Roman"/>
              </w:rPr>
            </w:pPr>
            <w:r>
              <w:rPr>
                <w:rFonts w:cs="Times New Roman"/>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433" w:type="pct"/>
            <w:vMerge w:val="restart"/>
            <w:vAlign w:val="center"/>
          </w:tcPr>
          <w:p>
            <w:pPr>
              <w:pStyle w:val="39"/>
              <w:rPr>
                <w:rFonts w:cs="Times New Roman"/>
              </w:rPr>
            </w:pPr>
            <w:r>
              <w:rPr>
                <w:rFonts w:cs="Times New Roman"/>
              </w:rPr>
              <w:t>鸡舍</w:t>
            </w:r>
            <w:r>
              <w:rPr>
                <w:rFonts w:hint="eastAsia" w:cs="Times New Roman"/>
              </w:rPr>
              <w:t>及鸡粪处理区</w:t>
            </w:r>
          </w:p>
        </w:tc>
        <w:tc>
          <w:tcPr>
            <w:tcW w:w="374" w:type="pct"/>
            <w:vMerge w:val="restart"/>
            <w:vAlign w:val="center"/>
          </w:tcPr>
          <w:p>
            <w:pPr>
              <w:pStyle w:val="39"/>
              <w:rPr>
                <w:rFonts w:cs="Times New Roman"/>
              </w:rPr>
            </w:pPr>
            <w:r>
              <w:rPr>
                <w:rFonts w:cs="Times New Roman"/>
              </w:rPr>
              <w:t>无组织排放</w:t>
            </w:r>
          </w:p>
        </w:tc>
        <w:tc>
          <w:tcPr>
            <w:tcW w:w="451" w:type="pct"/>
            <w:vAlign w:val="center"/>
          </w:tcPr>
          <w:p>
            <w:pPr>
              <w:pStyle w:val="39"/>
              <w:rPr>
                <w:rFonts w:cs="Times New Roman"/>
              </w:rPr>
            </w:pPr>
            <w:r>
              <w:rPr>
                <w:rFonts w:cs="Times New Roman"/>
              </w:rPr>
              <w:t>NH</w:t>
            </w:r>
            <w:r>
              <w:rPr>
                <w:rFonts w:cs="Times New Roman"/>
                <w:vertAlign w:val="subscript"/>
              </w:rPr>
              <w:t>3</w:t>
            </w:r>
          </w:p>
        </w:tc>
        <w:tc>
          <w:tcPr>
            <w:tcW w:w="652" w:type="pct"/>
            <w:vAlign w:val="center"/>
          </w:tcPr>
          <w:p>
            <w:pPr>
              <w:pStyle w:val="39"/>
              <w:rPr>
                <w:rFonts w:cs="Times New Roman"/>
              </w:rPr>
            </w:pPr>
            <w:r>
              <w:rPr>
                <w:rFonts w:cs="Times New Roman"/>
              </w:rPr>
              <w:t>/</w:t>
            </w:r>
          </w:p>
        </w:tc>
        <w:tc>
          <w:tcPr>
            <w:tcW w:w="490" w:type="pct"/>
            <w:vAlign w:val="center"/>
          </w:tcPr>
          <w:p>
            <w:pPr>
              <w:pStyle w:val="39"/>
              <w:rPr>
                <w:rFonts w:cs="Times New Roman"/>
                <w:u w:val="single"/>
              </w:rPr>
            </w:pPr>
            <w:r>
              <w:rPr>
                <w:rFonts w:cs="Times New Roman"/>
                <w:u w:val="single"/>
              </w:rPr>
              <w:t>1.59</w:t>
            </w:r>
          </w:p>
        </w:tc>
        <w:tc>
          <w:tcPr>
            <w:tcW w:w="684" w:type="pct"/>
            <w:vMerge w:val="restart"/>
            <w:vAlign w:val="center"/>
          </w:tcPr>
          <w:p>
            <w:pPr>
              <w:pStyle w:val="39"/>
              <w:rPr>
                <w:rFonts w:cs="Times New Roman"/>
              </w:rPr>
            </w:pPr>
            <w:r>
              <w:rPr>
                <w:rFonts w:cs="Times New Roman"/>
              </w:rPr>
              <w:t>喷洒除臭剂，加强车间通排风</w:t>
            </w:r>
          </w:p>
        </w:tc>
        <w:tc>
          <w:tcPr>
            <w:tcW w:w="614" w:type="pct"/>
            <w:vAlign w:val="center"/>
          </w:tcPr>
          <w:p>
            <w:pPr>
              <w:pStyle w:val="39"/>
              <w:rPr>
                <w:rFonts w:cs="Times New Roman"/>
              </w:rPr>
            </w:pPr>
            <w:r>
              <w:rPr>
                <w:rFonts w:cs="Times New Roman"/>
              </w:rPr>
              <w:t>70</w:t>
            </w:r>
          </w:p>
        </w:tc>
        <w:tc>
          <w:tcPr>
            <w:tcW w:w="783" w:type="pct"/>
            <w:vAlign w:val="center"/>
          </w:tcPr>
          <w:p>
            <w:pPr>
              <w:pStyle w:val="39"/>
              <w:rPr>
                <w:rFonts w:cs="Times New Roman"/>
              </w:rPr>
            </w:pPr>
            <w:r>
              <w:rPr>
                <w:rFonts w:cs="Times New Roman"/>
              </w:rPr>
              <w:t>/</w:t>
            </w:r>
          </w:p>
        </w:tc>
        <w:tc>
          <w:tcPr>
            <w:tcW w:w="519" w:type="pct"/>
            <w:vAlign w:val="center"/>
          </w:tcPr>
          <w:p>
            <w:pPr>
              <w:jc w:val="center"/>
              <w:rPr>
                <w:rFonts w:ascii="Times New Roman" w:hAnsi="Times New Roman" w:eastAsia="等线" w:cs="Times New Roman"/>
                <w:color w:val="000000"/>
              </w:rPr>
            </w:pPr>
            <w:r>
              <w:rPr>
                <w:rFonts w:ascii="Times New Roman" w:hAnsi="Times New Roman" w:eastAsia="等线" w:cs="Times New Roman"/>
                <w:color w:val="000000"/>
              </w:rPr>
              <w:t>0.475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33" w:type="pct"/>
            <w:vMerge w:val="continue"/>
            <w:vAlign w:val="center"/>
          </w:tcPr>
          <w:p>
            <w:pPr>
              <w:pStyle w:val="39"/>
              <w:rPr>
                <w:rFonts w:cs="Times New Roman"/>
              </w:rPr>
            </w:pPr>
          </w:p>
        </w:tc>
        <w:tc>
          <w:tcPr>
            <w:tcW w:w="374" w:type="pct"/>
            <w:vMerge w:val="continue"/>
            <w:vAlign w:val="center"/>
          </w:tcPr>
          <w:p>
            <w:pPr>
              <w:pStyle w:val="39"/>
              <w:rPr>
                <w:rFonts w:cs="Times New Roman"/>
              </w:rPr>
            </w:pPr>
          </w:p>
        </w:tc>
        <w:tc>
          <w:tcPr>
            <w:tcW w:w="451" w:type="pct"/>
            <w:vAlign w:val="center"/>
          </w:tcPr>
          <w:p>
            <w:pPr>
              <w:pStyle w:val="39"/>
              <w:rPr>
                <w:rFonts w:cs="Times New Roman"/>
              </w:rPr>
            </w:pPr>
            <w:r>
              <w:rPr>
                <w:rFonts w:cs="Times New Roman"/>
              </w:rPr>
              <w:t>H</w:t>
            </w:r>
            <w:r>
              <w:rPr>
                <w:rFonts w:cs="Times New Roman"/>
                <w:vertAlign w:val="subscript"/>
              </w:rPr>
              <w:t>2</w:t>
            </w:r>
            <w:r>
              <w:rPr>
                <w:rFonts w:cs="Times New Roman"/>
              </w:rPr>
              <w:t>S</w:t>
            </w:r>
          </w:p>
        </w:tc>
        <w:tc>
          <w:tcPr>
            <w:tcW w:w="652" w:type="pct"/>
            <w:vAlign w:val="center"/>
          </w:tcPr>
          <w:p>
            <w:pPr>
              <w:pStyle w:val="39"/>
              <w:rPr>
                <w:rFonts w:cs="Times New Roman"/>
              </w:rPr>
            </w:pPr>
            <w:r>
              <w:rPr>
                <w:rFonts w:cs="Times New Roman"/>
              </w:rPr>
              <w:t>/</w:t>
            </w:r>
          </w:p>
        </w:tc>
        <w:tc>
          <w:tcPr>
            <w:tcW w:w="490" w:type="pct"/>
            <w:vAlign w:val="center"/>
          </w:tcPr>
          <w:p>
            <w:pPr>
              <w:pStyle w:val="39"/>
              <w:rPr>
                <w:rFonts w:cs="Times New Roman"/>
                <w:u w:val="single"/>
              </w:rPr>
            </w:pPr>
            <w:r>
              <w:rPr>
                <w:rFonts w:cs="Times New Roman"/>
                <w:u w:val="single"/>
              </w:rPr>
              <w:t>0.10</w:t>
            </w:r>
          </w:p>
        </w:tc>
        <w:tc>
          <w:tcPr>
            <w:tcW w:w="684" w:type="pct"/>
            <w:vMerge w:val="continue"/>
            <w:vAlign w:val="center"/>
          </w:tcPr>
          <w:p>
            <w:pPr>
              <w:pStyle w:val="39"/>
              <w:rPr>
                <w:rFonts w:cs="Times New Roman"/>
              </w:rPr>
            </w:pPr>
          </w:p>
        </w:tc>
        <w:tc>
          <w:tcPr>
            <w:tcW w:w="614" w:type="pct"/>
            <w:vAlign w:val="center"/>
          </w:tcPr>
          <w:p>
            <w:pPr>
              <w:pStyle w:val="39"/>
              <w:rPr>
                <w:rFonts w:cs="Times New Roman"/>
              </w:rPr>
            </w:pPr>
            <w:r>
              <w:rPr>
                <w:rFonts w:cs="Times New Roman"/>
              </w:rPr>
              <w:t>80</w:t>
            </w:r>
          </w:p>
        </w:tc>
        <w:tc>
          <w:tcPr>
            <w:tcW w:w="783" w:type="pct"/>
            <w:vAlign w:val="center"/>
          </w:tcPr>
          <w:p>
            <w:pPr>
              <w:pStyle w:val="39"/>
              <w:rPr>
                <w:rFonts w:cs="Times New Roman"/>
              </w:rPr>
            </w:pPr>
            <w:r>
              <w:rPr>
                <w:rFonts w:cs="Times New Roman"/>
              </w:rPr>
              <w:t>/</w:t>
            </w:r>
          </w:p>
        </w:tc>
        <w:tc>
          <w:tcPr>
            <w:tcW w:w="519" w:type="pct"/>
            <w:vAlign w:val="center"/>
          </w:tcPr>
          <w:p>
            <w:pPr>
              <w:jc w:val="center"/>
              <w:rPr>
                <w:rFonts w:ascii="Times New Roman" w:hAnsi="Times New Roman" w:eastAsia="等线" w:cs="Times New Roman"/>
                <w:color w:val="000000"/>
              </w:rPr>
            </w:pPr>
            <w:r>
              <w:rPr>
                <w:rFonts w:ascii="Times New Roman" w:hAnsi="Times New Roman" w:eastAsia="等线" w:cs="Times New Roman"/>
                <w:color w:val="000000"/>
              </w:rPr>
              <w:t>0.019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3" w:type="pct"/>
            <w:vMerge w:val="restart"/>
            <w:vAlign w:val="center"/>
          </w:tcPr>
          <w:p>
            <w:pPr>
              <w:pStyle w:val="39"/>
              <w:rPr>
                <w:rFonts w:cs="Times New Roman"/>
              </w:rPr>
            </w:pPr>
            <w:r>
              <w:rPr>
                <w:rFonts w:cs="Times New Roman"/>
              </w:rPr>
              <w:t>备用发电机</w:t>
            </w:r>
          </w:p>
        </w:tc>
        <w:tc>
          <w:tcPr>
            <w:tcW w:w="374" w:type="pct"/>
            <w:vMerge w:val="restart"/>
            <w:vAlign w:val="center"/>
          </w:tcPr>
          <w:p>
            <w:pPr>
              <w:pStyle w:val="39"/>
              <w:rPr>
                <w:rFonts w:cs="Times New Roman"/>
              </w:rPr>
            </w:pPr>
            <w:r>
              <w:rPr>
                <w:rFonts w:cs="Times New Roman"/>
              </w:rPr>
              <w:t>专用烟道</w:t>
            </w:r>
          </w:p>
        </w:tc>
        <w:tc>
          <w:tcPr>
            <w:tcW w:w="451" w:type="pct"/>
            <w:vAlign w:val="center"/>
          </w:tcPr>
          <w:p>
            <w:pPr>
              <w:pStyle w:val="39"/>
              <w:rPr>
                <w:rFonts w:cs="Times New Roman"/>
              </w:rPr>
            </w:pPr>
            <w:r>
              <w:rPr>
                <w:rFonts w:eastAsia="TimesNewRomanPSMT" w:cs="Times New Roman"/>
                <w:kern w:val="0"/>
              </w:rPr>
              <w:t>SO</w:t>
            </w:r>
            <w:r>
              <w:rPr>
                <w:rFonts w:eastAsia="TimesNewRomanPSMT" w:cs="Times New Roman"/>
                <w:kern w:val="0"/>
                <w:sz w:val="14"/>
                <w:szCs w:val="14"/>
              </w:rPr>
              <w:t>2</w:t>
            </w:r>
          </w:p>
        </w:tc>
        <w:tc>
          <w:tcPr>
            <w:tcW w:w="652" w:type="pct"/>
            <w:vAlign w:val="center"/>
          </w:tcPr>
          <w:p>
            <w:pPr>
              <w:pStyle w:val="39"/>
              <w:rPr>
                <w:rFonts w:cs="Times New Roman"/>
              </w:rPr>
            </w:pPr>
            <w:r>
              <w:t>166.67</w:t>
            </w:r>
          </w:p>
        </w:tc>
        <w:tc>
          <w:tcPr>
            <w:tcW w:w="490" w:type="pct"/>
            <w:vAlign w:val="center"/>
          </w:tcPr>
          <w:p>
            <w:pPr>
              <w:pStyle w:val="39"/>
              <w:rPr>
                <w:rFonts w:cs="Times New Roman"/>
              </w:rPr>
            </w:pPr>
            <w:r>
              <w:rPr>
                <w:rFonts w:eastAsia="等线" w:cs="Times New Roman"/>
              </w:rPr>
              <w:t>0.</w:t>
            </w:r>
            <w:r>
              <w:rPr>
                <w:rFonts w:hint="eastAsia" w:eastAsia="等线" w:cs="Times New Roman"/>
              </w:rPr>
              <w:t>05</w:t>
            </w:r>
          </w:p>
        </w:tc>
        <w:tc>
          <w:tcPr>
            <w:tcW w:w="684" w:type="pct"/>
            <w:vMerge w:val="restart"/>
            <w:vAlign w:val="center"/>
          </w:tcPr>
          <w:p>
            <w:pPr>
              <w:pStyle w:val="39"/>
              <w:rPr>
                <w:rFonts w:cs="Times New Roman"/>
              </w:rPr>
            </w:pPr>
            <w:r>
              <w:rPr>
                <w:rFonts w:cs="Times New Roman"/>
              </w:rPr>
              <w:t>专用烟道引至屋外排放</w:t>
            </w:r>
          </w:p>
        </w:tc>
        <w:tc>
          <w:tcPr>
            <w:tcW w:w="614" w:type="pct"/>
            <w:vAlign w:val="center"/>
          </w:tcPr>
          <w:p>
            <w:pPr>
              <w:pStyle w:val="39"/>
              <w:rPr>
                <w:rFonts w:cs="Times New Roman"/>
              </w:rPr>
            </w:pPr>
            <w:r>
              <w:rPr>
                <w:rFonts w:cs="Times New Roman"/>
              </w:rPr>
              <w:t>0</w:t>
            </w:r>
          </w:p>
        </w:tc>
        <w:tc>
          <w:tcPr>
            <w:tcW w:w="783" w:type="pct"/>
            <w:vAlign w:val="center"/>
          </w:tcPr>
          <w:p>
            <w:pPr>
              <w:pStyle w:val="39"/>
              <w:rPr>
                <w:rFonts w:cs="Times New Roman"/>
              </w:rPr>
            </w:pPr>
            <w:r>
              <w:t>166.67</w:t>
            </w:r>
          </w:p>
        </w:tc>
        <w:tc>
          <w:tcPr>
            <w:tcW w:w="519" w:type="pct"/>
            <w:vAlign w:val="center"/>
          </w:tcPr>
          <w:p>
            <w:pPr>
              <w:pStyle w:val="39"/>
              <w:rPr>
                <w:rFonts w:cs="Times New Roman"/>
              </w:rPr>
            </w:pPr>
            <w:r>
              <w:rPr>
                <w:rFonts w:eastAsia="等线" w:cs="Times New Roman"/>
              </w:rPr>
              <w:t>0.</w:t>
            </w:r>
            <w:r>
              <w:rPr>
                <w:rFonts w:hint="eastAsia" w:eastAsia="等线" w:cs="Times New Roma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3" w:type="pct"/>
            <w:vMerge w:val="continue"/>
            <w:vAlign w:val="center"/>
          </w:tcPr>
          <w:p>
            <w:pPr>
              <w:pStyle w:val="39"/>
              <w:rPr>
                <w:rFonts w:cs="Times New Roman"/>
              </w:rPr>
            </w:pPr>
          </w:p>
        </w:tc>
        <w:tc>
          <w:tcPr>
            <w:tcW w:w="374" w:type="pct"/>
            <w:vMerge w:val="continue"/>
            <w:vAlign w:val="center"/>
          </w:tcPr>
          <w:p>
            <w:pPr>
              <w:pStyle w:val="39"/>
              <w:rPr>
                <w:rFonts w:cs="Times New Roman"/>
              </w:rPr>
            </w:pPr>
          </w:p>
        </w:tc>
        <w:tc>
          <w:tcPr>
            <w:tcW w:w="451" w:type="pct"/>
            <w:vAlign w:val="center"/>
          </w:tcPr>
          <w:p>
            <w:pPr>
              <w:pStyle w:val="39"/>
              <w:rPr>
                <w:rFonts w:cs="Times New Roman"/>
              </w:rPr>
            </w:pPr>
            <w:r>
              <w:rPr>
                <w:rFonts w:eastAsia="TimesNewRomanPSMT" w:cs="Times New Roman"/>
                <w:kern w:val="0"/>
              </w:rPr>
              <w:t>NOx</w:t>
            </w:r>
          </w:p>
        </w:tc>
        <w:tc>
          <w:tcPr>
            <w:tcW w:w="652" w:type="pct"/>
            <w:vAlign w:val="center"/>
          </w:tcPr>
          <w:p>
            <w:pPr>
              <w:pStyle w:val="39"/>
              <w:rPr>
                <w:rFonts w:cs="Times New Roman"/>
              </w:rPr>
            </w:pPr>
            <w:r>
              <w:t>142.83</w:t>
            </w:r>
          </w:p>
        </w:tc>
        <w:tc>
          <w:tcPr>
            <w:tcW w:w="490" w:type="pct"/>
            <w:vAlign w:val="center"/>
          </w:tcPr>
          <w:p>
            <w:pPr>
              <w:pStyle w:val="39"/>
              <w:rPr>
                <w:rFonts w:cs="Times New Roman"/>
              </w:rPr>
            </w:pPr>
            <w:r>
              <w:rPr>
                <w:rFonts w:eastAsia="等线" w:cs="Times New Roman"/>
                <w:color w:val="000000"/>
              </w:rPr>
              <w:t>0.043</w:t>
            </w:r>
          </w:p>
        </w:tc>
        <w:tc>
          <w:tcPr>
            <w:tcW w:w="684" w:type="pct"/>
            <w:vMerge w:val="continue"/>
            <w:vAlign w:val="center"/>
          </w:tcPr>
          <w:p>
            <w:pPr>
              <w:pStyle w:val="39"/>
              <w:rPr>
                <w:rFonts w:cs="Times New Roman"/>
              </w:rPr>
            </w:pPr>
          </w:p>
        </w:tc>
        <w:tc>
          <w:tcPr>
            <w:tcW w:w="614" w:type="pct"/>
            <w:vAlign w:val="center"/>
          </w:tcPr>
          <w:p>
            <w:pPr>
              <w:pStyle w:val="39"/>
              <w:rPr>
                <w:rFonts w:cs="Times New Roman"/>
              </w:rPr>
            </w:pPr>
            <w:r>
              <w:rPr>
                <w:rFonts w:cs="Times New Roman"/>
              </w:rPr>
              <w:t>0</w:t>
            </w:r>
          </w:p>
        </w:tc>
        <w:tc>
          <w:tcPr>
            <w:tcW w:w="783" w:type="pct"/>
            <w:vAlign w:val="center"/>
          </w:tcPr>
          <w:p>
            <w:pPr>
              <w:pStyle w:val="39"/>
              <w:rPr>
                <w:rFonts w:cs="Times New Roman"/>
              </w:rPr>
            </w:pPr>
            <w:r>
              <w:t>142.83</w:t>
            </w:r>
          </w:p>
        </w:tc>
        <w:tc>
          <w:tcPr>
            <w:tcW w:w="519" w:type="pct"/>
            <w:vAlign w:val="center"/>
          </w:tcPr>
          <w:p>
            <w:pPr>
              <w:pStyle w:val="39"/>
              <w:rPr>
                <w:rFonts w:cs="Times New Roman"/>
              </w:rPr>
            </w:pPr>
            <w:r>
              <w:rPr>
                <w:rFonts w:eastAsia="等线" w:cs="Times New Roman"/>
                <w:color w:val="000000"/>
              </w:rPr>
              <w:t>0.043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3" w:type="pct"/>
            <w:vMerge w:val="continue"/>
            <w:vAlign w:val="center"/>
          </w:tcPr>
          <w:p>
            <w:pPr>
              <w:pStyle w:val="39"/>
              <w:rPr>
                <w:rFonts w:cs="Times New Roman"/>
              </w:rPr>
            </w:pPr>
          </w:p>
        </w:tc>
        <w:tc>
          <w:tcPr>
            <w:tcW w:w="374" w:type="pct"/>
            <w:vMerge w:val="continue"/>
            <w:vAlign w:val="center"/>
          </w:tcPr>
          <w:p>
            <w:pPr>
              <w:pStyle w:val="39"/>
              <w:rPr>
                <w:rFonts w:cs="Times New Roman"/>
              </w:rPr>
            </w:pPr>
          </w:p>
        </w:tc>
        <w:tc>
          <w:tcPr>
            <w:tcW w:w="451" w:type="pct"/>
            <w:vAlign w:val="center"/>
          </w:tcPr>
          <w:p>
            <w:pPr>
              <w:pStyle w:val="39"/>
              <w:rPr>
                <w:rFonts w:cs="Times New Roman"/>
              </w:rPr>
            </w:pPr>
            <w:r>
              <w:rPr>
                <w:rFonts w:cs="Times New Roman"/>
              </w:rPr>
              <w:t>烟尘</w:t>
            </w:r>
          </w:p>
        </w:tc>
        <w:tc>
          <w:tcPr>
            <w:tcW w:w="652" w:type="pct"/>
            <w:vAlign w:val="center"/>
          </w:tcPr>
          <w:p>
            <w:pPr>
              <w:pStyle w:val="39"/>
              <w:rPr>
                <w:rFonts w:cs="Times New Roman"/>
              </w:rPr>
            </w:pPr>
            <w:r>
              <w:t>30.00</w:t>
            </w:r>
          </w:p>
        </w:tc>
        <w:tc>
          <w:tcPr>
            <w:tcW w:w="490" w:type="pct"/>
            <w:vAlign w:val="center"/>
          </w:tcPr>
          <w:p>
            <w:pPr>
              <w:pStyle w:val="39"/>
              <w:rPr>
                <w:rFonts w:cs="Times New Roman"/>
              </w:rPr>
            </w:pPr>
            <w:r>
              <w:rPr>
                <w:rFonts w:eastAsia="等线" w:cs="Times New Roman"/>
              </w:rPr>
              <w:t>0.0</w:t>
            </w:r>
            <w:r>
              <w:rPr>
                <w:rFonts w:hint="eastAsia" w:eastAsia="等线" w:cs="Times New Roman"/>
              </w:rPr>
              <w:t>09</w:t>
            </w:r>
          </w:p>
        </w:tc>
        <w:tc>
          <w:tcPr>
            <w:tcW w:w="684" w:type="pct"/>
            <w:vMerge w:val="continue"/>
            <w:vAlign w:val="center"/>
          </w:tcPr>
          <w:p>
            <w:pPr>
              <w:pStyle w:val="39"/>
              <w:rPr>
                <w:rFonts w:cs="Times New Roman"/>
              </w:rPr>
            </w:pPr>
          </w:p>
        </w:tc>
        <w:tc>
          <w:tcPr>
            <w:tcW w:w="614" w:type="pct"/>
            <w:vAlign w:val="center"/>
          </w:tcPr>
          <w:p>
            <w:pPr>
              <w:pStyle w:val="39"/>
              <w:rPr>
                <w:rFonts w:cs="Times New Roman"/>
              </w:rPr>
            </w:pPr>
            <w:r>
              <w:rPr>
                <w:rFonts w:cs="Times New Roman"/>
              </w:rPr>
              <w:t>0</w:t>
            </w:r>
          </w:p>
        </w:tc>
        <w:tc>
          <w:tcPr>
            <w:tcW w:w="783" w:type="pct"/>
            <w:vAlign w:val="center"/>
          </w:tcPr>
          <w:p>
            <w:pPr>
              <w:pStyle w:val="39"/>
              <w:rPr>
                <w:rFonts w:cs="Times New Roman"/>
              </w:rPr>
            </w:pPr>
            <w:r>
              <w:t>30.00</w:t>
            </w:r>
          </w:p>
        </w:tc>
        <w:tc>
          <w:tcPr>
            <w:tcW w:w="519" w:type="pct"/>
            <w:vAlign w:val="center"/>
          </w:tcPr>
          <w:p>
            <w:pPr>
              <w:pStyle w:val="39"/>
              <w:rPr>
                <w:rFonts w:cs="Times New Roman"/>
              </w:rPr>
            </w:pPr>
            <w:r>
              <w:rPr>
                <w:rFonts w:eastAsia="等线" w:cs="Times New Roman"/>
              </w:rPr>
              <w:t>0.0</w:t>
            </w:r>
            <w:r>
              <w:rPr>
                <w:rFonts w:hint="eastAsia" w:eastAsia="等线" w:cs="Times New Roman"/>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3" w:type="pct"/>
            <w:vAlign w:val="center"/>
          </w:tcPr>
          <w:p>
            <w:pPr>
              <w:pStyle w:val="39"/>
              <w:rPr>
                <w:rFonts w:cs="Times New Roman"/>
              </w:rPr>
            </w:pPr>
            <w:r>
              <w:rPr>
                <w:rFonts w:cs="Times New Roman"/>
              </w:rPr>
              <w:t>食堂</w:t>
            </w:r>
          </w:p>
        </w:tc>
        <w:tc>
          <w:tcPr>
            <w:tcW w:w="374" w:type="pct"/>
            <w:vAlign w:val="center"/>
          </w:tcPr>
          <w:p>
            <w:pPr>
              <w:pStyle w:val="39"/>
              <w:rPr>
                <w:rFonts w:cs="Times New Roman"/>
              </w:rPr>
            </w:pPr>
            <w:r>
              <w:rPr>
                <w:rFonts w:cs="Times New Roman"/>
              </w:rPr>
              <w:t>排烟竖井</w:t>
            </w:r>
          </w:p>
        </w:tc>
        <w:tc>
          <w:tcPr>
            <w:tcW w:w="451" w:type="pct"/>
            <w:vAlign w:val="center"/>
          </w:tcPr>
          <w:p>
            <w:pPr>
              <w:pStyle w:val="39"/>
              <w:rPr>
                <w:rFonts w:cs="Times New Roman"/>
              </w:rPr>
            </w:pPr>
            <w:r>
              <w:rPr>
                <w:rFonts w:cs="Times New Roman"/>
              </w:rPr>
              <w:t>油烟</w:t>
            </w:r>
          </w:p>
        </w:tc>
        <w:tc>
          <w:tcPr>
            <w:tcW w:w="652" w:type="pct"/>
            <w:vAlign w:val="center"/>
          </w:tcPr>
          <w:p>
            <w:pPr>
              <w:pStyle w:val="39"/>
              <w:rPr>
                <w:rFonts w:cs="Times New Roman"/>
              </w:rPr>
            </w:pPr>
            <w:r>
              <w:rPr>
                <w:rFonts w:eastAsia="等线" w:cs="Times New Roman"/>
                <w:color w:val="000000"/>
              </w:rPr>
              <w:t>2.36</w:t>
            </w:r>
          </w:p>
        </w:tc>
        <w:tc>
          <w:tcPr>
            <w:tcW w:w="490" w:type="pct"/>
            <w:vAlign w:val="center"/>
          </w:tcPr>
          <w:p>
            <w:pPr>
              <w:pStyle w:val="39"/>
              <w:rPr>
                <w:rFonts w:cs="Times New Roman"/>
              </w:rPr>
            </w:pPr>
            <w:r>
              <w:rPr>
                <w:rFonts w:eastAsia="等线" w:cs="Times New Roman"/>
                <w:color w:val="000000"/>
              </w:rPr>
              <w:t>0.021</w:t>
            </w:r>
          </w:p>
        </w:tc>
        <w:tc>
          <w:tcPr>
            <w:tcW w:w="684" w:type="pct"/>
            <w:vAlign w:val="center"/>
          </w:tcPr>
          <w:p>
            <w:pPr>
              <w:pStyle w:val="39"/>
              <w:rPr>
                <w:rFonts w:cs="Times New Roman"/>
              </w:rPr>
            </w:pPr>
            <w:r>
              <w:rPr>
                <w:rFonts w:cs="Times New Roman"/>
              </w:rPr>
              <w:t>油烟净化器处理屋顶排放</w:t>
            </w:r>
          </w:p>
        </w:tc>
        <w:tc>
          <w:tcPr>
            <w:tcW w:w="614" w:type="pct"/>
            <w:vAlign w:val="center"/>
          </w:tcPr>
          <w:p>
            <w:pPr>
              <w:pStyle w:val="39"/>
              <w:rPr>
                <w:rFonts w:cs="Times New Roman"/>
              </w:rPr>
            </w:pPr>
            <w:r>
              <w:rPr>
                <w:rFonts w:hint="eastAsia" w:cs="Times New Roman"/>
              </w:rPr>
              <w:t>60</w:t>
            </w:r>
          </w:p>
        </w:tc>
        <w:tc>
          <w:tcPr>
            <w:tcW w:w="783" w:type="pct"/>
            <w:vAlign w:val="center"/>
          </w:tcPr>
          <w:p>
            <w:pPr>
              <w:pStyle w:val="39"/>
              <w:rPr>
                <w:rFonts w:cs="Times New Roman"/>
              </w:rPr>
            </w:pPr>
            <w:r>
              <w:rPr>
                <w:rFonts w:eastAsia="等线" w:cs="Times New Roman"/>
                <w:color w:val="000000"/>
              </w:rPr>
              <w:t>0.35</w:t>
            </w:r>
          </w:p>
        </w:tc>
        <w:tc>
          <w:tcPr>
            <w:tcW w:w="519" w:type="pct"/>
            <w:vAlign w:val="center"/>
          </w:tcPr>
          <w:p>
            <w:pPr>
              <w:pStyle w:val="39"/>
              <w:rPr>
                <w:rFonts w:cs="Times New Roman"/>
              </w:rPr>
            </w:pPr>
            <w:r>
              <w:rPr>
                <w:rFonts w:eastAsia="等线" w:cs="Times New Roman"/>
                <w:color w:val="000000"/>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3" w:type="pct"/>
            <w:vMerge w:val="restart"/>
            <w:vAlign w:val="center"/>
          </w:tcPr>
          <w:p>
            <w:pPr>
              <w:pStyle w:val="39"/>
              <w:rPr>
                <w:rFonts w:cs="Times New Roman"/>
              </w:rPr>
            </w:pPr>
            <w:r>
              <w:rPr>
                <w:rFonts w:hint="eastAsia" w:cs="Times New Roman"/>
              </w:rPr>
              <w:t>锅炉</w:t>
            </w:r>
          </w:p>
        </w:tc>
        <w:tc>
          <w:tcPr>
            <w:tcW w:w="374" w:type="pct"/>
            <w:vMerge w:val="restart"/>
            <w:vAlign w:val="center"/>
          </w:tcPr>
          <w:p>
            <w:pPr>
              <w:pStyle w:val="39"/>
              <w:rPr>
                <w:rFonts w:cs="Times New Roman"/>
              </w:rPr>
            </w:pPr>
            <w:r>
              <w:rPr>
                <w:rFonts w:hint="eastAsia" w:cs="Times New Roman"/>
              </w:rPr>
              <w:t>有组织排放</w:t>
            </w:r>
          </w:p>
        </w:tc>
        <w:tc>
          <w:tcPr>
            <w:tcW w:w="451" w:type="pct"/>
            <w:vAlign w:val="center"/>
          </w:tcPr>
          <w:p>
            <w:pPr>
              <w:pStyle w:val="39"/>
              <w:rPr>
                <w:rFonts w:cs="Times New Roman"/>
              </w:rPr>
            </w:pPr>
            <w:r>
              <w:rPr>
                <w:rFonts w:eastAsia="TimesNewRomanPSMT" w:cs="Times New Roman"/>
                <w:kern w:val="0"/>
              </w:rPr>
              <w:t>SO</w:t>
            </w:r>
            <w:r>
              <w:rPr>
                <w:rFonts w:eastAsia="TimesNewRomanPSMT" w:cs="Times New Roman"/>
                <w:kern w:val="0"/>
                <w:sz w:val="14"/>
                <w:szCs w:val="14"/>
              </w:rPr>
              <w:t>2</w:t>
            </w:r>
          </w:p>
        </w:tc>
        <w:tc>
          <w:tcPr>
            <w:tcW w:w="652" w:type="pct"/>
            <w:vAlign w:val="center"/>
          </w:tcPr>
          <w:p>
            <w:pPr>
              <w:jc w:val="center"/>
              <w:rPr>
                <w:rFonts w:ascii="Times New Roman" w:hAnsi="Times New Roman" w:eastAsia="等线" w:cs="Times New Roman"/>
                <w:color w:val="000000"/>
              </w:rPr>
            </w:pPr>
            <w:r>
              <w:rPr>
                <w:rFonts w:ascii="Times New Roman" w:hAnsi="Times New Roman" w:eastAsia="等线" w:cs="Times New Roman"/>
                <w:color w:val="000000"/>
              </w:rPr>
              <w:t xml:space="preserve">54.48 </w:t>
            </w:r>
          </w:p>
        </w:tc>
        <w:tc>
          <w:tcPr>
            <w:tcW w:w="490" w:type="pct"/>
            <w:vAlign w:val="center"/>
          </w:tcPr>
          <w:p>
            <w:pPr>
              <w:adjustRightInd/>
              <w:snapToGrid/>
              <w:jc w:val="center"/>
              <w:rPr>
                <w:rFonts w:ascii="Times New Roman" w:hAnsi="Times New Roman" w:eastAsia="等线" w:cs="Times New Roman"/>
                <w:color w:val="000000"/>
              </w:rPr>
            </w:pPr>
            <w:r>
              <w:rPr>
                <w:rFonts w:ascii="Times New Roman" w:hAnsi="Times New Roman" w:eastAsia="等线" w:cs="Times New Roman"/>
                <w:color w:val="000000"/>
              </w:rPr>
              <w:t xml:space="preserve">0.22 </w:t>
            </w:r>
          </w:p>
        </w:tc>
        <w:tc>
          <w:tcPr>
            <w:tcW w:w="684" w:type="pct"/>
            <w:vMerge w:val="restart"/>
            <w:vAlign w:val="center"/>
          </w:tcPr>
          <w:p>
            <w:pPr>
              <w:pStyle w:val="39"/>
              <w:rPr>
                <w:rFonts w:cs="Times New Roman"/>
              </w:rPr>
            </w:pPr>
            <w:r>
              <w:t>布袋除尘器+20m高排气筒</w:t>
            </w:r>
          </w:p>
        </w:tc>
        <w:tc>
          <w:tcPr>
            <w:tcW w:w="614" w:type="pct"/>
            <w:vAlign w:val="center"/>
          </w:tcPr>
          <w:p>
            <w:pPr>
              <w:pStyle w:val="14"/>
              <w:adjustRightInd w:val="0"/>
              <w:snapToGrid w:val="0"/>
              <w:ind w:firstLine="0" w:firstLineChars="0"/>
              <w:jc w:val="center"/>
              <w:rPr>
                <w:sz w:val="21"/>
                <w:szCs w:val="21"/>
              </w:rPr>
            </w:pPr>
            <w:r>
              <w:rPr>
                <w:sz w:val="21"/>
                <w:szCs w:val="21"/>
              </w:rPr>
              <w:t>0</w:t>
            </w:r>
          </w:p>
        </w:tc>
        <w:tc>
          <w:tcPr>
            <w:tcW w:w="783" w:type="pct"/>
            <w:vAlign w:val="center"/>
          </w:tcPr>
          <w:p>
            <w:pPr>
              <w:adjustRightInd/>
              <w:snapToGrid/>
              <w:jc w:val="center"/>
              <w:rPr>
                <w:rFonts w:ascii="Times New Roman" w:hAnsi="Times New Roman" w:eastAsia="等线" w:cs="Times New Roman"/>
                <w:color w:val="000000"/>
              </w:rPr>
            </w:pPr>
            <w:r>
              <w:rPr>
                <w:rFonts w:ascii="Times New Roman" w:hAnsi="Times New Roman" w:eastAsia="等线" w:cs="Times New Roman"/>
                <w:color w:val="000000"/>
              </w:rPr>
              <w:t xml:space="preserve">0.22 </w:t>
            </w:r>
          </w:p>
        </w:tc>
        <w:tc>
          <w:tcPr>
            <w:tcW w:w="519" w:type="pct"/>
            <w:vAlign w:val="center"/>
          </w:tcPr>
          <w:p>
            <w:pPr>
              <w:jc w:val="center"/>
              <w:rPr>
                <w:rFonts w:ascii="Times New Roman" w:hAnsi="Times New Roman" w:eastAsia="等线" w:cs="Times New Roman"/>
                <w:color w:val="000000"/>
              </w:rPr>
            </w:pPr>
            <w:r>
              <w:rPr>
                <w:rFonts w:ascii="Times New Roman" w:hAnsi="Times New Roman" w:eastAsia="等线" w:cs="Times New Roman"/>
                <w:color w:val="000000"/>
              </w:rPr>
              <w:t xml:space="preserve">54.48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3" w:type="pct"/>
            <w:vMerge w:val="continue"/>
            <w:vAlign w:val="center"/>
          </w:tcPr>
          <w:p>
            <w:pPr>
              <w:pStyle w:val="39"/>
              <w:rPr>
                <w:rFonts w:cs="Times New Roman"/>
              </w:rPr>
            </w:pPr>
          </w:p>
        </w:tc>
        <w:tc>
          <w:tcPr>
            <w:tcW w:w="374" w:type="pct"/>
            <w:vMerge w:val="continue"/>
            <w:vAlign w:val="center"/>
          </w:tcPr>
          <w:p>
            <w:pPr>
              <w:pStyle w:val="39"/>
              <w:rPr>
                <w:rFonts w:cs="Times New Roman"/>
              </w:rPr>
            </w:pPr>
          </w:p>
        </w:tc>
        <w:tc>
          <w:tcPr>
            <w:tcW w:w="451" w:type="pct"/>
            <w:vAlign w:val="center"/>
          </w:tcPr>
          <w:p>
            <w:pPr>
              <w:pStyle w:val="39"/>
              <w:rPr>
                <w:rFonts w:cs="Times New Roman"/>
              </w:rPr>
            </w:pPr>
            <w:r>
              <w:rPr>
                <w:rFonts w:cs="Times New Roman"/>
              </w:rPr>
              <w:t>烟尘</w:t>
            </w:r>
          </w:p>
        </w:tc>
        <w:tc>
          <w:tcPr>
            <w:tcW w:w="652" w:type="pct"/>
            <w:vAlign w:val="center"/>
          </w:tcPr>
          <w:p>
            <w:pPr>
              <w:jc w:val="center"/>
              <w:rPr>
                <w:rFonts w:ascii="Times New Roman" w:hAnsi="Times New Roman" w:eastAsia="等线" w:cs="Times New Roman"/>
                <w:color w:val="000000"/>
              </w:rPr>
            </w:pPr>
            <w:r>
              <w:rPr>
                <w:rFonts w:ascii="Times New Roman" w:hAnsi="Times New Roman" w:eastAsia="等线" w:cs="Times New Roman"/>
                <w:color w:val="000000"/>
              </w:rPr>
              <w:t xml:space="preserve">80.12 </w:t>
            </w:r>
          </w:p>
        </w:tc>
        <w:tc>
          <w:tcPr>
            <w:tcW w:w="490" w:type="pct"/>
            <w:vAlign w:val="center"/>
          </w:tcPr>
          <w:p>
            <w:pPr>
              <w:jc w:val="center"/>
              <w:rPr>
                <w:rFonts w:ascii="Times New Roman" w:hAnsi="Times New Roman" w:eastAsia="等线" w:cs="Times New Roman"/>
                <w:color w:val="000000"/>
              </w:rPr>
            </w:pPr>
            <w:r>
              <w:rPr>
                <w:rFonts w:ascii="Times New Roman" w:hAnsi="Times New Roman" w:eastAsia="等线" w:cs="Times New Roman"/>
                <w:color w:val="000000"/>
              </w:rPr>
              <w:t xml:space="preserve">0.32 </w:t>
            </w:r>
          </w:p>
        </w:tc>
        <w:tc>
          <w:tcPr>
            <w:tcW w:w="684" w:type="pct"/>
            <w:vMerge w:val="continue"/>
            <w:vAlign w:val="center"/>
          </w:tcPr>
          <w:p>
            <w:pPr>
              <w:pStyle w:val="39"/>
              <w:rPr>
                <w:rFonts w:cs="Times New Roman"/>
              </w:rPr>
            </w:pPr>
          </w:p>
        </w:tc>
        <w:tc>
          <w:tcPr>
            <w:tcW w:w="614" w:type="pct"/>
            <w:vAlign w:val="center"/>
          </w:tcPr>
          <w:p>
            <w:pPr>
              <w:pStyle w:val="14"/>
              <w:adjustRightInd w:val="0"/>
              <w:snapToGrid w:val="0"/>
              <w:ind w:firstLine="0" w:firstLineChars="0"/>
              <w:jc w:val="center"/>
              <w:rPr>
                <w:sz w:val="21"/>
                <w:szCs w:val="21"/>
              </w:rPr>
            </w:pPr>
            <w:r>
              <w:rPr>
                <w:color w:val="000000"/>
                <w:sz w:val="21"/>
                <w:szCs w:val="21"/>
              </w:rPr>
              <w:t>99</w:t>
            </w:r>
            <w:r>
              <w:rPr>
                <w:rFonts w:hint="eastAsia"/>
                <w:color w:val="000000"/>
                <w:sz w:val="21"/>
                <w:szCs w:val="21"/>
              </w:rPr>
              <w:t>.5</w:t>
            </w:r>
          </w:p>
        </w:tc>
        <w:tc>
          <w:tcPr>
            <w:tcW w:w="783" w:type="pct"/>
            <w:vAlign w:val="center"/>
          </w:tcPr>
          <w:p>
            <w:pPr>
              <w:jc w:val="center"/>
              <w:rPr>
                <w:rFonts w:ascii="Times New Roman" w:hAnsi="Times New Roman" w:eastAsia="等线" w:cs="Times New Roman"/>
                <w:color w:val="000000"/>
              </w:rPr>
            </w:pPr>
            <w:r>
              <w:rPr>
                <w:rFonts w:ascii="Times New Roman" w:hAnsi="Times New Roman" w:eastAsia="等线" w:cs="Times New Roman"/>
                <w:color w:val="000000"/>
              </w:rPr>
              <w:t xml:space="preserve">0.002 </w:t>
            </w:r>
          </w:p>
        </w:tc>
        <w:tc>
          <w:tcPr>
            <w:tcW w:w="519" w:type="pct"/>
            <w:vAlign w:val="center"/>
          </w:tcPr>
          <w:p>
            <w:pPr>
              <w:jc w:val="center"/>
              <w:rPr>
                <w:rFonts w:ascii="Times New Roman" w:hAnsi="Times New Roman" w:eastAsia="等线" w:cs="Times New Roman"/>
                <w:color w:val="000000"/>
              </w:rPr>
            </w:pPr>
            <w:r>
              <w:rPr>
                <w:rFonts w:ascii="Times New Roman" w:hAnsi="Times New Roman" w:eastAsia="等线" w:cs="Times New Roman"/>
                <w:color w:val="000000"/>
              </w:rPr>
              <w:t xml:space="preserve">0.40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3" w:type="pct"/>
            <w:vMerge w:val="continue"/>
            <w:vAlign w:val="center"/>
          </w:tcPr>
          <w:p>
            <w:pPr>
              <w:pStyle w:val="39"/>
              <w:rPr>
                <w:rFonts w:cs="Times New Roman"/>
              </w:rPr>
            </w:pPr>
          </w:p>
        </w:tc>
        <w:tc>
          <w:tcPr>
            <w:tcW w:w="374" w:type="pct"/>
            <w:vMerge w:val="continue"/>
            <w:vAlign w:val="center"/>
          </w:tcPr>
          <w:p>
            <w:pPr>
              <w:pStyle w:val="39"/>
              <w:rPr>
                <w:rFonts w:cs="Times New Roman"/>
              </w:rPr>
            </w:pPr>
          </w:p>
        </w:tc>
        <w:tc>
          <w:tcPr>
            <w:tcW w:w="451" w:type="pct"/>
            <w:vAlign w:val="center"/>
          </w:tcPr>
          <w:p>
            <w:pPr>
              <w:pStyle w:val="39"/>
              <w:rPr>
                <w:rFonts w:cs="Times New Roman"/>
              </w:rPr>
            </w:pPr>
            <w:r>
              <w:rPr>
                <w:rFonts w:eastAsia="TimesNewRomanPSMT" w:cs="Times New Roman"/>
                <w:kern w:val="0"/>
              </w:rPr>
              <w:t>NOx</w:t>
            </w:r>
          </w:p>
        </w:tc>
        <w:tc>
          <w:tcPr>
            <w:tcW w:w="652" w:type="pct"/>
            <w:vAlign w:val="center"/>
          </w:tcPr>
          <w:p>
            <w:pPr>
              <w:jc w:val="center"/>
              <w:rPr>
                <w:rFonts w:ascii="Times New Roman" w:hAnsi="Times New Roman" w:eastAsia="等线" w:cs="Times New Roman"/>
                <w:color w:val="000000"/>
              </w:rPr>
            </w:pPr>
            <w:r>
              <w:rPr>
                <w:rFonts w:ascii="Times New Roman" w:hAnsi="Times New Roman" w:eastAsia="等线" w:cs="Times New Roman"/>
                <w:color w:val="000000"/>
              </w:rPr>
              <w:t xml:space="preserve">163.44 </w:t>
            </w:r>
          </w:p>
        </w:tc>
        <w:tc>
          <w:tcPr>
            <w:tcW w:w="490" w:type="pct"/>
            <w:vAlign w:val="center"/>
          </w:tcPr>
          <w:p>
            <w:pPr>
              <w:jc w:val="center"/>
              <w:rPr>
                <w:rFonts w:ascii="Times New Roman" w:hAnsi="Times New Roman" w:eastAsia="等线" w:cs="Times New Roman"/>
                <w:color w:val="000000"/>
              </w:rPr>
            </w:pPr>
            <w:r>
              <w:rPr>
                <w:rFonts w:ascii="Times New Roman" w:hAnsi="Times New Roman" w:eastAsia="等线" w:cs="Times New Roman"/>
                <w:color w:val="000000"/>
              </w:rPr>
              <w:t xml:space="preserve">0.66 </w:t>
            </w:r>
          </w:p>
        </w:tc>
        <w:tc>
          <w:tcPr>
            <w:tcW w:w="684" w:type="pct"/>
            <w:vMerge w:val="continue"/>
            <w:vAlign w:val="center"/>
          </w:tcPr>
          <w:p>
            <w:pPr>
              <w:pStyle w:val="39"/>
              <w:rPr>
                <w:rFonts w:cs="Times New Roman"/>
              </w:rPr>
            </w:pPr>
          </w:p>
        </w:tc>
        <w:tc>
          <w:tcPr>
            <w:tcW w:w="614" w:type="pct"/>
            <w:vAlign w:val="center"/>
          </w:tcPr>
          <w:p>
            <w:pPr>
              <w:pStyle w:val="14"/>
              <w:adjustRightInd w:val="0"/>
              <w:snapToGrid w:val="0"/>
              <w:ind w:firstLine="0" w:firstLineChars="0"/>
              <w:jc w:val="center"/>
              <w:rPr>
                <w:sz w:val="21"/>
                <w:szCs w:val="21"/>
              </w:rPr>
            </w:pPr>
            <w:r>
              <w:rPr>
                <w:sz w:val="21"/>
                <w:szCs w:val="21"/>
              </w:rPr>
              <w:t>0</w:t>
            </w:r>
          </w:p>
        </w:tc>
        <w:tc>
          <w:tcPr>
            <w:tcW w:w="783" w:type="pct"/>
            <w:vAlign w:val="center"/>
          </w:tcPr>
          <w:p>
            <w:pPr>
              <w:jc w:val="center"/>
              <w:rPr>
                <w:rFonts w:ascii="Times New Roman" w:hAnsi="Times New Roman" w:eastAsia="等线" w:cs="Times New Roman"/>
                <w:color w:val="000000"/>
              </w:rPr>
            </w:pPr>
            <w:r>
              <w:rPr>
                <w:rFonts w:ascii="Times New Roman" w:hAnsi="Times New Roman" w:eastAsia="等线" w:cs="Times New Roman"/>
                <w:color w:val="000000"/>
              </w:rPr>
              <w:t xml:space="preserve">0.66 </w:t>
            </w:r>
          </w:p>
        </w:tc>
        <w:tc>
          <w:tcPr>
            <w:tcW w:w="519" w:type="pct"/>
            <w:vAlign w:val="center"/>
          </w:tcPr>
          <w:p>
            <w:pPr>
              <w:jc w:val="center"/>
              <w:rPr>
                <w:rFonts w:ascii="Times New Roman" w:hAnsi="Times New Roman" w:eastAsia="等线" w:cs="Times New Roman"/>
                <w:color w:val="000000"/>
              </w:rPr>
            </w:pPr>
            <w:r>
              <w:rPr>
                <w:rFonts w:ascii="Times New Roman" w:hAnsi="Times New Roman" w:eastAsia="等线" w:cs="Times New Roman"/>
                <w:color w:val="000000"/>
              </w:rPr>
              <w:t xml:space="preserve">163.44 </w:t>
            </w:r>
          </w:p>
        </w:tc>
      </w:tr>
    </w:tbl>
    <w:p>
      <w:pPr>
        <w:pStyle w:val="3"/>
        <w:ind w:firstLine="480"/>
        <w:rPr>
          <w:color w:val="000000"/>
        </w:rPr>
      </w:pPr>
    </w:p>
    <w:p>
      <w:pPr>
        <w:pStyle w:val="7"/>
      </w:pPr>
      <w:r>
        <w:t>噪声污染源分析</w:t>
      </w:r>
    </w:p>
    <w:p>
      <w:pPr>
        <w:pStyle w:val="3"/>
        <w:ind w:firstLine="480"/>
        <w:rPr>
          <w:rFonts w:cs="Times New Roman"/>
        </w:rPr>
      </w:pPr>
      <w:r>
        <w:rPr>
          <w:rFonts w:cs="Times New Roman"/>
        </w:rPr>
        <w:t>项目噪声主要来源于鸡叫声、风机、水泵等噪声，噪声级为5</w:t>
      </w:r>
      <w:r>
        <w:rPr>
          <w:rFonts w:hint="eastAsia" w:cs="Times New Roman"/>
        </w:rPr>
        <w:t>5</w:t>
      </w:r>
      <w:r>
        <w:rPr>
          <w:rFonts w:cs="Times New Roman"/>
        </w:rPr>
        <w:t>~90dB(A)，主要噪声源排放情况见表。</w:t>
      </w:r>
    </w:p>
    <w:p>
      <w:pPr>
        <w:pStyle w:val="15"/>
        <w:rPr>
          <w:rFonts w:cs="Times New Roman"/>
        </w:rPr>
      </w:pPr>
      <w:r>
        <w:rPr>
          <w:rFonts w:cs="Times New Roman"/>
        </w:rPr>
        <w:t>表3.2-1</w:t>
      </w:r>
      <w:r>
        <w:rPr>
          <w:rFonts w:hint="eastAsia" w:cs="Times New Roman"/>
        </w:rPr>
        <w:t>4</w:t>
      </w:r>
      <w:r>
        <w:rPr>
          <w:rFonts w:cs="Times New Roman"/>
        </w:rPr>
        <w:t xml:space="preserve">  主要噪声源一览表   单位：dB(A)</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3"/>
        <w:gridCol w:w="2129"/>
        <w:gridCol w:w="1195"/>
        <w:gridCol w:w="1356"/>
        <w:gridCol w:w="3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67" w:type="pct"/>
            <w:vAlign w:val="center"/>
          </w:tcPr>
          <w:p>
            <w:pPr>
              <w:pStyle w:val="39"/>
              <w:rPr>
                <w:rFonts w:cs="Times New Roman"/>
                <w:lang w:val="zh-CN"/>
              </w:rPr>
            </w:pPr>
            <w:r>
              <w:rPr>
                <w:rFonts w:cs="Times New Roman"/>
                <w:lang w:val="zh-CN"/>
              </w:rPr>
              <w:t>序号</w:t>
            </w:r>
          </w:p>
        </w:tc>
        <w:tc>
          <w:tcPr>
            <w:tcW w:w="1160" w:type="pct"/>
            <w:vAlign w:val="center"/>
          </w:tcPr>
          <w:p>
            <w:pPr>
              <w:pStyle w:val="39"/>
              <w:rPr>
                <w:rFonts w:cs="Times New Roman"/>
                <w:lang w:val="zh-CN"/>
              </w:rPr>
            </w:pPr>
            <w:r>
              <w:rPr>
                <w:rFonts w:cs="Times New Roman"/>
                <w:lang w:val="zh-CN"/>
              </w:rPr>
              <w:t>噪声源</w:t>
            </w:r>
          </w:p>
        </w:tc>
        <w:tc>
          <w:tcPr>
            <w:tcW w:w="651" w:type="pct"/>
            <w:vAlign w:val="center"/>
          </w:tcPr>
          <w:p>
            <w:pPr>
              <w:pStyle w:val="39"/>
              <w:rPr>
                <w:rFonts w:cs="Times New Roman"/>
              </w:rPr>
            </w:pPr>
            <w:r>
              <w:rPr>
                <w:rFonts w:cs="Times New Roman"/>
              </w:rPr>
              <w:t>台数</w:t>
            </w:r>
          </w:p>
        </w:tc>
        <w:tc>
          <w:tcPr>
            <w:tcW w:w="739" w:type="pct"/>
            <w:vAlign w:val="center"/>
          </w:tcPr>
          <w:p>
            <w:pPr>
              <w:pStyle w:val="39"/>
              <w:rPr>
                <w:rFonts w:cs="Times New Roman"/>
              </w:rPr>
            </w:pPr>
            <w:r>
              <w:rPr>
                <w:rFonts w:cs="Times New Roman"/>
              </w:rPr>
              <w:t>噪声级</w:t>
            </w:r>
          </w:p>
        </w:tc>
        <w:tc>
          <w:tcPr>
            <w:tcW w:w="2082" w:type="pct"/>
            <w:vAlign w:val="center"/>
          </w:tcPr>
          <w:p>
            <w:pPr>
              <w:pStyle w:val="39"/>
              <w:rPr>
                <w:rFonts w:cs="Times New Roman"/>
                <w:lang w:val="zh-CN"/>
              </w:rPr>
            </w:pPr>
            <w:r>
              <w:rPr>
                <w:rFonts w:cs="Times New Roman"/>
              </w:rPr>
              <w:t>治理措施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67" w:type="pct"/>
            <w:vAlign w:val="center"/>
          </w:tcPr>
          <w:p>
            <w:pPr>
              <w:pStyle w:val="39"/>
              <w:rPr>
                <w:rFonts w:cs="Times New Roman"/>
                <w:lang w:val="zh-CN"/>
              </w:rPr>
            </w:pPr>
            <w:r>
              <w:rPr>
                <w:rFonts w:cs="Times New Roman"/>
                <w:lang w:val="zh-CN"/>
              </w:rPr>
              <w:t>1</w:t>
            </w:r>
          </w:p>
        </w:tc>
        <w:tc>
          <w:tcPr>
            <w:tcW w:w="1160" w:type="pct"/>
            <w:vAlign w:val="center"/>
          </w:tcPr>
          <w:p>
            <w:pPr>
              <w:pStyle w:val="39"/>
              <w:rPr>
                <w:rFonts w:cs="Times New Roman"/>
                <w:lang w:val="zh-CN"/>
              </w:rPr>
            </w:pPr>
            <w:r>
              <w:rPr>
                <w:rFonts w:cs="Times New Roman"/>
                <w:lang w:val="zh-CN"/>
              </w:rPr>
              <w:t>鸡叫声</w:t>
            </w:r>
          </w:p>
        </w:tc>
        <w:tc>
          <w:tcPr>
            <w:tcW w:w="651" w:type="pct"/>
            <w:vAlign w:val="center"/>
          </w:tcPr>
          <w:p>
            <w:pPr>
              <w:pStyle w:val="39"/>
              <w:rPr>
                <w:rFonts w:cs="Times New Roman"/>
              </w:rPr>
            </w:pPr>
            <w:r>
              <w:rPr>
                <w:rFonts w:cs="Times New Roman"/>
              </w:rPr>
              <w:t>/</w:t>
            </w:r>
          </w:p>
        </w:tc>
        <w:tc>
          <w:tcPr>
            <w:tcW w:w="739" w:type="pct"/>
            <w:vAlign w:val="center"/>
          </w:tcPr>
          <w:p>
            <w:pPr>
              <w:pStyle w:val="39"/>
              <w:rPr>
                <w:rFonts w:cs="Times New Roman"/>
              </w:rPr>
            </w:pPr>
            <w:r>
              <w:rPr>
                <w:rFonts w:cs="Times New Roman"/>
              </w:rPr>
              <w:t>55</w:t>
            </w:r>
          </w:p>
        </w:tc>
        <w:tc>
          <w:tcPr>
            <w:tcW w:w="2082" w:type="pct"/>
            <w:vAlign w:val="center"/>
          </w:tcPr>
          <w:p>
            <w:pPr>
              <w:pStyle w:val="39"/>
              <w:rPr>
                <w:rFonts w:cs="Times New Roman"/>
              </w:rPr>
            </w:pPr>
            <w:r>
              <w:rPr>
                <w:rFonts w:hint="eastAsia" w:cs="Times New Roman"/>
              </w:rPr>
              <w:t>科学饲养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67" w:type="pct"/>
            <w:vAlign w:val="center"/>
          </w:tcPr>
          <w:p>
            <w:pPr>
              <w:pStyle w:val="39"/>
              <w:rPr>
                <w:rFonts w:cs="Times New Roman"/>
                <w:lang w:val="zh-CN"/>
              </w:rPr>
            </w:pPr>
            <w:r>
              <w:rPr>
                <w:rFonts w:cs="Times New Roman"/>
                <w:lang w:val="zh-CN"/>
              </w:rPr>
              <w:t>2</w:t>
            </w:r>
          </w:p>
        </w:tc>
        <w:tc>
          <w:tcPr>
            <w:tcW w:w="1160" w:type="pct"/>
            <w:vAlign w:val="center"/>
          </w:tcPr>
          <w:p>
            <w:pPr>
              <w:pStyle w:val="39"/>
              <w:rPr>
                <w:rFonts w:cs="Times New Roman"/>
              </w:rPr>
            </w:pPr>
            <w:r>
              <w:rPr>
                <w:rFonts w:cs="Times New Roman"/>
              </w:rPr>
              <w:t>水泵</w:t>
            </w:r>
          </w:p>
        </w:tc>
        <w:tc>
          <w:tcPr>
            <w:tcW w:w="651" w:type="pct"/>
            <w:vAlign w:val="center"/>
          </w:tcPr>
          <w:p>
            <w:pPr>
              <w:pStyle w:val="18"/>
              <w:snapToGrid w:val="0"/>
              <w:jc w:val="center"/>
              <w:rPr>
                <w:rFonts w:ascii="Times New Roman" w:hAnsi="Times New Roman"/>
                <w:szCs w:val="21"/>
              </w:rPr>
            </w:pPr>
            <w:r>
              <w:rPr>
                <w:rFonts w:hint="eastAsia" w:ascii="Times New Roman" w:hAnsi="Times New Roman"/>
                <w:szCs w:val="21"/>
              </w:rPr>
              <w:t>2</w:t>
            </w:r>
          </w:p>
        </w:tc>
        <w:tc>
          <w:tcPr>
            <w:tcW w:w="739" w:type="pct"/>
            <w:vAlign w:val="center"/>
          </w:tcPr>
          <w:p>
            <w:pPr>
              <w:jc w:val="center"/>
              <w:textAlignment w:val="center"/>
              <w:rPr>
                <w:rFonts w:ascii="Times New Roman" w:hAnsi="Times New Roman" w:cs="Times New Roman"/>
              </w:rPr>
            </w:pPr>
            <w:r>
              <w:rPr>
                <w:rFonts w:ascii="Times New Roman" w:hAnsi="Times New Roman" w:cs="Times New Roman"/>
                <w:kern w:val="0"/>
                <w:lang w:bidi="ar"/>
              </w:rPr>
              <w:t>90</w:t>
            </w:r>
          </w:p>
        </w:tc>
        <w:tc>
          <w:tcPr>
            <w:tcW w:w="2082" w:type="pct"/>
            <w:vAlign w:val="center"/>
          </w:tcPr>
          <w:p>
            <w:pPr>
              <w:pStyle w:val="18"/>
              <w:snapToGrid w:val="0"/>
              <w:jc w:val="center"/>
              <w:rPr>
                <w:rFonts w:ascii="Times New Roman" w:hAnsi="Times New Roman"/>
                <w:color w:val="000000"/>
                <w:szCs w:val="21"/>
              </w:rPr>
            </w:pPr>
            <w:r>
              <w:rPr>
                <w:rFonts w:hint="eastAsia"/>
                <w:szCs w:val="21"/>
                <w:shd w:val="clear" w:color="auto" w:fill="FFFFFF"/>
              </w:rPr>
              <w:t>选低噪声设备，隔声、减震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67" w:type="pct"/>
            <w:vAlign w:val="center"/>
          </w:tcPr>
          <w:p>
            <w:pPr>
              <w:pStyle w:val="39"/>
              <w:rPr>
                <w:rFonts w:cs="Times New Roman"/>
                <w:lang w:val="zh-CN"/>
              </w:rPr>
            </w:pPr>
            <w:r>
              <w:rPr>
                <w:rFonts w:cs="Times New Roman"/>
                <w:lang w:val="zh-CN"/>
              </w:rPr>
              <w:t>3</w:t>
            </w:r>
          </w:p>
        </w:tc>
        <w:tc>
          <w:tcPr>
            <w:tcW w:w="1160" w:type="pct"/>
            <w:vAlign w:val="center"/>
          </w:tcPr>
          <w:p>
            <w:pPr>
              <w:pStyle w:val="39"/>
              <w:rPr>
                <w:rFonts w:cs="Times New Roman"/>
              </w:rPr>
            </w:pPr>
            <w:r>
              <w:rPr>
                <w:rFonts w:cs="Times New Roman"/>
              </w:rPr>
              <w:t>刮板输送机</w:t>
            </w:r>
          </w:p>
        </w:tc>
        <w:tc>
          <w:tcPr>
            <w:tcW w:w="651" w:type="pct"/>
            <w:vAlign w:val="center"/>
          </w:tcPr>
          <w:p>
            <w:pPr>
              <w:pStyle w:val="18"/>
              <w:snapToGrid w:val="0"/>
              <w:jc w:val="center"/>
              <w:rPr>
                <w:rFonts w:ascii="Times New Roman" w:hAnsi="Times New Roman"/>
                <w:szCs w:val="21"/>
              </w:rPr>
            </w:pPr>
            <w:r>
              <w:rPr>
                <w:rFonts w:ascii="Times New Roman" w:hAnsi="Times New Roman"/>
                <w:szCs w:val="21"/>
              </w:rPr>
              <w:t>9</w:t>
            </w:r>
          </w:p>
        </w:tc>
        <w:tc>
          <w:tcPr>
            <w:tcW w:w="739" w:type="pct"/>
            <w:vAlign w:val="center"/>
          </w:tcPr>
          <w:p>
            <w:pPr>
              <w:jc w:val="center"/>
              <w:textAlignment w:val="center"/>
              <w:rPr>
                <w:rFonts w:ascii="Times New Roman" w:hAnsi="Times New Roman" w:cs="Times New Roman"/>
                <w:kern w:val="0"/>
                <w:lang w:bidi="ar"/>
              </w:rPr>
            </w:pPr>
            <w:r>
              <w:rPr>
                <w:rFonts w:ascii="Times New Roman" w:hAnsi="Times New Roman" w:cs="Times New Roman"/>
                <w:kern w:val="0"/>
                <w:lang w:bidi="ar"/>
              </w:rPr>
              <w:t>90</w:t>
            </w:r>
          </w:p>
        </w:tc>
        <w:tc>
          <w:tcPr>
            <w:tcW w:w="2082" w:type="pct"/>
            <w:vAlign w:val="center"/>
          </w:tcPr>
          <w:p>
            <w:pPr>
              <w:pStyle w:val="18"/>
              <w:snapToGrid w:val="0"/>
              <w:jc w:val="center"/>
              <w:rPr>
                <w:rFonts w:ascii="Times New Roman" w:hAnsi="Times New Roman"/>
                <w:color w:val="000000"/>
                <w:szCs w:val="21"/>
              </w:rPr>
            </w:pPr>
            <w:r>
              <w:rPr>
                <w:rFonts w:hint="eastAsia"/>
                <w:szCs w:val="21"/>
                <w:shd w:val="clear" w:color="auto" w:fill="FFFFFF"/>
              </w:rPr>
              <w:t>选低噪声设备、鸡舍隔声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67" w:type="pct"/>
            <w:vAlign w:val="center"/>
          </w:tcPr>
          <w:p>
            <w:pPr>
              <w:pStyle w:val="39"/>
              <w:rPr>
                <w:rFonts w:cs="Times New Roman"/>
                <w:lang w:val="zh-CN"/>
              </w:rPr>
            </w:pPr>
            <w:r>
              <w:rPr>
                <w:rFonts w:cs="Times New Roman"/>
                <w:lang w:val="zh-CN"/>
              </w:rPr>
              <w:t>4</w:t>
            </w:r>
          </w:p>
        </w:tc>
        <w:tc>
          <w:tcPr>
            <w:tcW w:w="1160" w:type="pct"/>
            <w:vAlign w:val="center"/>
          </w:tcPr>
          <w:p>
            <w:pPr>
              <w:pStyle w:val="39"/>
              <w:rPr>
                <w:rFonts w:cs="Times New Roman"/>
              </w:rPr>
            </w:pPr>
            <w:r>
              <w:rPr>
                <w:rFonts w:cs="Times New Roman"/>
              </w:rPr>
              <w:t>鸡舍通风系统</w:t>
            </w:r>
          </w:p>
        </w:tc>
        <w:tc>
          <w:tcPr>
            <w:tcW w:w="651" w:type="pct"/>
            <w:vAlign w:val="center"/>
          </w:tcPr>
          <w:p>
            <w:pPr>
              <w:pStyle w:val="18"/>
              <w:snapToGrid w:val="0"/>
              <w:jc w:val="center"/>
              <w:rPr>
                <w:rFonts w:ascii="Times New Roman" w:hAnsi="Times New Roman"/>
                <w:szCs w:val="21"/>
              </w:rPr>
            </w:pPr>
            <w:r>
              <w:rPr>
                <w:rFonts w:ascii="Times New Roman" w:hAnsi="Times New Roman"/>
                <w:szCs w:val="21"/>
              </w:rPr>
              <w:t>9</w:t>
            </w:r>
          </w:p>
        </w:tc>
        <w:tc>
          <w:tcPr>
            <w:tcW w:w="739" w:type="pct"/>
            <w:vAlign w:val="center"/>
          </w:tcPr>
          <w:p>
            <w:pPr>
              <w:jc w:val="center"/>
              <w:textAlignment w:val="center"/>
              <w:rPr>
                <w:rFonts w:ascii="Times New Roman" w:hAnsi="Times New Roman" w:cs="Times New Roman"/>
                <w:kern w:val="0"/>
                <w:lang w:bidi="ar"/>
              </w:rPr>
            </w:pPr>
            <w:r>
              <w:rPr>
                <w:rFonts w:ascii="Times New Roman" w:hAnsi="Times New Roman" w:cs="Times New Roman"/>
                <w:kern w:val="0"/>
                <w:lang w:bidi="ar"/>
              </w:rPr>
              <w:t>80</w:t>
            </w:r>
          </w:p>
        </w:tc>
        <w:tc>
          <w:tcPr>
            <w:tcW w:w="2082" w:type="pct"/>
            <w:vAlign w:val="center"/>
          </w:tcPr>
          <w:p>
            <w:pPr>
              <w:pStyle w:val="18"/>
              <w:snapToGrid w:val="0"/>
              <w:jc w:val="center"/>
              <w:rPr>
                <w:rFonts w:ascii="Times New Roman" w:hAnsi="Times New Roman"/>
                <w:color w:val="000000"/>
                <w:szCs w:val="21"/>
              </w:rPr>
            </w:pPr>
            <w:r>
              <w:rPr>
                <w:rFonts w:hint="eastAsia"/>
                <w:szCs w:val="21"/>
                <w:shd w:val="clear" w:color="auto" w:fill="FFFFFF"/>
              </w:rPr>
              <w:t>选低噪声设备、隔声、消声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67" w:type="pct"/>
            <w:vAlign w:val="center"/>
          </w:tcPr>
          <w:p>
            <w:pPr>
              <w:pStyle w:val="39"/>
              <w:rPr>
                <w:rFonts w:cs="Times New Roman"/>
                <w:lang w:val="zh-CN"/>
              </w:rPr>
            </w:pPr>
            <w:r>
              <w:rPr>
                <w:rFonts w:cs="Times New Roman"/>
                <w:lang w:val="zh-CN"/>
              </w:rPr>
              <w:t>5</w:t>
            </w:r>
          </w:p>
        </w:tc>
        <w:tc>
          <w:tcPr>
            <w:tcW w:w="1160" w:type="pct"/>
            <w:vAlign w:val="center"/>
          </w:tcPr>
          <w:p>
            <w:pPr>
              <w:pStyle w:val="39"/>
              <w:rPr>
                <w:rFonts w:cs="Times New Roman"/>
              </w:rPr>
            </w:pPr>
            <w:r>
              <w:rPr>
                <w:rFonts w:cs="Times New Roman"/>
              </w:rPr>
              <w:t>鸡蛋分选设备</w:t>
            </w:r>
          </w:p>
        </w:tc>
        <w:tc>
          <w:tcPr>
            <w:tcW w:w="651" w:type="pct"/>
            <w:vAlign w:val="center"/>
          </w:tcPr>
          <w:p>
            <w:pPr>
              <w:pStyle w:val="18"/>
              <w:snapToGrid w:val="0"/>
              <w:jc w:val="center"/>
              <w:rPr>
                <w:rFonts w:ascii="Times New Roman" w:hAnsi="Times New Roman"/>
                <w:szCs w:val="21"/>
              </w:rPr>
            </w:pPr>
            <w:r>
              <w:rPr>
                <w:rFonts w:ascii="Times New Roman" w:hAnsi="Times New Roman"/>
                <w:szCs w:val="21"/>
              </w:rPr>
              <w:t>1</w:t>
            </w:r>
          </w:p>
        </w:tc>
        <w:tc>
          <w:tcPr>
            <w:tcW w:w="739" w:type="pct"/>
            <w:vAlign w:val="center"/>
          </w:tcPr>
          <w:p>
            <w:pPr>
              <w:jc w:val="center"/>
              <w:textAlignment w:val="center"/>
              <w:rPr>
                <w:rFonts w:ascii="Times New Roman" w:hAnsi="Times New Roman" w:cs="Times New Roman"/>
              </w:rPr>
            </w:pPr>
            <w:r>
              <w:rPr>
                <w:rFonts w:ascii="Times New Roman" w:hAnsi="Times New Roman" w:cs="Times New Roman"/>
              </w:rPr>
              <w:t>80</w:t>
            </w:r>
          </w:p>
        </w:tc>
        <w:tc>
          <w:tcPr>
            <w:tcW w:w="2082" w:type="pct"/>
            <w:vAlign w:val="center"/>
          </w:tcPr>
          <w:p>
            <w:pPr>
              <w:pStyle w:val="18"/>
              <w:snapToGrid w:val="0"/>
              <w:jc w:val="center"/>
              <w:rPr>
                <w:rFonts w:ascii="Times New Roman" w:hAnsi="Times New Roman"/>
                <w:color w:val="000000"/>
                <w:szCs w:val="21"/>
              </w:rPr>
            </w:pPr>
            <w:r>
              <w:rPr>
                <w:rFonts w:hint="eastAsia" w:ascii="Times New Roman" w:hAnsi="Times New Roman"/>
                <w:color w:val="000000"/>
                <w:szCs w:val="21"/>
              </w:rPr>
              <w:t>选低噪声设备，隔声、减震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67" w:type="pct"/>
            <w:vAlign w:val="center"/>
          </w:tcPr>
          <w:p>
            <w:pPr>
              <w:pStyle w:val="39"/>
              <w:rPr>
                <w:rFonts w:cs="Times New Roman"/>
                <w:lang w:val="zh-CN"/>
              </w:rPr>
            </w:pPr>
            <w:r>
              <w:rPr>
                <w:rFonts w:cs="Times New Roman"/>
                <w:lang w:val="zh-CN"/>
              </w:rPr>
              <w:t>6</w:t>
            </w:r>
          </w:p>
        </w:tc>
        <w:tc>
          <w:tcPr>
            <w:tcW w:w="1160" w:type="pct"/>
            <w:vAlign w:val="center"/>
          </w:tcPr>
          <w:p>
            <w:pPr>
              <w:pStyle w:val="39"/>
              <w:rPr>
                <w:rFonts w:cs="Times New Roman"/>
              </w:rPr>
            </w:pPr>
            <w:r>
              <w:rPr>
                <w:rFonts w:hint="eastAsia" w:cs="Times New Roman"/>
              </w:rPr>
              <w:t>多赛干燥机</w:t>
            </w:r>
          </w:p>
        </w:tc>
        <w:tc>
          <w:tcPr>
            <w:tcW w:w="651" w:type="pct"/>
            <w:vAlign w:val="center"/>
          </w:tcPr>
          <w:p>
            <w:pPr>
              <w:pStyle w:val="18"/>
              <w:snapToGrid w:val="0"/>
              <w:jc w:val="center"/>
              <w:rPr>
                <w:rFonts w:ascii="Times New Roman" w:hAnsi="Times New Roman"/>
                <w:szCs w:val="21"/>
              </w:rPr>
            </w:pPr>
            <w:r>
              <w:rPr>
                <w:rFonts w:hint="eastAsia" w:ascii="Times New Roman" w:hAnsi="Times New Roman"/>
                <w:szCs w:val="21"/>
              </w:rPr>
              <w:t>1</w:t>
            </w:r>
          </w:p>
        </w:tc>
        <w:tc>
          <w:tcPr>
            <w:tcW w:w="739" w:type="pct"/>
            <w:vAlign w:val="center"/>
          </w:tcPr>
          <w:p>
            <w:pPr>
              <w:jc w:val="center"/>
              <w:textAlignment w:val="center"/>
              <w:rPr>
                <w:rFonts w:ascii="Times New Roman" w:hAnsi="Times New Roman" w:cs="Times New Roman"/>
              </w:rPr>
            </w:pPr>
            <w:r>
              <w:rPr>
                <w:rFonts w:hint="eastAsia" w:ascii="Times New Roman" w:hAnsi="Times New Roman" w:cs="Times New Roman"/>
              </w:rPr>
              <w:t>80</w:t>
            </w:r>
          </w:p>
        </w:tc>
        <w:tc>
          <w:tcPr>
            <w:tcW w:w="2082" w:type="pct"/>
            <w:vAlign w:val="center"/>
          </w:tcPr>
          <w:p>
            <w:pPr>
              <w:pStyle w:val="18"/>
              <w:snapToGrid w:val="0"/>
              <w:jc w:val="center"/>
              <w:rPr>
                <w:rFonts w:ascii="Times New Roman" w:hAnsi="Times New Roman"/>
                <w:color w:val="000000"/>
                <w:szCs w:val="21"/>
              </w:rPr>
            </w:pPr>
            <w:r>
              <w:rPr>
                <w:rFonts w:hint="eastAsia" w:ascii="Times New Roman" w:hAnsi="Times New Roman"/>
                <w:color w:val="000000"/>
                <w:szCs w:val="21"/>
              </w:rPr>
              <w:t>选低噪声设备，隔声、减震</w:t>
            </w:r>
          </w:p>
        </w:tc>
      </w:tr>
    </w:tbl>
    <w:p>
      <w:pPr>
        <w:pStyle w:val="3"/>
        <w:ind w:firstLine="480"/>
        <w:rPr>
          <w:rFonts w:cs="Times New Roman"/>
        </w:rPr>
      </w:pPr>
    </w:p>
    <w:p>
      <w:pPr>
        <w:pStyle w:val="3"/>
        <w:ind w:firstLine="480"/>
        <w:rPr>
          <w:color w:val="000000"/>
        </w:rPr>
      </w:pPr>
      <w:r>
        <w:rPr>
          <w:rFonts w:cs="Times New Roman"/>
        </w:rPr>
        <w:t>鸡叫声及噪声设备均属室内噪声源，经墙体隔音等可降噪10~15 dB（A），车辆运输噪声</w:t>
      </w:r>
      <w:r>
        <w:rPr>
          <w:rFonts w:cs="Times New Roman"/>
          <w:lang w:val="zh-CN"/>
        </w:rPr>
        <w:t>可经过加强车辆管理、加强绿化等降低对外环境的影响。</w:t>
      </w:r>
    </w:p>
    <w:p>
      <w:pPr>
        <w:pStyle w:val="7"/>
      </w:pPr>
      <w:r>
        <w:rPr>
          <w:rFonts w:hint="eastAsia"/>
        </w:rPr>
        <w:t>固体废物污染源分析</w:t>
      </w:r>
    </w:p>
    <w:p>
      <w:pPr>
        <w:pStyle w:val="3"/>
        <w:ind w:firstLine="480"/>
        <w:rPr>
          <w:rFonts w:cs="Times New Roman"/>
        </w:rPr>
      </w:pPr>
      <w:r>
        <w:rPr>
          <w:rFonts w:cs="Times New Roman"/>
        </w:rPr>
        <w:t>本项目的固体废物包括鸡粪、病死鸡和蛋壳、废包装物料、医疗垃圾、污泥和员工办公生活垃圾等。</w:t>
      </w:r>
    </w:p>
    <w:p>
      <w:pPr>
        <w:pStyle w:val="3"/>
        <w:ind w:firstLine="480"/>
      </w:pPr>
      <w:r>
        <w:rPr>
          <w:rFonts w:hint="eastAsia"/>
        </w:rPr>
        <w:t>（1）鸡粪</w:t>
      </w:r>
    </w:p>
    <w:p>
      <w:pPr>
        <w:pStyle w:val="3"/>
        <w:ind w:firstLine="480"/>
      </w:pPr>
      <w:r>
        <w:rPr>
          <w:rFonts w:hint="eastAsia"/>
        </w:rPr>
        <w:t>根据《排污许可证申请与核发技术规范 畜禽养殖行业》表 9“各类禽污染物产生量”可知蛋鸡的粪便产生量为0.13kg/（只•d），本项目年存栏蛋鸡65万只（雏鸡折算蛋鸡进行计算），则本项目鸡粪产生量为30842.5t/a（含水率约为75%）。鸡舍产生的鸡粪采用干清粪工艺，清粪带平常保持静止状态，8小时启动一次传送带，将传送带上搜集的鸡粪清理至法国多赛干燥机内，然后通过</w:t>
      </w:r>
      <w:r>
        <w:rPr>
          <w:rFonts w:hint="eastAsia" w:cs="Times New Roman"/>
          <w:kern w:val="0"/>
        </w:rPr>
        <w:t>鸡舍内的热气将新鲜鸡粪进行干燥成有机肥，每8小时生产一批有机肥，并打包暂存至鸡粪（有机肥）暂存库，生产的有机肥含水率低于20%，则鸡粪有机肥产生量约为9638.28t/a。</w:t>
      </w:r>
    </w:p>
    <w:p>
      <w:pPr>
        <w:pStyle w:val="3"/>
        <w:ind w:firstLine="480"/>
        <w:rPr>
          <w:rFonts w:cs="Times New Roman"/>
        </w:rPr>
      </w:pPr>
      <w:r>
        <w:rPr>
          <w:rFonts w:hint="eastAsia"/>
        </w:rPr>
        <w:t>（2）</w:t>
      </w:r>
      <w:r>
        <w:rPr>
          <w:rFonts w:cs="Times New Roman"/>
          <w:kern w:val="0"/>
          <w:szCs w:val="24"/>
        </w:rPr>
        <w:t>病死鸡和蛋壳</w:t>
      </w:r>
    </w:p>
    <w:p>
      <w:pPr>
        <w:pStyle w:val="3"/>
        <w:ind w:firstLine="480"/>
        <w:rPr>
          <w:rFonts w:cs="Times New Roman"/>
        </w:rPr>
      </w:pPr>
      <w:r>
        <w:rPr>
          <w:rFonts w:hint="eastAsia" w:ascii="宋体" w:hAnsi="宋体" w:cs="宋体"/>
        </w:rPr>
        <w:t>①</w:t>
      </w:r>
      <w:r>
        <w:rPr>
          <w:rFonts w:cs="Times New Roman"/>
        </w:rPr>
        <w:t>病死鸡</w:t>
      </w:r>
    </w:p>
    <w:p>
      <w:pPr>
        <w:pStyle w:val="3"/>
        <w:ind w:firstLine="480"/>
        <w:rPr>
          <w:rFonts w:cs="Times New Roman"/>
        </w:rPr>
      </w:pPr>
      <w:r>
        <w:rPr>
          <w:rFonts w:cs="Times New Roman"/>
        </w:rPr>
        <w:t>根据《规模化畜禽养殖场环境影响评价与实例研究》（农业环境科学学报，2007 年）可知，规模化养鸡场病死鸡控制在0.1%-0.2%，本项目取最大值0.2%，项目年存栏种鸡</w:t>
      </w:r>
      <w:r>
        <w:rPr>
          <w:rFonts w:hint="eastAsia" w:cs="Times New Roman"/>
        </w:rPr>
        <w:t>65</w:t>
      </w:r>
      <w:r>
        <w:rPr>
          <w:rFonts w:cs="Times New Roman"/>
        </w:rPr>
        <w:t>万羽，病死鸡数量约为</w:t>
      </w:r>
      <w:r>
        <w:rPr>
          <w:rFonts w:hint="eastAsia" w:cs="Times New Roman"/>
        </w:rPr>
        <w:t>1300</w:t>
      </w:r>
      <w:r>
        <w:rPr>
          <w:rFonts w:cs="Times New Roman"/>
        </w:rPr>
        <w:t>羽/年，平均体重约为1kg。预计产生量为</w:t>
      </w:r>
      <w:r>
        <w:rPr>
          <w:rFonts w:hint="eastAsia" w:cs="Times New Roman"/>
        </w:rPr>
        <w:t>1.3</w:t>
      </w:r>
      <w:r>
        <w:rPr>
          <w:rFonts w:cs="Times New Roman"/>
        </w:rPr>
        <w:t>t/a</w:t>
      </w:r>
      <w:r>
        <w:rPr>
          <w:rFonts w:hint="eastAsia" w:cs="Times New Roman"/>
        </w:rPr>
        <w:t>，拟</w:t>
      </w:r>
      <w:r>
        <w:rPr>
          <w:rFonts w:hint="eastAsia" w:ascii="宋体" w:hAnsi="宋体" w:cs="宋体"/>
          <w:kern w:val="0"/>
          <w:szCs w:val="24"/>
        </w:rPr>
        <w:t>委托</w:t>
      </w:r>
      <w:r>
        <w:rPr>
          <w:rFonts w:ascii="宋体" w:hAnsi="宋体" w:cs="宋体"/>
          <w:kern w:val="0"/>
          <w:szCs w:val="24"/>
        </w:rPr>
        <w:t>衡阳县畜牧水产局统一</w:t>
      </w:r>
      <w:r>
        <w:rPr>
          <w:rFonts w:hint="eastAsia" w:ascii="宋体" w:hAnsi="宋体" w:cs="宋体"/>
          <w:kern w:val="0"/>
          <w:szCs w:val="24"/>
        </w:rPr>
        <w:t>收集，再</w:t>
      </w:r>
      <w:r>
        <w:rPr>
          <w:rFonts w:ascii="宋体" w:hAnsi="宋体" w:cs="宋体"/>
          <w:kern w:val="0"/>
          <w:szCs w:val="24"/>
        </w:rPr>
        <w:t>运至衡阳</w:t>
      </w:r>
      <w:r>
        <w:rPr>
          <w:rFonts w:hint="eastAsia" w:ascii="宋体" w:hAnsi="宋体" w:cs="宋体"/>
          <w:kern w:val="0"/>
          <w:szCs w:val="24"/>
        </w:rPr>
        <w:t>市</w:t>
      </w:r>
      <w:r>
        <w:rPr>
          <w:rFonts w:ascii="宋体" w:hAnsi="宋体" w:cs="宋体"/>
          <w:kern w:val="0"/>
          <w:szCs w:val="24"/>
        </w:rPr>
        <w:t>禾和</w:t>
      </w:r>
      <w:r>
        <w:rPr>
          <w:rFonts w:hint="eastAsia" w:ascii="宋体" w:hAnsi="宋体" w:cs="宋体"/>
          <w:kern w:val="0"/>
          <w:szCs w:val="24"/>
        </w:rPr>
        <w:t>动物无害化处理有限</w:t>
      </w:r>
      <w:r>
        <w:rPr>
          <w:rFonts w:ascii="宋体" w:hAnsi="宋体" w:cs="宋体"/>
          <w:kern w:val="0"/>
          <w:szCs w:val="24"/>
        </w:rPr>
        <w:t>公司无害化处置</w:t>
      </w:r>
      <w:r>
        <w:rPr>
          <w:rFonts w:cs="Times New Roman"/>
        </w:rPr>
        <w:t>。</w:t>
      </w:r>
    </w:p>
    <w:p>
      <w:pPr>
        <w:pStyle w:val="3"/>
        <w:ind w:firstLine="480"/>
        <w:rPr>
          <w:rFonts w:cs="Times New Roman"/>
        </w:rPr>
      </w:pPr>
      <w:r>
        <w:rPr>
          <w:rFonts w:hint="eastAsia" w:ascii="宋体" w:hAnsi="宋体" w:cs="宋体"/>
        </w:rPr>
        <w:t>②</w:t>
      </w:r>
      <w:r>
        <w:rPr>
          <w:rFonts w:cs="Times New Roman"/>
        </w:rPr>
        <w:t>蛋壳</w:t>
      </w:r>
    </w:p>
    <w:p>
      <w:pPr>
        <w:pStyle w:val="3"/>
        <w:ind w:firstLine="480"/>
        <w:rPr>
          <w:rFonts w:cs="Times New Roman"/>
        </w:rPr>
      </w:pPr>
      <w:r>
        <w:rPr>
          <w:rFonts w:cs="Times New Roman"/>
        </w:rPr>
        <w:t>根据建设单位提供资料，</w:t>
      </w:r>
      <w:r>
        <w:rPr>
          <w:rFonts w:hint="eastAsia" w:cs="Times New Roman"/>
        </w:rPr>
        <w:t>约1‰的蛋（即20</w:t>
      </w:r>
      <w:r>
        <w:rPr>
          <w:rFonts w:cs="Times New Roman"/>
        </w:rPr>
        <w:t>万枚</w:t>
      </w:r>
      <w:r>
        <w:rPr>
          <w:rFonts w:hint="eastAsia" w:cs="Times New Roman"/>
        </w:rPr>
        <w:t>）为</w:t>
      </w:r>
      <w:r>
        <w:rPr>
          <w:rFonts w:cs="Times New Roman"/>
        </w:rPr>
        <w:t>劣质蛋和破壳蛋制成蛋液</w:t>
      </w:r>
      <w:r>
        <w:rPr>
          <w:rFonts w:hint="eastAsia" w:cs="Times New Roman"/>
        </w:rPr>
        <w:t>作为企业自养甲鱼饲料</w:t>
      </w:r>
      <w:r>
        <w:rPr>
          <w:rFonts w:cs="Times New Roman"/>
        </w:rPr>
        <w:t>，则蛋壳</w:t>
      </w:r>
      <w:r>
        <w:rPr>
          <w:rFonts w:hint="eastAsia" w:cs="Times New Roman"/>
        </w:rPr>
        <w:t>约20</w:t>
      </w:r>
      <w:r>
        <w:rPr>
          <w:rFonts w:cs="Times New Roman"/>
        </w:rPr>
        <w:t>万个。平均每个鸡蛋的重量</w:t>
      </w:r>
      <w:r>
        <w:rPr>
          <w:rFonts w:hint="eastAsia" w:cs="Times New Roman"/>
        </w:rPr>
        <w:t>约</w:t>
      </w:r>
      <w:r>
        <w:rPr>
          <w:rFonts w:cs="Times New Roman"/>
        </w:rPr>
        <w:t>为</w:t>
      </w:r>
      <w:r>
        <w:rPr>
          <w:rFonts w:hint="eastAsia" w:cs="Times New Roman"/>
        </w:rPr>
        <w:t>62.5</w:t>
      </w:r>
      <w:r>
        <w:rPr>
          <w:rFonts w:cs="Times New Roman"/>
        </w:rPr>
        <w:t>g，蛋壳的重量</w:t>
      </w:r>
      <w:r>
        <w:rPr>
          <w:rFonts w:hint="eastAsia" w:cs="Times New Roman"/>
        </w:rPr>
        <w:t>按</w:t>
      </w:r>
      <w:r>
        <w:rPr>
          <w:rFonts w:cs="Times New Roman"/>
        </w:rPr>
        <w:t>10%左右。则蛋壳总产生量为</w:t>
      </w:r>
      <w:r>
        <w:rPr>
          <w:rFonts w:hint="eastAsia" w:cs="Times New Roman"/>
        </w:rPr>
        <w:t>1.25</w:t>
      </w:r>
      <w:r>
        <w:rPr>
          <w:rFonts w:cs="Times New Roman"/>
        </w:rPr>
        <w:t>t/a</w:t>
      </w:r>
      <w:r>
        <w:rPr>
          <w:rFonts w:hint="eastAsia" w:cs="Times New Roman"/>
        </w:rPr>
        <w:t>，破碎后与鸡粪</w:t>
      </w:r>
      <w:r>
        <w:rPr>
          <w:rFonts w:cs="Times New Roman"/>
        </w:rPr>
        <w:t>作为</w:t>
      </w:r>
      <w:r>
        <w:rPr>
          <w:rFonts w:hint="eastAsia" w:cs="Times New Roman"/>
        </w:rPr>
        <w:t>有机肥一并</w:t>
      </w:r>
      <w:r>
        <w:rPr>
          <w:rFonts w:cs="Times New Roman"/>
        </w:rPr>
        <w:t>外售。</w:t>
      </w:r>
    </w:p>
    <w:p>
      <w:pPr>
        <w:pStyle w:val="3"/>
        <w:ind w:firstLine="480"/>
      </w:pPr>
      <w:r>
        <w:rPr>
          <w:rFonts w:hint="eastAsia"/>
        </w:rPr>
        <w:t>（3）锅炉灰渣</w:t>
      </w:r>
    </w:p>
    <w:p>
      <w:pPr>
        <w:pStyle w:val="3"/>
        <w:ind w:firstLine="480"/>
      </w:pPr>
      <w:r>
        <w:rPr>
          <w:rFonts w:hint="eastAsia"/>
        </w:rPr>
        <w:t>本项目全部为生物质锅炉，年使用生物质燃料</w:t>
      </w:r>
      <w:r>
        <w:t>648</w:t>
      </w:r>
      <w:r>
        <w:rPr>
          <w:rFonts w:hint="eastAsia"/>
        </w:rPr>
        <w:t>吨，产生草木灰渣比按1%计，产生量为</w:t>
      </w:r>
      <w:r>
        <w:t>6.48</w:t>
      </w:r>
      <w:r>
        <w:rPr>
          <w:rFonts w:hint="eastAsia"/>
        </w:rPr>
        <w:t>t/a，收集后作为农肥。</w:t>
      </w:r>
    </w:p>
    <w:p>
      <w:pPr>
        <w:pStyle w:val="3"/>
        <w:ind w:firstLine="480"/>
        <w:rPr>
          <w:u w:val="single"/>
        </w:rPr>
      </w:pPr>
      <w:r>
        <w:rPr>
          <w:rFonts w:hint="eastAsia"/>
          <w:u w:val="single"/>
        </w:rPr>
        <w:t>（4）除尘灰</w:t>
      </w:r>
    </w:p>
    <w:p>
      <w:pPr>
        <w:pStyle w:val="3"/>
        <w:ind w:firstLine="480"/>
        <w:rPr>
          <w:u w:val="single"/>
        </w:rPr>
      </w:pPr>
      <w:r>
        <w:rPr>
          <w:rFonts w:hint="eastAsia"/>
          <w:u w:val="single"/>
        </w:rPr>
        <w:t>锅炉颗粒物产生量为</w:t>
      </w:r>
      <w:r>
        <w:rPr>
          <w:u w:val="single"/>
        </w:rPr>
        <w:t>0.32</w:t>
      </w:r>
      <w:r>
        <w:rPr>
          <w:rFonts w:hint="eastAsia"/>
          <w:u w:val="single"/>
        </w:rPr>
        <w:t>t/a，经布袋除尘器除尘后，颗粒物排放量为</w:t>
      </w:r>
      <w:r>
        <w:rPr>
          <w:u w:val="single"/>
        </w:rPr>
        <w:t>0.002</w:t>
      </w:r>
      <w:r>
        <w:rPr>
          <w:rFonts w:hint="eastAsia"/>
          <w:u w:val="single"/>
        </w:rPr>
        <w:t>t/a，则除尘灰产生量为</w:t>
      </w:r>
      <w:r>
        <w:rPr>
          <w:u w:val="single"/>
        </w:rPr>
        <w:t>0.318</w:t>
      </w:r>
      <w:r>
        <w:rPr>
          <w:rFonts w:hint="eastAsia"/>
          <w:u w:val="single"/>
        </w:rPr>
        <w:t>t/a，收集后袋装作为农肥。</w:t>
      </w:r>
    </w:p>
    <w:p>
      <w:pPr>
        <w:pStyle w:val="3"/>
        <w:ind w:firstLine="480"/>
        <w:rPr>
          <w:rFonts w:cs="Times New Roman"/>
        </w:rPr>
      </w:pPr>
      <w:r>
        <w:rPr>
          <w:rFonts w:cs="Times New Roman"/>
        </w:rPr>
        <w:t>（</w:t>
      </w:r>
      <w:r>
        <w:rPr>
          <w:rFonts w:hint="eastAsia" w:cs="Times New Roman"/>
        </w:rPr>
        <w:t>5</w:t>
      </w:r>
      <w:r>
        <w:rPr>
          <w:rFonts w:cs="Times New Roman"/>
        </w:rPr>
        <w:t>）废包装物料</w:t>
      </w:r>
    </w:p>
    <w:p>
      <w:pPr>
        <w:pStyle w:val="3"/>
        <w:ind w:firstLine="480"/>
      </w:pPr>
      <w:r>
        <w:rPr>
          <w:rFonts w:cs="Times New Roman"/>
        </w:rPr>
        <w:t>项目饲料使用产生一定量的包装袋，产生量约为</w:t>
      </w:r>
      <w:r>
        <w:rPr>
          <w:rFonts w:hint="eastAsia" w:cs="Times New Roman"/>
        </w:rPr>
        <w:t>2.0</w:t>
      </w:r>
      <w:r>
        <w:rPr>
          <w:rFonts w:cs="Times New Roman"/>
        </w:rPr>
        <w:t>t/a，由交由供应商回收处理。</w:t>
      </w:r>
    </w:p>
    <w:p>
      <w:pPr>
        <w:pStyle w:val="3"/>
        <w:ind w:firstLine="480"/>
      </w:pPr>
      <w:r>
        <w:rPr>
          <w:rFonts w:hint="eastAsia"/>
        </w:rPr>
        <w:t>（6）医疗废物（HW01，废物代码841-002-01、841-005-01）</w:t>
      </w:r>
    </w:p>
    <w:p>
      <w:pPr>
        <w:pStyle w:val="3"/>
        <w:ind w:firstLine="480"/>
      </w:pPr>
      <w:r>
        <w:rPr>
          <w:rFonts w:hint="eastAsia"/>
        </w:rPr>
        <w:t>根据建设单位提供的资料，蛋鸡在产蛋期仅能使用中成制剂药物，不能使用</w:t>
      </w:r>
      <w:r>
        <w:rPr>
          <w:rFonts w:hint="eastAsia" w:cs="Times New Roman"/>
          <w:kern w:val="0"/>
        </w:rPr>
        <w:t>青霉素类、泰妙菌素类等</w:t>
      </w:r>
      <w:r>
        <w:rPr>
          <w:rFonts w:hint="eastAsia"/>
        </w:rPr>
        <w:t>疫苗；仅育雏过程中能接种免疫或发病期接受治疗，会产生少量的医疗废物，属于《国家危险废物名录》（2021年版）中HW01医疗废物 卫生 841-002-01损伤性废物、841-005-01 药物性废物，为防治动物传染病而需要收集和处置的废物。</w:t>
      </w:r>
    </w:p>
    <w:p>
      <w:pPr>
        <w:pStyle w:val="3"/>
        <w:ind w:firstLine="480"/>
      </w:pPr>
      <w:r>
        <w:rPr>
          <w:rFonts w:hint="eastAsia"/>
        </w:rPr>
        <w:t>类比同类项目可知，规模化养殖场按照猪养殖场核算时医疗废物产生系数约为0.1kg/a•头，本项目育雏鸡的数量为60万羽，4只雏鸡折合1只蛋鸡，30只蛋鸡折合1只成年猪，则项目按成年猪计，存栏量为5000头，即折算后核算本项目产生的医疗废物量约为0.5t/a，暂存于危废暂存间，定期交由有相关危险废物处置资质的单位处理。</w:t>
      </w:r>
    </w:p>
    <w:p>
      <w:pPr>
        <w:pStyle w:val="3"/>
        <w:ind w:firstLine="480"/>
        <w:rPr>
          <w:rFonts w:cs="Times New Roman"/>
        </w:rPr>
      </w:pPr>
      <w:r>
        <w:rPr>
          <w:rFonts w:cs="Times New Roman"/>
        </w:rPr>
        <w:t>（</w:t>
      </w:r>
      <w:r>
        <w:rPr>
          <w:rFonts w:hint="eastAsia" w:cs="Times New Roman"/>
        </w:rPr>
        <w:t>7</w:t>
      </w:r>
      <w:r>
        <w:rPr>
          <w:rFonts w:cs="Times New Roman"/>
        </w:rPr>
        <w:t>）员工办公生活垃圾</w:t>
      </w:r>
    </w:p>
    <w:p>
      <w:pPr>
        <w:pStyle w:val="3"/>
        <w:ind w:firstLine="480"/>
        <w:rPr>
          <w:rFonts w:cs="Times New Roman"/>
        </w:rPr>
      </w:pPr>
      <w:r>
        <w:rPr>
          <w:rFonts w:cs="Times New Roman"/>
        </w:rPr>
        <w:t>项目拟定员工</w:t>
      </w:r>
      <w:r>
        <w:rPr>
          <w:rFonts w:hint="eastAsia" w:cs="Times New Roman"/>
        </w:rPr>
        <w:t>5</w:t>
      </w:r>
      <w:r>
        <w:rPr>
          <w:rFonts w:cs="Times New Roman"/>
        </w:rPr>
        <w:t>0人，年工作365天，每天每人产生生活垃圾按1kg计，则生活垃圾产生量约为</w:t>
      </w:r>
      <w:r>
        <w:rPr>
          <w:rFonts w:hint="eastAsia" w:cs="Times New Roman"/>
        </w:rPr>
        <w:t>18.25</w:t>
      </w:r>
      <w:r>
        <w:rPr>
          <w:rFonts w:cs="Times New Roman"/>
        </w:rPr>
        <w:t>吨/年，经分类收集至场区内垃圾收集点后，由环卫部门统一清运。</w:t>
      </w:r>
    </w:p>
    <w:p>
      <w:pPr>
        <w:pStyle w:val="15"/>
        <w:rPr>
          <w:rFonts w:cs="Times New Roman"/>
        </w:rPr>
      </w:pPr>
      <w:r>
        <w:rPr>
          <w:rFonts w:cs="Times New Roman"/>
        </w:rPr>
        <w:t>表3.2-1</w:t>
      </w:r>
      <w:r>
        <w:rPr>
          <w:rFonts w:hint="eastAsia" w:cs="Times New Roman"/>
        </w:rPr>
        <w:t>5</w:t>
      </w:r>
      <w:r>
        <w:rPr>
          <w:rFonts w:eastAsia="TimesNewRomanPS-BoldMT" w:cs="Times New Roman"/>
          <w:b/>
          <w:bCs/>
        </w:rPr>
        <w:t xml:space="preserve">   </w:t>
      </w:r>
      <w:r>
        <w:rPr>
          <w:rFonts w:cs="Times New Roman"/>
        </w:rPr>
        <w:t>项目固废产生及处置措施一览表   单位：t/a</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418"/>
        <w:gridCol w:w="1275"/>
        <w:gridCol w:w="1134"/>
        <w:gridCol w:w="851"/>
        <w:gridCol w:w="3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pStyle w:val="39"/>
              <w:rPr>
                <w:rFonts w:cs="Times New Roman"/>
              </w:rPr>
            </w:pPr>
            <w:r>
              <w:rPr>
                <w:rFonts w:cs="Times New Roman"/>
              </w:rPr>
              <w:t>序号</w:t>
            </w:r>
          </w:p>
        </w:tc>
        <w:tc>
          <w:tcPr>
            <w:tcW w:w="1418" w:type="dxa"/>
            <w:vAlign w:val="center"/>
          </w:tcPr>
          <w:p>
            <w:pPr>
              <w:pStyle w:val="39"/>
              <w:rPr>
                <w:rFonts w:cs="Times New Roman"/>
              </w:rPr>
            </w:pPr>
            <w:r>
              <w:rPr>
                <w:rFonts w:cs="Times New Roman"/>
              </w:rPr>
              <w:t>污染源</w:t>
            </w:r>
          </w:p>
        </w:tc>
        <w:tc>
          <w:tcPr>
            <w:tcW w:w="1275" w:type="dxa"/>
            <w:vAlign w:val="center"/>
          </w:tcPr>
          <w:p>
            <w:pPr>
              <w:pStyle w:val="39"/>
              <w:rPr>
                <w:rFonts w:cs="Times New Roman"/>
              </w:rPr>
            </w:pPr>
            <w:r>
              <w:rPr>
                <w:rFonts w:cs="Times New Roman"/>
              </w:rPr>
              <w:t>固废性质</w:t>
            </w:r>
          </w:p>
        </w:tc>
        <w:tc>
          <w:tcPr>
            <w:tcW w:w="1134" w:type="dxa"/>
            <w:vAlign w:val="center"/>
          </w:tcPr>
          <w:p>
            <w:pPr>
              <w:pStyle w:val="39"/>
              <w:rPr>
                <w:rFonts w:cs="Times New Roman"/>
              </w:rPr>
            </w:pPr>
            <w:r>
              <w:rPr>
                <w:rFonts w:cs="Times New Roman"/>
              </w:rPr>
              <w:t>产生量</w:t>
            </w:r>
          </w:p>
        </w:tc>
        <w:tc>
          <w:tcPr>
            <w:tcW w:w="851" w:type="dxa"/>
            <w:vAlign w:val="center"/>
          </w:tcPr>
          <w:p>
            <w:pPr>
              <w:pStyle w:val="39"/>
              <w:rPr>
                <w:rFonts w:cs="Times New Roman"/>
              </w:rPr>
            </w:pPr>
            <w:r>
              <w:rPr>
                <w:rFonts w:cs="Times New Roman"/>
              </w:rPr>
              <w:t>排放量</w:t>
            </w:r>
          </w:p>
        </w:tc>
        <w:tc>
          <w:tcPr>
            <w:tcW w:w="3678" w:type="dxa"/>
            <w:vAlign w:val="center"/>
          </w:tcPr>
          <w:p>
            <w:pPr>
              <w:pStyle w:val="39"/>
              <w:rPr>
                <w:rFonts w:cs="Times New Roman"/>
              </w:rPr>
            </w:pPr>
            <w:r>
              <w:rPr>
                <w:rFonts w:cs="Times New Roman"/>
              </w:rPr>
              <w:t>处理方式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pStyle w:val="39"/>
              <w:rPr>
                <w:rFonts w:cs="Times New Roman"/>
              </w:rPr>
            </w:pPr>
            <w:r>
              <w:rPr>
                <w:rFonts w:cs="Times New Roman"/>
              </w:rPr>
              <w:t>1</w:t>
            </w:r>
          </w:p>
        </w:tc>
        <w:tc>
          <w:tcPr>
            <w:tcW w:w="1418" w:type="dxa"/>
            <w:vAlign w:val="center"/>
          </w:tcPr>
          <w:p>
            <w:pPr>
              <w:pStyle w:val="39"/>
              <w:rPr>
                <w:rFonts w:cs="Times New Roman"/>
              </w:rPr>
            </w:pPr>
            <w:r>
              <w:rPr>
                <w:rFonts w:cs="Times New Roman"/>
                <w:kern w:val="0"/>
              </w:rPr>
              <w:t>鸡粪</w:t>
            </w:r>
          </w:p>
        </w:tc>
        <w:tc>
          <w:tcPr>
            <w:tcW w:w="1275" w:type="dxa"/>
            <w:vAlign w:val="center"/>
          </w:tcPr>
          <w:p>
            <w:pPr>
              <w:pStyle w:val="39"/>
              <w:rPr>
                <w:rFonts w:cs="Times New Roman"/>
              </w:rPr>
            </w:pPr>
            <w:r>
              <w:rPr>
                <w:rFonts w:cs="Times New Roman"/>
                <w:kern w:val="0"/>
              </w:rPr>
              <w:t>一般固废</w:t>
            </w:r>
          </w:p>
        </w:tc>
        <w:tc>
          <w:tcPr>
            <w:tcW w:w="1134" w:type="dxa"/>
            <w:vAlign w:val="center"/>
          </w:tcPr>
          <w:p>
            <w:pPr>
              <w:pStyle w:val="39"/>
              <w:rPr>
                <w:rFonts w:cs="Times New Roman"/>
                <w:b/>
              </w:rPr>
            </w:pPr>
            <w:r>
              <w:rPr>
                <w:rFonts w:cs="Times New Roman"/>
              </w:rPr>
              <w:t>30842.5</w:t>
            </w:r>
          </w:p>
        </w:tc>
        <w:tc>
          <w:tcPr>
            <w:tcW w:w="851" w:type="dxa"/>
            <w:vAlign w:val="center"/>
          </w:tcPr>
          <w:p>
            <w:pPr>
              <w:pStyle w:val="39"/>
              <w:rPr>
                <w:rFonts w:cs="Times New Roman"/>
              </w:rPr>
            </w:pPr>
            <w:r>
              <w:rPr>
                <w:rFonts w:cs="Times New Roman"/>
              </w:rPr>
              <w:t>0</w:t>
            </w:r>
          </w:p>
        </w:tc>
        <w:tc>
          <w:tcPr>
            <w:tcW w:w="3678" w:type="dxa"/>
            <w:vAlign w:val="center"/>
          </w:tcPr>
          <w:p>
            <w:pPr>
              <w:pStyle w:val="39"/>
              <w:rPr>
                <w:rFonts w:cs="Times New Roman"/>
              </w:rPr>
            </w:pPr>
            <w:r>
              <w:rPr>
                <w:rFonts w:hint="eastAsia" w:cs="Times New Roman"/>
              </w:rPr>
              <w:t>多赛干燥机</w:t>
            </w:r>
            <w:r>
              <w:rPr>
                <w:rFonts w:cs="Times New Roman"/>
                <w:kern w:val="0"/>
              </w:rPr>
              <w:t>制作有机肥外售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pStyle w:val="39"/>
              <w:rPr>
                <w:rFonts w:cs="Times New Roman"/>
              </w:rPr>
            </w:pPr>
            <w:r>
              <w:rPr>
                <w:rFonts w:cs="Times New Roman"/>
              </w:rPr>
              <w:t>2</w:t>
            </w:r>
          </w:p>
        </w:tc>
        <w:tc>
          <w:tcPr>
            <w:tcW w:w="1418" w:type="dxa"/>
            <w:vAlign w:val="center"/>
          </w:tcPr>
          <w:p>
            <w:pPr>
              <w:pStyle w:val="39"/>
              <w:rPr>
                <w:rFonts w:cs="Times New Roman"/>
              </w:rPr>
            </w:pPr>
            <w:r>
              <w:rPr>
                <w:rFonts w:cs="Times New Roman"/>
                <w:kern w:val="0"/>
              </w:rPr>
              <w:t>病死鸡</w:t>
            </w:r>
          </w:p>
        </w:tc>
        <w:tc>
          <w:tcPr>
            <w:tcW w:w="1275" w:type="dxa"/>
            <w:vAlign w:val="center"/>
          </w:tcPr>
          <w:p>
            <w:pPr>
              <w:pStyle w:val="39"/>
              <w:rPr>
                <w:rFonts w:cs="Times New Roman"/>
              </w:rPr>
            </w:pPr>
            <w:r>
              <w:rPr>
                <w:rFonts w:cs="Times New Roman"/>
                <w:kern w:val="0"/>
              </w:rPr>
              <w:t>一般固废</w:t>
            </w:r>
          </w:p>
        </w:tc>
        <w:tc>
          <w:tcPr>
            <w:tcW w:w="1134" w:type="dxa"/>
            <w:vAlign w:val="center"/>
          </w:tcPr>
          <w:p>
            <w:pPr>
              <w:pStyle w:val="39"/>
              <w:rPr>
                <w:rFonts w:cs="Times New Roman"/>
              </w:rPr>
            </w:pPr>
            <w:r>
              <w:rPr>
                <w:rFonts w:hint="eastAsia" w:cs="Times New Roman"/>
              </w:rPr>
              <w:t>1.3</w:t>
            </w:r>
          </w:p>
        </w:tc>
        <w:tc>
          <w:tcPr>
            <w:tcW w:w="851" w:type="dxa"/>
            <w:vAlign w:val="center"/>
          </w:tcPr>
          <w:p>
            <w:pPr>
              <w:pStyle w:val="39"/>
              <w:rPr>
                <w:rFonts w:cs="Times New Roman"/>
              </w:rPr>
            </w:pPr>
            <w:r>
              <w:rPr>
                <w:rFonts w:cs="Times New Roman"/>
              </w:rPr>
              <w:t>0</w:t>
            </w:r>
          </w:p>
        </w:tc>
        <w:tc>
          <w:tcPr>
            <w:tcW w:w="3678" w:type="dxa"/>
            <w:vAlign w:val="center"/>
          </w:tcPr>
          <w:p>
            <w:pPr>
              <w:widowControl w:val="0"/>
              <w:autoSpaceDE w:val="0"/>
              <w:autoSpaceDN w:val="0"/>
              <w:snapToGrid/>
              <w:jc w:val="center"/>
              <w:rPr>
                <w:rFonts w:ascii="Times New Roman" w:hAnsi="Times New Roman" w:eastAsia="宋体" w:cs="Times New Roman"/>
              </w:rPr>
            </w:pPr>
            <w:r>
              <w:rPr>
                <w:rFonts w:hint="eastAsia" w:ascii="宋体" w:hAnsi="宋体" w:eastAsia="宋体" w:cs="宋体"/>
                <w:kern w:val="0"/>
                <w:szCs w:val="24"/>
              </w:rPr>
              <w:t>委托</w:t>
            </w:r>
            <w:r>
              <w:rPr>
                <w:rFonts w:ascii="宋体" w:hAnsi="宋体" w:eastAsia="宋体" w:cs="宋体"/>
                <w:kern w:val="0"/>
                <w:szCs w:val="24"/>
              </w:rPr>
              <w:t>衡阳县畜牧水产局统一</w:t>
            </w:r>
            <w:r>
              <w:rPr>
                <w:rFonts w:hint="eastAsia" w:ascii="宋体" w:hAnsi="宋体" w:eastAsia="宋体" w:cs="宋体"/>
                <w:kern w:val="0"/>
                <w:szCs w:val="24"/>
              </w:rPr>
              <w:t>收集，再</w:t>
            </w:r>
            <w:r>
              <w:rPr>
                <w:rFonts w:ascii="宋体" w:hAnsi="宋体" w:eastAsia="宋体" w:cs="宋体"/>
                <w:kern w:val="0"/>
                <w:szCs w:val="24"/>
              </w:rPr>
              <w:t>运至衡阳</w:t>
            </w:r>
            <w:r>
              <w:rPr>
                <w:rFonts w:hint="eastAsia" w:ascii="宋体" w:hAnsi="宋体" w:eastAsia="宋体" w:cs="宋体"/>
                <w:kern w:val="0"/>
                <w:szCs w:val="24"/>
              </w:rPr>
              <w:t>市</w:t>
            </w:r>
            <w:r>
              <w:rPr>
                <w:rFonts w:ascii="宋体" w:hAnsi="宋体" w:eastAsia="宋体" w:cs="宋体"/>
                <w:kern w:val="0"/>
                <w:szCs w:val="24"/>
              </w:rPr>
              <w:t>禾和</w:t>
            </w:r>
            <w:r>
              <w:rPr>
                <w:rFonts w:hint="eastAsia" w:ascii="宋体" w:hAnsi="宋体" w:eastAsia="宋体" w:cs="宋体"/>
                <w:kern w:val="0"/>
                <w:szCs w:val="24"/>
              </w:rPr>
              <w:t>动物无害化处理有限</w:t>
            </w:r>
            <w:r>
              <w:rPr>
                <w:rFonts w:ascii="宋体" w:hAnsi="宋体" w:eastAsia="宋体" w:cs="宋体"/>
                <w:kern w:val="0"/>
                <w:szCs w:val="24"/>
              </w:rPr>
              <w:t>公司无害化处置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pStyle w:val="39"/>
              <w:rPr>
                <w:rFonts w:cs="Times New Roman"/>
              </w:rPr>
            </w:pPr>
            <w:r>
              <w:rPr>
                <w:rFonts w:cs="Times New Roman"/>
              </w:rPr>
              <w:t>3</w:t>
            </w:r>
          </w:p>
        </w:tc>
        <w:tc>
          <w:tcPr>
            <w:tcW w:w="1418" w:type="dxa"/>
            <w:vAlign w:val="center"/>
          </w:tcPr>
          <w:p>
            <w:pPr>
              <w:pStyle w:val="39"/>
              <w:rPr>
                <w:rFonts w:cs="Times New Roman"/>
              </w:rPr>
            </w:pPr>
            <w:r>
              <w:rPr>
                <w:rFonts w:cs="Times New Roman"/>
                <w:kern w:val="0"/>
              </w:rPr>
              <w:t>蛋壳</w:t>
            </w:r>
          </w:p>
        </w:tc>
        <w:tc>
          <w:tcPr>
            <w:tcW w:w="1275" w:type="dxa"/>
            <w:vAlign w:val="center"/>
          </w:tcPr>
          <w:p>
            <w:pPr>
              <w:pStyle w:val="39"/>
              <w:rPr>
                <w:rFonts w:cs="Times New Roman"/>
              </w:rPr>
            </w:pPr>
            <w:r>
              <w:rPr>
                <w:rFonts w:cs="Times New Roman"/>
                <w:kern w:val="0"/>
              </w:rPr>
              <w:t>一般固废</w:t>
            </w:r>
          </w:p>
        </w:tc>
        <w:tc>
          <w:tcPr>
            <w:tcW w:w="1134" w:type="dxa"/>
            <w:vAlign w:val="center"/>
          </w:tcPr>
          <w:p>
            <w:pPr>
              <w:pStyle w:val="39"/>
              <w:rPr>
                <w:rFonts w:cs="Times New Roman"/>
              </w:rPr>
            </w:pPr>
            <w:r>
              <w:rPr>
                <w:rFonts w:hint="eastAsia" w:cs="Times New Roman"/>
              </w:rPr>
              <w:t>1.25</w:t>
            </w:r>
          </w:p>
        </w:tc>
        <w:tc>
          <w:tcPr>
            <w:tcW w:w="851" w:type="dxa"/>
            <w:vAlign w:val="center"/>
          </w:tcPr>
          <w:p>
            <w:pPr>
              <w:pStyle w:val="39"/>
              <w:rPr>
                <w:rFonts w:cs="Times New Roman"/>
              </w:rPr>
            </w:pPr>
            <w:r>
              <w:rPr>
                <w:rFonts w:cs="Times New Roman"/>
              </w:rPr>
              <w:t>0</w:t>
            </w:r>
          </w:p>
        </w:tc>
        <w:tc>
          <w:tcPr>
            <w:tcW w:w="3678" w:type="dxa"/>
            <w:vAlign w:val="center"/>
          </w:tcPr>
          <w:p>
            <w:pPr>
              <w:pStyle w:val="39"/>
              <w:rPr>
                <w:rFonts w:cs="Times New Roman"/>
              </w:rPr>
            </w:pPr>
            <w:r>
              <w:rPr>
                <w:rFonts w:hint="eastAsia" w:cs="Times New Roman"/>
              </w:rPr>
              <w:t>破碎后与鸡粪</w:t>
            </w:r>
            <w:r>
              <w:rPr>
                <w:rFonts w:cs="Times New Roman"/>
              </w:rPr>
              <w:t>一并</w:t>
            </w:r>
            <w:r>
              <w:rPr>
                <w:rFonts w:hint="eastAsia" w:cs="Times New Roman"/>
              </w:rPr>
              <w:t>作为</w:t>
            </w:r>
            <w:r>
              <w:rPr>
                <w:rFonts w:cs="Times New Roman"/>
              </w:rPr>
              <w:t>有机肥</w:t>
            </w:r>
            <w:r>
              <w:rPr>
                <w:rFonts w:hint="eastAsia" w:cs="Times New Roman"/>
              </w:rPr>
              <w:t>一并</w:t>
            </w:r>
            <w:r>
              <w:rPr>
                <w:rFonts w:cs="Times New Roman"/>
              </w:rPr>
              <w:t>外售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pStyle w:val="39"/>
              <w:rPr>
                <w:rFonts w:cs="Times New Roman"/>
              </w:rPr>
            </w:pPr>
            <w:r>
              <w:rPr>
                <w:rFonts w:cs="Times New Roman"/>
              </w:rPr>
              <w:t>4</w:t>
            </w:r>
          </w:p>
        </w:tc>
        <w:tc>
          <w:tcPr>
            <w:tcW w:w="1418" w:type="dxa"/>
            <w:vAlign w:val="center"/>
          </w:tcPr>
          <w:p>
            <w:pPr>
              <w:pStyle w:val="39"/>
              <w:rPr>
                <w:rFonts w:cs="Times New Roman"/>
              </w:rPr>
            </w:pPr>
            <w:r>
              <w:rPr>
                <w:rFonts w:hint="eastAsia"/>
              </w:rPr>
              <w:t>锅炉灰渣</w:t>
            </w:r>
          </w:p>
        </w:tc>
        <w:tc>
          <w:tcPr>
            <w:tcW w:w="1275" w:type="dxa"/>
            <w:vAlign w:val="center"/>
          </w:tcPr>
          <w:p>
            <w:pPr>
              <w:pStyle w:val="39"/>
              <w:rPr>
                <w:rFonts w:cs="Times New Roman"/>
              </w:rPr>
            </w:pPr>
            <w:r>
              <w:rPr>
                <w:rFonts w:cs="Times New Roman"/>
                <w:kern w:val="0"/>
              </w:rPr>
              <w:t>一般固废</w:t>
            </w:r>
          </w:p>
        </w:tc>
        <w:tc>
          <w:tcPr>
            <w:tcW w:w="1134" w:type="dxa"/>
            <w:vAlign w:val="center"/>
          </w:tcPr>
          <w:p>
            <w:pPr>
              <w:pStyle w:val="39"/>
              <w:rPr>
                <w:rFonts w:cs="Times New Roman"/>
              </w:rPr>
            </w:pPr>
            <w:r>
              <w:rPr>
                <w:rFonts w:hint="eastAsia" w:cs="Times New Roman"/>
              </w:rPr>
              <w:t>6.48</w:t>
            </w:r>
          </w:p>
        </w:tc>
        <w:tc>
          <w:tcPr>
            <w:tcW w:w="851" w:type="dxa"/>
            <w:vAlign w:val="center"/>
          </w:tcPr>
          <w:p>
            <w:pPr>
              <w:pStyle w:val="39"/>
              <w:rPr>
                <w:rFonts w:cs="Times New Roman"/>
              </w:rPr>
            </w:pPr>
            <w:r>
              <w:rPr>
                <w:rFonts w:hint="eastAsia" w:cs="Times New Roman"/>
              </w:rPr>
              <w:t>0</w:t>
            </w:r>
          </w:p>
        </w:tc>
        <w:tc>
          <w:tcPr>
            <w:tcW w:w="3678" w:type="dxa"/>
            <w:vAlign w:val="center"/>
          </w:tcPr>
          <w:p>
            <w:pPr>
              <w:widowControl w:val="0"/>
              <w:autoSpaceDE w:val="0"/>
              <w:autoSpaceDN w:val="0"/>
              <w:jc w:val="center"/>
              <w:rPr>
                <w:rFonts w:ascii="Times New Roman" w:hAnsi="Times New Roman" w:eastAsia="宋体" w:cs="Times New Roman"/>
              </w:rPr>
            </w:pPr>
            <w:r>
              <w:rPr>
                <w:rFonts w:hint="eastAsia" w:ascii="Times New Roman" w:hAnsi="Times New Roman" w:eastAsia="宋体"/>
              </w:rPr>
              <w:t>收集后袋装作为农肥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pStyle w:val="39"/>
              <w:rPr>
                <w:rFonts w:cs="Times New Roman"/>
              </w:rPr>
            </w:pPr>
            <w:r>
              <w:rPr>
                <w:rFonts w:cs="Times New Roman"/>
              </w:rPr>
              <w:t>5</w:t>
            </w:r>
          </w:p>
        </w:tc>
        <w:tc>
          <w:tcPr>
            <w:tcW w:w="1418" w:type="dxa"/>
            <w:vAlign w:val="center"/>
          </w:tcPr>
          <w:p>
            <w:pPr>
              <w:pStyle w:val="39"/>
              <w:rPr>
                <w:rFonts w:cs="Times New Roman"/>
              </w:rPr>
            </w:pPr>
            <w:r>
              <w:rPr>
                <w:rFonts w:hint="eastAsia"/>
              </w:rPr>
              <w:t>除尘灰</w:t>
            </w:r>
          </w:p>
        </w:tc>
        <w:tc>
          <w:tcPr>
            <w:tcW w:w="1275" w:type="dxa"/>
            <w:vAlign w:val="center"/>
          </w:tcPr>
          <w:p>
            <w:pPr>
              <w:pStyle w:val="39"/>
              <w:rPr>
                <w:rFonts w:cs="Times New Roman"/>
              </w:rPr>
            </w:pPr>
            <w:r>
              <w:rPr>
                <w:rFonts w:cs="Times New Roman"/>
                <w:kern w:val="0"/>
              </w:rPr>
              <w:t>一般固废</w:t>
            </w:r>
          </w:p>
        </w:tc>
        <w:tc>
          <w:tcPr>
            <w:tcW w:w="1134" w:type="dxa"/>
            <w:vAlign w:val="center"/>
          </w:tcPr>
          <w:p>
            <w:pPr>
              <w:pStyle w:val="39"/>
              <w:rPr>
                <w:rFonts w:cs="Times New Roman"/>
              </w:rPr>
            </w:pPr>
            <w:r>
              <w:rPr>
                <w:rFonts w:cs="Times New Roman"/>
              </w:rPr>
              <w:t>0.318</w:t>
            </w:r>
          </w:p>
        </w:tc>
        <w:tc>
          <w:tcPr>
            <w:tcW w:w="851" w:type="dxa"/>
            <w:vAlign w:val="center"/>
          </w:tcPr>
          <w:p>
            <w:pPr>
              <w:pStyle w:val="39"/>
              <w:rPr>
                <w:rFonts w:cs="Times New Roman"/>
              </w:rPr>
            </w:pPr>
            <w:r>
              <w:rPr>
                <w:rFonts w:hint="eastAsia" w:cs="Times New Roman"/>
              </w:rPr>
              <w:t>0</w:t>
            </w:r>
          </w:p>
        </w:tc>
        <w:tc>
          <w:tcPr>
            <w:tcW w:w="3678" w:type="dxa"/>
            <w:vAlign w:val="center"/>
          </w:tcPr>
          <w:p>
            <w:pPr>
              <w:pStyle w:val="39"/>
              <w:rPr>
                <w:rFonts w:cs="Times New Roman"/>
              </w:rPr>
            </w:pPr>
            <w:r>
              <w:rPr>
                <w:rFonts w:hint="eastAsia"/>
              </w:rPr>
              <w:t>收集后袋装作为农肥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pStyle w:val="39"/>
              <w:rPr>
                <w:rFonts w:cs="Times New Roman"/>
              </w:rPr>
            </w:pPr>
            <w:r>
              <w:rPr>
                <w:rFonts w:cs="Times New Roman"/>
              </w:rPr>
              <w:t>6</w:t>
            </w:r>
          </w:p>
        </w:tc>
        <w:tc>
          <w:tcPr>
            <w:tcW w:w="1418" w:type="dxa"/>
            <w:vAlign w:val="center"/>
          </w:tcPr>
          <w:p>
            <w:pPr>
              <w:pStyle w:val="39"/>
              <w:rPr>
                <w:rFonts w:cs="Times New Roman"/>
              </w:rPr>
            </w:pPr>
            <w:r>
              <w:rPr>
                <w:rFonts w:cs="Times New Roman"/>
                <w:kern w:val="0"/>
              </w:rPr>
              <w:t>废包装物料</w:t>
            </w:r>
          </w:p>
        </w:tc>
        <w:tc>
          <w:tcPr>
            <w:tcW w:w="1275" w:type="dxa"/>
            <w:vAlign w:val="center"/>
          </w:tcPr>
          <w:p>
            <w:pPr>
              <w:pStyle w:val="39"/>
              <w:rPr>
                <w:rFonts w:cs="Times New Roman"/>
              </w:rPr>
            </w:pPr>
            <w:r>
              <w:rPr>
                <w:rFonts w:cs="Times New Roman"/>
                <w:kern w:val="0"/>
              </w:rPr>
              <w:t>一般固废</w:t>
            </w:r>
          </w:p>
        </w:tc>
        <w:tc>
          <w:tcPr>
            <w:tcW w:w="1134" w:type="dxa"/>
            <w:vAlign w:val="center"/>
          </w:tcPr>
          <w:p>
            <w:pPr>
              <w:pStyle w:val="39"/>
              <w:rPr>
                <w:rFonts w:cs="Times New Roman"/>
              </w:rPr>
            </w:pPr>
            <w:r>
              <w:rPr>
                <w:rFonts w:hint="eastAsia" w:cs="Times New Roman"/>
              </w:rPr>
              <w:t>2.0</w:t>
            </w:r>
          </w:p>
        </w:tc>
        <w:tc>
          <w:tcPr>
            <w:tcW w:w="851" w:type="dxa"/>
            <w:vAlign w:val="center"/>
          </w:tcPr>
          <w:p>
            <w:pPr>
              <w:pStyle w:val="39"/>
              <w:rPr>
                <w:rFonts w:cs="Times New Roman"/>
              </w:rPr>
            </w:pPr>
            <w:r>
              <w:rPr>
                <w:rFonts w:cs="Times New Roman"/>
              </w:rPr>
              <w:t>0</w:t>
            </w:r>
          </w:p>
        </w:tc>
        <w:tc>
          <w:tcPr>
            <w:tcW w:w="3678" w:type="dxa"/>
            <w:vAlign w:val="center"/>
          </w:tcPr>
          <w:p>
            <w:pPr>
              <w:pStyle w:val="39"/>
              <w:rPr>
                <w:rFonts w:cs="Times New Roman"/>
              </w:rPr>
            </w:pPr>
            <w:r>
              <w:rPr>
                <w:rFonts w:cs="Times New Roman"/>
                <w:kern w:val="0"/>
              </w:rPr>
              <w:t>交由供应商回收处理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pStyle w:val="39"/>
              <w:rPr>
                <w:rFonts w:cs="Times New Roman"/>
              </w:rPr>
            </w:pPr>
            <w:r>
              <w:rPr>
                <w:rFonts w:cs="Times New Roman"/>
              </w:rPr>
              <w:t>7</w:t>
            </w:r>
          </w:p>
        </w:tc>
        <w:tc>
          <w:tcPr>
            <w:tcW w:w="1418" w:type="dxa"/>
            <w:vAlign w:val="center"/>
          </w:tcPr>
          <w:p>
            <w:pPr>
              <w:pStyle w:val="39"/>
              <w:rPr>
                <w:rFonts w:cs="Times New Roman"/>
              </w:rPr>
            </w:pPr>
            <w:r>
              <w:rPr>
                <w:rFonts w:cs="Times New Roman"/>
                <w:kern w:val="0"/>
              </w:rPr>
              <w:t>医疗垃圾</w:t>
            </w:r>
          </w:p>
        </w:tc>
        <w:tc>
          <w:tcPr>
            <w:tcW w:w="1275" w:type="dxa"/>
            <w:vAlign w:val="center"/>
          </w:tcPr>
          <w:p>
            <w:pPr>
              <w:pStyle w:val="39"/>
              <w:rPr>
                <w:rFonts w:cs="Times New Roman"/>
              </w:rPr>
            </w:pPr>
            <w:r>
              <w:rPr>
                <w:rFonts w:cs="Times New Roman"/>
                <w:kern w:val="0"/>
              </w:rPr>
              <w:t>危险废物</w:t>
            </w:r>
          </w:p>
        </w:tc>
        <w:tc>
          <w:tcPr>
            <w:tcW w:w="1134" w:type="dxa"/>
            <w:vAlign w:val="center"/>
          </w:tcPr>
          <w:p>
            <w:pPr>
              <w:pStyle w:val="39"/>
              <w:rPr>
                <w:rFonts w:cs="Times New Roman"/>
              </w:rPr>
            </w:pPr>
            <w:r>
              <w:rPr>
                <w:rFonts w:hint="eastAsia" w:cs="Times New Roman"/>
              </w:rPr>
              <w:t>0.5</w:t>
            </w:r>
          </w:p>
        </w:tc>
        <w:tc>
          <w:tcPr>
            <w:tcW w:w="851" w:type="dxa"/>
            <w:vAlign w:val="center"/>
          </w:tcPr>
          <w:p>
            <w:pPr>
              <w:pStyle w:val="39"/>
              <w:rPr>
                <w:rFonts w:cs="Times New Roman"/>
              </w:rPr>
            </w:pPr>
            <w:r>
              <w:rPr>
                <w:rFonts w:cs="Times New Roman"/>
              </w:rPr>
              <w:t>0</w:t>
            </w:r>
          </w:p>
        </w:tc>
        <w:tc>
          <w:tcPr>
            <w:tcW w:w="3678" w:type="dxa"/>
            <w:vAlign w:val="center"/>
          </w:tcPr>
          <w:p>
            <w:pPr>
              <w:pStyle w:val="39"/>
              <w:rPr>
                <w:rFonts w:cs="Times New Roman"/>
              </w:rPr>
            </w:pPr>
            <w:r>
              <w:rPr>
                <w:rFonts w:cs="Times New Roman"/>
                <w:kern w:val="0"/>
              </w:rPr>
              <w:t>交由有资质单位处置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pStyle w:val="39"/>
              <w:rPr>
                <w:rFonts w:cs="Times New Roman"/>
              </w:rPr>
            </w:pPr>
            <w:r>
              <w:rPr>
                <w:rFonts w:cs="Times New Roman"/>
              </w:rPr>
              <w:t>8</w:t>
            </w:r>
          </w:p>
        </w:tc>
        <w:tc>
          <w:tcPr>
            <w:tcW w:w="1418" w:type="dxa"/>
            <w:vAlign w:val="center"/>
          </w:tcPr>
          <w:p>
            <w:pPr>
              <w:pStyle w:val="39"/>
              <w:rPr>
                <w:rFonts w:cs="Times New Roman"/>
              </w:rPr>
            </w:pPr>
            <w:r>
              <w:rPr>
                <w:rFonts w:cs="Times New Roman"/>
                <w:kern w:val="0"/>
              </w:rPr>
              <w:t>生活垃圾</w:t>
            </w:r>
          </w:p>
        </w:tc>
        <w:tc>
          <w:tcPr>
            <w:tcW w:w="1275" w:type="dxa"/>
            <w:vAlign w:val="center"/>
          </w:tcPr>
          <w:p>
            <w:pPr>
              <w:pStyle w:val="39"/>
              <w:rPr>
                <w:rFonts w:cs="Times New Roman"/>
              </w:rPr>
            </w:pPr>
            <w:r>
              <w:rPr>
                <w:rFonts w:cs="Times New Roman"/>
              </w:rPr>
              <w:t>生活垃圾</w:t>
            </w:r>
          </w:p>
        </w:tc>
        <w:tc>
          <w:tcPr>
            <w:tcW w:w="1134" w:type="dxa"/>
            <w:vAlign w:val="center"/>
          </w:tcPr>
          <w:p>
            <w:pPr>
              <w:pStyle w:val="39"/>
              <w:rPr>
                <w:rFonts w:cs="Times New Roman"/>
              </w:rPr>
            </w:pPr>
            <w:r>
              <w:rPr>
                <w:rFonts w:hint="eastAsia" w:cs="Times New Roman"/>
              </w:rPr>
              <w:t>18.25</w:t>
            </w:r>
          </w:p>
        </w:tc>
        <w:tc>
          <w:tcPr>
            <w:tcW w:w="851" w:type="dxa"/>
            <w:vAlign w:val="center"/>
          </w:tcPr>
          <w:p>
            <w:pPr>
              <w:pStyle w:val="39"/>
              <w:rPr>
                <w:rFonts w:cs="Times New Roman"/>
              </w:rPr>
            </w:pPr>
            <w:r>
              <w:rPr>
                <w:rFonts w:cs="Times New Roman"/>
              </w:rPr>
              <w:t>0</w:t>
            </w:r>
          </w:p>
        </w:tc>
        <w:tc>
          <w:tcPr>
            <w:tcW w:w="3678" w:type="dxa"/>
            <w:vAlign w:val="center"/>
          </w:tcPr>
          <w:p>
            <w:pPr>
              <w:pStyle w:val="39"/>
              <w:rPr>
                <w:rFonts w:cs="Times New Roman"/>
              </w:rPr>
            </w:pPr>
            <w:r>
              <w:rPr>
                <w:rFonts w:cs="Times New Roman"/>
                <w:kern w:val="0"/>
              </w:rPr>
              <w:t>由环卫部门统一处理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10" w:type="dxa"/>
            <w:gridSpan w:val="3"/>
            <w:vAlign w:val="center"/>
          </w:tcPr>
          <w:p>
            <w:pPr>
              <w:pStyle w:val="39"/>
              <w:rPr>
                <w:rFonts w:cs="Times New Roman"/>
              </w:rPr>
            </w:pPr>
            <w:r>
              <w:rPr>
                <w:rFonts w:cs="Times New Roman"/>
              </w:rPr>
              <w:t>合计</w:t>
            </w:r>
          </w:p>
        </w:tc>
        <w:tc>
          <w:tcPr>
            <w:tcW w:w="1134" w:type="dxa"/>
            <w:vAlign w:val="center"/>
          </w:tcPr>
          <w:p>
            <w:pPr>
              <w:pStyle w:val="39"/>
              <w:rPr>
                <w:rFonts w:cs="Times New Roman"/>
              </w:rPr>
            </w:pPr>
            <w:r>
              <w:rPr>
                <w:rFonts w:cs="Times New Roman"/>
              </w:rPr>
              <w:t>30872.6</w:t>
            </w:r>
          </w:p>
        </w:tc>
        <w:tc>
          <w:tcPr>
            <w:tcW w:w="851" w:type="dxa"/>
            <w:vAlign w:val="center"/>
          </w:tcPr>
          <w:p>
            <w:pPr>
              <w:pStyle w:val="39"/>
              <w:rPr>
                <w:rFonts w:cs="Times New Roman"/>
              </w:rPr>
            </w:pPr>
            <w:r>
              <w:rPr>
                <w:rFonts w:cs="Times New Roman"/>
              </w:rPr>
              <w:t>0</w:t>
            </w:r>
          </w:p>
        </w:tc>
        <w:tc>
          <w:tcPr>
            <w:tcW w:w="3678" w:type="dxa"/>
            <w:vAlign w:val="center"/>
          </w:tcPr>
          <w:p>
            <w:pPr>
              <w:pStyle w:val="39"/>
              <w:rPr>
                <w:rFonts w:cs="Times New Roman"/>
              </w:rPr>
            </w:pPr>
          </w:p>
        </w:tc>
      </w:tr>
    </w:tbl>
    <w:p>
      <w:pPr>
        <w:pStyle w:val="3"/>
        <w:ind w:firstLine="480"/>
        <w:rPr>
          <w:rFonts w:cs="Times New Roman"/>
        </w:rPr>
      </w:pPr>
    </w:p>
    <w:p>
      <w:pPr>
        <w:pStyle w:val="3"/>
        <w:ind w:firstLine="480"/>
        <w:rPr>
          <w:rFonts w:cs="Times New Roman"/>
        </w:rPr>
      </w:pPr>
    </w:p>
    <w:p>
      <w:pPr>
        <w:pStyle w:val="3"/>
        <w:ind w:firstLine="480"/>
        <w:rPr>
          <w:rFonts w:cs="Times New Roman"/>
        </w:rPr>
      </w:pPr>
    </w:p>
    <w:p>
      <w:pPr>
        <w:pStyle w:val="15"/>
        <w:rPr>
          <w:rFonts w:cs="Times New Roman"/>
        </w:rPr>
      </w:pPr>
      <w:r>
        <w:rPr>
          <w:rFonts w:cs="Times New Roman"/>
        </w:rPr>
        <w:t>表3.2-1</w:t>
      </w:r>
      <w:r>
        <w:rPr>
          <w:rFonts w:hint="eastAsia" w:cs="Times New Roman"/>
        </w:rPr>
        <w:t>6</w:t>
      </w:r>
      <w:r>
        <w:rPr>
          <w:rFonts w:cs="Times New Roman"/>
        </w:rPr>
        <w:t xml:space="preserve">  危险废物汇总情况表</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0"/>
        <w:gridCol w:w="819"/>
        <w:gridCol w:w="1406"/>
        <w:gridCol w:w="788"/>
        <w:gridCol w:w="787"/>
        <w:gridCol w:w="667"/>
        <w:gridCol w:w="818"/>
        <w:gridCol w:w="667"/>
        <w:gridCol w:w="682"/>
        <w:gridCol w:w="667"/>
        <w:gridCol w:w="1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85" w:type="dxa"/>
            <w:vAlign w:val="center"/>
          </w:tcPr>
          <w:p>
            <w:pPr>
              <w:pStyle w:val="39"/>
              <w:rPr>
                <w:rFonts w:cs="Times New Roman"/>
              </w:rPr>
            </w:pPr>
            <w:r>
              <w:rPr>
                <w:rFonts w:cs="Times New Roman"/>
              </w:rPr>
              <w:t>危险废物名称</w:t>
            </w:r>
          </w:p>
        </w:tc>
        <w:tc>
          <w:tcPr>
            <w:tcW w:w="826" w:type="dxa"/>
            <w:vAlign w:val="center"/>
          </w:tcPr>
          <w:p>
            <w:pPr>
              <w:pStyle w:val="39"/>
              <w:rPr>
                <w:rFonts w:cs="Times New Roman"/>
              </w:rPr>
            </w:pPr>
            <w:r>
              <w:rPr>
                <w:rFonts w:cs="Times New Roman"/>
              </w:rPr>
              <w:t>危险废物类别</w:t>
            </w:r>
          </w:p>
        </w:tc>
        <w:tc>
          <w:tcPr>
            <w:tcW w:w="916" w:type="dxa"/>
            <w:vAlign w:val="center"/>
          </w:tcPr>
          <w:p>
            <w:pPr>
              <w:pStyle w:val="39"/>
              <w:rPr>
                <w:rFonts w:cs="Times New Roman"/>
              </w:rPr>
            </w:pPr>
            <w:r>
              <w:rPr>
                <w:rFonts w:cs="Times New Roman"/>
              </w:rPr>
              <w:t>危险废物代码</w:t>
            </w:r>
          </w:p>
        </w:tc>
        <w:tc>
          <w:tcPr>
            <w:tcW w:w="842" w:type="dxa"/>
            <w:vAlign w:val="center"/>
          </w:tcPr>
          <w:p>
            <w:pPr>
              <w:pStyle w:val="39"/>
              <w:rPr>
                <w:rFonts w:cs="Times New Roman"/>
              </w:rPr>
            </w:pPr>
            <w:r>
              <w:rPr>
                <w:rFonts w:cs="Times New Roman"/>
              </w:rPr>
              <w:t>产生量</w:t>
            </w:r>
          </w:p>
        </w:tc>
        <w:tc>
          <w:tcPr>
            <w:tcW w:w="850" w:type="dxa"/>
            <w:vAlign w:val="center"/>
          </w:tcPr>
          <w:p>
            <w:pPr>
              <w:pStyle w:val="39"/>
              <w:rPr>
                <w:rFonts w:cs="Times New Roman"/>
              </w:rPr>
            </w:pPr>
            <w:r>
              <w:rPr>
                <w:rFonts w:cs="Times New Roman"/>
              </w:rPr>
              <w:t>产生工序及装置</w:t>
            </w:r>
          </w:p>
        </w:tc>
        <w:tc>
          <w:tcPr>
            <w:tcW w:w="709" w:type="dxa"/>
            <w:vAlign w:val="center"/>
          </w:tcPr>
          <w:p>
            <w:pPr>
              <w:pStyle w:val="39"/>
              <w:rPr>
                <w:rFonts w:cs="Times New Roman"/>
              </w:rPr>
            </w:pPr>
            <w:r>
              <w:rPr>
                <w:rFonts w:cs="Times New Roman"/>
              </w:rPr>
              <w:t>形态</w:t>
            </w:r>
          </w:p>
        </w:tc>
        <w:tc>
          <w:tcPr>
            <w:tcW w:w="850" w:type="dxa"/>
            <w:vAlign w:val="center"/>
          </w:tcPr>
          <w:p>
            <w:pPr>
              <w:pStyle w:val="39"/>
              <w:rPr>
                <w:rFonts w:cs="Times New Roman"/>
              </w:rPr>
            </w:pPr>
            <w:r>
              <w:rPr>
                <w:rFonts w:cs="Times New Roman"/>
              </w:rPr>
              <w:t>主要</w:t>
            </w:r>
          </w:p>
          <w:p>
            <w:pPr>
              <w:pStyle w:val="39"/>
              <w:rPr>
                <w:rFonts w:cs="Times New Roman"/>
              </w:rPr>
            </w:pPr>
            <w:r>
              <w:rPr>
                <w:rFonts w:cs="Times New Roman"/>
              </w:rPr>
              <w:t>成分</w:t>
            </w:r>
          </w:p>
        </w:tc>
        <w:tc>
          <w:tcPr>
            <w:tcW w:w="709" w:type="dxa"/>
            <w:vAlign w:val="center"/>
          </w:tcPr>
          <w:p>
            <w:pPr>
              <w:pStyle w:val="39"/>
              <w:rPr>
                <w:rFonts w:cs="Times New Roman"/>
              </w:rPr>
            </w:pPr>
            <w:r>
              <w:rPr>
                <w:rFonts w:cs="Times New Roman"/>
              </w:rPr>
              <w:t>有害成分</w:t>
            </w:r>
          </w:p>
        </w:tc>
        <w:tc>
          <w:tcPr>
            <w:tcW w:w="709" w:type="dxa"/>
            <w:vAlign w:val="center"/>
          </w:tcPr>
          <w:p>
            <w:pPr>
              <w:pStyle w:val="39"/>
              <w:rPr>
                <w:rFonts w:cs="Times New Roman"/>
              </w:rPr>
            </w:pPr>
            <w:r>
              <w:rPr>
                <w:rFonts w:cs="Times New Roman"/>
              </w:rPr>
              <w:t>产生周期</w:t>
            </w:r>
          </w:p>
        </w:tc>
        <w:tc>
          <w:tcPr>
            <w:tcW w:w="709" w:type="dxa"/>
            <w:vAlign w:val="center"/>
          </w:tcPr>
          <w:p>
            <w:pPr>
              <w:pStyle w:val="39"/>
              <w:rPr>
                <w:rFonts w:cs="Times New Roman"/>
              </w:rPr>
            </w:pPr>
            <w:r>
              <w:rPr>
                <w:rFonts w:cs="Times New Roman"/>
              </w:rPr>
              <w:t>危险特性</w:t>
            </w:r>
          </w:p>
        </w:tc>
        <w:tc>
          <w:tcPr>
            <w:tcW w:w="1268" w:type="dxa"/>
            <w:vAlign w:val="center"/>
          </w:tcPr>
          <w:p>
            <w:pPr>
              <w:pStyle w:val="39"/>
              <w:rPr>
                <w:rFonts w:cs="Times New Roman"/>
              </w:rPr>
            </w:pPr>
            <w:r>
              <w:rPr>
                <w:rFonts w:cs="Times New Roman"/>
              </w:rPr>
              <w:t>防治措施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85" w:type="dxa"/>
            <w:vAlign w:val="center"/>
          </w:tcPr>
          <w:p>
            <w:pPr>
              <w:pStyle w:val="39"/>
              <w:rPr>
                <w:rFonts w:cs="Times New Roman"/>
              </w:rPr>
            </w:pPr>
            <w:r>
              <w:rPr>
                <w:rFonts w:cs="Times New Roman"/>
              </w:rPr>
              <w:t>医疗垃圾</w:t>
            </w:r>
          </w:p>
        </w:tc>
        <w:tc>
          <w:tcPr>
            <w:tcW w:w="826" w:type="dxa"/>
            <w:vAlign w:val="center"/>
          </w:tcPr>
          <w:p>
            <w:pPr>
              <w:pStyle w:val="39"/>
              <w:rPr>
                <w:rFonts w:cs="Times New Roman"/>
              </w:rPr>
            </w:pPr>
            <w:r>
              <w:rPr>
                <w:rFonts w:cs="Times New Roman"/>
              </w:rPr>
              <w:t>HW01</w:t>
            </w:r>
          </w:p>
          <w:p>
            <w:pPr>
              <w:pStyle w:val="39"/>
              <w:rPr>
                <w:rFonts w:cs="Times New Roman"/>
              </w:rPr>
            </w:pPr>
            <w:r>
              <w:rPr>
                <w:rFonts w:cs="Times New Roman"/>
              </w:rPr>
              <w:t>医疗废物</w:t>
            </w:r>
          </w:p>
        </w:tc>
        <w:tc>
          <w:tcPr>
            <w:tcW w:w="916" w:type="dxa"/>
            <w:vAlign w:val="center"/>
          </w:tcPr>
          <w:p>
            <w:pPr>
              <w:pStyle w:val="39"/>
              <w:rPr>
                <w:rFonts w:cs="Times New Roman"/>
              </w:rPr>
            </w:pPr>
            <w:r>
              <w:rPr>
                <w:rFonts w:hint="eastAsia"/>
              </w:rPr>
              <w:t>841-002-01、841-005-01</w:t>
            </w:r>
          </w:p>
        </w:tc>
        <w:tc>
          <w:tcPr>
            <w:tcW w:w="842" w:type="dxa"/>
            <w:vAlign w:val="center"/>
          </w:tcPr>
          <w:p>
            <w:pPr>
              <w:pStyle w:val="39"/>
              <w:rPr>
                <w:rFonts w:eastAsia="TimesNewRomanPSMT" w:cs="Times New Roman"/>
                <w:kern w:val="0"/>
              </w:rPr>
            </w:pPr>
            <w:r>
              <w:rPr>
                <w:rFonts w:eastAsia="TimesNewRomanPSMT" w:cs="Times New Roman"/>
                <w:kern w:val="0"/>
              </w:rPr>
              <w:t>0.</w:t>
            </w:r>
            <w:r>
              <w:rPr>
                <w:rFonts w:hint="eastAsia" w:eastAsia="TimesNewRomanPSMT" w:cs="Times New Roman"/>
                <w:kern w:val="0"/>
              </w:rPr>
              <w:t>5</w:t>
            </w:r>
          </w:p>
          <w:p>
            <w:pPr>
              <w:pStyle w:val="39"/>
              <w:rPr>
                <w:rFonts w:cs="Times New Roman"/>
              </w:rPr>
            </w:pPr>
            <w:r>
              <w:rPr>
                <w:rFonts w:eastAsia="TimesNewRomanPSMT" w:cs="Times New Roman"/>
                <w:kern w:val="0"/>
              </w:rPr>
              <w:t>t/a</w:t>
            </w:r>
          </w:p>
        </w:tc>
        <w:tc>
          <w:tcPr>
            <w:tcW w:w="850" w:type="dxa"/>
            <w:vAlign w:val="center"/>
          </w:tcPr>
          <w:p>
            <w:pPr>
              <w:widowControl w:val="0"/>
              <w:autoSpaceDE w:val="0"/>
              <w:autoSpaceDN w:val="0"/>
              <w:snapToGrid/>
              <w:jc w:val="left"/>
              <w:rPr>
                <w:rFonts w:ascii="Times New Roman" w:hAnsi="Times New Roman" w:eastAsia="宋体" w:cs="Times New Roman"/>
              </w:rPr>
            </w:pPr>
            <w:r>
              <w:rPr>
                <w:rFonts w:ascii="Times New Roman" w:hAnsi="Times New Roman" w:eastAsia="宋体" w:cs="Times New Roman"/>
                <w:kern w:val="0"/>
              </w:rPr>
              <w:t>防疫和消毒</w:t>
            </w:r>
          </w:p>
        </w:tc>
        <w:tc>
          <w:tcPr>
            <w:tcW w:w="709" w:type="dxa"/>
            <w:vAlign w:val="center"/>
          </w:tcPr>
          <w:p>
            <w:pPr>
              <w:widowControl w:val="0"/>
              <w:autoSpaceDE w:val="0"/>
              <w:autoSpaceDN w:val="0"/>
              <w:snapToGrid/>
              <w:jc w:val="left"/>
              <w:rPr>
                <w:rFonts w:ascii="Times New Roman" w:hAnsi="Times New Roman" w:eastAsia="宋体" w:cs="Times New Roman"/>
              </w:rPr>
            </w:pPr>
            <w:r>
              <w:rPr>
                <w:rFonts w:ascii="Times New Roman" w:hAnsi="Times New Roman" w:eastAsia="宋体" w:cs="Times New Roman"/>
                <w:kern w:val="0"/>
              </w:rPr>
              <w:t>固体</w:t>
            </w:r>
          </w:p>
        </w:tc>
        <w:tc>
          <w:tcPr>
            <w:tcW w:w="850" w:type="dxa"/>
            <w:vAlign w:val="center"/>
          </w:tcPr>
          <w:p>
            <w:pPr>
              <w:pStyle w:val="39"/>
              <w:rPr>
                <w:rFonts w:cs="Times New Roman"/>
              </w:rPr>
            </w:pPr>
            <w:r>
              <w:rPr>
                <w:rFonts w:cs="Times New Roman"/>
              </w:rPr>
              <w:t>瓶子、注射器等</w:t>
            </w:r>
          </w:p>
        </w:tc>
        <w:tc>
          <w:tcPr>
            <w:tcW w:w="709" w:type="dxa"/>
            <w:vAlign w:val="center"/>
          </w:tcPr>
          <w:p>
            <w:pPr>
              <w:pStyle w:val="39"/>
              <w:rPr>
                <w:rFonts w:cs="Times New Roman"/>
              </w:rPr>
            </w:pPr>
            <w:r>
              <w:rPr>
                <w:rFonts w:cs="Times New Roman"/>
                <w:kern w:val="0"/>
              </w:rPr>
              <w:t>传染病</w:t>
            </w:r>
          </w:p>
        </w:tc>
        <w:tc>
          <w:tcPr>
            <w:tcW w:w="709" w:type="dxa"/>
            <w:vAlign w:val="center"/>
          </w:tcPr>
          <w:p>
            <w:pPr>
              <w:pStyle w:val="39"/>
              <w:rPr>
                <w:rFonts w:cs="Times New Roman"/>
              </w:rPr>
            </w:pPr>
            <w:r>
              <w:rPr>
                <w:rFonts w:eastAsia="TimesNewRomanPSMT" w:cs="Times New Roman"/>
                <w:kern w:val="0"/>
              </w:rPr>
              <w:t>30d</w:t>
            </w:r>
          </w:p>
        </w:tc>
        <w:tc>
          <w:tcPr>
            <w:tcW w:w="709" w:type="dxa"/>
            <w:vAlign w:val="center"/>
          </w:tcPr>
          <w:p>
            <w:pPr>
              <w:pStyle w:val="39"/>
              <w:rPr>
                <w:rFonts w:cs="Times New Roman"/>
              </w:rPr>
            </w:pPr>
            <w:r>
              <w:rPr>
                <w:rFonts w:eastAsia="TimesNewRomanPSMT" w:cs="Times New Roman"/>
                <w:kern w:val="0"/>
              </w:rPr>
              <w:t>In</w:t>
            </w:r>
          </w:p>
        </w:tc>
        <w:tc>
          <w:tcPr>
            <w:tcW w:w="1268" w:type="dxa"/>
            <w:vAlign w:val="center"/>
          </w:tcPr>
          <w:p>
            <w:pPr>
              <w:widowControl w:val="0"/>
              <w:autoSpaceDE w:val="0"/>
              <w:autoSpaceDN w:val="0"/>
              <w:snapToGrid/>
              <w:jc w:val="left"/>
              <w:rPr>
                <w:rFonts w:ascii="Times New Roman" w:hAnsi="Times New Roman" w:eastAsia="宋体" w:cs="Times New Roman"/>
              </w:rPr>
            </w:pPr>
            <w:r>
              <w:rPr>
                <w:rFonts w:ascii="Times New Roman" w:hAnsi="Times New Roman" w:eastAsia="宋体" w:cs="Times New Roman"/>
                <w:kern w:val="0"/>
              </w:rPr>
              <w:t>委托有资质单位处理</w:t>
            </w:r>
          </w:p>
        </w:tc>
      </w:tr>
    </w:tbl>
    <w:p>
      <w:pPr>
        <w:pStyle w:val="3"/>
        <w:ind w:firstLine="480"/>
      </w:pPr>
    </w:p>
    <w:p>
      <w:pPr>
        <w:pStyle w:val="7"/>
        <w:rPr>
          <w:rFonts w:cs="Times New Roman"/>
        </w:rPr>
      </w:pPr>
      <w:r>
        <w:rPr>
          <w:rFonts w:cs="Times New Roman"/>
        </w:rPr>
        <w:t>污染源分析汇总</w:t>
      </w:r>
    </w:p>
    <w:p>
      <w:pPr>
        <w:pStyle w:val="3"/>
        <w:ind w:firstLine="480"/>
        <w:rPr>
          <w:rFonts w:cs="Times New Roman"/>
        </w:rPr>
      </w:pPr>
      <w:r>
        <w:rPr>
          <w:rFonts w:cs="Times New Roman"/>
        </w:rPr>
        <w:t>本项目污染源的汇总见</w:t>
      </w:r>
      <w:r>
        <w:rPr>
          <w:rFonts w:eastAsia="TimesNewRomanPSMT" w:cs="Times New Roman"/>
        </w:rPr>
        <w:t>3.2-20</w:t>
      </w:r>
      <w:r>
        <w:rPr>
          <w:rFonts w:cs="Times New Roman"/>
        </w:rPr>
        <w:t>。</w:t>
      </w:r>
    </w:p>
    <w:p>
      <w:pPr>
        <w:pStyle w:val="15"/>
        <w:rPr>
          <w:rFonts w:cs="Times New Roman"/>
        </w:rPr>
      </w:pPr>
      <w:r>
        <w:rPr>
          <w:rFonts w:cs="Times New Roman"/>
        </w:rPr>
        <w:t>表3.2-20   本项目污染源汇总</w:t>
      </w:r>
      <w:r>
        <w:rPr>
          <w:rFonts w:hint="eastAsia" w:cs="Times New Roman"/>
        </w:rPr>
        <w:t xml:space="preserve"> </w:t>
      </w:r>
      <w:r>
        <w:rPr>
          <w:rFonts w:cs="Times New Roman"/>
        </w:rPr>
        <w:t xml:space="preserve">  </w:t>
      </w:r>
      <w:r>
        <w:rPr>
          <w:rFonts w:hint="eastAsia" w:cs="Times New Roman"/>
        </w:rPr>
        <w:t>单位</w:t>
      </w:r>
      <w:r>
        <w:rPr>
          <w:rFonts w:cs="Times New Roman"/>
        </w:rPr>
        <w:t>：t/a</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1375"/>
        <w:gridCol w:w="1271"/>
        <w:gridCol w:w="1132"/>
        <w:gridCol w:w="1148"/>
        <w:gridCol w:w="3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02" w:type="dxa"/>
            <w:gridSpan w:val="2"/>
            <w:vAlign w:val="center"/>
          </w:tcPr>
          <w:p>
            <w:pPr>
              <w:pStyle w:val="39"/>
              <w:rPr>
                <w:rFonts w:cs="Times New Roman"/>
              </w:rPr>
            </w:pPr>
            <w:r>
              <w:rPr>
                <w:rFonts w:cs="Times New Roman"/>
              </w:rPr>
              <w:t>污染源</w:t>
            </w:r>
          </w:p>
        </w:tc>
        <w:tc>
          <w:tcPr>
            <w:tcW w:w="1271" w:type="dxa"/>
            <w:vAlign w:val="center"/>
          </w:tcPr>
          <w:p>
            <w:pPr>
              <w:pStyle w:val="39"/>
              <w:rPr>
                <w:rFonts w:cs="Times New Roman"/>
              </w:rPr>
            </w:pPr>
            <w:r>
              <w:rPr>
                <w:rFonts w:cs="Times New Roman"/>
              </w:rPr>
              <w:t>污染物</w:t>
            </w:r>
          </w:p>
        </w:tc>
        <w:tc>
          <w:tcPr>
            <w:tcW w:w="1132" w:type="dxa"/>
            <w:vAlign w:val="center"/>
          </w:tcPr>
          <w:p>
            <w:pPr>
              <w:pStyle w:val="39"/>
              <w:rPr>
                <w:rFonts w:cs="Times New Roman"/>
              </w:rPr>
            </w:pPr>
            <w:r>
              <w:rPr>
                <w:rFonts w:cs="Times New Roman"/>
              </w:rPr>
              <w:t>产生量</w:t>
            </w:r>
          </w:p>
        </w:tc>
        <w:tc>
          <w:tcPr>
            <w:tcW w:w="1148" w:type="dxa"/>
            <w:vAlign w:val="center"/>
          </w:tcPr>
          <w:p>
            <w:pPr>
              <w:pStyle w:val="39"/>
              <w:rPr>
                <w:rFonts w:cs="Times New Roman"/>
              </w:rPr>
            </w:pPr>
            <w:r>
              <w:rPr>
                <w:rFonts w:cs="Times New Roman"/>
              </w:rPr>
              <w:t>外排量</w:t>
            </w:r>
          </w:p>
        </w:tc>
        <w:tc>
          <w:tcPr>
            <w:tcW w:w="3820" w:type="dxa"/>
            <w:vAlign w:val="center"/>
          </w:tcPr>
          <w:p>
            <w:pPr>
              <w:pStyle w:val="39"/>
              <w:rPr>
                <w:rFonts w:cs="Times New Roman"/>
              </w:rPr>
            </w:pPr>
            <w:r>
              <w:rPr>
                <w:rFonts w:cs="Times New Roman"/>
              </w:rPr>
              <w:t>处理及排放方式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7" w:type="dxa"/>
            <w:vMerge w:val="restart"/>
            <w:vAlign w:val="center"/>
          </w:tcPr>
          <w:p>
            <w:pPr>
              <w:pStyle w:val="39"/>
              <w:rPr>
                <w:rFonts w:cs="Times New Roman"/>
              </w:rPr>
            </w:pPr>
            <w:r>
              <w:rPr>
                <w:rFonts w:cs="Times New Roman"/>
              </w:rPr>
              <w:t>废水</w:t>
            </w:r>
          </w:p>
        </w:tc>
        <w:tc>
          <w:tcPr>
            <w:tcW w:w="1375" w:type="dxa"/>
            <w:vMerge w:val="restart"/>
            <w:vAlign w:val="center"/>
          </w:tcPr>
          <w:p>
            <w:pPr>
              <w:widowControl w:val="0"/>
              <w:autoSpaceDE w:val="0"/>
              <w:autoSpaceDN w:val="0"/>
              <w:snapToGrid/>
              <w:jc w:val="left"/>
              <w:rPr>
                <w:rFonts w:ascii="Times New Roman" w:hAnsi="Times New Roman" w:eastAsia="宋体" w:cs="Times New Roman"/>
              </w:rPr>
            </w:pPr>
            <w:r>
              <w:rPr>
                <w:rFonts w:hint="eastAsia" w:ascii="Times New Roman" w:hAnsi="Times New Roman" w:eastAsia="宋体" w:cs="Times New Roman"/>
              </w:rPr>
              <w:t>鸡舍</w:t>
            </w:r>
            <w:r>
              <w:rPr>
                <w:rFonts w:ascii="Times New Roman" w:hAnsi="Times New Roman" w:eastAsia="宋体" w:cs="Times New Roman"/>
              </w:rPr>
              <w:t>冲洗水及</w:t>
            </w:r>
            <w:r>
              <w:rPr>
                <w:rFonts w:hint="eastAsia" w:ascii="Times New Roman" w:hAnsi="Times New Roman" w:eastAsia="宋体" w:cs="Times New Roman"/>
              </w:rPr>
              <w:t>生活</w:t>
            </w:r>
            <w:r>
              <w:rPr>
                <w:rFonts w:ascii="Times New Roman" w:hAnsi="Times New Roman" w:eastAsia="宋体" w:cs="Times New Roman"/>
              </w:rPr>
              <w:t>污水</w:t>
            </w:r>
          </w:p>
        </w:tc>
        <w:tc>
          <w:tcPr>
            <w:tcW w:w="1271" w:type="dxa"/>
            <w:vAlign w:val="center"/>
          </w:tcPr>
          <w:p>
            <w:pPr>
              <w:pStyle w:val="39"/>
              <w:rPr>
                <w:rFonts w:cs="Times New Roman"/>
              </w:rPr>
            </w:pPr>
            <w:r>
              <w:rPr>
                <w:rFonts w:cs="Times New Roman"/>
              </w:rPr>
              <w:t>废水量</w:t>
            </w:r>
          </w:p>
        </w:tc>
        <w:tc>
          <w:tcPr>
            <w:tcW w:w="1132" w:type="dxa"/>
            <w:vAlign w:val="center"/>
          </w:tcPr>
          <w:p>
            <w:pPr>
              <w:pStyle w:val="39"/>
              <w:rPr>
                <w:rFonts w:cs="Times New Roman"/>
                <w:b/>
              </w:rPr>
            </w:pPr>
            <w:r>
              <w:rPr>
                <w:rFonts w:cs="Times New Roman"/>
              </w:rPr>
              <w:t>2010.22</w:t>
            </w:r>
          </w:p>
        </w:tc>
        <w:tc>
          <w:tcPr>
            <w:tcW w:w="1148" w:type="dxa"/>
            <w:vAlign w:val="center"/>
          </w:tcPr>
          <w:p>
            <w:pPr>
              <w:jc w:val="center"/>
              <w:rPr>
                <w:rFonts w:ascii="Times New Roman" w:hAnsi="Times New Roman" w:eastAsia="等线" w:cs="Times New Roman"/>
              </w:rPr>
            </w:pPr>
            <w:r>
              <w:rPr>
                <w:rFonts w:ascii="Times New Roman" w:hAnsi="Times New Roman" w:eastAsia="等线" w:cs="Times New Roman"/>
              </w:rPr>
              <w:t>0</w:t>
            </w:r>
          </w:p>
        </w:tc>
        <w:tc>
          <w:tcPr>
            <w:tcW w:w="3820" w:type="dxa"/>
            <w:vMerge w:val="restart"/>
            <w:vAlign w:val="center"/>
          </w:tcPr>
          <w:p>
            <w:pPr>
              <w:jc w:val="center"/>
              <w:rPr>
                <w:rFonts w:ascii="Times New Roman" w:hAnsi="Times New Roman" w:eastAsia="等线" w:cs="Times New Roman"/>
              </w:rPr>
            </w:pPr>
            <w:r>
              <w:rPr>
                <w:rFonts w:ascii="Times New Roman" w:hAnsi="Times New Roman" w:eastAsia="宋体" w:cs="Times New Roman"/>
              </w:rPr>
              <w:t>生活污水经化粪池</w:t>
            </w:r>
            <w:r>
              <w:rPr>
                <w:rFonts w:hint="eastAsia" w:ascii="Times New Roman" w:hAnsi="Times New Roman" w:eastAsia="宋体" w:cs="Times New Roman"/>
              </w:rPr>
              <w:t>处理后</w:t>
            </w:r>
            <w:r>
              <w:rPr>
                <w:rFonts w:ascii="Times New Roman" w:hAnsi="Times New Roman" w:eastAsia="宋体" w:cs="Times New Roman"/>
              </w:rPr>
              <w:t>用作农肥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7" w:type="dxa"/>
            <w:vMerge w:val="continue"/>
            <w:vAlign w:val="center"/>
          </w:tcPr>
          <w:p>
            <w:pPr>
              <w:pStyle w:val="39"/>
              <w:rPr>
                <w:rFonts w:cs="Times New Roman"/>
              </w:rPr>
            </w:pPr>
          </w:p>
        </w:tc>
        <w:tc>
          <w:tcPr>
            <w:tcW w:w="1375" w:type="dxa"/>
            <w:vMerge w:val="continue"/>
            <w:vAlign w:val="center"/>
          </w:tcPr>
          <w:p>
            <w:pPr>
              <w:pStyle w:val="39"/>
              <w:rPr>
                <w:rFonts w:cs="Times New Roman"/>
              </w:rPr>
            </w:pPr>
          </w:p>
        </w:tc>
        <w:tc>
          <w:tcPr>
            <w:tcW w:w="1271" w:type="dxa"/>
            <w:vAlign w:val="center"/>
          </w:tcPr>
          <w:p>
            <w:pPr>
              <w:pStyle w:val="39"/>
              <w:rPr>
                <w:rFonts w:cs="Times New Roman"/>
              </w:rPr>
            </w:pPr>
            <w:r>
              <w:rPr>
                <w:rFonts w:cs="Times New Roman"/>
              </w:rPr>
              <w:t>COD</w:t>
            </w:r>
            <w:r>
              <w:rPr>
                <w:rFonts w:cs="Times New Roman"/>
                <w:vertAlign w:val="subscript"/>
              </w:rPr>
              <w:t>cr</w:t>
            </w:r>
          </w:p>
        </w:tc>
        <w:tc>
          <w:tcPr>
            <w:tcW w:w="1132" w:type="dxa"/>
            <w:vAlign w:val="center"/>
          </w:tcPr>
          <w:p>
            <w:pPr>
              <w:pStyle w:val="39"/>
              <w:rPr>
                <w:rFonts w:eastAsia="等线"/>
                <w:color w:val="000000"/>
              </w:rPr>
            </w:pPr>
            <w:r>
              <w:rPr>
                <w:rFonts w:eastAsia="等线"/>
                <w:color w:val="000000"/>
              </w:rPr>
              <w:t>1.31</w:t>
            </w:r>
          </w:p>
        </w:tc>
        <w:tc>
          <w:tcPr>
            <w:tcW w:w="1148" w:type="dxa"/>
            <w:vAlign w:val="center"/>
          </w:tcPr>
          <w:p>
            <w:pPr>
              <w:jc w:val="center"/>
              <w:rPr>
                <w:rFonts w:ascii="Times New Roman" w:hAnsi="Times New Roman" w:eastAsia="等线" w:cs="Times New Roman"/>
              </w:rPr>
            </w:pPr>
            <w:r>
              <w:rPr>
                <w:rFonts w:ascii="Times New Roman" w:hAnsi="Times New Roman" w:eastAsia="等线" w:cs="Times New Roman"/>
              </w:rPr>
              <w:t>0</w:t>
            </w:r>
          </w:p>
        </w:tc>
        <w:tc>
          <w:tcPr>
            <w:tcW w:w="3820" w:type="dxa"/>
            <w:vMerge w:val="continue"/>
            <w:vAlign w:val="center"/>
          </w:tcPr>
          <w:p>
            <w:pPr>
              <w:jc w:val="center"/>
              <w:rPr>
                <w:rFonts w:ascii="Times New Roman" w:hAnsi="Times New Roman" w:eastAsia="等线"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7" w:type="dxa"/>
            <w:vMerge w:val="continue"/>
            <w:vAlign w:val="center"/>
          </w:tcPr>
          <w:p>
            <w:pPr>
              <w:pStyle w:val="39"/>
              <w:rPr>
                <w:rFonts w:cs="Times New Roman"/>
              </w:rPr>
            </w:pPr>
          </w:p>
        </w:tc>
        <w:tc>
          <w:tcPr>
            <w:tcW w:w="1375" w:type="dxa"/>
            <w:vMerge w:val="continue"/>
            <w:vAlign w:val="center"/>
          </w:tcPr>
          <w:p>
            <w:pPr>
              <w:pStyle w:val="39"/>
              <w:rPr>
                <w:rFonts w:cs="Times New Roman"/>
              </w:rPr>
            </w:pPr>
          </w:p>
        </w:tc>
        <w:tc>
          <w:tcPr>
            <w:tcW w:w="1271" w:type="dxa"/>
            <w:vAlign w:val="center"/>
          </w:tcPr>
          <w:p>
            <w:pPr>
              <w:pStyle w:val="39"/>
              <w:rPr>
                <w:rFonts w:cs="Times New Roman"/>
              </w:rPr>
            </w:pPr>
            <w:r>
              <w:rPr>
                <w:rFonts w:cs="Times New Roman"/>
              </w:rPr>
              <w:t>BOD</w:t>
            </w:r>
            <w:r>
              <w:rPr>
                <w:rFonts w:cs="Times New Roman"/>
                <w:vertAlign w:val="subscript"/>
              </w:rPr>
              <w:t>5</w:t>
            </w:r>
          </w:p>
        </w:tc>
        <w:tc>
          <w:tcPr>
            <w:tcW w:w="1132" w:type="dxa"/>
            <w:vAlign w:val="center"/>
          </w:tcPr>
          <w:p>
            <w:pPr>
              <w:pStyle w:val="39"/>
              <w:rPr>
                <w:rFonts w:eastAsia="等线"/>
                <w:color w:val="000000"/>
              </w:rPr>
            </w:pPr>
            <w:r>
              <w:rPr>
                <w:rFonts w:eastAsia="等线"/>
                <w:color w:val="000000"/>
              </w:rPr>
              <w:t>0.82</w:t>
            </w:r>
          </w:p>
        </w:tc>
        <w:tc>
          <w:tcPr>
            <w:tcW w:w="1148" w:type="dxa"/>
            <w:vAlign w:val="center"/>
          </w:tcPr>
          <w:p>
            <w:pPr>
              <w:jc w:val="center"/>
              <w:rPr>
                <w:rFonts w:ascii="Times New Roman" w:hAnsi="Times New Roman" w:eastAsia="等线" w:cs="Times New Roman"/>
              </w:rPr>
            </w:pPr>
            <w:r>
              <w:rPr>
                <w:rFonts w:ascii="Times New Roman" w:hAnsi="Times New Roman" w:eastAsia="等线" w:cs="Times New Roman"/>
              </w:rPr>
              <w:t>0</w:t>
            </w:r>
          </w:p>
        </w:tc>
        <w:tc>
          <w:tcPr>
            <w:tcW w:w="3820" w:type="dxa"/>
            <w:vMerge w:val="continue"/>
            <w:vAlign w:val="center"/>
          </w:tcPr>
          <w:p>
            <w:pPr>
              <w:jc w:val="center"/>
              <w:rPr>
                <w:rFonts w:ascii="Times New Roman" w:hAnsi="Times New Roman" w:eastAsia="等线"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7" w:type="dxa"/>
            <w:vMerge w:val="continue"/>
            <w:vAlign w:val="center"/>
          </w:tcPr>
          <w:p>
            <w:pPr>
              <w:pStyle w:val="39"/>
              <w:rPr>
                <w:rFonts w:cs="Times New Roman"/>
              </w:rPr>
            </w:pPr>
          </w:p>
        </w:tc>
        <w:tc>
          <w:tcPr>
            <w:tcW w:w="1375" w:type="dxa"/>
            <w:vMerge w:val="continue"/>
            <w:vAlign w:val="center"/>
          </w:tcPr>
          <w:p>
            <w:pPr>
              <w:pStyle w:val="39"/>
              <w:rPr>
                <w:rFonts w:cs="Times New Roman"/>
              </w:rPr>
            </w:pPr>
          </w:p>
        </w:tc>
        <w:tc>
          <w:tcPr>
            <w:tcW w:w="1271" w:type="dxa"/>
            <w:vAlign w:val="center"/>
          </w:tcPr>
          <w:p>
            <w:pPr>
              <w:pStyle w:val="39"/>
              <w:rPr>
                <w:rFonts w:cs="Times New Roman"/>
              </w:rPr>
            </w:pPr>
            <w:r>
              <w:rPr>
                <w:rFonts w:cs="Times New Roman"/>
              </w:rPr>
              <w:t>NH</w:t>
            </w:r>
            <w:r>
              <w:rPr>
                <w:rFonts w:cs="Times New Roman"/>
                <w:vertAlign w:val="subscript"/>
              </w:rPr>
              <w:t>3</w:t>
            </w:r>
            <w:r>
              <w:rPr>
                <w:rFonts w:cs="Times New Roman"/>
              </w:rPr>
              <w:t>-N</w:t>
            </w:r>
          </w:p>
        </w:tc>
        <w:tc>
          <w:tcPr>
            <w:tcW w:w="1132" w:type="dxa"/>
            <w:vAlign w:val="center"/>
          </w:tcPr>
          <w:p>
            <w:pPr>
              <w:pStyle w:val="39"/>
              <w:rPr>
                <w:rFonts w:eastAsia="等线"/>
                <w:color w:val="000000"/>
              </w:rPr>
            </w:pPr>
            <w:r>
              <w:rPr>
                <w:rFonts w:eastAsia="等线"/>
                <w:color w:val="000000"/>
              </w:rPr>
              <w:t>0.14</w:t>
            </w:r>
          </w:p>
        </w:tc>
        <w:tc>
          <w:tcPr>
            <w:tcW w:w="1148" w:type="dxa"/>
            <w:vAlign w:val="center"/>
          </w:tcPr>
          <w:p>
            <w:pPr>
              <w:jc w:val="center"/>
              <w:rPr>
                <w:rFonts w:ascii="Times New Roman" w:hAnsi="Times New Roman" w:eastAsia="等线" w:cs="Times New Roman"/>
              </w:rPr>
            </w:pPr>
            <w:r>
              <w:rPr>
                <w:rFonts w:ascii="Times New Roman" w:hAnsi="Times New Roman" w:eastAsia="等线" w:cs="Times New Roman"/>
              </w:rPr>
              <w:t>0</w:t>
            </w:r>
          </w:p>
        </w:tc>
        <w:tc>
          <w:tcPr>
            <w:tcW w:w="3820" w:type="dxa"/>
            <w:vMerge w:val="continue"/>
            <w:vAlign w:val="center"/>
          </w:tcPr>
          <w:p>
            <w:pPr>
              <w:jc w:val="center"/>
              <w:rPr>
                <w:rFonts w:ascii="Times New Roman" w:hAnsi="Times New Roman" w:eastAsia="等线"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7" w:type="dxa"/>
            <w:vMerge w:val="continue"/>
            <w:vAlign w:val="center"/>
          </w:tcPr>
          <w:p>
            <w:pPr>
              <w:pStyle w:val="39"/>
              <w:rPr>
                <w:rFonts w:cs="Times New Roman"/>
              </w:rPr>
            </w:pPr>
          </w:p>
        </w:tc>
        <w:tc>
          <w:tcPr>
            <w:tcW w:w="1375" w:type="dxa"/>
            <w:vMerge w:val="continue"/>
            <w:vAlign w:val="center"/>
          </w:tcPr>
          <w:p>
            <w:pPr>
              <w:pStyle w:val="39"/>
              <w:rPr>
                <w:rFonts w:cs="Times New Roman"/>
              </w:rPr>
            </w:pPr>
          </w:p>
        </w:tc>
        <w:tc>
          <w:tcPr>
            <w:tcW w:w="1271" w:type="dxa"/>
            <w:vAlign w:val="center"/>
          </w:tcPr>
          <w:p>
            <w:pPr>
              <w:pStyle w:val="39"/>
              <w:rPr>
                <w:rFonts w:cs="Times New Roman"/>
              </w:rPr>
            </w:pPr>
            <w:r>
              <w:rPr>
                <w:rFonts w:cs="Times New Roman"/>
              </w:rPr>
              <w:t>SS</w:t>
            </w:r>
          </w:p>
        </w:tc>
        <w:tc>
          <w:tcPr>
            <w:tcW w:w="1132" w:type="dxa"/>
            <w:vAlign w:val="center"/>
          </w:tcPr>
          <w:p>
            <w:pPr>
              <w:pStyle w:val="39"/>
              <w:rPr>
                <w:rFonts w:eastAsia="等线"/>
                <w:color w:val="000000"/>
              </w:rPr>
            </w:pPr>
            <w:r>
              <w:rPr>
                <w:rFonts w:eastAsia="等线"/>
                <w:color w:val="000000"/>
              </w:rPr>
              <w:t>0.99</w:t>
            </w:r>
          </w:p>
        </w:tc>
        <w:tc>
          <w:tcPr>
            <w:tcW w:w="1148" w:type="dxa"/>
            <w:vAlign w:val="center"/>
          </w:tcPr>
          <w:p>
            <w:pPr>
              <w:jc w:val="center"/>
              <w:rPr>
                <w:rFonts w:ascii="Times New Roman" w:hAnsi="Times New Roman" w:eastAsia="等线" w:cs="Times New Roman"/>
              </w:rPr>
            </w:pPr>
            <w:r>
              <w:rPr>
                <w:rFonts w:ascii="Times New Roman" w:hAnsi="Times New Roman" w:eastAsia="等线" w:cs="Times New Roman"/>
              </w:rPr>
              <w:t>0</w:t>
            </w:r>
          </w:p>
        </w:tc>
        <w:tc>
          <w:tcPr>
            <w:tcW w:w="3820" w:type="dxa"/>
            <w:vMerge w:val="continue"/>
            <w:vAlign w:val="center"/>
          </w:tcPr>
          <w:p>
            <w:pPr>
              <w:jc w:val="center"/>
              <w:rPr>
                <w:rFonts w:ascii="Times New Roman" w:hAnsi="Times New Roman" w:eastAsia="等线"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7" w:type="dxa"/>
            <w:vMerge w:val="continue"/>
            <w:vAlign w:val="center"/>
          </w:tcPr>
          <w:p>
            <w:pPr>
              <w:pStyle w:val="39"/>
              <w:rPr>
                <w:rFonts w:cs="Times New Roman"/>
              </w:rPr>
            </w:pPr>
          </w:p>
        </w:tc>
        <w:tc>
          <w:tcPr>
            <w:tcW w:w="1375" w:type="dxa"/>
            <w:vMerge w:val="continue"/>
            <w:vAlign w:val="center"/>
          </w:tcPr>
          <w:p>
            <w:pPr>
              <w:pStyle w:val="39"/>
              <w:rPr>
                <w:rFonts w:cs="Times New Roman"/>
              </w:rPr>
            </w:pPr>
          </w:p>
        </w:tc>
        <w:tc>
          <w:tcPr>
            <w:tcW w:w="1271" w:type="dxa"/>
            <w:vAlign w:val="center"/>
          </w:tcPr>
          <w:p>
            <w:pPr>
              <w:pStyle w:val="39"/>
              <w:rPr>
                <w:rFonts w:cs="Times New Roman"/>
              </w:rPr>
            </w:pPr>
            <w:r>
              <w:rPr>
                <w:rFonts w:cs="Times New Roman"/>
              </w:rPr>
              <w:t>TP</w:t>
            </w:r>
          </w:p>
        </w:tc>
        <w:tc>
          <w:tcPr>
            <w:tcW w:w="1132" w:type="dxa"/>
            <w:vAlign w:val="center"/>
          </w:tcPr>
          <w:p>
            <w:pPr>
              <w:pStyle w:val="39"/>
              <w:rPr>
                <w:rFonts w:eastAsia="等线"/>
                <w:color w:val="000000"/>
              </w:rPr>
            </w:pPr>
            <w:r>
              <w:rPr>
                <w:rFonts w:eastAsia="等线"/>
                <w:color w:val="000000"/>
              </w:rPr>
              <w:t>0.01</w:t>
            </w:r>
          </w:p>
        </w:tc>
        <w:tc>
          <w:tcPr>
            <w:tcW w:w="1148" w:type="dxa"/>
            <w:vAlign w:val="center"/>
          </w:tcPr>
          <w:p>
            <w:pPr>
              <w:jc w:val="center"/>
              <w:rPr>
                <w:rFonts w:ascii="Times New Roman" w:hAnsi="Times New Roman" w:eastAsia="等线" w:cs="Times New Roman"/>
              </w:rPr>
            </w:pPr>
            <w:r>
              <w:rPr>
                <w:rFonts w:ascii="Times New Roman" w:hAnsi="Times New Roman" w:eastAsia="等线" w:cs="Times New Roman"/>
              </w:rPr>
              <w:t>0</w:t>
            </w:r>
          </w:p>
        </w:tc>
        <w:tc>
          <w:tcPr>
            <w:tcW w:w="3820" w:type="dxa"/>
            <w:vMerge w:val="continue"/>
            <w:vAlign w:val="center"/>
          </w:tcPr>
          <w:p>
            <w:pPr>
              <w:jc w:val="center"/>
              <w:rPr>
                <w:rFonts w:ascii="Times New Roman" w:hAnsi="Times New Roman" w:eastAsia="等线"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7" w:type="dxa"/>
            <w:vMerge w:val="restart"/>
            <w:vAlign w:val="center"/>
          </w:tcPr>
          <w:p>
            <w:pPr>
              <w:pStyle w:val="39"/>
              <w:rPr>
                <w:rFonts w:cs="Times New Roman"/>
              </w:rPr>
            </w:pPr>
            <w:r>
              <w:rPr>
                <w:rFonts w:cs="Times New Roman"/>
              </w:rPr>
              <w:t>废气</w:t>
            </w:r>
          </w:p>
        </w:tc>
        <w:tc>
          <w:tcPr>
            <w:tcW w:w="1375" w:type="dxa"/>
            <w:vMerge w:val="restart"/>
            <w:vAlign w:val="center"/>
          </w:tcPr>
          <w:p>
            <w:pPr>
              <w:pStyle w:val="39"/>
              <w:rPr>
                <w:rFonts w:cs="Times New Roman"/>
              </w:rPr>
            </w:pPr>
            <w:r>
              <w:rPr>
                <w:rFonts w:cs="Times New Roman"/>
              </w:rPr>
              <w:t>鸡舍</w:t>
            </w:r>
            <w:r>
              <w:rPr>
                <w:rFonts w:hint="eastAsia" w:cs="Times New Roman"/>
              </w:rPr>
              <w:t>及</w:t>
            </w:r>
            <w:r>
              <w:rPr>
                <w:rFonts w:cs="Times New Roman"/>
              </w:rPr>
              <w:t>鸡粪处理区</w:t>
            </w:r>
          </w:p>
        </w:tc>
        <w:tc>
          <w:tcPr>
            <w:tcW w:w="1271" w:type="dxa"/>
            <w:vAlign w:val="center"/>
          </w:tcPr>
          <w:p>
            <w:pPr>
              <w:pStyle w:val="39"/>
              <w:rPr>
                <w:rFonts w:cs="Times New Roman"/>
              </w:rPr>
            </w:pPr>
            <w:r>
              <w:rPr>
                <w:rFonts w:cs="Times New Roman"/>
              </w:rPr>
              <w:t>NH</w:t>
            </w:r>
            <w:r>
              <w:rPr>
                <w:rFonts w:cs="Times New Roman"/>
                <w:vertAlign w:val="subscript"/>
              </w:rPr>
              <w:t>3</w:t>
            </w:r>
          </w:p>
        </w:tc>
        <w:tc>
          <w:tcPr>
            <w:tcW w:w="1132" w:type="dxa"/>
            <w:vAlign w:val="center"/>
          </w:tcPr>
          <w:p>
            <w:pPr>
              <w:pStyle w:val="39"/>
              <w:rPr>
                <w:rFonts w:cs="Times New Roman"/>
                <w:u w:val="single"/>
              </w:rPr>
            </w:pPr>
            <w:r>
              <w:rPr>
                <w:rFonts w:cs="Times New Roman"/>
                <w:u w:val="single"/>
              </w:rPr>
              <w:t>1.59</w:t>
            </w:r>
          </w:p>
        </w:tc>
        <w:tc>
          <w:tcPr>
            <w:tcW w:w="1148" w:type="dxa"/>
            <w:vAlign w:val="center"/>
          </w:tcPr>
          <w:p>
            <w:pPr>
              <w:jc w:val="center"/>
              <w:rPr>
                <w:rFonts w:ascii="Times New Roman" w:hAnsi="Times New Roman" w:eastAsia="等线" w:cs="Times New Roman"/>
                <w:color w:val="000000"/>
              </w:rPr>
            </w:pPr>
            <w:r>
              <w:rPr>
                <w:rFonts w:ascii="Times New Roman" w:hAnsi="Times New Roman" w:eastAsia="等线" w:cs="Times New Roman"/>
                <w:color w:val="000000"/>
              </w:rPr>
              <w:t>0.475</w:t>
            </w:r>
          </w:p>
        </w:tc>
        <w:tc>
          <w:tcPr>
            <w:tcW w:w="3820" w:type="dxa"/>
            <w:vMerge w:val="restart"/>
            <w:vAlign w:val="center"/>
          </w:tcPr>
          <w:p>
            <w:pPr>
              <w:pStyle w:val="39"/>
              <w:rPr>
                <w:rFonts w:cs="Times New Roman"/>
              </w:rPr>
            </w:pPr>
            <w:r>
              <w:rPr>
                <w:rFonts w:cs="Times New Roman"/>
              </w:rPr>
              <w:t>喷洒除臭剂呈无组织排放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7" w:type="dxa"/>
            <w:vMerge w:val="continue"/>
            <w:vAlign w:val="center"/>
          </w:tcPr>
          <w:p>
            <w:pPr>
              <w:pStyle w:val="39"/>
              <w:rPr>
                <w:rFonts w:cs="Times New Roman"/>
              </w:rPr>
            </w:pPr>
          </w:p>
        </w:tc>
        <w:tc>
          <w:tcPr>
            <w:tcW w:w="1375" w:type="dxa"/>
            <w:vMerge w:val="continue"/>
            <w:vAlign w:val="center"/>
          </w:tcPr>
          <w:p>
            <w:pPr>
              <w:pStyle w:val="39"/>
              <w:rPr>
                <w:rFonts w:cs="Times New Roman"/>
              </w:rPr>
            </w:pPr>
          </w:p>
        </w:tc>
        <w:tc>
          <w:tcPr>
            <w:tcW w:w="1271" w:type="dxa"/>
            <w:vAlign w:val="center"/>
          </w:tcPr>
          <w:p>
            <w:pPr>
              <w:pStyle w:val="39"/>
              <w:rPr>
                <w:rFonts w:cs="Times New Roman"/>
              </w:rPr>
            </w:pPr>
            <w:r>
              <w:rPr>
                <w:rFonts w:cs="Times New Roman"/>
              </w:rPr>
              <w:t>H</w:t>
            </w:r>
            <w:r>
              <w:rPr>
                <w:rFonts w:cs="Times New Roman"/>
                <w:vertAlign w:val="subscript"/>
              </w:rPr>
              <w:t>2</w:t>
            </w:r>
            <w:r>
              <w:rPr>
                <w:rFonts w:cs="Times New Roman"/>
              </w:rPr>
              <w:t>S</w:t>
            </w:r>
          </w:p>
        </w:tc>
        <w:tc>
          <w:tcPr>
            <w:tcW w:w="1132" w:type="dxa"/>
            <w:vAlign w:val="center"/>
          </w:tcPr>
          <w:p>
            <w:pPr>
              <w:pStyle w:val="39"/>
              <w:rPr>
                <w:rFonts w:cs="Times New Roman"/>
                <w:u w:val="single"/>
              </w:rPr>
            </w:pPr>
            <w:r>
              <w:rPr>
                <w:rFonts w:cs="Times New Roman"/>
                <w:u w:val="single"/>
              </w:rPr>
              <w:t>0.10</w:t>
            </w:r>
          </w:p>
        </w:tc>
        <w:tc>
          <w:tcPr>
            <w:tcW w:w="1148" w:type="dxa"/>
            <w:vAlign w:val="center"/>
          </w:tcPr>
          <w:p>
            <w:pPr>
              <w:jc w:val="center"/>
              <w:rPr>
                <w:rFonts w:ascii="Times New Roman" w:hAnsi="Times New Roman" w:eastAsia="等线" w:cs="Times New Roman"/>
                <w:color w:val="000000"/>
              </w:rPr>
            </w:pPr>
            <w:r>
              <w:rPr>
                <w:rFonts w:ascii="Times New Roman" w:hAnsi="Times New Roman" w:eastAsia="等线" w:cs="Times New Roman"/>
                <w:color w:val="000000"/>
              </w:rPr>
              <w:t>0.019</w:t>
            </w:r>
          </w:p>
        </w:tc>
        <w:tc>
          <w:tcPr>
            <w:tcW w:w="3820" w:type="dxa"/>
            <w:vMerge w:val="continue"/>
            <w:vAlign w:val="center"/>
          </w:tcPr>
          <w:p>
            <w:pPr>
              <w:jc w:val="center"/>
              <w:rPr>
                <w:rFonts w:ascii="Times New Roman" w:hAnsi="Times New Roman" w:eastAsia="等线"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7" w:type="dxa"/>
            <w:vMerge w:val="continue"/>
            <w:vAlign w:val="center"/>
          </w:tcPr>
          <w:p>
            <w:pPr>
              <w:pStyle w:val="39"/>
              <w:rPr>
                <w:rFonts w:cs="Times New Roman"/>
              </w:rPr>
            </w:pPr>
          </w:p>
        </w:tc>
        <w:tc>
          <w:tcPr>
            <w:tcW w:w="1375" w:type="dxa"/>
            <w:vMerge w:val="restart"/>
            <w:vAlign w:val="center"/>
          </w:tcPr>
          <w:p>
            <w:pPr>
              <w:pStyle w:val="39"/>
              <w:rPr>
                <w:rFonts w:cs="Times New Roman"/>
              </w:rPr>
            </w:pPr>
            <w:r>
              <w:rPr>
                <w:rFonts w:cs="Times New Roman"/>
              </w:rPr>
              <w:t>备用发电机</w:t>
            </w:r>
          </w:p>
        </w:tc>
        <w:tc>
          <w:tcPr>
            <w:tcW w:w="1271" w:type="dxa"/>
            <w:vAlign w:val="center"/>
          </w:tcPr>
          <w:p>
            <w:pPr>
              <w:pStyle w:val="39"/>
              <w:rPr>
                <w:rFonts w:cs="Times New Roman"/>
              </w:rPr>
            </w:pPr>
            <w:r>
              <w:rPr>
                <w:rFonts w:eastAsia="TimesNewRomanPSMT" w:cs="Times New Roman"/>
                <w:kern w:val="0"/>
              </w:rPr>
              <w:t>SO</w:t>
            </w:r>
            <w:r>
              <w:rPr>
                <w:rFonts w:eastAsia="TimesNewRomanPSMT" w:cs="Times New Roman"/>
                <w:kern w:val="0"/>
                <w:sz w:val="14"/>
                <w:szCs w:val="14"/>
              </w:rPr>
              <w:t>2</w:t>
            </w:r>
          </w:p>
        </w:tc>
        <w:tc>
          <w:tcPr>
            <w:tcW w:w="1132" w:type="dxa"/>
            <w:vAlign w:val="center"/>
          </w:tcPr>
          <w:p>
            <w:pPr>
              <w:pStyle w:val="39"/>
              <w:rPr>
                <w:rFonts w:cs="Times New Roman"/>
              </w:rPr>
            </w:pPr>
            <w:r>
              <w:rPr>
                <w:rFonts w:eastAsia="等线" w:cs="Times New Roman"/>
              </w:rPr>
              <w:t>0.</w:t>
            </w:r>
            <w:r>
              <w:rPr>
                <w:rFonts w:hint="eastAsia" w:eastAsia="等线" w:cs="Times New Roman"/>
              </w:rPr>
              <w:t>05</w:t>
            </w:r>
          </w:p>
        </w:tc>
        <w:tc>
          <w:tcPr>
            <w:tcW w:w="1148" w:type="dxa"/>
            <w:vAlign w:val="center"/>
          </w:tcPr>
          <w:p>
            <w:pPr>
              <w:pStyle w:val="39"/>
              <w:rPr>
                <w:rFonts w:cs="Times New Roman"/>
              </w:rPr>
            </w:pPr>
            <w:r>
              <w:rPr>
                <w:rFonts w:eastAsia="等线" w:cs="Times New Roman"/>
              </w:rPr>
              <w:t>0.</w:t>
            </w:r>
            <w:r>
              <w:rPr>
                <w:rFonts w:hint="eastAsia" w:eastAsia="等线" w:cs="Times New Roman"/>
              </w:rPr>
              <w:t>05</w:t>
            </w:r>
          </w:p>
        </w:tc>
        <w:tc>
          <w:tcPr>
            <w:tcW w:w="3820" w:type="dxa"/>
            <w:vMerge w:val="restart"/>
            <w:vAlign w:val="center"/>
          </w:tcPr>
          <w:p>
            <w:pPr>
              <w:pStyle w:val="39"/>
              <w:rPr>
                <w:rFonts w:cs="Times New Roman"/>
              </w:rPr>
            </w:pPr>
            <w:r>
              <w:rPr>
                <w:rFonts w:cs="Times New Roman"/>
              </w:rPr>
              <w:t>专用烟道引至屋顶排放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7" w:type="dxa"/>
            <w:vMerge w:val="continue"/>
            <w:vAlign w:val="center"/>
          </w:tcPr>
          <w:p>
            <w:pPr>
              <w:pStyle w:val="39"/>
              <w:rPr>
                <w:rFonts w:cs="Times New Roman"/>
              </w:rPr>
            </w:pPr>
          </w:p>
        </w:tc>
        <w:tc>
          <w:tcPr>
            <w:tcW w:w="1375" w:type="dxa"/>
            <w:vMerge w:val="continue"/>
            <w:vAlign w:val="center"/>
          </w:tcPr>
          <w:p>
            <w:pPr>
              <w:pStyle w:val="39"/>
              <w:rPr>
                <w:rFonts w:cs="Times New Roman"/>
              </w:rPr>
            </w:pPr>
          </w:p>
        </w:tc>
        <w:tc>
          <w:tcPr>
            <w:tcW w:w="1271" w:type="dxa"/>
            <w:vAlign w:val="center"/>
          </w:tcPr>
          <w:p>
            <w:pPr>
              <w:pStyle w:val="39"/>
              <w:rPr>
                <w:rFonts w:cs="Times New Roman"/>
              </w:rPr>
            </w:pPr>
            <w:r>
              <w:rPr>
                <w:rFonts w:eastAsia="TimesNewRomanPSMT" w:cs="Times New Roman"/>
                <w:kern w:val="0"/>
              </w:rPr>
              <w:t>NOx</w:t>
            </w:r>
          </w:p>
        </w:tc>
        <w:tc>
          <w:tcPr>
            <w:tcW w:w="1132" w:type="dxa"/>
            <w:vAlign w:val="center"/>
          </w:tcPr>
          <w:p>
            <w:pPr>
              <w:pStyle w:val="39"/>
              <w:rPr>
                <w:rFonts w:cs="Times New Roman"/>
              </w:rPr>
            </w:pPr>
            <w:r>
              <w:rPr>
                <w:rFonts w:eastAsia="等线" w:cs="Times New Roman"/>
                <w:color w:val="000000"/>
              </w:rPr>
              <w:t>0.043</w:t>
            </w:r>
          </w:p>
        </w:tc>
        <w:tc>
          <w:tcPr>
            <w:tcW w:w="1148" w:type="dxa"/>
            <w:vAlign w:val="center"/>
          </w:tcPr>
          <w:p>
            <w:pPr>
              <w:pStyle w:val="39"/>
              <w:rPr>
                <w:rFonts w:cs="Times New Roman"/>
              </w:rPr>
            </w:pPr>
            <w:r>
              <w:rPr>
                <w:rFonts w:eastAsia="等线" w:cs="Times New Roman"/>
                <w:color w:val="000000"/>
              </w:rPr>
              <w:t>0.043</w:t>
            </w:r>
          </w:p>
        </w:tc>
        <w:tc>
          <w:tcPr>
            <w:tcW w:w="3820" w:type="dxa"/>
            <w:vMerge w:val="continue"/>
            <w:vAlign w:val="center"/>
          </w:tcPr>
          <w:p>
            <w:pPr>
              <w:pStyle w:val="3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7" w:type="dxa"/>
            <w:vMerge w:val="continue"/>
            <w:vAlign w:val="center"/>
          </w:tcPr>
          <w:p>
            <w:pPr>
              <w:pStyle w:val="39"/>
              <w:rPr>
                <w:rFonts w:cs="Times New Roman"/>
              </w:rPr>
            </w:pPr>
          </w:p>
        </w:tc>
        <w:tc>
          <w:tcPr>
            <w:tcW w:w="1375" w:type="dxa"/>
            <w:vMerge w:val="continue"/>
            <w:vAlign w:val="center"/>
          </w:tcPr>
          <w:p>
            <w:pPr>
              <w:pStyle w:val="39"/>
              <w:rPr>
                <w:rFonts w:cs="Times New Roman"/>
              </w:rPr>
            </w:pPr>
          </w:p>
        </w:tc>
        <w:tc>
          <w:tcPr>
            <w:tcW w:w="1271" w:type="dxa"/>
            <w:vAlign w:val="center"/>
          </w:tcPr>
          <w:p>
            <w:pPr>
              <w:pStyle w:val="39"/>
              <w:rPr>
                <w:rFonts w:cs="Times New Roman"/>
              </w:rPr>
            </w:pPr>
            <w:r>
              <w:rPr>
                <w:rFonts w:cs="Times New Roman"/>
              </w:rPr>
              <w:t>烟尘</w:t>
            </w:r>
          </w:p>
        </w:tc>
        <w:tc>
          <w:tcPr>
            <w:tcW w:w="1132" w:type="dxa"/>
            <w:vAlign w:val="center"/>
          </w:tcPr>
          <w:p>
            <w:pPr>
              <w:pStyle w:val="39"/>
              <w:rPr>
                <w:rFonts w:cs="Times New Roman"/>
              </w:rPr>
            </w:pPr>
            <w:r>
              <w:rPr>
                <w:rFonts w:eastAsia="等线" w:cs="Times New Roman"/>
              </w:rPr>
              <w:t>0.0</w:t>
            </w:r>
            <w:r>
              <w:rPr>
                <w:rFonts w:hint="eastAsia" w:eastAsia="等线" w:cs="Times New Roman"/>
              </w:rPr>
              <w:t>09</w:t>
            </w:r>
          </w:p>
        </w:tc>
        <w:tc>
          <w:tcPr>
            <w:tcW w:w="1148" w:type="dxa"/>
            <w:vAlign w:val="center"/>
          </w:tcPr>
          <w:p>
            <w:pPr>
              <w:pStyle w:val="39"/>
              <w:rPr>
                <w:rFonts w:cs="Times New Roman"/>
              </w:rPr>
            </w:pPr>
            <w:r>
              <w:rPr>
                <w:rFonts w:eastAsia="等线" w:cs="Times New Roman"/>
              </w:rPr>
              <w:t>0.0</w:t>
            </w:r>
            <w:r>
              <w:rPr>
                <w:rFonts w:hint="eastAsia" w:eastAsia="等线" w:cs="Times New Roman"/>
              </w:rPr>
              <w:t>09</w:t>
            </w:r>
          </w:p>
        </w:tc>
        <w:tc>
          <w:tcPr>
            <w:tcW w:w="3820" w:type="dxa"/>
            <w:vMerge w:val="continue"/>
            <w:vAlign w:val="center"/>
          </w:tcPr>
          <w:p>
            <w:pPr>
              <w:pStyle w:val="3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7" w:type="dxa"/>
            <w:vMerge w:val="continue"/>
            <w:vAlign w:val="center"/>
          </w:tcPr>
          <w:p>
            <w:pPr>
              <w:pStyle w:val="39"/>
              <w:rPr>
                <w:rFonts w:cs="Times New Roman"/>
              </w:rPr>
            </w:pPr>
          </w:p>
        </w:tc>
        <w:tc>
          <w:tcPr>
            <w:tcW w:w="1375" w:type="dxa"/>
            <w:vAlign w:val="center"/>
          </w:tcPr>
          <w:p>
            <w:pPr>
              <w:pStyle w:val="39"/>
              <w:rPr>
                <w:rFonts w:cs="Times New Roman"/>
              </w:rPr>
            </w:pPr>
            <w:r>
              <w:rPr>
                <w:rFonts w:cs="Times New Roman"/>
              </w:rPr>
              <w:t>食堂</w:t>
            </w:r>
          </w:p>
        </w:tc>
        <w:tc>
          <w:tcPr>
            <w:tcW w:w="1271" w:type="dxa"/>
            <w:vAlign w:val="center"/>
          </w:tcPr>
          <w:p>
            <w:pPr>
              <w:pStyle w:val="39"/>
              <w:rPr>
                <w:rFonts w:cs="Times New Roman"/>
              </w:rPr>
            </w:pPr>
            <w:r>
              <w:rPr>
                <w:rFonts w:cs="Times New Roman"/>
              </w:rPr>
              <w:t>油烟</w:t>
            </w:r>
          </w:p>
        </w:tc>
        <w:tc>
          <w:tcPr>
            <w:tcW w:w="1132" w:type="dxa"/>
            <w:vAlign w:val="center"/>
          </w:tcPr>
          <w:p>
            <w:pPr>
              <w:pStyle w:val="39"/>
              <w:rPr>
                <w:rFonts w:cs="Times New Roman"/>
              </w:rPr>
            </w:pPr>
            <w:r>
              <w:rPr>
                <w:rFonts w:eastAsia="等线" w:cs="Times New Roman"/>
                <w:color w:val="000000"/>
              </w:rPr>
              <w:t>0.021</w:t>
            </w:r>
          </w:p>
        </w:tc>
        <w:tc>
          <w:tcPr>
            <w:tcW w:w="1148" w:type="dxa"/>
            <w:vAlign w:val="center"/>
          </w:tcPr>
          <w:p>
            <w:pPr>
              <w:pStyle w:val="39"/>
              <w:rPr>
                <w:rFonts w:cs="Times New Roman"/>
              </w:rPr>
            </w:pPr>
            <w:r>
              <w:rPr>
                <w:rFonts w:eastAsia="等线" w:cs="Times New Roman"/>
                <w:color w:val="000000"/>
              </w:rPr>
              <w:t>0.008</w:t>
            </w:r>
          </w:p>
        </w:tc>
        <w:tc>
          <w:tcPr>
            <w:tcW w:w="3820" w:type="dxa"/>
            <w:vAlign w:val="center"/>
          </w:tcPr>
          <w:p>
            <w:pPr>
              <w:pStyle w:val="39"/>
              <w:rPr>
                <w:rFonts w:cs="Times New Roman"/>
              </w:rPr>
            </w:pPr>
            <w:r>
              <w:rPr>
                <w:rFonts w:cs="Times New Roman"/>
              </w:rPr>
              <w:t>油烟处理器处理屋顶排放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7" w:type="dxa"/>
            <w:vMerge w:val="continue"/>
            <w:vAlign w:val="center"/>
          </w:tcPr>
          <w:p>
            <w:pPr>
              <w:pStyle w:val="39"/>
              <w:rPr>
                <w:rFonts w:cs="Times New Roman"/>
              </w:rPr>
            </w:pPr>
          </w:p>
        </w:tc>
        <w:tc>
          <w:tcPr>
            <w:tcW w:w="1375" w:type="dxa"/>
            <w:vMerge w:val="restart"/>
            <w:vAlign w:val="center"/>
          </w:tcPr>
          <w:p>
            <w:pPr>
              <w:pStyle w:val="39"/>
              <w:rPr>
                <w:rFonts w:cs="Times New Roman"/>
              </w:rPr>
            </w:pPr>
            <w:r>
              <w:rPr>
                <w:rFonts w:hint="eastAsia" w:cs="Times New Roman"/>
              </w:rPr>
              <w:t>锅炉</w:t>
            </w:r>
          </w:p>
        </w:tc>
        <w:tc>
          <w:tcPr>
            <w:tcW w:w="1271" w:type="dxa"/>
            <w:vAlign w:val="center"/>
          </w:tcPr>
          <w:p>
            <w:pPr>
              <w:pStyle w:val="39"/>
              <w:rPr>
                <w:rFonts w:cs="Times New Roman"/>
              </w:rPr>
            </w:pPr>
            <w:r>
              <w:rPr>
                <w:rFonts w:eastAsia="TimesNewRomanPSMT" w:cs="Times New Roman"/>
                <w:kern w:val="0"/>
              </w:rPr>
              <w:t>SO</w:t>
            </w:r>
            <w:r>
              <w:rPr>
                <w:rFonts w:eastAsia="TimesNewRomanPSMT" w:cs="Times New Roman"/>
                <w:kern w:val="0"/>
                <w:sz w:val="14"/>
                <w:szCs w:val="14"/>
              </w:rPr>
              <w:t>2</w:t>
            </w:r>
          </w:p>
        </w:tc>
        <w:tc>
          <w:tcPr>
            <w:tcW w:w="1132" w:type="dxa"/>
            <w:vAlign w:val="center"/>
          </w:tcPr>
          <w:p>
            <w:pPr>
              <w:adjustRightInd/>
              <w:snapToGrid/>
              <w:jc w:val="center"/>
              <w:rPr>
                <w:rFonts w:ascii="Times New Roman" w:hAnsi="Times New Roman" w:eastAsia="等线" w:cs="Times New Roman"/>
                <w:color w:val="000000"/>
              </w:rPr>
            </w:pPr>
            <w:r>
              <w:rPr>
                <w:rFonts w:ascii="Times New Roman" w:hAnsi="Times New Roman" w:eastAsia="等线" w:cs="Times New Roman"/>
                <w:color w:val="000000"/>
              </w:rPr>
              <w:t xml:space="preserve">0.22 </w:t>
            </w:r>
          </w:p>
        </w:tc>
        <w:tc>
          <w:tcPr>
            <w:tcW w:w="1148" w:type="dxa"/>
            <w:vAlign w:val="center"/>
          </w:tcPr>
          <w:p>
            <w:pPr>
              <w:adjustRightInd/>
              <w:snapToGrid/>
              <w:jc w:val="center"/>
              <w:rPr>
                <w:rFonts w:ascii="Times New Roman" w:hAnsi="Times New Roman" w:eastAsia="等线" w:cs="Times New Roman"/>
                <w:color w:val="000000"/>
              </w:rPr>
            </w:pPr>
            <w:r>
              <w:rPr>
                <w:rFonts w:ascii="Times New Roman" w:hAnsi="Times New Roman" w:eastAsia="等线" w:cs="Times New Roman"/>
                <w:color w:val="000000"/>
              </w:rPr>
              <w:t xml:space="preserve">0.22 </w:t>
            </w:r>
          </w:p>
        </w:tc>
        <w:tc>
          <w:tcPr>
            <w:tcW w:w="3820" w:type="dxa"/>
            <w:vMerge w:val="restart"/>
            <w:vAlign w:val="center"/>
          </w:tcPr>
          <w:p>
            <w:pPr>
              <w:pStyle w:val="39"/>
              <w:rPr>
                <w:rFonts w:cs="Times New Roman"/>
              </w:rPr>
            </w:pPr>
            <w:r>
              <w:rPr>
                <w:rFonts w:hint="eastAsia" w:cs="Times New Roman"/>
              </w:rPr>
              <w:t>布袋除尘器+</w:t>
            </w:r>
            <w:r>
              <w:rPr>
                <w:rFonts w:cs="Times New Roman"/>
              </w:rPr>
              <w:t>20</w:t>
            </w:r>
            <w:r>
              <w:rPr>
                <w:rFonts w:hint="eastAsia" w:cs="Times New Roman"/>
              </w:rPr>
              <w:t>m高排气筒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7" w:type="dxa"/>
            <w:vMerge w:val="continue"/>
            <w:vAlign w:val="center"/>
          </w:tcPr>
          <w:p>
            <w:pPr>
              <w:pStyle w:val="39"/>
              <w:rPr>
                <w:rFonts w:cs="Times New Roman"/>
              </w:rPr>
            </w:pPr>
          </w:p>
        </w:tc>
        <w:tc>
          <w:tcPr>
            <w:tcW w:w="1375" w:type="dxa"/>
            <w:vMerge w:val="continue"/>
            <w:vAlign w:val="center"/>
          </w:tcPr>
          <w:p>
            <w:pPr>
              <w:pStyle w:val="39"/>
              <w:rPr>
                <w:rFonts w:cs="Times New Roman"/>
              </w:rPr>
            </w:pPr>
          </w:p>
        </w:tc>
        <w:tc>
          <w:tcPr>
            <w:tcW w:w="1271" w:type="dxa"/>
            <w:vAlign w:val="center"/>
          </w:tcPr>
          <w:p>
            <w:pPr>
              <w:pStyle w:val="39"/>
              <w:rPr>
                <w:rFonts w:cs="Times New Roman"/>
              </w:rPr>
            </w:pPr>
            <w:r>
              <w:rPr>
                <w:rFonts w:cs="Times New Roman"/>
              </w:rPr>
              <w:t>烟尘</w:t>
            </w:r>
          </w:p>
        </w:tc>
        <w:tc>
          <w:tcPr>
            <w:tcW w:w="1132" w:type="dxa"/>
            <w:vAlign w:val="center"/>
          </w:tcPr>
          <w:p>
            <w:pPr>
              <w:jc w:val="center"/>
              <w:rPr>
                <w:rFonts w:ascii="Times New Roman" w:hAnsi="Times New Roman" w:eastAsia="等线" w:cs="Times New Roman"/>
                <w:color w:val="000000"/>
              </w:rPr>
            </w:pPr>
            <w:r>
              <w:rPr>
                <w:rFonts w:ascii="Times New Roman" w:hAnsi="Times New Roman" w:eastAsia="等线" w:cs="Times New Roman"/>
                <w:color w:val="000000"/>
              </w:rPr>
              <w:t>0.32</w:t>
            </w:r>
          </w:p>
        </w:tc>
        <w:tc>
          <w:tcPr>
            <w:tcW w:w="1148" w:type="dxa"/>
            <w:vAlign w:val="center"/>
          </w:tcPr>
          <w:p>
            <w:pPr>
              <w:jc w:val="center"/>
              <w:rPr>
                <w:rFonts w:ascii="Times New Roman" w:hAnsi="Times New Roman" w:eastAsia="等线" w:cs="Times New Roman"/>
                <w:color w:val="000000"/>
              </w:rPr>
            </w:pPr>
            <w:r>
              <w:rPr>
                <w:rFonts w:hint="eastAsia" w:ascii="Times New Roman" w:hAnsi="Times New Roman" w:eastAsia="等线" w:cs="Times New Roman"/>
                <w:color w:val="000000"/>
              </w:rPr>
              <w:t>0.</w:t>
            </w:r>
            <w:r>
              <w:rPr>
                <w:rFonts w:ascii="Times New Roman" w:hAnsi="Times New Roman" w:eastAsia="等线" w:cs="Times New Roman"/>
                <w:color w:val="000000"/>
              </w:rPr>
              <w:t>002</w:t>
            </w:r>
          </w:p>
        </w:tc>
        <w:tc>
          <w:tcPr>
            <w:tcW w:w="3820" w:type="dxa"/>
            <w:vMerge w:val="continue"/>
            <w:vAlign w:val="center"/>
          </w:tcPr>
          <w:p>
            <w:pPr>
              <w:pStyle w:val="3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7" w:type="dxa"/>
            <w:vMerge w:val="continue"/>
            <w:vAlign w:val="center"/>
          </w:tcPr>
          <w:p>
            <w:pPr>
              <w:pStyle w:val="39"/>
              <w:rPr>
                <w:rFonts w:cs="Times New Roman"/>
              </w:rPr>
            </w:pPr>
          </w:p>
        </w:tc>
        <w:tc>
          <w:tcPr>
            <w:tcW w:w="1375" w:type="dxa"/>
            <w:vMerge w:val="continue"/>
            <w:vAlign w:val="center"/>
          </w:tcPr>
          <w:p>
            <w:pPr>
              <w:pStyle w:val="39"/>
              <w:rPr>
                <w:rFonts w:cs="Times New Roman"/>
              </w:rPr>
            </w:pPr>
          </w:p>
        </w:tc>
        <w:tc>
          <w:tcPr>
            <w:tcW w:w="1271" w:type="dxa"/>
            <w:vAlign w:val="center"/>
          </w:tcPr>
          <w:p>
            <w:pPr>
              <w:pStyle w:val="39"/>
              <w:rPr>
                <w:rFonts w:cs="Times New Roman"/>
              </w:rPr>
            </w:pPr>
            <w:r>
              <w:rPr>
                <w:rFonts w:eastAsia="TimesNewRomanPSMT" w:cs="Times New Roman"/>
                <w:kern w:val="0"/>
              </w:rPr>
              <w:t>NOx</w:t>
            </w:r>
          </w:p>
        </w:tc>
        <w:tc>
          <w:tcPr>
            <w:tcW w:w="1132" w:type="dxa"/>
            <w:vAlign w:val="center"/>
          </w:tcPr>
          <w:p>
            <w:pPr>
              <w:jc w:val="center"/>
              <w:rPr>
                <w:rFonts w:ascii="Times New Roman" w:hAnsi="Times New Roman" w:eastAsia="等线" w:cs="Times New Roman"/>
                <w:color w:val="000000"/>
              </w:rPr>
            </w:pPr>
            <w:r>
              <w:rPr>
                <w:rFonts w:ascii="Times New Roman" w:hAnsi="Times New Roman" w:eastAsia="等线" w:cs="Times New Roman"/>
                <w:color w:val="000000"/>
              </w:rPr>
              <w:t xml:space="preserve">0.66 </w:t>
            </w:r>
          </w:p>
        </w:tc>
        <w:tc>
          <w:tcPr>
            <w:tcW w:w="1148" w:type="dxa"/>
            <w:vAlign w:val="center"/>
          </w:tcPr>
          <w:p>
            <w:pPr>
              <w:jc w:val="center"/>
              <w:rPr>
                <w:rFonts w:ascii="Times New Roman" w:hAnsi="Times New Roman" w:eastAsia="等线" w:cs="Times New Roman"/>
                <w:color w:val="000000"/>
              </w:rPr>
            </w:pPr>
            <w:r>
              <w:rPr>
                <w:rFonts w:ascii="Times New Roman" w:hAnsi="Times New Roman" w:eastAsia="等线" w:cs="Times New Roman"/>
                <w:color w:val="000000"/>
              </w:rPr>
              <w:t xml:space="preserve">0.66 </w:t>
            </w:r>
          </w:p>
        </w:tc>
        <w:tc>
          <w:tcPr>
            <w:tcW w:w="3820" w:type="dxa"/>
            <w:vMerge w:val="continue"/>
            <w:vAlign w:val="center"/>
          </w:tcPr>
          <w:p>
            <w:pPr>
              <w:pStyle w:val="3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7" w:type="dxa"/>
            <w:vMerge w:val="restart"/>
            <w:vAlign w:val="center"/>
          </w:tcPr>
          <w:p>
            <w:pPr>
              <w:pStyle w:val="39"/>
              <w:rPr>
                <w:rFonts w:cs="Times New Roman"/>
              </w:rPr>
            </w:pPr>
            <w:r>
              <w:rPr>
                <w:rFonts w:cs="Times New Roman"/>
                <w:kern w:val="0"/>
              </w:rPr>
              <w:t>固废</w:t>
            </w:r>
          </w:p>
        </w:tc>
        <w:tc>
          <w:tcPr>
            <w:tcW w:w="1375" w:type="dxa"/>
            <w:vMerge w:val="restart"/>
            <w:vAlign w:val="center"/>
          </w:tcPr>
          <w:p>
            <w:pPr>
              <w:pStyle w:val="39"/>
              <w:rPr>
                <w:rFonts w:cs="Times New Roman"/>
              </w:rPr>
            </w:pPr>
            <w:r>
              <w:rPr>
                <w:rFonts w:cs="Times New Roman"/>
                <w:kern w:val="0"/>
              </w:rPr>
              <w:t>鸡舍饲养</w:t>
            </w:r>
          </w:p>
        </w:tc>
        <w:tc>
          <w:tcPr>
            <w:tcW w:w="1271" w:type="dxa"/>
            <w:vAlign w:val="center"/>
          </w:tcPr>
          <w:p>
            <w:pPr>
              <w:pStyle w:val="39"/>
              <w:rPr>
                <w:rFonts w:cs="Times New Roman"/>
              </w:rPr>
            </w:pPr>
            <w:r>
              <w:rPr>
                <w:rFonts w:cs="Times New Roman"/>
                <w:kern w:val="0"/>
              </w:rPr>
              <w:t>鸡粪</w:t>
            </w:r>
          </w:p>
        </w:tc>
        <w:tc>
          <w:tcPr>
            <w:tcW w:w="1132" w:type="dxa"/>
            <w:vAlign w:val="center"/>
          </w:tcPr>
          <w:p>
            <w:pPr>
              <w:pStyle w:val="39"/>
              <w:rPr>
                <w:rFonts w:cs="Times New Roman"/>
                <w:b/>
              </w:rPr>
            </w:pPr>
            <w:r>
              <w:rPr>
                <w:rFonts w:cs="Times New Roman"/>
              </w:rPr>
              <w:t>30842.5</w:t>
            </w:r>
          </w:p>
        </w:tc>
        <w:tc>
          <w:tcPr>
            <w:tcW w:w="1148" w:type="dxa"/>
            <w:vAlign w:val="center"/>
          </w:tcPr>
          <w:p>
            <w:pPr>
              <w:jc w:val="center"/>
              <w:rPr>
                <w:rFonts w:ascii="Times New Roman" w:hAnsi="Times New Roman" w:eastAsia="等线" w:cs="Times New Roman"/>
              </w:rPr>
            </w:pPr>
            <w:r>
              <w:rPr>
                <w:rFonts w:ascii="Times New Roman" w:hAnsi="Times New Roman" w:eastAsia="等线" w:cs="Times New Roman"/>
              </w:rPr>
              <w:t>0</w:t>
            </w:r>
          </w:p>
        </w:tc>
        <w:tc>
          <w:tcPr>
            <w:tcW w:w="3820" w:type="dxa"/>
            <w:vAlign w:val="center"/>
          </w:tcPr>
          <w:p>
            <w:pPr>
              <w:pStyle w:val="39"/>
              <w:rPr>
                <w:rFonts w:cs="Times New Roman"/>
              </w:rPr>
            </w:pPr>
            <w:r>
              <w:rPr>
                <w:rFonts w:hint="eastAsia" w:cs="Times New Roman"/>
              </w:rPr>
              <w:t>多赛干燥机</w:t>
            </w:r>
            <w:r>
              <w:rPr>
                <w:rFonts w:cs="Times New Roman"/>
                <w:kern w:val="0"/>
              </w:rPr>
              <w:t>制作有机肥外售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7" w:type="dxa"/>
            <w:vMerge w:val="continue"/>
            <w:vAlign w:val="center"/>
          </w:tcPr>
          <w:p>
            <w:pPr>
              <w:pStyle w:val="39"/>
              <w:rPr>
                <w:rFonts w:cs="Times New Roman"/>
              </w:rPr>
            </w:pPr>
          </w:p>
        </w:tc>
        <w:tc>
          <w:tcPr>
            <w:tcW w:w="1375" w:type="dxa"/>
            <w:vMerge w:val="continue"/>
            <w:vAlign w:val="center"/>
          </w:tcPr>
          <w:p>
            <w:pPr>
              <w:pStyle w:val="39"/>
              <w:rPr>
                <w:rFonts w:cs="Times New Roman"/>
              </w:rPr>
            </w:pPr>
          </w:p>
        </w:tc>
        <w:tc>
          <w:tcPr>
            <w:tcW w:w="1271" w:type="dxa"/>
            <w:vAlign w:val="center"/>
          </w:tcPr>
          <w:p>
            <w:pPr>
              <w:pStyle w:val="39"/>
              <w:rPr>
                <w:rFonts w:cs="Times New Roman"/>
              </w:rPr>
            </w:pPr>
            <w:r>
              <w:rPr>
                <w:rFonts w:cs="Times New Roman"/>
                <w:kern w:val="0"/>
              </w:rPr>
              <w:t>病死鸡</w:t>
            </w:r>
          </w:p>
        </w:tc>
        <w:tc>
          <w:tcPr>
            <w:tcW w:w="1132" w:type="dxa"/>
            <w:vAlign w:val="center"/>
          </w:tcPr>
          <w:p>
            <w:pPr>
              <w:pStyle w:val="39"/>
              <w:rPr>
                <w:rFonts w:cs="Times New Roman"/>
              </w:rPr>
            </w:pPr>
            <w:r>
              <w:rPr>
                <w:rFonts w:hint="eastAsia" w:cs="Times New Roman"/>
              </w:rPr>
              <w:t>1.3</w:t>
            </w:r>
          </w:p>
        </w:tc>
        <w:tc>
          <w:tcPr>
            <w:tcW w:w="1148" w:type="dxa"/>
            <w:vAlign w:val="center"/>
          </w:tcPr>
          <w:p>
            <w:pPr>
              <w:jc w:val="center"/>
              <w:rPr>
                <w:rFonts w:ascii="Times New Roman" w:hAnsi="Times New Roman" w:eastAsia="等线" w:cs="Times New Roman"/>
              </w:rPr>
            </w:pPr>
            <w:r>
              <w:rPr>
                <w:rFonts w:ascii="Times New Roman" w:hAnsi="Times New Roman" w:eastAsia="等线" w:cs="Times New Roman"/>
              </w:rPr>
              <w:t>0</w:t>
            </w:r>
          </w:p>
        </w:tc>
        <w:tc>
          <w:tcPr>
            <w:tcW w:w="3820" w:type="dxa"/>
            <w:vAlign w:val="center"/>
          </w:tcPr>
          <w:p>
            <w:pPr>
              <w:widowControl w:val="0"/>
              <w:autoSpaceDE w:val="0"/>
              <w:autoSpaceDN w:val="0"/>
              <w:snapToGrid/>
              <w:jc w:val="center"/>
              <w:rPr>
                <w:rFonts w:ascii="Times New Roman" w:hAnsi="Times New Roman" w:eastAsia="宋体" w:cs="Times New Roman"/>
              </w:rPr>
            </w:pPr>
            <w:r>
              <w:rPr>
                <w:rFonts w:ascii="Times New Roman" w:hAnsi="Times New Roman" w:eastAsia="宋体" w:cs="Times New Roman"/>
              </w:rPr>
              <w:t>无害化处理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7" w:type="dxa"/>
            <w:vMerge w:val="continue"/>
            <w:vAlign w:val="center"/>
          </w:tcPr>
          <w:p>
            <w:pPr>
              <w:pStyle w:val="39"/>
              <w:rPr>
                <w:rFonts w:cs="Times New Roman"/>
              </w:rPr>
            </w:pPr>
          </w:p>
        </w:tc>
        <w:tc>
          <w:tcPr>
            <w:tcW w:w="1375" w:type="dxa"/>
            <w:vMerge w:val="continue"/>
            <w:vAlign w:val="center"/>
          </w:tcPr>
          <w:p>
            <w:pPr>
              <w:pStyle w:val="39"/>
              <w:rPr>
                <w:rFonts w:cs="Times New Roman"/>
              </w:rPr>
            </w:pPr>
          </w:p>
        </w:tc>
        <w:tc>
          <w:tcPr>
            <w:tcW w:w="1271" w:type="dxa"/>
            <w:vAlign w:val="center"/>
          </w:tcPr>
          <w:p>
            <w:pPr>
              <w:pStyle w:val="39"/>
              <w:rPr>
                <w:rFonts w:cs="Times New Roman"/>
              </w:rPr>
            </w:pPr>
            <w:r>
              <w:rPr>
                <w:rFonts w:cs="Times New Roman"/>
                <w:kern w:val="0"/>
              </w:rPr>
              <w:t>蛋壳</w:t>
            </w:r>
          </w:p>
        </w:tc>
        <w:tc>
          <w:tcPr>
            <w:tcW w:w="1132" w:type="dxa"/>
            <w:vAlign w:val="center"/>
          </w:tcPr>
          <w:p>
            <w:pPr>
              <w:pStyle w:val="39"/>
              <w:rPr>
                <w:rFonts w:cs="Times New Roman"/>
              </w:rPr>
            </w:pPr>
            <w:r>
              <w:rPr>
                <w:rFonts w:hint="eastAsia" w:cs="Times New Roman"/>
              </w:rPr>
              <w:t>1.25</w:t>
            </w:r>
          </w:p>
        </w:tc>
        <w:tc>
          <w:tcPr>
            <w:tcW w:w="1148" w:type="dxa"/>
            <w:vAlign w:val="center"/>
          </w:tcPr>
          <w:p>
            <w:pPr>
              <w:jc w:val="center"/>
              <w:rPr>
                <w:rFonts w:ascii="Times New Roman" w:hAnsi="Times New Roman" w:eastAsia="等线" w:cs="Times New Roman"/>
              </w:rPr>
            </w:pPr>
            <w:r>
              <w:rPr>
                <w:rFonts w:ascii="Times New Roman" w:hAnsi="Times New Roman" w:eastAsia="等线" w:cs="Times New Roman"/>
              </w:rPr>
              <w:t>0</w:t>
            </w:r>
          </w:p>
        </w:tc>
        <w:tc>
          <w:tcPr>
            <w:tcW w:w="3820" w:type="dxa"/>
            <w:vAlign w:val="center"/>
          </w:tcPr>
          <w:p>
            <w:pPr>
              <w:jc w:val="center"/>
              <w:rPr>
                <w:rFonts w:ascii="Times New Roman" w:hAnsi="Times New Roman" w:eastAsia="等线" w:cs="Times New Roman"/>
              </w:rPr>
            </w:pPr>
            <w:r>
              <w:rPr>
                <w:rFonts w:hint="eastAsia" w:ascii="Times New Roman" w:hAnsi="Times New Roman" w:eastAsia="宋体" w:cs="Times New Roman"/>
              </w:rPr>
              <w:t>破碎后</w:t>
            </w:r>
            <w:r>
              <w:rPr>
                <w:rFonts w:ascii="Times New Roman" w:hAnsi="Times New Roman" w:eastAsia="宋体" w:cs="Times New Roman"/>
              </w:rPr>
              <w:t>与</w:t>
            </w:r>
            <w:r>
              <w:rPr>
                <w:rFonts w:hint="eastAsia" w:ascii="Times New Roman" w:hAnsi="Times New Roman" w:eastAsia="宋体" w:cs="Times New Roman"/>
              </w:rPr>
              <w:t>鸡粪作为有机肥一并</w:t>
            </w:r>
            <w:r>
              <w:rPr>
                <w:rFonts w:ascii="Times New Roman" w:hAnsi="Times New Roman" w:eastAsia="宋体" w:cs="Times New Roman"/>
              </w:rPr>
              <w:t>外售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7" w:type="dxa"/>
            <w:vMerge w:val="continue"/>
            <w:vAlign w:val="center"/>
          </w:tcPr>
          <w:p>
            <w:pPr>
              <w:pStyle w:val="39"/>
              <w:rPr>
                <w:rFonts w:cs="Times New Roman"/>
              </w:rPr>
            </w:pPr>
          </w:p>
        </w:tc>
        <w:tc>
          <w:tcPr>
            <w:tcW w:w="1375" w:type="dxa"/>
            <w:vAlign w:val="center"/>
          </w:tcPr>
          <w:p>
            <w:pPr>
              <w:pStyle w:val="39"/>
              <w:rPr>
                <w:rFonts w:cs="Times New Roman"/>
              </w:rPr>
            </w:pPr>
            <w:r>
              <w:rPr>
                <w:rFonts w:cs="Times New Roman"/>
                <w:kern w:val="0"/>
              </w:rPr>
              <w:t>原料包装</w:t>
            </w:r>
          </w:p>
        </w:tc>
        <w:tc>
          <w:tcPr>
            <w:tcW w:w="1271" w:type="dxa"/>
            <w:vAlign w:val="center"/>
          </w:tcPr>
          <w:p>
            <w:pPr>
              <w:pStyle w:val="39"/>
              <w:rPr>
                <w:rFonts w:cs="Times New Roman"/>
              </w:rPr>
            </w:pPr>
            <w:r>
              <w:rPr>
                <w:rFonts w:cs="Times New Roman"/>
                <w:kern w:val="0"/>
              </w:rPr>
              <w:t>废包装物料</w:t>
            </w:r>
          </w:p>
        </w:tc>
        <w:tc>
          <w:tcPr>
            <w:tcW w:w="1132" w:type="dxa"/>
            <w:vAlign w:val="center"/>
          </w:tcPr>
          <w:p>
            <w:pPr>
              <w:pStyle w:val="39"/>
              <w:rPr>
                <w:rFonts w:cs="Times New Roman"/>
              </w:rPr>
            </w:pPr>
            <w:r>
              <w:rPr>
                <w:rFonts w:cs="Times New Roman"/>
              </w:rPr>
              <w:t>2.0</w:t>
            </w:r>
          </w:p>
        </w:tc>
        <w:tc>
          <w:tcPr>
            <w:tcW w:w="1148" w:type="dxa"/>
            <w:vAlign w:val="center"/>
          </w:tcPr>
          <w:p>
            <w:pPr>
              <w:jc w:val="center"/>
              <w:rPr>
                <w:rFonts w:ascii="Times New Roman" w:hAnsi="Times New Roman" w:eastAsia="等线" w:cs="Times New Roman"/>
              </w:rPr>
            </w:pPr>
            <w:r>
              <w:rPr>
                <w:rFonts w:ascii="Times New Roman" w:hAnsi="Times New Roman" w:eastAsia="等线" w:cs="Times New Roman"/>
              </w:rPr>
              <w:t>0</w:t>
            </w:r>
          </w:p>
        </w:tc>
        <w:tc>
          <w:tcPr>
            <w:tcW w:w="3820" w:type="dxa"/>
            <w:vAlign w:val="center"/>
          </w:tcPr>
          <w:p>
            <w:pPr>
              <w:pStyle w:val="39"/>
              <w:rPr>
                <w:rFonts w:cs="Times New Roman"/>
              </w:rPr>
            </w:pPr>
            <w:r>
              <w:rPr>
                <w:rFonts w:cs="Times New Roman"/>
                <w:kern w:val="0"/>
              </w:rPr>
              <w:t>交由供应商回收处理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7" w:type="dxa"/>
            <w:vMerge w:val="continue"/>
            <w:vAlign w:val="center"/>
          </w:tcPr>
          <w:p>
            <w:pPr>
              <w:pStyle w:val="39"/>
              <w:rPr>
                <w:rFonts w:cs="Times New Roman"/>
              </w:rPr>
            </w:pPr>
          </w:p>
        </w:tc>
        <w:tc>
          <w:tcPr>
            <w:tcW w:w="1375" w:type="dxa"/>
            <w:vAlign w:val="center"/>
          </w:tcPr>
          <w:p>
            <w:pPr>
              <w:pStyle w:val="39"/>
              <w:rPr>
                <w:rFonts w:cs="Times New Roman"/>
              </w:rPr>
            </w:pPr>
            <w:r>
              <w:rPr>
                <w:rFonts w:cs="Times New Roman"/>
                <w:kern w:val="0"/>
              </w:rPr>
              <w:t>防疫、消毒</w:t>
            </w:r>
          </w:p>
        </w:tc>
        <w:tc>
          <w:tcPr>
            <w:tcW w:w="1271" w:type="dxa"/>
            <w:vAlign w:val="center"/>
          </w:tcPr>
          <w:p>
            <w:pPr>
              <w:pStyle w:val="39"/>
              <w:rPr>
                <w:rFonts w:cs="Times New Roman"/>
              </w:rPr>
            </w:pPr>
            <w:r>
              <w:rPr>
                <w:rFonts w:cs="Times New Roman"/>
                <w:kern w:val="0"/>
              </w:rPr>
              <w:t>医疗垃圾</w:t>
            </w:r>
          </w:p>
        </w:tc>
        <w:tc>
          <w:tcPr>
            <w:tcW w:w="1132" w:type="dxa"/>
            <w:vAlign w:val="center"/>
          </w:tcPr>
          <w:p>
            <w:pPr>
              <w:pStyle w:val="39"/>
              <w:rPr>
                <w:rFonts w:cs="Times New Roman"/>
              </w:rPr>
            </w:pPr>
            <w:r>
              <w:rPr>
                <w:rFonts w:cs="Times New Roman"/>
              </w:rPr>
              <w:t>0.5</w:t>
            </w:r>
          </w:p>
        </w:tc>
        <w:tc>
          <w:tcPr>
            <w:tcW w:w="1148" w:type="dxa"/>
            <w:vAlign w:val="center"/>
          </w:tcPr>
          <w:p>
            <w:pPr>
              <w:jc w:val="center"/>
              <w:rPr>
                <w:rFonts w:ascii="Times New Roman" w:hAnsi="Times New Roman" w:eastAsia="等线" w:cs="Times New Roman"/>
              </w:rPr>
            </w:pPr>
            <w:r>
              <w:rPr>
                <w:rFonts w:ascii="Times New Roman" w:hAnsi="Times New Roman" w:eastAsia="等线" w:cs="Times New Roman"/>
              </w:rPr>
              <w:t>0</w:t>
            </w:r>
          </w:p>
        </w:tc>
        <w:tc>
          <w:tcPr>
            <w:tcW w:w="3820" w:type="dxa"/>
            <w:vAlign w:val="center"/>
          </w:tcPr>
          <w:p>
            <w:pPr>
              <w:pStyle w:val="39"/>
              <w:rPr>
                <w:rFonts w:cs="Times New Roman"/>
              </w:rPr>
            </w:pPr>
            <w:r>
              <w:rPr>
                <w:rFonts w:cs="Times New Roman"/>
                <w:kern w:val="0"/>
              </w:rPr>
              <w:t>交由有资质单位处置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7" w:type="dxa"/>
            <w:vMerge w:val="continue"/>
            <w:vAlign w:val="center"/>
          </w:tcPr>
          <w:p>
            <w:pPr>
              <w:pStyle w:val="39"/>
              <w:rPr>
                <w:rFonts w:cs="Times New Roman"/>
              </w:rPr>
            </w:pPr>
          </w:p>
        </w:tc>
        <w:tc>
          <w:tcPr>
            <w:tcW w:w="1375" w:type="dxa"/>
            <w:vMerge w:val="restart"/>
            <w:vAlign w:val="center"/>
          </w:tcPr>
          <w:p>
            <w:pPr>
              <w:pStyle w:val="39"/>
              <w:rPr>
                <w:rFonts w:cs="Times New Roman"/>
              </w:rPr>
            </w:pPr>
            <w:r>
              <w:rPr>
                <w:rFonts w:hint="eastAsia" w:cs="Times New Roman"/>
              </w:rPr>
              <w:t>锅炉</w:t>
            </w:r>
          </w:p>
        </w:tc>
        <w:tc>
          <w:tcPr>
            <w:tcW w:w="1271" w:type="dxa"/>
            <w:vAlign w:val="center"/>
          </w:tcPr>
          <w:p>
            <w:pPr>
              <w:pStyle w:val="39"/>
              <w:rPr>
                <w:rFonts w:cs="Times New Roman"/>
              </w:rPr>
            </w:pPr>
            <w:r>
              <w:rPr>
                <w:rFonts w:hint="eastAsia"/>
              </w:rPr>
              <w:t>锅炉灰渣</w:t>
            </w:r>
          </w:p>
        </w:tc>
        <w:tc>
          <w:tcPr>
            <w:tcW w:w="1132" w:type="dxa"/>
            <w:vAlign w:val="center"/>
          </w:tcPr>
          <w:p>
            <w:pPr>
              <w:pStyle w:val="39"/>
              <w:rPr>
                <w:rFonts w:cs="Times New Roman"/>
              </w:rPr>
            </w:pPr>
            <w:r>
              <w:rPr>
                <w:rFonts w:hint="eastAsia" w:cs="Times New Roman"/>
              </w:rPr>
              <w:t>6.48</w:t>
            </w:r>
          </w:p>
        </w:tc>
        <w:tc>
          <w:tcPr>
            <w:tcW w:w="1148" w:type="dxa"/>
            <w:vAlign w:val="center"/>
          </w:tcPr>
          <w:p>
            <w:pPr>
              <w:jc w:val="center"/>
              <w:rPr>
                <w:rFonts w:ascii="Times New Roman" w:hAnsi="Times New Roman" w:eastAsia="等线" w:cs="Times New Roman"/>
              </w:rPr>
            </w:pPr>
            <w:r>
              <w:rPr>
                <w:rFonts w:hint="eastAsia" w:ascii="Times New Roman" w:hAnsi="Times New Roman" w:eastAsia="等线" w:cs="Times New Roman"/>
              </w:rPr>
              <w:t>0</w:t>
            </w:r>
          </w:p>
        </w:tc>
        <w:tc>
          <w:tcPr>
            <w:tcW w:w="3820" w:type="dxa"/>
            <w:vMerge w:val="restart"/>
            <w:vAlign w:val="center"/>
          </w:tcPr>
          <w:p>
            <w:pPr>
              <w:pStyle w:val="39"/>
              <w:rPr>
                <w:rFonts w:cs="Times New Roman"/>
              </w:rPr>
            </w:pPr>
            <w:r>
              <w:rPr>
                <w:rFonts w:hint="eastAsia"/>
              </w:rPr>
              <w:t>收集后暂存于固废暂存间，定期出售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7" w:type="dxa"/>
            <w:vMerge w:val="continue"/>
            <w:vAlign w:val="center"/>
          </w:tcPr>
          <w:p>
            <w:pPr>
              <w:pStyle w:val="39"/>
              <w:rPr>
                <w:rFonts w:cs="Times New Roman"/>
              </w:rPr>
            </w:pPr>
          </w:p>
        </w:tc>
        <w:tc>
          <w:tcPr>
            <w:tcW w:w="1375" w:type="dxa"/>
            <w:vMerge w:val="continue"/>
            <w:vAlign w:val="center"/>
          </w:tcPr>
          <w:p>
            <w:pPr>
              <w:pStyle w:val="39"/>
              <w:rPr>
                <w:rFonts w:cs="Times New Roman"/>
              </w:rPr>
            </w:pPr>
          </w:p>
        </w:tc>
        <w:tc>
          <w:tcPr>
            <w:tcW w:w="1271" w:type="dxa"/>
            <w:vAlign w:val="center"/>
          </w:tcPr>
          <w:p>
            <w:pPr>
              <w:pStyle w:val="39"/>
              <w:rPr>
                <w:rFonts w:cs="Times New Roman"/>
              </w:rPr>
            </w:pPr>
            <w:r>
              <w:rPr>
                <w:rFonts w:hint="eastAsia"/>
              </w:rPr>
              <w:t>除尘灰</w:t>
            </w:r>
          </w:p>
        </w:tc>
        <w:tc>
          <w:tcPr>
            <w:tcW w:w="1132" w:type="dxa"/>
            <w:vAlign w:val="center"/>
          </w:tcPr>
          <w:p>
            <w:pPr>
              <w:pStyle w:val="39"/>
              <w:rPr>
                <w:rFonts w:cs="Times New Roman"/>
              </w:rPr>
            </w:pPr>
            <w:r>
              <w:rPr>
                <w:rFonts w:cs="Times New Roman"/>
              </w:rPr>
              <w:t>0.318</w:t>
            </w:r>
          </w:p>
        </w:tc>
        <w:tc>
          <w:tcPr>
            <w:tcW w:w="1148" w:type="dxa"/>
            <w:vAlign w:val="center"/>
          </w:tcPr>
          <w:p>
            <w:pPr>
              <w:jc w:val="center"/>
              <w:rPr>
                <w:rFonts w:ascii="Times New Roman" w:hAnsi="Times New Roman" w:eastAsia="等线" w:cs="Times New Roman"/>
              </w:rPr>
            </w:pPr>
            <w:r>
              <w:rPr>
                <w:rFonts w:hint="eastAsia" w:ascii="Times New Roman" w:hAnsi="Times New Roman" w:eastAsia="等线" w:cs="Times New Roman"/>
              </w:rPr>
              <w:t>0</w:t>
            </w:r>
          </w:p>
        </w:tc>
        <w:tc>
          <w:tcPr>
            <w:tcW w:w="3820" w:type="dxa"/>
            <w:vMerge w:val="continue"/>
            <w:vAlign w:val="center"/>
          </w:tcPr>
          <w:p>
            <w:pPr>
              <w:pStyle w:val="3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7" w:type="dxa"/>
            <w:vMerge w:val="continue"/>
            <w:vAlign w:val="center"/>
          </w:tcPr>
          <w:p>
            <w:pPr>
              <w:pStyle w:val="39"/>
              <w:rPr>
                <w:rFonts w:cs="Times New Roman"/>
              </w:rPr>
            </w:pPr>
          </w:p>
        </w:tc>
        <w:tc>
          <w:tcPr>
            <w:tcW w:w="1375" w:type="dxa"/>
            <w:vAlign w:val="center"/>
          </w:tcPr>
          <w:p>
            <w:pPr>
              <w:pStyle w:val="39"/>
              <w:rPr>
                <w:rFonts w:cs="Times New Roman"/>
              </w:rPr>
            </w:pPr>
            <w:r>
              <w:rPr>
                <w:rFonts w:cs="Times New Roman"/>
                <w:kern w:val="0"/>
              </w:rPr>
              <w:t>员工生活</w:t>
            </w:r>
          </w:p>
        </w:tc>
        <w:tc>
          <w:tcPr>
            <w:tcW w:w="1271" w:type="dxa"/>
            <w:vAlign w:val="center"/>
          </w:tcPr>
          <w:p>
            <w:pPr>
              <w:pStyle w:val="39"/>
              <w:rPr>
                <w:rFonts w:cs="Times New Roman"/>
              </w:rPr>
            </w:pPr>
            <w:r>
              <w:rPr>
                <w:rFonts w:cs="Times New Roman"/>
                <w:kern w:val="0"/>
              </w:rPr>
              <w:t>生活垃圾</w:t>
            </w:r>
          </w:p>
        </w:tc>
        <w:tc>
          <w:tcPr>
            <w:tcW w:w="1132" w:type="dxa"/>
            <w:vAlign w:val="center"/>
          </w:tcPr>
          <w:p>
            <w:pPr>
              <w:pStyle w:val="39"/>
              <w:rPr>
                <w:rFonts w:cs="Times New Roman"/>
              </w:rPr>
            </w:pPr>
            <w:r>
              <w:rPr>
                <w:rFonts w:cs="Times New Roman"/>
              </w:rPr>
              <w:t>58.4</w:t>
            </w:r>
          </w:p>
        </w:tc>
        <w:tc>
          <w:tcPr>
            <w:tcW w:w="1148" w:type="dxa"/>
            <w:vAlign w:val="center"/>
          </w:tcPr>
          <w:p>
            <w:pPr>
              <w:jc w:val="center"/>
              <w:rPr>
                <w:rFonts w:ascii="Times New Roman" w:hAnsi="Times New Roman" w:eastAsia="等线" w:cs="Times New Roman"/>
              </w:rPr>
            </w:pPr>
            <w:r>
              <w:rPr>
                <w:rFonts w:ascii="Times New Roman" w:hAnsi="Times New Roman" w:eastAsia="等线" w:cs="Times New Roman"/>
              </w:rPr>
              <w:t>0</w:t>
            </w:r>
          </w:p>
        </w:tc>
        <w:tc>
          <w:tcPr>
            <w:tcW w:w="3820" w:type="dxa"/>
            <w:vAlign w:val="center"/>
          </w:tcPr>
          <w:p>
            <w:pPr>
              <w:pStyle w:val="39"/>
              <w:rPr>
                <w:rFonts w:cs="Times New Roman"/>
              </w:rPr>
            </w:pPr>
            <w:r>
              <w:rPr>
                <w:rFonts w:cs="Times New Roman"/>
                <w:kern w:val="0"/>
              </w:rPr>
              <w:t>由环卫部门统一处理</w:t>
            </w:r>
          </w:p>
        </w:tc>
      </w:tr>
    </w:tbl>
    <w:p>
      <w:pPr>
        <w:pStyle w:val="2"/>
      </w:pPr>
      <w:bookmarkStart w:id="20" w:name="_Toc80889080"/>
      <w:r>
        <w:rPr>
          <w:rFonts w:hint="eastAsia"/>
        </w:rPr>
        <w:t>环境</w:t>
      </w:r>
      <w:r>
        <w:t>现状调查与评价</w:t>
      </w:r>
      <w:bookmarkEnd w:id="20"/>
    </w:p>
    <w:p>
      <w:pPr>
        <w:pStyle w:val="5"/>
      </w:pPr>
      <w:bookmarkStart w:id="21" w:name="_Toc80889081"/>
      <w:r>
        <w:rPr>
          <w:rFonts w:hint="eastAsia"/>
        </w:rPr>
        <w:t>自然</w:t>
      </w:r>
      <w:r>
        <w:t>环境概况</w:t>
      </w:r>
      <w:bookmarkEnd w:id="21"/>
    </w:p>
    <w:p>
      <w:pPr>
        <w:pStyle w:val="6"/>
        <w:rPr>
          <w:rFonts w:cs="Times New Roman"/>
        </w:rPr>
      </w:pPr>
      <w:bookmarkStart w:id="22" w:name="_Toc4440"/>
      <w:bookmarkStart w:id="23" w:name="_Toc23245"/>
      <w:bookmarkStart w:id="24" w:name="_Toc19883"/>
      <w:bookmarkStart w:id="25" w:name="_Toc11127"/>
      <w:bookmarkStart w:id="26" w:name="_Toc23256"/>
      <w:bookmarkStart w:id="27" w:name="_Toc7872"/>
      <w:bookmarkStart w:id="28" w:name="_Toc30872"/>
      <w:bookmarkStart w:id="29" w:name="_Toc18845"/>
      <w:bookmarkStart w:id="30" w:name="_Toc10732"/>
      <w:r>
        <w:rPr>
          <w:rFonts w:cs="Times New Roman"/>
        </w:rPr>
        <w:t>地理位置</w:t>
      </w:r>
      <w:bookmarkEnd w:id="22"/>
      <w:bookmarkEnd w:id="23"/>
      <w:bookmarkEnd w:id="24"/>
      <w:bookmarkEnd w:id="25"/>
      <w:bookmarkEnd w:id="26"/>
      <w:bookmarkEnd w:id="27"/>
      <w:bookmarkEnd w:id="28"/>
      <w:bookmarkEnd w:id="29"/>
      <w:bookmarkEnd w:id="30"/>
    </w:p>
    <w:p>
      <w:pPr>
        <w:pStyle w:val="3"/>
        <w:ind w:firstLine="480"/>
        <w:rPr>
          <w:rFonts w:cs="Times New Roman"/>
        </w:rPr>
      </w:pPr>
      <w:r>
        <w:rPr>
          <w:rFonts w:cs="Times New Roman"/>
        </w:rPr>
        <w:t>衡阳县位于湖南省中南部，东临衡山县，南靠衡阳市区和衡南县、祁东县，西连邵东县，北接双峰县，南北最长55公里，东西最宽74公里，总面积2558平方公里。现辖乡、镇26个，行政村893个，面积2557.52平方公里，人口111.48万，境内有岣嵝峰国家森林公园及湘西草堂等名胜。地理位置东经112°00ˊ00〞-112°45ˊ00〞，北纬26°52ˊ40〞-27°22ˊ35〞。东、西、北为丘陵、山地，中部和南部为盆地，气候温暖潮湿，有蒸水河及支流武水河两条主要河流。国道107线，省道315线纵贯南北东西，并与各乡镇相连，交通十分便利。</w:t>
      </w:r>
    </w:p>
    <w:p>
      <w:pPr>
        <w:pStyle w:val="3"/>
        <w:ind w:firstLine="480"/>
        <w:rPr>
          <w:rFonts w:cs="Times New Roman"/>
        </w:rPr>
      </w:pPr>
      <w:r>
        <w:rPr>
          <w:rFonts w:hint="eastAsia" w:cs="Times New Roman"/>
        </w:rPr>
        <w:t>本项目位于衡阳县台</w:t>
      </w:r>
      <w:r>
        <w:rPr>
          <w:rFonts w:cs="Times New Roman"/>
        </w:rPr>
        <w:t>源镇前进村财冲组和东湖寺村近丝塘组</w:t>
      </w:r>
      <w:r>
        <w:rPr>
          <w:rFonts w:hint="eastAsia" w:cs="Times New Roman"/>
        </w:rPr>
        <w:t>（2000坐标系厂区中心经纬度，</w:t>
      </w:r>
      <w:r>
        <w:rPr>
          <w:rFonts w:cs="Times New Roman"/>
        </w:rPr>
        <w:t>东经：112°23'40.7382"、北纬：27°4'39.6789</w:t>
      </w:r>
      <w:r>
        <w:rPr>
          <w:rFonts w:hint="eastAsia" w:cs="Times New Roman"/>
        </w:rPr>
        <w:t>″），项目地理位置见附图1</w:t>
      </w:r>
      <w:r>
        <w:rPr>
          <w:rFonts w:cs="Times New Roman"/>
        </w:rPr>
        <w:t>。</w:t>
      </w:r>
    </w:p>
    <w:p>
      <w:pPr>
        <w:pStyle w:val="6"/>
        <w:rPr>
          <w:rFonts w:cs="Times New Roman"/>
        </w:rPr>
      </w:pPr>
      <w:r>
        <w:rPr>
          <w:rFonts w:cs="Times New Roman"/>
        </w:rPr>
        <w:t>地形、地貌、地质</w:t>
      </w:r>
    </w:p>
    <w:p>
      <w:pPr>
        <w:pStyle w:val="3"/>
        <w:ind w:firstLine="480"/>
        <w:rPr>
          <w:rFonts w:cs="Times New Roman"/>
        </w:rPr>
      </w:pPr>
      <w:r>
        <w:rPr>
          <w:rFonts w:cs="Times New Roman"/>
        </w:rPr>
        <w:t>衡阳县位于衡阳盆地中心，地貌类型多样，大致比例是山地20%、丘陵40%、岗地15%、平原25%。本项目所在地地势较平坦，周边区域现有地表主要为丘陵、山地、旱土。境内地貌类型分为构造地貌、侵蚀地貌和堆积地貌。而构造地貌为南岳山体的主要部分。主要地貌特征表现为：（一）地貌类型多样而以山地丘岗为主；(二)阶梯层状结构明显。境内地势中高周低，由海拔1000m以上、700-800m、400-500m、150-200m分别构成四级阶梯状；（三）断层地貌发育。山体两侧皆有断层，凡两级阶梯交界处都有悬谷存在，若有水流，则形成瀑布；（四）地表破碎，岩洞石蛋遍布。因境内降水丰富，各种形式的流水作用活跃，对地表冲刷能力强，使地表分割破碎，河谷发育，河网冲沟密度为2.5km/km</w:t>
      </w:r>
      <w:r>
        <w:rPr>
          <w:rFonts w:cs="Times New Roman"/>
          <w:vertAlign w:val="superscript"/>
        </w:rPr>
        <w:t>2</w:t>
      </w:r>
      <w:r>
        <w:rPr>
          <w:rFonts w:cs="Times New Roman"/>
        </w:rPr>
        <w:t>。</w:t>
      </w:r>
    </w:p>
    <w:p>
      <w:pPr>
        <w:pStyle w:val="3"/>
        <w:ind w:firstLine="480"/>
        <w:rPr>
          <w:rFonts w:cs="Times New Roman"/>
        </w:rPr>
      </w:pPr>
      <w:r>
        <w:rPr>
          <w:rFonts w:cs="Times New Roman"/>
        </w:rPr>
        <w:t>区域地质构造以单一的褶皱为主，属相对构造稳定区。根据本区历史地震记载以及《中国地震区划图》和《湖南省地震烈度分区土图》等资料表明，本区地震基本烈度为V度区。项目拟建地地面标高</w:t>
      </w:r>
      <w:r>
        <w:rPr>
          <w:rFonts w:hint="eastAsia" w:cs="Times New Roman"/>
        </w:rPr>
        <w:t>141-160</w:t>
      </w:r>
      <w:r>
        <w:rPr>
          <w:rFonts w:cs="Times New Roman"/>
        </w:rPr>
        <w:t>m，最大高差19m。</w:t>
      </w:r>
    </w:p>
    <w:p>
      <w:pPr>
        <w:pStyle w:val="6"/>
        <w:rPr>
          <w:rFonts w:cs="Times New Roman"/>
        </w:rPr>
      </w:pPr>
      <w:r>
        <w:rPr>
          <w:rFonts w:cs="Times New Roman"/>
        </w:rPr>
        <w:t>气象气候</w:t>
      </w:r>
    </w:p>
    <w:p>
      <w:pPr>
        <w:pStyle w:val="3"/>
        <w:ind w:firstLine="480"/>
        <w:rPr>
          <w:rFonts w:cs="Times New Roman"/>
        </w:rPr>
      </w:pPr>
      <w:r>
        <w:rPr>
          <w:rFonts w:cs="Times New Roman"/>
        </w:rPr>
        <w:t>衡阳县气候温暖湿润，属</w:t>
      </w:r>
      <w:r>
        <w:fldChar w:fldCharType="begin"/>
      </w:r>
      <w:r>
        <w:instrText xml:space="preserve"> HYPERLINK "http://baike.baidu.com/view/47993.htm" </w:instrText>
      </w:r>
      <w:r>
        <w:fldChar w:fldCharType="separate"/>
      </w:r>
      <w:r>
        <w:rPr>
          <w:rFonts w:cs="Times New Roman"/>
        </w:rPr>
        <w:t>亚热带季风气候</w:t>
      </w:r>
      <w:r>
        <w:rPr>
          <w:rFonts w:cs="Times New Roman"/>
        </w:rPr>
        <w:fldChar w:fldCharType="end"/>
      </w:r>
      <w:r>
        <w:rPr>
          <w:rFonts w:cs="Times New Roman"/>
        </w:rPr>
        <w:t>，具有热量充足、雨水集中、春暖多变、夏秋多旱、冬寒期短、暑热期长的特征。年均气温17.8摄氏度，最高年为19. l</w:t>
      </w:r>
      <w:r>
        <w:rPr>
          <w:rFonts w:hint="eastAsia" w:ascii="宋体" w:hAnsi="宋体" w:cs="宋体"/>
        </w:rPr>
        <w:t>℃</w:t>
      </w:r>
      <w:r>
        <w:rPr>
          <w:rFonts w:cs="Times New Roman"/>
        </w:rPr>
        <w:t>，最低年为17.21</w:t>
      </w:r>
      <w:r>
        <w:rPr>
          <w:rFonts w:hint="eastAsia" w:ascii="宋体" w:hAnsi="宋体" w:cs="宋体"/>
        </w:rPr>
        <w:t>℃</w:t>
      </w:r>
      <w:r>
        <w:rPr>
          <w:rFonts w:cs="Times New Roman"/>
        </w:rPr>
        <w:t>，1月份平均气温最低，为5.4</w:t>
      </w:r>
      <w:r>
        <w:rPr>
          <w:rFonts w:hint="eastAsia" w:ascii="宋体" w:hAnsi="宋体" w:cs="宋体"/>
        </w:rPr>
        <w:t>℃</w:t>
      </w:r>
      <w:r>
        <w:rPr>
          <w:rFonts w:cs="Times New Roman"/>
        </w:rPr>
        <w:t>，7月份平均气温最高，为29. 8'C；年降雨量1268.8毫米左右，降水季节分配不均匀，4-6月占全年降水量45%，年均降水日数为157天；全年无霜期为287天；一年之中日照时数7月份最多，达278.lh，占该月可照时数的66%，2月最少，为52h，占该月可照时数的20%。年平均蒸发量为1396.lmm，其中旱季（7-9月）占44.9%，雨季占26.9%。7月份平均最大蒸发量达248.6mm。2月份平均最小为41.6mm，年际月值变化1963年最大为1649.4mm，1975年最小为1227.2mm。</w:t>
      </w:r>
    </w:p>
    <w:p>
      <w:pPr>
        <w:pStyle w:val="3"/>
        <w:ind w:firstLine="480"/>
        <w:rPr>
          <w:rFonts w:cs="Times New Roman"/>
        </w:rPr>
      </w:pPr>
      <w:r>
        <w:rPr>
          <w:rFonts w:cs="Times New Roman"/>
        </w:rPr>
        <w:t>衡阳县境内各时期风向具有明显的季节变化。冬季盛行偏北风，夏季盛行偏南风，春秋二季以东北风居多，间有东南风，风向多为东北向，频率为25%。年均风速为2.2m/s。以4月份风速最大，平均风速为2.4m/s。6月最小，平均风速为1.9m/s。</w:t>
      </w:r>
    </w:p>
    <w:p>
      <w:pPr>
        <w:pStyle w:val="6"/>
        <w:keepNext w:val="0"/>
        <w:keepLines w:val="0"/>
        <w:jc w:val="left"/>
        <w:rPr>
          <w:rFonts w:cs="Times New Roman"/>
        </w:rPr>
      </w:pPr>
      <w:r>
        <w:rPr>
          <w:rFonts w:cs="Times New Roman"/>
        </w:rPr>
        <w:t>水文</w:t>
      </w:r>
    </w:p>
    <w:p>
      <w:pPr>
        <w:pStyle w:val="3"/>
        <w:ind w:firstLine="480"/>
        <w:rPr>
          <w:rFonts w:cs="Times New Roman"/>
        </w:rPr>
      </w:pPr>
      <w:r>
        <w:rPr>
          <w:rFonts w:cs="Times New Roman"/>
        </w:rPr>
        <w:t>（1）地表水</w:t>
      </w:r>
    </w:p>
    <w:p>
      <w:pPr>
        <w:pStyle w:val="3"/>
        <w:ind w:firstLine="480"/>
      </w:pPr>
      <w:r>
        <w:t>衡阳县境内有湘江、耒水、舂陵江、蒸水。湘江是湖南省最大河流。湘江，长江中游南岸重要支流。又称湘水。主源海洋河，源出广西临桂县海洋坪的龙门 界，于全州附近，汇灌江和罗江，北流入湖南省，经17县市，在湘阴濠河口分为东西两支，至芦林潭又汇合注入洞庭湖。干流全长856千米，流域面积9.46万平方千米，沿途接纳大小支流1300多条，主要支流有潇水、舂陵水、耒水、洣水、蒸水、涟水等。多年平均入湖水量713亿立方米。湘江支流众多，部分支流水土流失较重。零陵以上为上游，流经山区，谷窄、流短、水急，雨期多暴雨， 枯水期地下水补给占25%左右。零陵至衡阳为中游，沿岸丘陵起伏，红层盆地错落其间，河宽250米</w:t>
      </w:r>
      <w:r>
        <w:rPr>
          <w:rFonts w:eastAsia="微软雅黑"/>
        </w:rPr>
        <w:t>〜</w:t>
      </w:r>
      <w:r>
        <w:t>1000米，常年可通航15吨</w:t>
      </w:r>
      <w:r>
        <w:rPr>
          <w:rFonts w:eastAsia="微软雅黑"/>
        </w:rPr>
        <w:t>〜</w:t>
      </w:r>
      <w:r>
        <w:t>200吨驳轮。衡阳以下进入下游，河宽500米</w:t>
      </w:r>
      <w:r>
        <w:rPr>
          <w:rFonts w:eastAsia="微软雅黑"/>
        </w:rPr>
        <w:t>〜</w:t>
      </w:r>
      <w:r>
        <w:t>1000米，常年可通航15吨</w:t>
      </w:r>
      <w:r>
        <w:rPr>
          <w:rFonts w:eastAsia="微软雅黑"/>
        </w:rPr>
        <w:t>〜</w:t>
      </w:r>
      <w:r>
        <w:t>300吨驳轮，沿河泥沙淤积，多边滩、心滩、沙洲。</w:t>
      </w:r>
    </w:p>
    <w:p>
      <w:pPr>
        <w:pStyle w:val="3"/>
        <w:ind w:firstLine="480"/>
        <w:rPr>
          <w:rFonts w:cs="Times New Roman"/>
        </w:rPr>
      </w:pPr>
      <w:r>
        <w:rPr>
          <w:rFonts w:cs="Times New Roman"/>
        </w:rPr>
        <w:t>本项目</w:t>
      </w:r>
      <w:r>
        <w:rPr>
          <w:rFonts w:hint="eastAsia" w:cs="Times New Roman"/>
        </w:rPr>
        <w:t>废水经过化粪池</w:t>
      </w:r>
      <w:r>
        <w:rPr>
          <w:rFonts w:cs="Times New Roman"/>
        </w:rPr>
        <w:t>处理后用作农肥，不排入地表水，因此不涉及纳污水体，雨水分区排入建设用地</w:t>
      </w:r>
      <w:r>
        <w:rPr>
          <w:rFonts w:hint="eastAsia" w:cs="Times New Roman"/>
        </w:rPr>
        <w:t>南、北两侧的雨水排水沟渠</w:t>
      </w:r>
      <w:r>
        <w:rPr>
          <w:rFonts w:cs="Times New Roman"/>
        </w:rPr>
        <w:t>；项目附近水体均属农田灌溉水质。</w:t>
      </w:r>
    </w:p>
    <w:p>
      <w:pPr>
        <w:pStyle w:val="3"/>
        <w:ind w:firstLine="480"/>
        <w:rPr>
          <w:rFonts w:cs="Times New Roman"/>
        </w:rPr>
      </w:pPr>
      <w:r>
        <w:rPr>
          <w:rFonts w:cs="Times New Roman"/>
        </w:rPr>
        <w:t>（2）地下水</w:t>
      </w:r>
    </w:p>
    <w:p>
      <w:pPr>
        <w:pStyle w:val="3"/>
        <w:ind w:firstLine="480"/>
        <w:rPr>
          <w:rFonts w:cs="Times New Roman"/>
        </w:rPr>
      </w:pPr>
      <w:r>
        <w:rPr>
          <w:rFonts w:cs="Times New Roman"/>
        </w:rPr>
        <w:t>湖南省地下水分为碳酸盐岩类型裂隙岩溶水、基岩裂隙水、红层裂隙孔隙-裂隙水、松散岩类孔隙水四种类型，碳酸盐岩类裂隙岩溶水主要分布在湘西武陵山、雪峰山，湘中新化-涟源-邵阳-武岗，湖南新田，湘东株洲-茶陵等地。基岩裂隙水中亚类碎屑岩裂隙水分布在湘西北、湘中南、湘东南，出露面积占全省总面积的10.86%；亚类浅变质岩裂隙水分布于武陵山、雪峰山、湘东及湘南等大部分地区；亚类岩浆裂隙水分布在雪峰山以东地区。红层裂隙孔隙-裂隙水分布在各地80余个盆地，占全省面积12.68%，松散岩类孔隙水主要分布在洞庭湖地区及“四水”河流沿岸。</w:t>
      </w:r>
    </w:p>
    <w:p>
      <w:pPr>
        <w:pStyle w:val="3"/>
        <w:ind w:firstLine="480"/>
        <w:rPr>
          <w:rFonts w:cs="Times New Roman"/>
        </w:rPr>
      </w:pPr>
      <w:r>
        <w:rPr>
          <w:rFonts w:cs="Times New Roman"/>
        </w:rPr>
        <w:t>碳酸盐岩分布面积占全省28.44%，主要为三迭、二迭、石碳、泥盆、奥陶及寒武系底层。分碳酸盐岩岩溶水和碎屑岩、碳酸岩裂岩溶水两种。各类型又分为裸露型、覆盖型和埋藏型。其富水程度取决于岩溶发育程度；碳酸盐岩质纯、厚度大、近地表浅部、断裂带、储水构造，其富水性强。常有大泉或暗河出露。单井水量最大达1000m</w:t>
      </w:r>
      <w:r>
        <w:rPr>
          <w:rFonts w:cs="Times New Roman"/>
          <w:vertAlign w:val="superscript"/>
        </w:rPr>
        <w:t>3</w:t>
      </w:r>
      <w:r>
        <w:rPr>
          <w:rFonts w:cs="Times New Roman"/>
        </w:rPr>
        <w:t>/d以上，枯水期水量衰减约50%，水量约为5000m</w:t>
      </w:r>
      <w:r>
        <w:rPr>
          <w:rFonts w:cs="Times New Roman"/>
          <w:vertAlign w:val="superscript"/>
        </w:rPr>
        <w:t>3</w:t>
      </w:r>
      <w:r>
        <w:rPr>
          <w:rFonts w:cs="Times New Roman"/>
        </w:rPr>
        <w:t>/d。</w:t>
      </w:r>
    </w:p>
    <w:p>
      <w:pPr>
        <w:pStyle w:val="3"/>
        <w:ind w:firstLine="480"/>
        <w:rPr>
          <w:rFonts w:cs="Times New Roman"/>
        </w:rPr>
      </w:pPr>
      <w:r>
        <w:rPr>
          <w:rFonts w:cs="Times New Roman"/>
        </w:rPr>
        <w:t>本项目所在区域地下水位于碳酸盐岩类碎屑岩类含水岩组。根据现场调查，项目拟建地周边居民饮用水源采用自打地下水井作为饮用水源。项目拟建地区域内地下水源较丰富，项目所在地地下水位高，水质好，水量充足。目前，仅有农村居民使用井水，未进行其他地下水开发利用。</w:t>
      </w:r>
    </w:p>
    <w:p>
      <w:pPr>
        <w:pStyle w:val="6"/>
        <w:keepNext w:val="0"/>
        <w:keepLines w:val="0"/>
        <w:jc w:val="left"/>
        <w:rPr>
          <w:rFonts w:cs="Times New Roman"/>
        </w:rPr>
      </w:pPr>
      <w:r>
        <w:rPr>
          <w:rFonts w:cs="Times New Roman"/>
        </w:rPr>
        <w:t>生态环境概况</w:t>
      </w:r>
    </w:p>
    <w:p>
      <w:pPr>
        <w:pStyle w:val="3"/>
        <w:ind w:firstLine="480"/>
        <w:rPr>
          <w:rFonts w:cs="Times New Roman"/>
          <w:kern w:val="0"/>
        </w:rPr>
      </w:pPr>
      <w:r>
        <w:rPr>
          <w:rFonts w:cs="Times New Roman"/>
        </w:rPr>
        <w:t>衡阳县属中亚热带湿润常绿阔叶林区，珍稀和乡土树种多样，物种资源丰富。全县有木本植物89科642种，野生动物45科378种。全县现有三个风光秀美、景观奇特、物种丰富的自然保护区。西有古木参天的岐山森林公园自然保护区，拥有湘南地区唯一一片保存非常完好的原始次生阔叶林，树种多达80科456种；东有层峦叠嶂、竹海茫茫的川口自然保护区，古老的小块钩栗林、青钱柳林保存完好，珍稀野生动物经常出没其中；南有万鸟合鸣、天人合一的江口鸟洲自然保护区，鸟洲的核心区域面积35公顷，由陈家洲、张家洲、龙家洲三个岛组成，形成了良好的生态环境，洲上古树修竹成荫，气候温暖凉爽，附近水库、池塘星罗棋布，稻田、森林延绵成片，鸟类食物丰富，是鸟类活动的理想王国。现一年四季在这里栖息和繁衍的鸟类有17目38科183种，数量多达10万余只。每天清晨和傍晚是鸟出巢和鸟归巢时期，也是观鸟的最佳时期，无数只鸟成群结对，印证了人们的“飞时疑是天上云，落时不见河边”之说，鸟洲也被专家冠以“人群中鸟的天堂”。</w:t>
      </w:r>
    </w:p>
    <w:p>
      <w:pPr>
        <w:pStyle w:val="3"/>
        <w:ind w:firstLine="480"/>
        <w:rPr>
          <w:rFonts w:cs="Times New Roman"/>
        </w:rPr>
      </w:pPr>
      <w:r>
        <w:rPr>
          <w:rFonts w:cs="Times New Roman"/>
          <w:kern w:val="0"/>
        </w:rPr>
        <w:t>评价区地处丘陵坡地，土壤以红壤为主，</w:t>
      </w:r>
      <w:r>
        <w:rPr>
          <w:rFonts w:cs="Times New Roman"/>
        </w:rPr>
        <w:t>所在地属于中亚热带常绿阔叶林带，区域内野生植物多为常见种，林木以马尾松、杉木、</w:t>
      </w:r>
      <w:r>
        <w:rPr>
          <w:rFonts w:cs="Times New Roman"/>
          <w:kern w:val="0"/>
        </w:rPr>
        <w:t>樟树</w:t>
      </w:r>
      <w:r>
        <w:rPr>
          <w:rFonts w:cs="Times New Roman"/>
        </w:rPr>
        <w:t>为主。其次有山地灌草丛和农业植被。经济林树种以油茶为主，干鲜果树种以桔、李、桃为主，主要种植的粮食作物为水稻。</w:t>
      </w:r>
    </w:p>
    <w:p>
      <w:pPr>
        <w:pStyle w:val="3"/>
        <w:ind w:firstLine="480"/>
      </w:pPr>
      <w:r>
        <w:rPr>
          <w:rFonts w:cs="Times New Roman"/>
          <w:kern w:val="0"/>
        </w:rPr>
        <w:t>区域内野生动物较少，主要有蛇类、野兔、田鼠、蜥蜴、青蛙、壁虎、山雀、八哥、黄鼠狼等。家畜主要有牛、狗、羊、鸡、</w:t>
      </w:r>
      <w:r>
        <w:rPr>
          <w:rFonts w:cs="Times New Roman"/>
        </w:rPr>
        <w:t>鸭、鹅</w:t>
      </w:r>
      <w:r>
        <w:rPr>
          <w:rFonts w:cs="Times New Roman"/>
          <w:kern w:val="0"/>
        </w:rPr>
        <w:t>等。</w:t>
      </w:r>
      <w:r>
        <w:rPr>
          <w:rFonts w:cs="Times New Roman"/>
        </w:rPr>
        <w:t>水塘中水生鱼类以青、草、鲤、鲫四大家鱼为主。</w:t>
      </w:r>
      <w:r>
        <w:rPr>
          <w:rFonts w:cs="Times New Roman"/>
          <w:kern w:val="0"/>
        </w:rPr>
        <w:t>经实地踏勘，评价范围内无自然保护区、风景名胜区等需要特别保护的区域，</w:t>
      </w:r>
      <w:r>
        <w:rPr>
          <w:rFonts w:cs="Times New Roman"/>
        </w:rPr>
        <w:t>未发现历史文物古迹和人文景观，无国家明文规定的珍稀动、植物物种和群落。</w:t>
      </w:r>
    </w:p>
    <w:p>
      <w:pPr>
        <w:pStyle w:val="5"/>
      </w:pPr>
      <w:bookmarkStart w:id="31" w:name="_Toc80889082"/>
      <w:r>
        <w:rPr>
          <w:rFonts w:hint="eastAsia"/>
        </w:rPr>
        <w:t>环境</w:t>
      </w:r>
      <w:r>
        <w:t>质量现状监测与评价</w:t>
      </w:r>
      <w:bookmarkEnd w:id="31"/>
    </w:p>
    <w:p>
      <w:pPr>
        <w:pStyle w:val="3"/>
        <w:ind w:firstLine="480"/>
        <w:rPr>
          <w:rFonts w:cs="Times New Roman"/>
        </w:rPr>
      </w:pPr>
      <w:r>
        <w:rPr>
          <w:rFonts w:cs="Times New Roman"/>
        </w:rPr>
        <w:t>为了解本项目区域环境质量现状，本次环评于2021年6月</w:t>
      </w:r>
      <w:r>
        <w:rPr>
          <w:rFonts w:hint="eastAsia" w:cs="Times New Roman"/>
        </w:rPr>
        <w:t>1</w:t>
      </w:r>
      <w:r>
        <w:rPr>
          <w:rFonts w:cs="Times New Roman"/>
        </w:rPr>
        <w:t>日~7日委托</w:t>
      </w:r>
      <w:r>
        <w:rPr>
          <w:rFonts w:hint="eastAsia" w:cs="Times New Roman"/>
        </w:rPr>
        <w:t>湖南中</w:t>
      </w:r>
      <w:r>
        <w:rPr>
          <w:rFonts w:cs="Times New Roman"/>
        </w:rPr>
        <w:t>额环保科技有限公司对本项目周边环境现状监测。根据生态环境部发布的《环境影响评价技术导则 大气环境》（HJ/T2.2-2018）的要求，本次评价采用衡阳市生态环境局公开发布的县（市）环境空气质量现状监测数据，同时补充监测了特征污染因子的本底浓度。</w:t>
      </w:r>
    </w:p>
    <w:p>
      <w:pPr>
        <w:pStyle w:val="6"/>
        <w:rPr>
          <w:rFonts w:cs="Times New Roman"/>
        </w:rPr>
      </w:pPr>
      <w:r>
        <w:rPr>
          <w:rFonts w:cs="Times New Roman"/>
        </w:rPr>
        <w:t>环境空气质量现状调查与评价</w:t>
      </w:r>
    </w:p>
    <w:p>
      <w:pPr>
        <w:pStyle w:val="7"/>
        <w:ind w:left="864"/>
        <w:rPr>
          <w:rFonts w:cs="Times New Roman"/>
        </w:rPr>
      </w:pPr>
      <w:r>
        <w:rPr>
          <w:rFonts w:cs="Times New Roman"/>
        </w:rPr>
        <w:t>基本污染物环境质量现状评价</w:t>
      </w:r>
    </w:p>
    <w:p>
      <w:pPr>
        <w:pStyle w:val="3"/>
        <w:ind w:firstLine="480"/>
        <w:rPr>
          <w:lang w:val="en-GB"/>
        </w:rPr>
      </w:pPr>
      <w:r>
        <w:rPr>
          <w:rFonts w:hint="eastAsia"/>
          <w:lang w:val="en-GB"/>
        </w:rPr>
        <w:t>《环境影响评价技术导则 大气环境》（HJ2.2-2018）“5.5 评价基准年筛选依据评价所需环境空气质量现状、气象资料等数据的可获得性、数据质量、代表性等因素，选择近3年中数据相对完整的1个日历年作为评价基准年”。¬依据上述新版大气导则要求，为了解本项目周边环境空气质量状况，本评价收集了衡阳县县城2020年环境空气质量监测点位的常规监测数据。根据《环境空气质量评价技术规范（试行）》（HJ663-2013）表1中年评价相关要求对衡阳县例行监测数据进行统计分析，SO</w:t>
      </w:r>
      <w:r>
        <w:rPr>
          <w:rFonts w:hint="eastAsia"/>
          <w:vertAlign w:val="subscript"/>
          <w:lang w:val="en-GB"/>
        </w:rPr>
        <w:t>2</w:t>
      </w:r>
      <w:r>
        <w:rPr>
          <w:rFonts w:hint="eastAsia"/>
          <w:lang w:val="en-GB"/>
        </w:rPr>
        <w:t>、NO</w:t>
      </w:r>
      <w:r>
        <w:rPr>
          <w:rFonts w:hint="eastAsia"/>
          <w:vertAlign w:val="subscript"/>
          <w:lang w:val="en-GB"/>
        </w:rPr>
        <w:t>2</w:t>
      </w:r>
      <w:r>
        <w:rPr>
          <w:rFonts w:hint="eastAsia"/>
          <w:lang w:val="en-GB"/>
        </w:rPr>
        <w:t>日均值保证率为24小时平均第98百分位数对应浓度值，CO日均值保证率为24小时平均第95百分位数对应浓度值，O</w:t>
      </w:r>
      <w:r>
        <w:rPr>
          <w:rFonts w:hint="eastAsia"/>
          <w:vertAlign w:val="subscript"/>
          <w:lang w:val="en-GB"/>
        </w:rPr>
        <w:t>3</w:t>
      </w:r>
      <w:r>
        <w:rPr>
          <w:rFonts w:hint="eastAsia"/>
          <w:lang w:val="en-GB"/>
        </w:rPr>
        <w:t>日最大8小时平均第90百分位数对应浓度值，颗粒物、PM</w:t>
      </w:r>
      <w:r>
        <w:rPr>
          <w:rFonts w:hint="eastAsia"/>
          <w:vertAlign w:val="subscript"/>
          <w:lang w:val="en-GB"/>
        </w:rPr>
        <w:t>2.5</w:t>
      </w:r>
      <w:r>
        <w:rPr>
          <w:rFonts w:hint="eastAsia"/>
          <w:lang w:val="en-GB"/>
        </w:rPr>
        <w:t>日均值保证率为24小时平均第95百分位数对应浓度值，分析日均值保证率及年平均浓度，详细统计见表</w:t>
      </w:r>
      <w:r>
        <w:rPr>
          <w:lang w:val="en-GB"/>
        </w:rPr>
        <w:t>4.2</w:t>
      </w:r>
      <w:r>
        <w:rPr>
          <w:rFonts w:hint="eastAsia"/>
          <w:lang w:val="en-GB"/>
        </w:rPr>
        <w:t>-1。</w:t>
      </w:r>
    </w:p>
    <w:p>
      <w:pPr>
        <w:pStyle w:val="15"/>
        <w:rPr>
          <w:vertAlign w:val="superscript"/>
        </w:rPr>
      </w:pPr>
      <w:r>
        <w:t xml:space="preserve">表4.2-1  </w:t>
      </w:r>
      <w:r>
        <w:rPr>
          <w:rFonts w:hint="eastAsia"/>
        </w:rPr>
        <w:t>2020年衡阳县县城市空气监测结果</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
        <w:gridCol w:w="2477"/>
        <w:gridCol w:w="2326"/>
        <w:gridCol w:w="2117"/>
        <w:gridCol w:w="1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26" w:type="pct"/>
            <w:vAlign w:val="center"/>
          </w:tcPr>
          <w:p>
            <w:pPr>
              <w:pStyle w:val="39"/>
              <w:rPr>
                <w:lang w:bidi="ar"/>
              </w:rPr>
            </w:pPr>
            <w:r>
              <w:rPr>
                <w:lang w:bidi="ar"/>
              </w:rPr>
              <w:t>污染物</w:t>
            </w:r>
          </w:p>
        </w:tc>
        <w:tc>
          <w:tcPr>
            <w:tcW w:w="1350" w:type="pct"/>
            <w:vAlign w:val="center"/>
          </w:tcPr>
          <w:p>
            <w:pPr>
              <w:pStyle w:val="39"/>
              <w:rPr>
                <w:lang w:bidi="ar"/>
              </w:rPr>
            </w:pPr>
            <w:r>
              <w:rPr>
                <w:lang w:bidi="ar"/>
              </w:rPr>
              <w:t>年评价指标</w:t>
            </w:r>
          </w:p>
        </w:tc>
        <w:tc>
          <w:tcPr>
            <w:tcW w:w="1268" w:type="pct"/>
            <w:vAlign w:val="center"/>
          </w:tcPr>
          <w:p>
            <w:pPr>
              <w:pStyle w:val="39"/>
              <w:rPr>
                <w:lang w:bidi="ar"/>
              </w:rPr>
            </w:pPr>
            <w:r>
              <w:rPr>
                <w:lang w:bidi="ar"/>
              </w:rPr>
              <w:t>现状浓度/（μg/Nm</w:t>
            </w:r>
            <w:r>
              <w:rPr>
                <w:vertAlign w:val="superscript"/>
                <w:lang w:bidi="ar"/>
              </w:rPr>
              <w:t>3</w:t>
            </w:r>
            <w:r>
              <w:rPr>
                <w:lang w:bidi="ar"/>
              </w:rPr>
              <w:t>）</w:t>
            </w:r>
          </w:p>
        </w:tc>
        <w:tc>
          <w:tcPr>
            <w:tcW w:w="1154" w:type="pct"/>
            <w:vAlign w:val="center"/>
          </w:tcPr>
          <w:p>
            <w:pPr>
              <w:pStyle w:val="39"/>
              <w:rPr>
                <w:lang w:bidi="ar"/>
              </w:rPr>
            </w:pPr>
            <w:r>
              <w:rPr>
                <w:lang w:bidi="ar"/>
              </w:rPr>
              <w:t>标准值/（μg/Nm</w:t>
            </w:r>
            <w:r>
              <w:rPr>
                <w:vertAlign w:val="superscript"/>
                <w:lang w:bidi="ar"/>
              </w:rPr>
              <w:t>3</w:t>
            </w:r>
            <w:r>
              <w:rPr>
                <w:lang w:bidi="ar"/>
              </w:rPr>
              <w:t>）</w:t>
            </w:r>
          </w:p>
        </w:tc>
        <w:tc>
          <w:tcPr>
            <w:tcW w:w="702" w:type="pct"/>
            <w:vAlign w:val="center"/>
          </w:tcPr>
          <w:p>
            <w:pPr>
              <w:pStyle w:val="39"/>
              <w:rPr>
                <w:lang w:bidi="ar"/>
              </w:rPr>
            </w:pPr>
            <w:r>
              <w:rPr>
                <w:lang w:bidi="ar"/>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26" w:type="pct"/>
            <w:vAlign w:val="center"/>
          </w:tcPr>
          <w:p>
            <w:pPr>
              <w:pStyle w:val="39"/>
              <w:rPr>
                <w:lang w:bidi="ar"/>
              </w:rPr>
            </w:pPr>
            <w:r>
              <w:rPr>
                <w:spacing w:val="-4"/>
              </w:rPr>
              <w:t>SO</w:t>
            </w:r>
            <w:r>
              <w:rPr>
                <w:spacing w:val="-4"/>
                <w:vertAlign w:val="subscript"/>
              </w:rPr>
              <w:t>2</w:t>
            </w:r>
          </w:p>
        </w:tc>
        <w:tc>
          <w:tcPr>
            <w:tcW w:w="1350" w:type="pct"/>
            <w:vAlign w:val="center"/>
          </w:tcPr>
          <w:p>
            <w:pPr>
              <w:pStyle w:val="39"/>
              <w:rPr>
                <w:lang w:bidi="ar"/>
              </w:rPr>
            </w:pPr>
            <w:r>
              <w:rPr>
                <w:lang w:bidi="ar"/>
              </w:rPr>
              <w:t>年</w:t>
            </w:r>
            <w:r>
              <w:rPr>
                <w:lang w:bidi="ar"/>
              </w:rPr>
              <w:cr/>
            </w:r>
            <w:r>
              <w:rPr>
                <w:lang w:bidi="ar"/>
              </w:rPr>
              <w:t>均质量浓度</w:t>
            </w:r>
          </w:p>
        </w:tc>
        <w:tc>
          <w:tcPr>
            <w:tcW w:w="1268" w:type="pct"/>
            <w:vAlign w:val="center"/>
          </w:tcPr>
          <w:p>
            <w:pPr>
              <w:pStyle w:val="39"/>
              <w:rPr>
                <w:lang w:bidi="ar"/>
              </w:rPr>
            </w:pPr>
            <w:r>
              <w:rPr>
                <w:lang w:bidi="ar"/>
              </w:rPr>
              <w:t>7</w:t>
            </w:r>
          </w:p>
        </w:tc>
        <w:tc>
          <w:tcPr>
            <w:tcW w:w="1154" w:type="pct"/>
            <w:vAlign w:val="center"/>
          </w:tcPr>
          <w:p>
            <w:pPr>
              <w:pStyle w:val="39"/>
              <w:rPr>
                <w:lang w:bidi="ar"/>
              </w:rPr>
            </w:pPr>
            <w:r>
              <w:t>60</w:t>
            </w:r>
          </w:p>
        </w:tc>
        <w:tc>
          <w:tcPr>
            <w:tcW w:w="702" w:type="pct"/>
            <w:vAlign w:val="center"/>
          </w:tcPr>
          <w:p>
            <w:pPr>
              <w:pStyle w:val="39"/>
              <w:rPr>
                <w:lang w:bidi="ar"/>
              </w:rPr>
            </w:pPr>
            <w:r>
              <w:rPr>
                <w:lang w:bidi="ar"/>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26" w:type="pct"/>
            <w:vAlign w:val="center"/>
          </w:tcPr>
          <w:p>
            <w:pPr>
              <w:pStyle w:val="39"/>
              <w:rPr>
                <w:lang w:bidi="ar"/>
              </w:rPr>
            </w:pPr>
            <w:r>
              <w:rPr>
                <w:spacing w:val="-4"/>
              </w:rPr>
              <w:t>NO</w:t>
            </w:r>
            <w:r>
              <w:rPr>
                <w:spacing w:val="-4"/>
                <w:vertAlign w:val="subscript"/>
              </w:rPr>
              <w:t>2</w:t>
            </w:r>
          </w:p>
        </w:tc>
        <w:tc>
          <w:tcPr>
            <w:tcW w:w="1350" w:type="pct"/>
            <w:vAlign w:val="center"/>
          </w:tcPr>
          <w:p>
            <w:pPr>
              <w:pStyle w:val="39"/>
              <w:rPr>
                <w:lang w:bidi="ar"/>
              </w:rPr>
            </w:pPr>
            <w:r>
              <w:rPr>
                <w:lang w:bidi="ar"/>
              </w:rPr>
              <w:t>年平均质量浓度</w:t>
            </w:r>
          </w:p>
        </w:tc>
        <w:tc>
          <w:tcPr>
            <w:tcW w:w="1268" w:type="pct"/>
            <w:vAlign w:val="center"/>
          </w:tcPr>
          <w:p>
            <w:pPr>
              <w:pStyle w:val="39"/>
              <w:rPr>
                <w:lang w:bidi="ar"/>
              </w:rPr>
            </w:pPr>
            <w:r>
              <w:rPr>
                <w:lang w:bidi="ar"/>
              </w:rPr>
              <w:t>14</w:t>
            </w:r>
          </w:p>
        </w:tc>
        <w:tc>
          <w:tcPr>
            <w:tcW w:w="1154" w:type="pct"/>
            <w:vAlign w:val="center"/>
          </w:tcPr>
          <w:p>
            <w:pPr>
              <w:pStyle w:val="39"/>
              <w:rPr>
                <w:lang w:bidi="ar"/>
              </w:rPr>
            </w:pPr>
            <w:r>
              <w:rPr>
                <w:spacing w:val="-4"/>
              </w:rPr>
              <w:t>40</w:t>
            </w:r>
          </w:p>
        </w:tc>
        <w:tc>
          <w:tcPr>
            <w:tcW w:w="702" w:type="pct"/>
            <w:vAlign w:val="center"/>
          </w:tcPr>
          <w:p>
            <w:pPr>
              <w:pStyle w:val="39"/>
              <w:rPr>
                <w:lang w:bidi="ar"/>
              </w:rPr>
            </w:pPr>
            <w:r>
              <w:rPr>
                <w:lang w:bidi="ar"/>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26" w:type="pct"/>
            <w:vAlign w:val="center"/>
          </w:tcPr>
          <w:p>
            <w:pPr>
              <w:pStyle w:val="39"/>
              <w:rPr>
                <w:lang w:bidi="ar"/>
              </w:rPr>
            </w:pPr>
            <w:r>
              <w:rPr>
                <w:spacing w:val="-4"/>
              </w:rPr>
              <w:t>PM</w:t>
            </w:r>
            <w:r>
              <w:rPr>
                <w:spacing w:val="-4"/>
                <w:vertAlign w:val="subscript"/>
              </w:rPr>
              <w:t>10</w:t>
            </w:r>
          </w:p>
        </w:tc>
        <w:tc>
          <w:tcPr>
            <w:tcW w:w="1350" w:type="pct"/>
            <w:vAlign w:val="center"/>
          </w:tcPr>
          <w:p>
            <w:pPr>
              <w:pStyle w:val="39"/>
              <w:rPr>
                <w:lang w:bidi="ar"/>
              </w:rPr>
            </w:pPr>
            <w:r>
              <w:rPr>
                <w:lang w:bidi="ar"/>
              </w:rPr>
              <w:t>年平均质量浓度</w:t>
            </w:r>
          </w:p>
        </w:tc>
        <w:tc>
          <w:tcPr>
            <w:tcW w:w="1268" w:type="pct"/>
            <w:vAlign w:val="center"/>
          </w:tcPr>
          <w:p>
            <w:pPr>
              <w:pStyle w:val="39"/>
              <w:rPr>
                <w:lang w:bidi="ar"/>
              </w:rPr>
            </w:pPr>
            <w:r>
              <w:rPr>
                <w:lang w:bidi="ar"/>
              </w:rPr>
              <w:t>67</w:t>
            </w:r>
          </w:p>
        </w:tc>
        <w:tc>
          <w:tcPr>
            <w:tcW w:w="1154" w:type="pct"/>
            <w:vAlign w:val="center"/>
          </w:tcPr>
          <w:p>
            <w:pPr>
              <w:pStyle w:val="39"/>
              <w:rPr>
                <w:lang w:bidi="ar"/>
              </w:rPr>
            </w:pPr>
            <w:r>
              <w:rPr>
                <w:spacing w:val="-4"/>
              </w:rPr>
              <w:t>70</w:t>
            </w:r>
          </w:p>
        </w:tc>
        <w:tc>
          <w:tcPr>
            <w:tcW w:w="702" w:type="pct"/>
            <w:vAlign w:val="center"/>
          </w:tcPr>
          <w:p>
            <w:pPr>
              <w:pStyle w:val="39"/>
              <w:rPr>
                <w:lang w:bidi="ar"/>
              </w:rPr>
            </w:pPr>
            <w:r>
              <w:rPr>
                <w:lang w:bidi="ar"/>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26" w:type="pct"/>
            <w:vAlign w:val="center"/>
          </w:tcPr>
          <w:p>
            <w:pPr>
              <w:pStyle w:val="39"/>
              <w:rPr>
                <w:lang w:bidi="ar"/>
              </w:rPr>
            </w:pPr>
            <w:r>
              <w:rPr>
                <w:spacing w:val="-4"/>
              </w:rPr>
              <w:t>PM</w:t>
            </w:r>
            <w:r>
              <w:rPr>
                <w:spacing w:val="-4"/>
                <w:vertAlign w:val="subscript"/>
              </w:rPr>
              <w:t>2.5</w:t>
            </w:r>
          </w:p>
        </w:tc>
        <w:tc>
          <w:tcPr>
            <w:tcW w:w="1350" w:type="pct"/>
            <w:vAlign w:val="center"/>
          </w:tcPr>
          <w:p>
            <w:pPr>
              <w:pStyle w:val="39"/>
              <w:rPr>
                <w:lang w:bidi="ar"/>
              </w:rPr>
            </w:pPr>
            <w:r>
              <w:rPr>
                <w:lang w:bidi="ar"/>
              </w:rPr>
              <w:t>年平均质量浓度</w:t>
            </w:r>
          </w:p>
        </w:tc>
        <w:tc>
          <w:tcPr>
            <w:tcW w:w="1268" w:type="pct"/>
            <w:vAlign w:val="center"/>
          </w:tcPr>
          <w:p>
            <w:pPr>
              <w:pStyle w:val="39"/>
              <w:rPr>
                <w:lang w:bidi="ar"/>
              </w:rPr>
            </w:pPr>
            <w:r>
              <w:rPr>
                <w:lang w:bidi="ar"/>
              </w:rPr>
              <w:t>33</w:t>
            </w:r>
          </w:p>
        </w:tc>
        <w:tc>
          <w:tcPr>
            <w:tcW w:w="1154" w:type="pct"/>
            <w:vAlign w:val="center"/>
          </w:tcPr>
          <w:p>
            <w:pPr>
              <w:pStyle w:val="39"/>
              <w:rPr>
                <w:lang w:bidi="ar"/>
              </w:rPr>
            </w:pPr>
            <w:r>
              <w:rPr>
                <w:spacing w:val="-4"/>
              </w:rPr>
              <w:t>35</w:t>
            </w:r>
          </w:p>
        </w:tc>
        <w:tc>
          <w:tcPr>
            <w:tcW w:w="702" w:type="pct"/>
            <w:vAlign w:val="center"/>
          </w:tcPr>
          <w:p>
            <w:pPr>
              <w:pStyle w:val="39"/>
              <w:rPr>
                <w:lang w:bidi="ar"/>
              </w:rPr>
            </w:pPr>
            <w:r>
              <w:rPr>
                <w:lang w:bidi="ar"/>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26" w:type="pct"/>
            <w:vAlign w:val="center"/>
          </w:tcPr>
          <w:p>
            <w:pPr>
              <w:pStyle w:val="39"/>
              <w:rPr>
                <w:lang w:bidi="ar"/>
              </w:rPr>
            </w:pPr>
            <w:r>
              <w:rPr>
                <w:spacing w:val="-4"/>
              </w:rPr>
              <w:t>CO</w:t>
            </w:r>
          </w:p>
        </w:tc>
        <w:tc>
          <w:tcPr>
            <w:tcW w:w="1350" w:type="pct"/>
            <w:vAlign w:val="center"/>
          </w:tcPr>
          <w:p>
            <w:pPr>
              <w:pStyle w:val="39"/>
              <w:rPr>
                <w:lang w:bidi="ar"/>
              </w:rPr>
            </w:pPr>
            <w:r>
              <w:rPr>
                <w:lang w:bidi="ar"/>
              </w:rPr>
              <w:t>95%日平均质量浓度</w:t>
            </w:r>
          </w:p>
        </w:tc>
        <w:tc>
          <w:tcPr>
            <w:tcW w:w="1268" w:type="pct"/>
            <w:vAlign w:val="center"/>
          </w:tcPr>
          <w:p>
            <w:pPr>
              <w:pStyle w:val="39"/>
              <w:rPr>
                <w:lang w:bidi="ar"/>
              </w:rPr>
            </w:pPr>
            <w:r>
              <w:rPr>
                <w:lang w:bidi="ar"/>
              </w:rPr>
              <w:t>1.0mg/m</w:t>
            </w:r>
            <w:r>
              <w:rPr>
                <w:vertAlign w:val="superscript"/>
                <w:lang w:bidi="ar"/>
              </w:rPr>
              <w:t>3</w:t>
            </w:r>
          </w:p>
        </w:tc>
        <w:tc>
          <w:tcPr>
            <w:tcW w:w="1154" w:type="pct"/>
            <w:vAlign w:val="center"/>
          </w:tcPr>
          <w:p>
            <w:pPr>
              <w:pStyle w:val="39"/>
              <w:rPr>
                <w:lang w:bidi="ar"/>
              </w:rPr>
            </w:pPr>
            <w:r>
              <w:rPr>
                <w:spacing w:val="-4"/>
              </w:rPr>
              <w:t>4</w:t>
            </w:r>
            <w:r>
              <w:rPr>
                <w:lang w:bidi="ar"/>
              </w:rPr>
              <w:t>mg/m</w:t>
            </w:r>
            <w:r>
              <w:rPr>
                <w:vertAlign w:val="superscript"/>
                <w:lang w:bidi="ar"/>
              </w:rPr>
              <w:t>3</w:t>
            </w:r>
          </w:p>
        </w:tc>
        <w:tc>
          <w:tcPr>
            <w:tcW w:w="702" w:type="pct"/>
            <w:vAlign w:val="center"/>
          </w:tcPr>
          <w:p>
            <w:pPr>
              <w:pStyle w:val="39"/>
              <w:rPr>
                <w:lang w:bidi="ar"/>
              </w:rPr>
            </w:pPr>
            <w:r>
              <w:rPr>
                <w:lang w:bidi="ar"/>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26" w:type="pct"/>
            <w:vAlign w:val="center"/>
          </w:tcPr>
          <w:p>
            <w:pPr>
              <w:pStyle w:val="39"/>
              <w:rPr>
                <w:lang w:bidi="ar"/>
              </w:rPr>
            </w:pPr>
            <w:r>
              <w:rPr>
                <w:spacing w:val="-4"/>
              </w:rPr>
              <w:t>O</w:t>
            </w:r>
            <w:r>
              <w:rPr>
                <w:spacing w:val="-4"/>
                <w:vertAlign w:val="subscript"/>
              </w:rPr>
              <w:t>3</w:t>
            </w:r>
          </w:p>
        </w:tc>
        <w:tc>
          <w:tcPr>
            <w:tcW w:w="1350" w:type="pct"/>
            <w:vAlign w:val="center"/>
          </w:tcPr>
          <w:p>
            <w:pPr>
              <w:pStyle w:val="39"/>
              <w:rPr>
                <w:lang w:bidi="ar"/>
              </w:rPr>
            </w:pPr>
            <w:r>
              <w:rPr>
                <w:lang w:bidi="ar"/>
              </w:rPr>
              <w:t>90%8h平均质量浓度</w:t>
            </w:r>
          </w:p>
        </w:tc>
        <w:tc>
          <w:tcPr>
            <w:tcW w:w="1268" w:type="pct"/>
            <w:vAlign w:val="center"/>
          </w:tcPr>
          <w:p>
            <w:pPr>
              <w:pStyle w:val="39"/>
              <w:rPr>
                <w:lang w:bidi="ar"/>
              </w:rPr>
            </w:pPr>
            <w:r>
              <w:rPr>
                <w:lang w:bidi="ar"/>
              </w:rPr>
              <w:t>128</w:t>
            </w:r>
          </w:p>
        </w:tc>
        <w:tc>
          <w:tcPr>
            <w:tcW w:w="1154" w:type="pct"/>
            <w:vAlign w:val="center"/>
          </w:tcPr>
          <w:p>
            <w:pPr>
              <w:pStyle w:val="39"/>
              <w:rPr>
                <w:lang w:bidi="ar"/>
              </w:rPr>
            </w:pPr>
            <w:r>
              <w:rPr>
                <w:spacing w:val="-4"/>
              </w:rPr>
              <w:t>160</w:t>
            </w:r>
          </w:p>
        </w:tc>
        <w:tc>
          <w:tcPr>
            <w:tcW w:w="702" w:type="pct"/>
            <w:vAlign w:val="center"/>
          </w:tcPr>
          <w:p>
            <w:pPr>
              <w:pStyle w:val="39"/>
              <w:rPr>
                <w:lang w:bidi="ar"/>
              </w:rPr>
            </w:pPr>
            <w:r>
              <w:rPr>
                <w:lang w:bidi="ar"/>
              </w:rPr>
              <w:t>达标</w:t>
            </w:r>
          </w:p>
        </w:tc>
      </w:tr>
    </w:tbl>
    <w:p>
      <w:pPr>
        <w:spacing w:line="360" w:lineRule="auto"/>
        <w:ind w:firstLine="420" w:firstLineChars="200"/>
        <w:jc w:val="left"/>
      </w:pPr>
    </w:p>
    <w:p>
      <w:pPr>
        <w:pStyle w:val="3"/>
        <w:ind w:firstLine="480"/>
        <w:rPr>
          <w:lang w:val="en-GB"/>
        </w:rPr>
      </w:pPr>
      <w:r>
        <w:rPr>
          <w:rFonts w:hint="eastAsia"/>
          <w:lang w:val="en-GB"/>
        </w:rPr>
        <w:t>根据监测结果，评价区域空气环境各指标均能达到《环境空气质量标准》（GB3095-2012）修改单二级标准，说明本项目所在评价区域为环境空气质量为达标区，相比去年衡阳县环境空气质量在一定的程度上得到改善。</w:t>
      </w:r>
    </w:p>
    <w:p>
      <w:pPr>
        <w:pStyle w:val="7"/>
      </w:pPr>
      <w:r>
        <w:rPr>
          <w:rFonts w:hint="eastAsia"/>
        </w:rPr>
        <w:t>特征污染因子监测</w:t>
      </w:r>
    </w:p>
    <w:p>
      <w:pPr>
        <w:pStyle w:val="3"/>
        <w:ind w:firstLine="480"/>
      </w:pPr>
      <w:r>
        <w:t>（1）监测点位布设：</w:t>
      </w:r>
    </w:p>
    <w:p>
      <w:pPr>
        <w:pStyle w:val="3"/>
        <w:ind w:firstLine="480"/>
      </w:pPr>
      <w:r>
        <w:rPr>
          <w:rFonts w:hint="eastAsia"/>
        </w:rPr>
        <w:t>G1：厂址东北侧散户居民点；</w:t>
      </w:r>
    </w:p>
    <w:p>
      <w:pPr>
        <w:pStyle w:val="3"/>
        <w:ind w:firstLine="480"/>
      </w:pPr>
      <w:r>
        <w:rPr>
          <w:rFonts w:hint="eastAsia"/>
        </w:rPr>
        <w:t>G2：厂界西南侧散户居民点；</w:t>
      </w:r>
      <w:r>
        <w:t>监测</w:t>
      </w:r>
      <w:r>
        <w:rPr>
          <w:rFonts w:hint="eastAsia"/>
        </w:rPr>
        <w:t>点位</w:t>
      </w:r>
      <w:r>
        <w:t>具体位置详见附图</w:t>
      </w:r>
      <w:r>
        <w:rPr>
          <w:rFonts w:hint="eastAsia"/>
        </w:rPr>
        <w:t>。</w:t>
      </w:r>
    </w:p>
    <w:p>
      <w:pPr>
        <w:pStyle w:val="3"/>
        <w:ind w:firstLine="480"/>
      </w:pPr>
      <w:r>
        <w:t>（2）</w:t>
      </w:r>
      <w:r>
        <w:rPr>
          <w:spacing w:val="-2"/>
        </w:rPr>
        <w:t>监测因子：</w:t>
      </w:r>
      <w:r>
        <w:rPr>
          <w:rFonts w:hint="eastAsia"/>
        </w:rPr>
        <w:t>H</w:t>
      </w:r>
      <w:r>
        <w:rPr>
          <w:rFonts w:hint="eastAsia"/>
          <w:vertAlign w:val="subscript"/>
        </w:rPr>
        <w:t>2</w:t>
      </w:r>
      <w:r>
        <w:rPr>
          <w:rFonts w:hint="eastAsia"/>
        </w:rPr>
        <w:t>S、NH</w:t>
      </w:r>
      <w:r>
        <w:rPr>
          <w:rFonts w:hint="eastAsia"/>
          <w:vertAlign w:val="subscript"/>
        </w:rPr>
        <w:t>3</w:t>
      </w:r>
      <w:r>
        <w:rPr>
          <w:rFonts w:hint="eastAsia"/>
        </w:rPr>
        <w:t>、臭气浓度共</w:t>
      </w:r>
      <w:r>
        <w:t>3</w:t>
      </w:r>
      <w:r>
        <w:rPr>
          <w:rFonts w:hint="eastAsia"/>
        </w:rPr>
        <w:t>项</w:t>
      </w:r>
      <w:r>
        <w:rPr>
          <w:spacing w:val="-2"/>
        </w:rPr>
        <w:t>；</w:t>
      </w:r>
    </w:p>
    <w:p>
      <w:pPr>
        <w:pStyle w:val="3"/>
        <w:ind w:firstLine="472"/>
      </w:pPr>
      <w:r>
        <w:rPr>
          <w:spacing w:val="-2"/>
        </w:rPr>
        <w:t>（3）监测时间与频次：</w:t>
      </w:r>
      <w:r>
        <w:rPr>
          <w:rFonts w:hint="eastAsia"/>
          <w:spacing w:val="-2"/>
        </w:rPr>
        <w:t>20</w:t>
      </w:r>
      <w:r>
        <w:rPr>
          <w:spacing w:val="-2"/>
        </w:rPr>
        <w:t>2</w:t>
      </w:r>
      <w:r>
        <w:rPr>
          <w:rFonts w:hint="eastAsia"/>
          <w:spacing w:val="-2"/>
        </w:rPr>
        <w:t>1年6月</w:t>
      </w:r>
      <w:r>
        <w:rPr>
          <w:spacing w:val="-2"/>
        </w:rPr>
        <w:t>1</w:t>
      </w:r>
      <w:r>
        <w:rPr>
          <w:rFonts w:hint="eastAsia"/>
          <w:spacing w:val="-2"/>
        </w:rPr>
        <w:t>~7日</w:t>
      </w:r>
      <w:r>
        <w:rPr>
          <w:rFonts w:hint="eastAsia"/>
        </w:rPr>
        <w:t>连续</w:t>
      </w:r>
      <w:r>
        <w:t>监测</w:t>
      </w:r>
      <w:r>
        <w:rPr>
          <w:rFonts w:hint="eastAsia"/>
        </w:rPr>
        <w:t>7天。</w:t>
      </w:r>
      <w:r>
        <w:t xml:space="preserve"> </w:t>
      </w:r>
    </w:p>
    <w:p>
      <w:pPr>
        <w:pStyle w:val="3"/>
        <w:ind w:firstLine="480"/>
      </w:pPr>
      <w:r>
        <w:t>（4）评价标准：NH</w:t>
      </w:r>
      <w:r>
        <w:rPr>
          <w:vertAlign w:val="subscript"/>
        </w:rPr>
        <w:t>3</w:t>
      </w:r>
      <w:r>
        <w:t>、H</w:t>
      </w:r>
      <w:r>
        <w:rPr>
          <w:vertAlign w:val="subscript"/>
        </w:rPr>
        <w:t>2</w:t>
      </w:r>
      <w:r>
        <w:t>S参照执行《环境影响评价技术导则大气环境》（HJ2.2-2018）附录D浓度限值要求；</w:t>
      </w:r>
    </w:p>
    <w:p>
      <w:pPr>
        <w:pStyle w:val="3"/>
        <w:ind w:firstLine="480"/>
      </w:pPr>
      <w:r>
        <w:t>（5）评价方法：采用超标率和超标倍数等数理统计方法进行评价；</w:t>
      </w:r>
    </w:p>
    <w:p>
      <w:pPr>
        <w:pStyle w:val="3"/>
        <w:ind w:firstLine="480"/>
      </w:pPr>
      <w:r>
        <w:t>（6）监测结果：监测及评价结果见表4.2</w:t>
      </w:r>
      <w:r>
        <w:rPr>
          <w:rFonts w:hint="eastAsia"/>
        </w:rPr>
        <w:t>-</w:t>
      </w:r>
      <w:r>
        <w:t>2。</w:t>
      </w:r>
    </w:p>
    <w:p>
      <w:pPr>
        <w:pStyle w:val="15"/>
      </w:pPr>
      <w:r>
        <w:t>表4.2</w:t>
      </w:r>
      <w:r>
        <w:rPr>
          <w:rFonts w:hint="eastAsia"/>
        </w:rPr>
        <w:t>-</w:t>
      </w:r>
      <w:r>
        <w:t>2</w:t>
      </w:r>
      <w:r>
        <w:rPr>
          <w:rFonts w:hint="eastAsia"/>
        </w:rPr>
        <w:t xml:space="preserve">  </w:t>
      </w:r>
      <w:r>
        <w:t>环境空气现状监测统计结果</w:t>
      </w:r>
      <w:r>
        <w:rPr>
          <w:rFonts w:hint="eastAsia"/>
        </w:rPr>
        <w:t xml:space="preserve">   单位：</w:t>
      </w:r>
      <w:r>
        <w:rPr>
          <w:rFonts w:hint="eastAsia" w:cs="Times New Roman"/>
          <w:szCs w:val="24"/>
        </w:rPr>
        <w:t>m</w:t>
      </w:r>
      <w:r>
        <w:t>g/m</w:t>
      </w:r>
      <w:r>
        <w:rPr>
          <w:vertAlign w:val="superscript"/>
        </w:rPr>
        <w:t>3</w:t>
      </w:r>
      <w:r>
        <w:rPr>
          <w:rFonts w:hint="eastAsia"/>
        </w:rPr>
        <w:t>（臭气</w:t>
      </w:r>
      <w:r>
        <w:t>浓度除外</w:t>
      </w:r>
      <w:r>
        <w:rPr>
          <w:rFonts w:hint="eastAsia"/>
        </w:rPr>
        <w:t>）</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1197"/>
        <w:gridCol w:w="650"/>
        <w:gridCol w:w="1457"/>
        <w:gridCol w:w="973"/>
        <w:gridCol w:w="811"/>
        <w:gridCol w:w="811"/>
        <w:gridCol w:w="809"/>
        <w:gridCol w:w="2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blHeader/>
          <w:jc w:val="center"/>
        </w:trPr>
        <w:tc>
          <w:tcPr>
            <w:tcW w:w="660" w:type="pct"/>
            <w:vAlign w:val="center"/>
          </w:tcPr>
          <w:p>
            <w:pPr>
              <w:pStyle w:val="39"/>
            </w:pPr>
            <w:r>
              <w:t>监测点</w:t>
            </w:r>
          </w:p>
        </w:tc>
        <w:tc>
          <w:tcPr>
            <w:tcW w:w="358" w:type="pct"/>
            <w:vAlign w:val="center"/>
          </w:tcPr>
          <w:p>
            <w:pPr>
              <w:pStyle w:val="39"/>
            </w:pPr>
            <w:r>
              <w:t>监测</w:t>
            </w:r>
          </w:p>
          <w:p>
            <w:pPr>
              <w:pStyle w:val="39"/>
            </w:pPr>
            <w:r>
              <w:t>项目</w:t>
            </w:r>
          </w:p>
        </w:tc>
        <w:tc>
          <w:tcPr>
            <w:tcW w:w="803" w:type="pct"/>
            <w:vAlign w:val="center"/>
          </w:tcPr>
          <w:p>
            <w:pPr>
              <w:pStyle w:val="39"/>
            </w:pPr>
            <w:r>
              <w:t>浓度范围</w:t>
            </w:r>
          </w:p>
        </w:tc>
        <w:tc>
          <w:tcPr>
            <w:tcW w:w="536" w:type="pct"/>
            <w:vAlign w:val="center"/>
          </w:tcPr>
          <w:p>
            <w:pPr>
              <w:pStyle w:val="39"/>
            </w:pPr>
            <w:r>
              <w:t>最大超标倍数</w:t>
            </w:r>
          </w:p>
        </w:tc>
        <w:tc>
          <w:tcPr>
            <w:tcW w:w="447" w:type="pct"/>
            <w:vAlign w:val="center"/>
          </w:tcPr>
          <w:p>
            <w:pPr>
              <w:pStyle w:val="39"/>
            </w:pPr>
            <w:r>
              <w:t>超标率（%）</w:t>
            </w:r>
          </w:p>
        </w:tc>
        <w:tc>
          <w:tcPr>
            <w:tcW w:w="447" w:type="pct"/>
            <w:vAlign w:val="center"/>
          </w:tcPr>
          <w:p>
            <w:pPr>
              <w:pStyle w:val="39"/>
            </w:pPr>
            <w:r>
              <w:t>标准值</w:t>
            </w:r>
          </w:p>
        </w:tc>
        <w:tc>
          <w:tcPr>
            <w:tcW w:w="446" w:type="pct"/>
            <w:vAlign w:val="center"/>
          </w:tcPr>
          <w:p>
            <w:pPr>
              <w:pStyle w:val="39"/>
            </w:pPr>
            <w:r>
              <w:rPr>
                <w:rFonts w:hint="eastAsia"/>
              </w:rPr>
              <w:t>评价结果</w:t>
            </w:r>
          </w:p>
        </w:tc>
        <w:tc>
          <w:tcPr>
            <w:tcW w:w="1302" w:type="pct"/>
            <w:vAlign w:val="center"/>
          </w:tcPr>
          <w:p>
            <w:pPr>
              <w:pStyle w:val="39"/>
            </w:pPr>
            <w:r>
              <w:rPr>
                <w:rFonts w:hint="eastAsia"/>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660" w:type="pct"/>
            <w:vMerge w:val="restart"/>
            <w:vAlign w:val="center"/>
          </w:tcPr>
          <w:p>
            <w:pPr>
              <w:pStyle w:val="39"/>
            </w:pPr>
            <w:r>
              <w:rPr>
                <w:rFonts w:hint="eastAsia"/>
              </w:rPr>
              <w:t>G1：厂址北侧散户居民点</w:t>
            </w:r>
          </w:p>
        </w:tc>
        <w:tc>
          <w:tcPr>
            <w:tcW w:w="358" w:type="pct"/>
            <w:vAlign w:val="center"/>
          </w:tcPr>
          <w:p>
            <w:pPr>
              <w:pStyle w:val="39"/>
            </w:pPr>
            <w:r>
              <w:rPr>
                <w:rFonts w:hint="eastAsia"/>
              </w:rPr>
              <w:t>H</w:t>
            </w:r>
            <w:r>
              <w:rPr>
                <w:rFonts w:hint="eastAsia"/>
                <w:vertAlign w:val="subscript"/>
              </w:rPr>
              <w:t>2</w:t>
            </w:r>
            <w:r>
              <w:rPr>
                <w:rFonts w:hint="eastAsia"/>
              </w:rPr>
              <w:t>S</w:t>
            </w:r>
          </w:p>
        </w:tc>
        <w:tc>
          <w:tcPr>
            <w:tcW w:w="803" w:type="pct"/>
            <w:vAlign w:val="center"/>
          </w:tcPr>
          <w:p>
            <w:pPr>
              <w:pStyle w:val="39"/>
            </w:pPr>
            <w:r>
              <w:rPr>
                <w:rFonts w:hint="eastAsia"/>
              </w:rPr>
              <w:t>0.001L</w:t>
            </w:r>
          </w:p>
        </w:tc>
        <w:tc>
          <w:tcPr>
            <w:tcW w:w="536" w:type="pct"/>
            <w:vAlign w:val="center"/>
          </w:tcPr>
          <w:p>
            <w:pPr>
              <w:pStyle w:val="39"/>
            </w:pPr>
            <w:r>
              <w:t>0</w:t>
            </w:r>
          </w:p>
        </w:tc>
        <w:tc>
          <w:tcPr>
            <w:tcW w:w="447" w:type="pct"/>
            <w:vAlign w:val="center"/>
          </w:tcPr>
          <w:p>
            <w:pPr>
              <w:pStyle w:val="39"/>
            </w:pPr>
            <w:r>
              <w:t>0</w:t>
            </w:r>
          </w:p>
        </w:tc>
        <w:tc>
          <w:tcPr>
            <w:tcW w:w="447" w:type="pct"/>
            <w:vAlign w:val="center"/>
          </w:tcPr>
          <w:p>
            <w:pPr>
              <w:pStyle w:val="39"/>
            </w:pPr>
            <w:r>
              <w:rPr>
                <w:rFonts w:hint="eastAsia"/>
              </w:rPr>
              <w:t>0.01</w:t>
            </w:r>
          </w:p>
        </w:tc>
        <w:tc>
          <w:tcPr>
            <w:tcW w:w="446" w:type="pct"/>
            <w:vAlign w:val="center"/>
          </w:tcPr>
          <w:p>
            <w:pPr>
              <w:pStyle w:val="39"/>
            </w:pPr>
            <w:r>
              <w:rPr>
                <w:rFonts w:hint="eastAsia"/>
              </w:rPr>
              <w:t>达标</w:t>
            </w:r>
          </w:p>
        </w:tc>
        <w:tc>
          <w:tcPr>
            <w:tcW w:w="1302" w:type="pct"/>
            <w:vMerge w:val="restart"/>
            <w:vAlign w:val="center"/>
          </w:tcPr>
          <w:p>
            <w:pPr>
              <w:pStyle w:val="39"/>
            </w:pPr>
            <w:r>
              <w:t xml:space="preserve">《环境影响评价技术导则大气环境》（HJ2.2-2018）附录D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660" w:type="pct"/>
            <w:vMerge w:val="continue"/>
            <w:vAlign w:val="center"/>
          </w:tcPr>
          <w:p>
            <w:pPr>
              <w:pStyle w:val="39"/>
            </w:pPr>
          </w:p>
        </w:tc>
        <w:tc>
          <w:tcPr>
            <w:tcW w:w="358" w:type="pct"/>
            <w:vAlign w:val="center"/>
          </w:tcPr>
          <w:p>
            <w:pPr>
              <w:pStyle w:val="39"/>
            </w:pPr>
            <w:r>
              <w:rPr>
                <w:rFonts w:hint="eastAsia"/>
              </w:rPr>
              <w:t>NH</w:t>
            </w:r>
            <w:r>
              <w:rPr>
                <w:rFonts w:hint="eastAsia"/>
                <w:vertAlign w:val="subscript"/>
              </w:rPr>
              <w:t>3</w:t>
            </w:r>
          </w:p>
        </w:tc>
        <w:tc>
          <w:tcPr>
            <w:tcW w:w="803" w:type="pct"/>
            <w:vAlign w:val="center"/>
          </w:tcPr>
          <w:p>
            <w:pPr>
              <w:pStyle w:val="39"/>
            </w:pPr>
            <w:r>
              <w:rPr>
                <w:rFonts w:hint="eastAsia"/>
              </w:rPr>
              <w:t>0.06</w:t>
            </w:r>
            <w:r>
              <w:t>~</w:t>
            </w:r>
            <w:r>
              <w:rPr>
                <w:rFonts w:hint="eastAsia"/>
              </w:rPr>
              <w:t>0.08</w:t>
            </w:r>
          </w:p>
        </w:tc>
        <w:tc>
          <w:tcPr>
            <w:tcW w:w="536" w:type="pct"/>
            <w:vAlign w:val="center"/>
          </w:tcPr>
          <w:p>
            <w:pPr>
              <w:pStyle w:val="39"/>
            </w:pPr>
            <w:r>
              <w:rPr>
                <w:rFonts w:hint="eastAsia"/>
              </w:rPr>
              <w:t>0</w:t>
            </w:r>
          </w:p>
        </w:tc>
        <w:tc>
          <w:tcPr>
            <w:tcW w:w="447" w:type="pct"/>
            <w:vAlign w:val="center"/>
          </w:tcPr>
          <w:p>
            <w:pPr>
              <w:pStyle w:val="39"/>
            </w:pPr>
            <w:r>
              <w:rPr>
                <w:rFonts w:hint="eastAsia"/>
              </w:rPr>
              <w:t>0</w:t>
            </w:r>
          </w:p>
        </w:tc>
        <w:tc>
          <w:tcPr>
            <w:tcW w:w="447" w:type="pct"/>
            <w:vAlign w:val="center"/>
          </w:tcPr>
          <w:p>
            <w:pPr>
              <w:pStyle w:val="39"/>
            </w:pPr>
            <w:r>
              <w:rPr>
                <w:rFonts w:hint="eastAsia"/>
              </w:rPr>
              <w:t>0.2</w:t>
            </w:r>
          </w:p>
        </w:tc>
        <w:tc>
          <w:tcPr>
            <w:tcW w:w="446" w:type="pct"/>
            <w:vAlign w:val="center"/>
          </w:tcPr>
          <w:p>
            <w:pPr>
              <w:pStyle w:val="39"/>
            </w:pPr>
            <w:r>
              <w:rPr>
                <w:rFonts w:hint="eastAsia"/>
              </w:rPr>
              <w:t>达标</w:t>
            </w:r>
          </w:p>
        </w:tc>
        <w:tc>
          <w:tcPr>
            <w:tcW w:w="1302" w:type="pct"/>
            <w:vMerge w:val="continue"/>
            <w:vAlign w:val="center"/>
          </w:tcPr>
          <w:p>
            <w:pPr>
              <w:pStyle w:val="3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660" w:type="pct"/>
            <w:vMerge w:val="continue"/>
            <w:vAlign w:val="center"/>
          </w:tcPr>
          <w:p>
            <w:pPr>
              <w:pStyle w:val="39"/>
            </w:pPr>
          </w:p>
        </w:tc>
        <w:tc>
          <w:tcPr>
            <w:tcW w:w="358" w:type="pct"/>
            <w:vAlign w:val="center"/>
          </w:tcPr>
          <w:p>
            <w:pPr>
              <w:pStyle w:val="39"/>
            </w:pPr>
            <w:r>
              <w:rPr>
                <w:rFonts w:hint="eastAsia"/>
              </w:rPr>
              <w:t>臭气浓度</w:t>
            </w:r>
          </w:p>
        </w:tc>
        <w:tc>
          <w:tcPr>
            <w:tcW w:w="803" w:type="pct"/>
            <w:vAlign w:val="center"/>
          </w:tcPr>
          <w:p>
            <w:pPr>
              <w:pStyle w:val="39"/>
            </w:pPr>
            <w:r>
              <w:t>10</w:t>
            </w:r>
            <w:r>
              <w:rPr>
                <w:rFonts w:hint="eastAsia"/>
              </w:rPr>
              <w:t>L</w:t>
            </w:r>
          </w:p>
          <w:p>
            <w:pPr>
              <w:pStyle w:val="39"/>
            </w:pPr>
            <w:r>
              <w:rPr>
                <w:rFonts w:hint="eastAsia"/>
              </w:rPr>
              <w:t>（无量纲）</w:t>
            </w:r>
          </w:p>
        </w:tc>
        <w:tc>
          <w:tcPr>
            <w:tcW w:w="536" w:type="pct"/>
            <w:vAlign w:val="center"/>
          </w:tcPr>
          <w:p>
            <w:pPr>
              <w:pStyle w:val="39"/>
            </w:pPr>
            <w:r>
              <w:rPr>
                <w:rFonts w:hint="eastAsia"/>
              </w:rPr>
              <w:t>——</w:t>
            </w:r>
          </w:p>
        </w:tc>
        <w:tc>
          <w:tcPr>
            <w:tcW w:w="447" w:type="pct"/>
            <w:vAlign w:val="center"/>
          </w:tcPr>
          <w:p>
            <w:pPr>
              <w:pStyle w:val="39"/>
            </w:pPr>
            <w:r>
              <w:rPr>
                <w:rFonts w:hint="eastAsia"/>
              </w:rPr>
              <w:t>——</w:t>
            </w:r>
          </w:p>
        </w:tc>
        <w:tc>
          <w:tcPr>
            <w:tcW w:w="447" w:type="pct"/>
            <w:vAlign w:val="center"/>
          </w:tcPr>
          <w:p>
            <w:pPr>
              <w:pStyle w:val="39"/>
            </w:pPr>
            <w:r>
              <w:rPr>
                <w:rFonts w:hint="eastAsia"/>
              </w:rPr>
              <w:t>——</w:t>
            </w:r>
          </w:p>
        </w:tc>
        <w:tc>
          <w:tcPr>
            <w:tcW w:w="446" w:type="pct"/>
            <w:vAlign w:val="center"/>
          </w:tcPr>
          <w:p>
            <w:pPr>
              <w:pStyle w:val="39"/>
            </w:pPr>
            <w:r>
              <w:rPr>
                <w:rFonts w:hint="eastAsia"/>
              </w:rPr>
              <w:t>——</w:t>
            </w:r>
          </w:p>
        </w:tc>
        <w:tc>
          <w:tcPr>
            <w:tcW w:w="1302" w:type="pct"/>
            <w:vAlign w:val="center"/>
          </w:tcPr>
          <w:p>
            <w:pPr>
              <w:pStyle w:val="39"/>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660" w:type="pct"/>
            <w:vMerge w:val="restart"/>
            <w:vAlign w:val="center"/>
          </w:tcPr>
          <w:p>
            <w:pPr>
              <w:pStyle w:val="39"/>
            </w:pPr>
            <w:r>
              <w:rPr>
                <w:rFonts w:hint="eastAsia"/>
              </w:rPr>
              <w:t>G2：厂界西南侧散户居名点</w:t>
            </w:r>
          </w:p>
        </w:tc>
        <w:tc>
          <w:tcPr>
            <w:tcW w:w="358" w:type="pct"/>
            <w:vAlign w:val="center"/>
          </w:tcPr>
          <w:p>
            <w:pPr>
              <w:pStyle w:val="39"/>
            </w:pPr>
            <w:r>
              <w:rPr>
                <w:rFonts w:hint="eastAsia"/>
              </w:rPr>
              <w:t>H</w:t>
            </w:r>
            <w:r>
              <w:rPr>
                <w:rFonts w:hint="eastAsia"/>
                <w:vertAlign w:val="subscript"/>
              </w:rPr>
              <w:t>2</w:t>
            </w:r>
            <w:r>
              <w:rPr>
                <w:rFonts w:hint="eastAsia"/>
              </w:rPr>
              <w:t>S</w:t>
            </w:r>
          </w:p>
        </w:tc>
        <w:tc>
          <w:tcPr>
            <w:tcW w:w="803" w:type="pct"/>
            <w:vAlign w:val="center"/>
          </w:tcPr>
          <w:p>
            <w:pPr>
              <w:pStyle w:val="39"/>
            </w:pPr>
            <w:r>
              <w:rPr>
                <w:rFonts w:hint="eastAsia"/>
              </w:rPr>
              <w:t>0.001L</w:t>
            </w:r>
          </w:p>
        </w:tc>
        <w:tc>
          <w:tcPr>
            <w:tcW w:w="536" w:type="pct"/>
            <w:vAlign w:val="center"/>
          </w:tcPr>
          <w:p>
            <w:pPr>
              <w:pStyle w:val="39"/>
            </w:pPr>
            <w:r>
              <w:t>0</w:t>
            </w:r>
          </w:p>
        </w:tc>
        <w:tc>
          <w:tcPr>
            <w:tcW w:w="447" w:type="pct"/>
            <w:vAlign w:val="center"/>
          </w:tcPr>
          <w:p>
            <w:pPr>
              <w:pStyle w:val="39"/>
            </w:pPr>
            <w:r>
              <w:rPr>
                <w:rFonts w:hint="eastAsia"/>
              </w:rPr>
              <w:t>0</w:t>
            </w:r>
          </w:p>
        </w:tc>
        <w:tc>
          <w:tcPr>
            <w:tcW w:w="447" w:type="pct"/>
            <w:vAlign w:val="center"/>
          </w:tcPr>
          <w:p>
            <w:pPr>
              <w:pStyle w:val="39"/>
            </w:pPr>
            <w:r>
              <w:rPr>
                <w:rFonts w:hint="eastAsia"/>
              </w:rPr>
              <w:t>0.01</w:t>
            </w:r>
          </w:p>
        </w:tc>
        <w:tc>
          <w:tcPr>
            <w:tcW w:w="446" w:type="pct"/>
            <w:vAlign w:val="center"/>
          </w:tcPr>
          <w:p>
            <w:pPr>
              <w:pStyle w:val="39"/>
            </w:pPr>
            <w:r>
              <w:rPr>
                <w:rFonts w:hint="eastAsia"/>
              </w:rPr>
              <w:t>达标</w:t>
            </w:r>
          </w:p>
        </w:tc>
        <w:tc>
          <w:tcPr>
            <w:tcW w:w="1302" w:type="pct"/>
            <w:vMerge w:val="restart"/>
            <w:vAlign w:val="center"/>
          </w:tcPr>
          <w:p>
            <w:pPr>
              <w:pStyle w:val="39"/>
            </w:pPr>
            <w:r>
              <w:t xml:space="preserve">《环境影响评价技术导则大气环境》（HJ2.2-2018）附录D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660" w:type="pct"/>
            <w:vMerge w:val="continue"/>
            <w:vAlign w:val="center"/>
          </w:tcPr>
          <w:p>
            <w:pPr>
              <w:pStyle w:val="39"/>
            </w:pPr>
          </w:p>
        </w:tc>
        <w:tc>
          <w:tcPr>
            <w:tcW w:w="358" w:type="pct"/>
            <w:vAlign w:val="center"/>
          </w:tcPr>
          <w:p>
            <w:pPr>
              <w:pStyle w:val="39"/>
            </w:pPr>
            <w:r>
              <w:rPr>
                <w:rFonts w:hint="eastAsia"/>
              </w:rPr>
              <w:t>NH</w:t>
            </w:r>
            <w:r>
              <w:rPr>
                <w:rFonts w:hint="eastAsia"/>
                <w:vertAlign w:val="subscript"/>
              </w:rPr>
              <w:t>3</w:t>
            </w:r>
          </w:p>
        </w:tc>
        <w:tc>
          <w:tcPr>
            <w:tcW w:w="803" w:type="pct"/>
            <w:vAlign w:val="center"/>
          </w:tcPr>
          <w:p>
            <w:pPr>
              <w:pStyle w:val="39"/>
            </w:pPr>
            <w:r>
              <w:rPr>
                <w:rFonts w:hint="eastAsia"/>
              </w:rPr>
              <w:t>0.06</w:t>
            </w:r>
            <w:r>
              <w:t>~</w:t>
            </w:r>
            <w:r>
              <w:rPr>
                <w:rFonts w:hint="eastAsia"/>
              </w:rPr>
              <w:t>0.09</w:t>
            </w:r>
          </w:p>
        </w:tc>
        <w:tc>
          <w:tcPr>
            <w:tcW w:w="536" w:type="pct"/>
            <w:vAlign w:val="center"/>
          </w:tcPr>
          <w:p>
            <w:pPr>
              <w:pStyle w:val="39"/>
            </w:pPr>
            <w:r>
              <w:rPr>
                <w:rFonts w:hint="eastAsia"/>
              </w:rPr>
              <w:t>0</w:t>
            </w:r>
          </w:p>
        </w:tc>
        <w:tc>
          <w:tcPr>
            <w:tcW w:w="447" w:type="pct"/>
            <w:vAlign w:val="center"/>
          </w:tcPr>
          <w:p>
            <w:pPr>
              <w:pStyle w:val="39"/>
            </w:pPr>
            <w:r>
              <w:rPr>
                <w:rFonts w:hint="eastAsia"/>
              </w:rPr>
              <w:t>0</w:t>
            </w:r>
          </w:p>
        </w:tc>
        <w:tc>
          <w:tcPr>
            <w:tcW w:w="447" w:type="pct"/>
            <w:vAlign w:val="center"/>
          </w:tcPr>
          <w:p>
            <w:pPr>
              <w:pStyle w:val="39"/>
            </w:pPr>
            <w:r>
              <w:rPr>
                <w:rFonts w:hint="eastAsia"/>
              </w:rPr>
              <w:t>0.2</w:t>
            </w:r>
          </w:p>
        </w:tc>
        <w:tc>
          <w:tcPr>
            <w:tcW w:w="446" w:type="pct"/>
            <w:vAlign w:val="center"/>
          </w:tcPr>
          <w:p>
            <w:pPr>
              <w:pStyle w:val="39"/>
            </w:pPr>
            <w:r>
              <w:rPr>
                <w:rFonts w:hint="eastAsia"/>
              </w:rPr>
              <w:t>达标</w:t>
            </w:r>
          </w:p>
        </w:tc>
        <w:tc>
          <w:tcPr>
            <w:tcW w:w="1302" w:type="pct"/>
            <w:vMerge w:val="continue"/>
            <w:vAlign w:val="center"/>
          </w:tcPr>
          <w:p>
            <w:pPr>
              <w:pStyle w:val="3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660" w:type="pct"/>
            <w:vMerge w:val="continue"/>
            <w:vAlign w:val="center"/>
          </w:tcPr>
          <w:p>
            <w:pPr>
              <w:pStyle w:val="39"/>
            </w:pPr>
          </w:p>
        </w:tc>
        <w:tc>
          <w:tcPr>
            <w:tcW w:w="358" w:type="pct"/>
            <w:vAlign w:val="center"/>
          </w:tcPr>
          <w:p>
            <w:pPr>
              <w:pStyle w:val="39"/>
            </w:pPr>
            <w:r>
              <w:rPr>
                <w:rFonts w:hint="eastAsia"/>
              </w:rPr>
              <w:t>臭气浓度</w:t>
            </w:r>
          </w:p>
        </w:tc>
        <w:tc>
          <w:tcPr>
            <w:tcW w:w="803" w:type="pct"/>
            <w:vAlign w:val="center"/>
          </w:tcPr>
          <w:p>
            <w:pPr>
              <w:pStyle w:val="39"/>
            </w:pPr>
            <w:r>
              <w:t>10</w:t>
            </w:r>
            <w:r>
              <w:rPr>
                <w:rFonts w:hint="eastAsia"/>
              </w:rPr>
              <w:t>L</w:t>
            </w:r>
          </w:p>
          <w:p>
            <w:pPr>
              <w:pStyle w:val="39"/>
            </w:pPr>
            <w:r>
              <w:rPr>
                <w:rFonts w:hint="eastAsia"/>
              </w:rPr>
              <w:t>（无量纲）</w:t>
            </w:r>
          </w:p>
        </w:tc>
        <w:tc>
          <w:tcPr>
            <w:tcW w:w="536" w:type="pct"/>
            <w:vAlign w:val="center"/>
          </w:tcPr>
          <w:p>
            <w:pPr>
              <w:pStyle w:val="39"/>
            </w:pPr>
            <w:r>
              <w:rPr>
                <w:rFonts w:hint="eastAsia"/>
              </w:rPr>
              <w:t>——</w:t>
            </w:r>
          </w:p>
        </w:tc>
        <w:tc>
          <w:tcPr>
            <w:tcW w:w="447" w:type="pct"/>
            <w:vAlign w:val="center"/>
          </w:tcPr>
          <w:p>
            <w:pPr>
              <w:pStyle w:val="39"/>
            </w:pPr>
            <w:r>
              <w:rPr>
                <w:rFonts w:hint="eastAsia"/>
              </w:rPr>
              <w:t>——</w:t>
            </w:r>
          </w:p>
        </w:tc>
        <w:tc>
          <w:tcPr>
            <w:tcW w:w="447" w:type="pct"/>
            <w:vAlign w:val="center"/>
          </w:tcPr>
          <w:p>
            <w:pPr>
              <w:pStyle w:val="39"/>
            </w:pPr>
            <w:r>
              <w:rPr>
                <w:rFonts w:hint="eastAsia"/>
              </w:rPr>
              <w:t>——</w:t>
            </w:r>
          </w:p>
        </w:tc>
        <w:tc>
          <w:tcPr>
            <w:tcW w:w="446" w:type="pct"/>
            <w:vAlign w:val="center"/>
          </w:tcPr>
          <w:p>
            <w:pPr>
              <w:pStyle w:val="39"/>
            </w:pPr>
            <w:r>
              <w:rPr>
                <w:rFonts w:hint="eastAsia"/>
              </w:rPr>
              <w:t>——</w:t>
            </w:r>
          </w:p>
        </w:tc>
        <w:tc>
          <w:tcPr>
            <w:tcW w:w="1302" w:type="pct"/>
            <w:vAlign w:val="center"/>
          </w:tcPr>
          <w:p>
            <w:pPr>
              <w:pStyle w:val="39"/>
            </w:pPr>
            <w:r>
              <w:rPr>
                <w:rFonts w:hint="eastAsia"/>
              </w:rPr>
              <w:t>——</w:t>
            </w:r>
          </w:p>
        </w:tc>
      </w:tr>
    </w:tbl>
    <w:p>
      <w:pPr>
        <w:pStyle w:val="3"/>
        <w:ind w:firstLine="480"/>
      </w:pPr>
    </w:p>
    <w:p>
      <w:pPr>
        <w:pStyle w:val="3"/>
        <w:ind w:firstLine="480"/>
      </w:pPr>
      <w:r>
        <w:rPr>
          <w:rFonts w:hint="eastAsia"/>
        </w:rPr>
        <w:t>根据监测结果</w:t>
      </w:r>
      <w:r>
        <w:t>，评价区域空气环境指标</w:t>
      </w:r>
      <w:r>
        <w:rPr>
          <w:rFonts w:hint="eastAsia"/>
        </w:rPr>
        <w:t>中H</w:t>
      </w:r>
      <w:r>
        <w:rPr>
          <w:rFonts w:hint="eastAsia"/>
          <w:vertAlign w:val="subscript"/>
        </w:rPr>
        <w:t>2</w:t>
      </w:r>
      <w:r>
        <w:rPr>
          <w:rFonts w:hint="eastAsia"/>
        </w:rPr>
        <w:t>S、NH</w:t>
      </w:r>
      <w:r>
        <w:rPr>
          <w:rFonts w:hint="eastAsia"/>
          <w:vertAlign w:val="subscript"/>
        </w:rPr>
        <w:t>3</w:t>
      </w:r>
      <w:r>
        <w:rPr>
          <w:rFonts w:hint="eastAsia"/>
        </w:rPr>
        <w:t>均能达到</w:t>
      </w:r>
      <w:r>
        <w:t>《环境影响评价技术导则大气环境》（HJ2.2-2018）附录D浓度限值要求</w:t>
      </w:r>
      <w:r>
        <w:rPr>
          <w:rFonts w:hint="eastAsia" w:cs="Times New Roman"/>
          <w:kern w:val="0"/>
        </w:rPr>
        <w:t>，臭气浓度为区域本底值，</w:t>
      </w:r>
      <w:r>
        <w:rPr>
          <w:rFonts w:hint="eastAsia"/>
        </w:rPr>
        <w:t>区域环境空气质量良好</w:t>
      </w:r>
      <w:r>
        <w:t>。</w:t>
      </w:r>
    </w:p>
    <w:p>
      <w:pPr>
        <w:pStyle w:val="6"/>
      </w:pPr>
      <w:r>
        <w:rPr>
          <w:rFonts w:hint="eastAsia"/>
        </w:rPr>
        <w:t>地表水环境质量现状调查与评价</w:t>
      </w:r>
    </w:p>
    <w:p>
      <w:pPr>
        <w:pStyle w:val="3"/>
        <w:ind w:firstLine="480"/>
      </w:pPr>
      <w:r>
        <w:t>（1）监测断面</w:t>
      </w:r>
      <w:r>
        <w:rPr>
          <w:rFonts w:hint="eastAsia"/>
        </w:rPr>
        <w:t>布设</w:t>
      </w:r>
    </w:p>
    <w:p>
      <w:pPr>
        <w:pStyle w:val="3"/>
        <w:ind w:firstLine="480"/>
      </w:pPr>
      <w:r>
        <w:rPr>
          <w:rFonts w:hint="eastAsia"/>
          <w:bCs/>
        </w:rPr>
        <w:t>W1：项目厂界外北侧70m水塘</w:t>
      </w:r>
      <w:r>
        <w:rPr>
          <w:rFonts w:hint="eastAsia"/>
        </w:rPr>
        <w:t>；</w:t>
      </w:r>
      <w:r>
        <w:t>监测断面具体位置详见附图。</w:t>
      </w:r>
    </w:p>
    <w:p>
      <w:pPr>
        <w:pStyle w:val="3"/>
        <w:ind w:firstLine="480"/>
      </w:pPr>
      <w:r>
        <w:t>（2）监测时间</w:t>
      </w:r>
      <w:r>
        <w:rPr>
          <w:rFonts w:hint="eastAsia"/>
        </w:rPr>
        <w:t>及</w:t>
      </w:r>
      <w:r>
        <w:t>频率：连续</w:t>
      </w:r>
      <w:r>
        <w:rPr>
          <w:rFonts w:hint="eastAsia"/>
        </w:rPr>
        <w:t>监测3</w:t>
      </w:r>
      <w:r>
        <w:t>天，</w:t>
      </w:r>
      <w:r>
        <w:rPr>
          <w:rFonts w:hint="eastAsia"/>
        </w:rPr>
        <w:t>20</w:t>
      </w:r>
      <w:r>
        <w:t>2</w:t>
      </w:r>
      <w:r>
        <w:rPr>
          <w:rFonts w:hint="eastAsia"/>
        </w:rPr>
        <w:t>1年6月</w:t>
      </w:r>
      <w:r>
        <w:t>1</w:t>
      </w:r>
      <w:r>
        <w:rPr>
          <w:rFonts w:hint="eastAsia"/>
        </w:rPr>
        <w:t>~3日，</w:t>
      </w:r>
      <w:r>
        <w:t>监测频次为每天1次。</w:t>
      </w:r>
    </w:p>
    <w:p>
      <w:pPr>
        <w:pStyle w:val="3"/>
        <w:ind w:firstLine="480"/>
      </w:pPr>
      <w:r>
        <w:t>（3）监测项目：pH、COD</w:t>
      </w:r>
      <w:r>
        <w:rPr>
          <w:vertAlign w:val="subscript"/>
        </w:rPr>
        <w:t>Cr</w:t>
      </w:r>
      <w:r>
        <w:t>、</w:t>
      </w:r>
      <w:r>
        <w:rPr>
          <w:rFonts w:hint="eastAsia"/>
        </w:rPr>
        <w:t>BOD</w:t>
      </w:r>
      <w:r>
        <w:rPr>
          <w:rFonts w:hint="eastAsia"/>
          <w:vertAlign w:val="subscript"/>
        </w:rPr>
        <w:t>5</w:t>
      </w:r>
      <w:r>
        <w:rPr>
          <w:rFonts w:hint="eastAsia"/>
        </w:rPr>
        <w:t>、氨氮、总磷、总氮、动植物油、LAS</w:t>
      </w:r>
      <w:r>
        <w:t>、</w:t>
      </w:r>
      <w:r>
        <w:rPr>
          <w:rFonts w:hint="eastAsia"/>
        </w:rPr>
        <w:t>粪大肠菌群共</w:t>
      </w:r>
      <w:r>
        <w:t>9</w:t>
      </w:r>
      <w:r>
        <w:rPr>
          <w:rFonts w:hint="eastAsia"/>
        </w:rPr>
        <w:t>项</w:t>
      </w:r>
      <w:r>
        <w:t>。</w:t>
      </w:r>
    </w:p>
    <w:p>
      <w:pPr>
        <w:pStyle w:val="3"/>
        <w:ind w:firstLine="480"/>
      </w:pPr>
      <w:r>
        <w:t>（4）采样和分析方法：样品的采集和保存、分析均按《地表水和污水监测技术规范》（HJ/T91-2002）</w:t>
      </w:r>
      <w:r>
        <w:rPr>
          <w:rFonts w:hint="eastAsia"/>
        </w:rPr>
        <w:t>、</w:t>
      </w:r>
      <w:r>
        <w:t>《水质监测质量保证手册》和《环境监测标准分析方法》中的有关规定进行。</w:t>
      </w:r>
      <w:bookmarkStart w:id="32" w:name="_Toc314042903"/>
      <w:bookmarkStart w:id="33" w:name="_Toc338401938"/>
    </w:p>
    <w:bookmarkEnd w:id="32"/>
    <w:bookmarkEnd w:id="33"/>
    <w:p>
      <w:pPr>
        <w:pStyle w:val="3"/>
        <w:ind w:firstLine="480"/>
      </w:pPr>
      <w:r>
        <w:t>（5）评价标准：执行《地表水环境质量标准》（GB3838-2002）</w:t>
      </w:r>
      <w:r>
        <w:rPr>
          <w:rFonts w:hint="eastAsia"/>
        </w:rPr>
        <w:t>Ⅲ</w:t>
      </w:r>
      <w:r>
        <w:t>类标准。</w:t>
      </w:r>
    </w:p>
    <w:p>
      <w:pPr>
        <w:pStyle w:val="3"/>
        <w:ind w:firstLine="480"/>
      </w:pPr>
      <w:r>
        <w:t>（6）评价方法：采用超标率和最大超标倍数等数理统计法进行评价。</w:t>
      </w:r>
    </w:p>
    <w:p>
      <w:pPr>
        <w:pStyle w:val="3"/>
        <w:ind w:firstLine="480"/>
      </w:pPr>
      <w:r>
        <w:t>（7）监测结果</w:t>
      </w:r>
      <w:r>
        <w:rPr>
          <w:rFonts w:hint="eastAsia"/>
        </w:rPr>
        <w:t>：</w:t>
      </w:r>
      <w:r>
        <w:t>监测及评价结果见表4.2</w:t>
      </w:r>
      <w:r>
        <w:rPr>
          <w:rFonts w:hint="eastAsia"/>
        </w:rPr>
        <w:t>-</w:t>
      </w:r>
      <w:r>
        <w:t>3。</w:t>
      </w:r>
    </w:p>
    <w:p>
      <w:pPr>
        <w:pStyle w:val="15"/>
      </w:pPr>
      <w:r>
        <w:t>表4.2-3</w:t>
      </w:r>
      <w:r>
        <w:rPr>
          <w:rFonts w:hint="eastAsia"/>
        </w:rPr>
        <w:t xml:space="preserve">   </w:t>
      </w:r>
      <w:r>
        <w:t>地表水水质现状监测及评价结果</w:t>
      </w:r>
      <w:r>
        <w:rPr>
          <w:rFonts w:hint="eastAsia"/>
        </w:rPr>
        <w:t xml:space="preserve">  单位</w:t>
      </w:r>
      <w:r>
        <w:t>mg/L</w:t>
      </w:r>
      <w:r>
        <w:rPr>
          <w:rFonts w:hint="eastAsia"/>
        </w:rPr>
        <w:t>（</w:t>
      </w:r>
      <w:r>
        <w:t>pH</w:t>
      </w:r>
      <w:r>
        <w:rPr>
          <w:rFonts w:hint="eastAsia"/>
        </w:rPr>
        <w:t>除外）</w:t>
      </w:r>
    </w:p>
    <w:tbl>
      <w:tblPr>
        <w:tblStyle w:val="26"/>
        <w:tblW w:w="9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005"/>
        <w:gridCol w:w="1559"/>
        <w:gridCol w:w="1134"/>
        <w:gridCol w:w="1134"/>
        <w:gridCol w:w="1418"/>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080" w:type="dxa"/>
            <w:vAlign w:val="center"/>
          </w:tcPr>
          <w:p>
            <w:pPr>
              <w:pStyle w:val="39"/>
              <w:ind w:left="420" w:hanging="420"/>
            </w:pPr>
            <w:r>
              <w:rPr>
                <w:rFonts w:hint="eastAsia"/>
              </w:rPr>
              <w:t>监测断面</w:t>
            </w:r>
          </w:p>
        </w:tc>
        <w:tc>
          <w:tcPr>
            <w:tcW w:w="2005" w:type="dxa"/>
            <w:vAlign w:val="center"/>
          </w:tcPr>
          <w:p>
            <w:pPr>
              <w:pStyle w:val="39"/>
              <w:ind w:left="420" w:hanging="420"/>
            </w:pPr>
            <w:r>
              <w:rPr>
                <w:rFonts w:hint="eastAsia"/>
              </w:rPr>
              <w:t>监测项目</w:t>
            </w:r>
          </w:p>
        </w:tc>
        <w:tc>
          <w:tcPr>
            <w:tcW w:w="1559" w:type="dxa"/>
            <w:vAlign w:val="center"/>
          </w:tcPr>
          <w:p>
            <w:pPr>
              <w:pStyle w:val="39"/>
              <w:ind w:left="420" w:hanging="420"/>
            </w:pPr>
            <w:r>
              <w:rPr>
                <w:rFonts w:hint="eastAsia"/>
              </w:rPr>
              <w:t>监测结果</w:t>
            </w:r>
          </w:p>
        </w:tc>
        <w:tc>
          <w:tcPr>
            <w:tcW w:w="1134" w:type="dxa"/>
            <w:vAlign w:val="center"/>
          </w:tcPr>
          <w:p>
            <w:pPr>
              <w:pStyle w:val="39"/>
            </w:pPr>
            <w:r>
              <w:rPr>
                <w:rFonts w:hint="eastAsia"/>
              </w:rPr>
              <w:t>最大超标倍数</w:t>
            </w:r>
          </w:p>
        </w:tc>
        <w:tc>
          <w:tcPr>
            <w:tcW w:w="1134" w:type="dxa"/>
            <w:vAlign w:val="center"/>
          </w:tcPr>
          <w:p>
            <w:pPr>
              <w:pStyle w:val="39"/>
            </w:pPr>
            <w:r>
              <w:rPr>
                <w:rFonts w:hint="eastAsia"/>
              </w:rPr>
              <w:t>超标率</w:t>
            </w:r>
            <w:r>
              <w:t>（%）</w:t>
            </w:r>
          </w:p>
        </w:tc>
        <w:tc>
          <w:tcPr>
            <w:tcW w:w="1418" w:type="dxa"/>
            <w:vAlign w:val="center"/>
          </w:tcPr>
          <w:p>
            <w:pPr>
              <w:pStyle w:val="39"/>
              <w:ind w:left="420" w:hanging="420"/>
            </w:pPr>
            <w:r>
              <w:t>GB3838-2002</w:t>
            </w:r>
          </w:p>
          <w:p>
            <w:pPr>
              <w:pStyle w:val="39"/>
              <w:ind w:left="420" w:hanging="420"/>
            </w:pPr>
            <w:r>
              <w:rPr>
                <w:rFonts w:hint="eastAsia"/>
              </w:rPr>
              <w:t>Ⅲ</w:t>
            </w:r>
            <w:r>
              <w:t>类标准</w:t>
            </w:r>
          </w:p>
        </w:tc>
        <w:tc>
          <w:tcPr>
            <w:tcW w:w="843" w:type="dxa"/>
            <w:vAlign w:val="center"/>
          </w:tcPr>
          <w:p>
            <w:pPr>
              <w:pStyle w:val="39"/>
            </w:pPr>
            <w:r>
              <w:rPr>
                <w:rFonts w:hint="eastAsia"/>
              </w:rPr>
              <w:t>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80" w:type="dxa"/>
            <w:vMerge w:val="restart"/>
            <w:vAlign w:val="center"/>
          </w:tcPr>
          <w:p>
            <w:pPr>
              <w:pStyle w:val="39"/>
            </w:pPr>
            <w:r>
              <w:rPr>
                <w:rFonts w:hint="eastAsia"/>
                <w:bCs/>
              </w:rPr>
              <w:t>W1：</w:t>
            </w:r>
            <w:r>
              <w:rPr>
                <w:rFonts w:hint="eastAsia"/>
              </w:rPr>
              <w:t>项目厂界外北侧50m——水塘</w:t>
            </w:r>
          </w:p>
        </w:tc>
        <w:tc>
          <w:tcPr>
            <w:tcW w:w="2005" w:type="dxa"/>
            <w:vAlign w:val="center"/>
          </w:tcPr>
          <w:p>
            <w:pPr>
              <w:pStyle w:val="39"/>
              <w:ind w:left="420" w:hanging="420"/>
            </w:pPr>
            <w:r>
              <w:t>pH</w:t>
            </w:r>
          </w:p>
        </w:tc>
        <w:tc>
          <w:tcPr>
            <w:tcW w:w="1559" w:type="dxa"/>
            <w:vAlign w:val="center"/>
          </w:tcPr>
          <w:p>
            <w:pPr>
              <w:pStyle w:val="39"/>
              <w:ind w:left="420" w:hanging="420"/>
            </w:pPr>
            <w:r>
              <w:t>6.</w:t>
            </w:r>
            <w:r>
              <w:rPr>
                <w:rFonts w:hint="eastAsia"/>
              </w:rPr>
              <w:t>69~</w:t>
            </w:r>
            <w:r>
              <w:t>6.</w:t>
            </w:r>
            <w:r>
              <w:rPr>
                <w:rFonts w:hint="eastAsia"/>
              </w:rPr>
              <w:t>82</w:t>
            </w:r>
          </w:p>
        </w:tc>
        <w:tc>
          <w:tcPr>
            <w:tcW w:w="1134" w:type="dxa"/>
            <w:vAlign w:val="center"/>
          </w:tcPr>
          <w:p>
            <w:pPr>
              <w:pStyle w:val="39"/>
              <w:ind w:left="420" w:hanging="420"/>
            </w:pPr>
            <w:r>
              <w:rPr>
                <w:rFonts w:hint="eastAsia"/>
              </w:rPr>
              <w:t>——</w:t>
            </w:r>
          </w:p>
        </w:tc>
        <w:tc>
          <w:tcPr>
            <w:tcW w:w="1134" w:type="dxa"/>
            <w:vAlign w:val="center"/>
          </w:tcPr>
          <w:p>
            <w:pPr>
              <w:pStyle w:val="39"/>
              <w:ind w:left="420" w:hanging="420"/>
            </w:pPr>
            <w:r>
              <w:rPr>
                <w:rFonts w:hint="eastAsia"/>
              </w:rPr>
              <w:t>——</w:t>
            </w:r>
          </w:p>
        </w:tc>
        <w:tc>
          <w:tcPr>
            <w:tcW w:w="1418" w:type="dxa"/>
            <w:vAlign w:val="center"/>
          </w:tcPr>
          <w:p>
            <w:pPr>
              <w:pStyle w:val="39"/>
              <w:ind w:left="420" w:hanging="420"/>
            </w:pPr>
            <w:r>
              <w:rPr>
                <w:rFonts w:hint="eastAsia"/>
              </w:rPr>
              <w:t>6~9</w:t>
            </w:r>
          </w:p>
        </w:tc>
        <w:tc>
          <w:tcPr>
            <w:tcW w:w="843" w:type="dxa"/>
            <w:vAlign w:val="center"/>
          </w:tcPr>
          <w:p>
            <w:pPr>
              <w:pStyle w:val="39"/>
              <w:ind w:left="420" w:hanging="420"/>
            </w:pPr>
            <w:r>
              <w:rPr>
                <w:rFonts w:hint="eastAsia"/>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80" w:type="dxa"/>
            <w:vMerge w:val="continue"/>
            <w:vAlign w:val="center"/>
          </w:tcPr>
          <w:p>
            <w:pPr>
              <w:pStyle w:val="39"/>
              <w:ind w:left="420" w:hanging="420"/>
            </w:pPr>
          </w:p>
        </w:tc>
        <w:tc>
          <w:tcPr>
            <w:tcW w:w="2005" w:type="dxa"/>
            <w:vAlign w:val="center"/>
          </w:tcPr>
          <w:p>
            <w:pPr>
              <w:pStyle w:val="39"/>
              <w:ind w:left="420" w:hanging="420"/>
            </w:pPr>
            <w:r>
              <w:rPr>
                <w:rFonts w:hint="eastAsia"/>
              </w:rPr>
              <w:t>COD</w:t>
            </w:r>
            <w:r>
              <w:rPr>
                <w:rFonts w:hint="eastAsia"/>
                <w:vertAlign w:val="subscript"/>
              </w:rPr>
              <w:t>cr</w:t>
            </w:r>
          </w:p>
        </w:tc>
        <w:tc>
          <w:tcPr>
            <w:tcW w:w="1559" w:type="dxa"/>
            <w:vAlign w:val="center"/>
          </w:tcPr>
          <w:p>
            <w:pPr>
              <w:pStyle w:val="39"/>
              <w:ind w:left="420" w:hanging="420"/>
            </w:pPr>
            <w:r>
              <w:rPr>
                <w:rFonts w:hint="eastAsia"/>
              </w:rPr>
              <w:t>13~14</w:t>
            </w:r>
          </w:p>
        </w:tc>
        <w:tc>
          <w:tcPr>
            <w:tcW w:w="1134" w:type="dxa"/>
            <w:vAlign w:val="center"/>
          </w:tcPr>
          <w:p>
            <w:pPr>
              <w:pStyle w:val="39"/>
              <w:ind w:left="420" w:hanging="420"/>
            </w:pPr>
            <w:r>
              <w:rPr>
                <w:rFonts w:hint="eastAsia"/>
              </w:rPr>
              <w:t>0</w:t>
            </w:r>
          </w:p>
        </w:tc>
        <w:tc>
          <w:tcPr>
            <w:tcW w:w="1134" w:type="dxa"/>
            <w:vAlign w:val="center"/>
          </w:tcPr>
          <w:p>
            <w:pPr>
              <w:pStyle w:val="39"/>
              <w:ind w:left="420" w:hanging="420"/>
            </w:pPr>
            <w:r>
              <w:rPr>
                <w:rFonts w:hint="eastAsia"/>
              </w:rPr>
              <w:t>0</w:t>
            </w:r>
          </w:p>
        </w:tc>
        <w:tc>
          <w:tcPr>
            <w:tcW w:w="1418" w:type="dxa"/>
            <w:vAlign w:val="center"/>
          </w:tcPr>
          <w:p>
            <w:pPr>
              <w:pStyle w:val="39"/>
              <w:ind w:left="420" w:hanging="420"/>
            </w:pPr>
            <w:r>
              <w:rPr>
                <w:rFonts w:hint="eastAsia"/>
              </w:rPr>
              <w:t>20</w:t>
            </w:r>
          </w:p>
        </w:tc>
        <w:tc>
          <w:tcPr>
            <w:tcW w:w="843" w:type="dxa"/>
            <w:vAlign w:val="center"/>
          </w:tcPr>
          <w:p>
            <w:pPr>
              <w:pStyle w:val="39"/>
              <w:ind w:left="420" w:hanging="420"/>
            </w:pPr>
            <w:r>
              <w:rPr>
                <w:rFonts w:hint="eastAsia"/>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80" w:type="dxa"/>
            <w:vMerge w:val="continue"/>
            <w:vAlign w:val="center"/>
          </w:tcPr>
          <w:p>
            <w:pPr>
              <w:pStyle w:val="39"/>
              <w:ind w:left="420" w:hanging="420"/>
            </w:pPr>
          </w:p>
        </w:tc>
        <w:tc>
          <w:tcPr>
            <w:tcW w:w="2005" w:type="dxa"/>
            <w:vAlign w:val="center"/>
          </w:tcPr>
          <w:p>
            <w:pPr>
              <w:pStyle w:val="39"/>
              <w:ind w:left="420" w:hanging="420"/>
            </w:pPr>
            <w:r>
              <w:rPr>
                <w:rFonts w:hint="eastAsia"/>
              </w:rPr>
              <w:t>BOD</w:t>
            </w:r>
            <w:r>
              <w:rPr>
                <w:rFonts w:hint="eastAsia"/>
                <w:vertAlign w:val="subscript"/>
              </w:rPr>
              <w:t>5</w:t>
            </w:r>
          </w:p>
        </w:tc>
        <w:tc>
          <w:tcPr>
            <w:tcW w:w="1559" w:type="dxa"/>
            <w:vAlign w:val="center"/>
          </w:tcPr>
          <w:p>
            <w:pPr>
              <w:pStyle w:val="39"/>
              <w:ind w:left="420" w:hanging="420"/>
            </w:pPr>
            <w:r>
              <w:rPr>
                <w:rFonts w:hint="eastAsia"/>
              </w:rPr>
              <w:t>2.5~2.7</w:t>
            </w:r>
          </w:p>
        </w:tc>
        <w:tc>
          <w:tcPr>
            <w:tcW w:w="1134" w:type="dxa"/>
            <w:vAlign w:val="center"/>
          </w:tcPr>
          <w:p>
            <w:pPr>
              <w:pStyle w:val="39"/>
              <w:ind w:left="420" w:hanging="420"/>
            </w:pPr>
            <w:r>
              <w:rPr>
                <w:rFonts w:hint="eastAsia"/>
              </w:rPr>
              <w:t>0</w:t>
            </w:r>
          </w:p>
        </w:tc>
        <w:tc>
          <w:tcPr>
            <w:tcW w:w="1134" w:type="dxa"/>
            <w:vAlign w:val="center"/>
          </w:tcPr>
          <w:p>
            <w:pPr>
              <w:pStyle w:val="39"/>
              <w:ind w:left="420" w:hanging="420"/>
            </w:pPr>
            <w:r>
              <w:rPr>
                <w:rFonts w:hint="eastAsia"/>
              </w:rPr>
              <w:t>0</w:t>
            </w:r>
          </w:p>
        </w:tc>
        <w:tc>
          <w:tcPr>
            <w:tcW w:w="1418" w:type="dxa"/>
            <w:vAlign w:val="center"/>
          </w:tcPr>
          <w:p>
            <w:pPr>
              <w:pStyle w:val="39"/>
              <w:ind w:left="420" w:hanging="420"/>
            </w:pPr>
            <w:r>
              <w:t>4.0</w:t>
            </w:r>
          </w:p>
        </w:tc>
        <w:tc>
          <w:tcPr>
            <w:tcW w:w="843" w:type="dxa"/>
            <w:vAlign w:val="center"/>
          </w:tcPr>
          <w:p>
            <w:pPr>
              <w:pStyle w:val="39"/>
              <w:ind w:left="420" w:hanging="420"/>
            </w:pPr>
            <w:r>
              <w:rPr>
                <w:rFonts w:hint="eastAsia"/>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80" w:type="dxa"/>
            <w:vMerge w:val="continue"/>
            <w:vAlign w:val="center"/>
          </w:tcPr>
          <w:p>
            <w:pPr>
              <w:pStyle w:val="39"/>
              <w:ind w:left="420" w:hanging="420"/>
            </w:pPr>
          </w:p>
        </w:tc>
        <w:tc>
          <w:tcPr>
            <w:tcW w:w="2005" w:type="dxa"/>
            <w:vAlign w:val="center"/>
          </w:tcPr>
          <w:p>
            <w:pPr>
              <w:pStyle w:val="39"/>
              <w:ind w:left="420" w:hanging="420"/>
            </w:pPr>
            <w:r>
              <w:rPr>
                <w:rFonts w:hint="eastAsia"/>
              </w:rPr>
              <w:t>氨氮</w:t>
            </w:r>
          </w:p>
        </w:tc>
        <w:tc>
          <w:tcPr>
            <w:tcW w:w="1559" w:type="dxa"/>
            <w:vAlign w:val="center"/>
          </w:tcPr>
          <w:p>
            <w:pPr>
              <w:pStyle w:val="39"/>
              <w:ind w:left="420" w:hanging="420"/>
            </w:pPr>
            <w:r>
              <w:t>0.</w:t>
            </w:r>
            <w:r>
              <w:rPr>
                <w:rFonts w:hint="eastAsia"/>
              </w:rPr>
              <w:t>184~</w:t>
            </w:r>
            <w:r>
              <w:t>0.</w:t>
            </w:r>
            <w:r>
              <w:rPr>
                <w:rFonts w:hint="eastAsia"/>
              </w:rPr>
              <w:t>201</w:t>
            </w:r>
          </w:p>
        </w:tc>
        <w:tc>
          <w:tcPr>
            <w:tcW w:w="1134" w:type="dxa"/>
            <w:vAlign w:val="center"/>
          </w:tcPr>
          <w:p>
            <w:pPr>
              <w:pStyle w:val="39"/>
              <w:ind w:left="420" w:hanging="420"/>
            </w:pPr>
            <w:r>
              <w:rPr>
                <w:rFonts w:hint="eastAsia"/>
              </w:rPr>
              <w:t>0</w:t>
            </w:r>
          </w:p>
        </w:tc>
        <w:tc>
          <w:tcPr>
            <w:tcW w:w="1134" w:type="dxa"/>
            <w:vAlign w:val="center"/>
          </w:tcPr>
          <w:p>
            <w:pPr>
              <w:pStyle w:val="39"/>
              <w:ind w:left="420" w:hanging="420"/>
            </w:pPr>
            <w:r>
              <w:rPr>
                <w:rFonts w:hint="eastAsia"/>
              </w:rPr>
              <w:t>0</w:t>
            </w:r>
          </w:p>
        </w:tc>
        <w:tc>
          <w:tcPr>
            <w:tcW w:w="1418" w:type="dxa"/>
            <w:vAlign w:val="center"/>
          </w:tcPr>
          <w:p>
            <w:pPr>
              <w:pStyle w:val="39"/>
              <w:ind w:left="420" w:hanging="420"/>
            </w:pPr>
            <w:r>
              <w:rPr>
                <w:rFonts w:hint="eastAsia"/>
              </w:rPr>
              <w:t>1.0</w:t>
            </w:r>
          </w:p>
        </w:tc>
        <w:tc>
          <w:tcPr>
            <w:tcW w:w="843" w:type="dxa"/>
            <w:vAlign w:val="center"/>
          </w:tcPr>
          <w:p>
            <w:pPr>
              <w:pStyle w:val="39"/>
              <w:ind w:left="420" w:hanging="420"/>
            </w:pPr>
            <w:r>
              <w:rPr>
                <w:rFonts w:hint="eastAsia"/>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80" w:type="dxa"/>
            <w:vMerge w:val="continue"/>
            <w:vAlign w:val="center"/>
          </w:tcPr>
          <w:p>
            <w:pPr>
              <w:pStyle w:val="39"/>
              <w:ind w:left="420" w:hanging="420"/>
            </w:pPr>
          </w:p>
        </w:tc>
        <w:tc>
          <w:tcPr>
            <w:tcW w:w="2005" w:type="dxa"/>
            <w:vAlign w:val="center"/>
          </w:tcPr>
          <w:p>
            <w:pPr>
              <w:pStyle w:val="39"/>
              <w:ind w:left="420" w:hanging="420"/>
            </w:pPr>
            <w:r>
              <w:rPr>
                <w:rFonts w:hint="eastAsia"/>
              </w:rPr>
              <w:t>总氮</w:t>
            </w:r>
          </w:p>
        </w:tc>
        <w:tc>
          <w:tcPr>
            <w:tcW w:w="1559" w:type="dxa"/>
            <w:vAlign w:val="center"/>
          </w:tcPr>
          <w:p>
            <w:pPr>
              <w:pStyle w:val="39"/>
              <w:ind w:left="420" w:hanging="420"/>
            </w:pPr>
            <w:r>
              <w:rPr>
                <w:rFonts w:hint="eastAsia"/>
              </w:rPr>
              <w:t>0.42</w:t>
            </w:r>
            <w:r>
              <w:t>~0.</w:t>
            </w:r>
            <w:r>
              <w:rPr>
                <w:rFonts w:hint="eastAsia"/>
              </w:rPr>
              <w:t>45</w:t>
            </w:r>
          </w:p>
        </w:tc>
        <w:tc>
          <w:tcPr>
            <w:tcW w:w="1134" w:type="dxa"/>
            <w:vAlign w:val="center"/>
          </w:tcPr>
          <w:p>
            <w:pPr>
              <w:pStyle w:val="39"/>
              <w:ind w:left="420" w:hanging="420"/>
            </w:pPr>
            <w:r>
              <w:rPr>
                <w:rFonts w:hint="eastAsia"/>
              </w:rPr>
              <w:t>0</w:t>
            </w:r>
          </w:p>
        </w:tc>
        <w:tc>
          <w:tcPr>
            <w:tcW w:w="1134" w:type="dxa"/>
            <w:vAlign w:val="center"/>
          </w:tcPr>
          <w:p>
            <w:pPr>
              <w:pStyle w:val="39"/>
              <w:ind w:left="420" w:hanging="420"/>
            </w:pPr>
            <w:r>
              <w:rPr>
                <w:rFonts w:hint="eastAsia"/>
              </w:rPr>
              <w:t>0</w:t>
            </w:r>
          </w:p>
        </w:tc>
        <w:tc>
          <w:tcPr>
            <w:tcW w:w="1418" w:type="dxa"/>
            <w:vAlign w:val="center"/>
          </w:tcPr>
          <w:p>
            <w:pPr>
              <w:pStyle w:val="39"/>
              <w:ind w:left="420" w:hanging="420"/>
            </w:pPr>
            <w:r>
              <w:rPr>
                <w:rFonts w:hint="eastAsia"/>
              </w:rPr>
              <w:t>1.0</w:t>
            </w:r>
          </w:p>
        </w:tc>
        <w:tc>
          <w:tcPr>
            <w:tcW w:w="843" w:type="dxa"/>
            <w:vAlign w:val="center"/>
          </w:tcPr>
          <w:p>
            <w:pPr>
              <w:pStyle w:val="39"/>
              <w:ind w:left="420" w:hanging="420"/>
            </w:pPr>
            <w:r>
              <w:rPr>
                <w:rFonts w:hint="eastAsia"/>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80" w:type="dxa"/>
            <w:vMerge w:val="continue"/>
            <w:vAlign w:val="center"/>
          </w:tcPr>
          <w:p>
            <w:pPr>
              <w:pStyle w:val="39"/>
              <w:ind w:left="420" w:hanging="420"/>
            </w:pPr>
          </w:p>
        </w:tc>
        <w:tc>
          <w:tcPr>
            <w:tcW w:w="2005" w:type="dxa"/>
            <w:vAlign w:val="center"/>
          </w:tcPr>
          <w:p>
            <w:pPr>
              <w:pStyle w:val="39"/>
              <w:ind w:left="420" w:hanging="420"/>
            </w:pPr>
            <w:r>
              <w:rPr>
                <w:rFonts w:hint="eastAsia"/>
              </w:rPr>
              <w:t>总磷</w:t>
            </w:r>
          </w:p>
        </w:tc>
        <w:tc>
          <w:tcPr>
            <w:tcW w:w="1559" w:type="dxa"/>
            <w:vAlign w:val="center"/>
          </w:tcPr>
          <w:p>
            <w:pPr>
              <w:pStyle w:val="39"/>
              <w:ind w:left="420" w:hanging="420"/>
            </w:pPr>
            <w:r>
              <w:rPr>
                <w:rFonts w:hint="eastAsia"/>
              </w:rPr>
              <w:t>0.01~0.02</w:t>
            </w:r>
          </w:p>
        </w:tc>
        <w:tc>
          <w:tcPr>
            <w:tcW w:w="1134" w:type="dxa"/>
            <w:vAlign w:val="center"/>
          </w:tcPr>
          <w:p>
            <w:pPr>
              <w:pStyle w:val="39"/>
              <w:ind w:left="420" w:hanging="420"/>
            </w:pPr>
            <w:r>
              <w:rPr>
                <w:rFonts w:hint="eastAsia"/>
              </w:rPr>
              <w:t>0</w:t>
            </w:r>
          </w:p>
        </w:tc>
        <w:tc>
          <w:tcPr>
            <w:tcW w:w="1134" w:type="dxa"/>
            <w:vAlign w:val="center"/>
          </w:tcPr>
          <w:p>
            <w:pPr>
              <w:pStyle w:val="39"/>
              <w:ind w:left="420" w:hanging="420"/>
            </w:pPr>
            <w:r>
              <w:rPr>
                <w:rFonts w:hint="eastAsia"/>
              </w:rPr>
              <w:t>0</w:t>
            </w:r>
          </w:p>
        </w:tc>
        <w:tc>
          <w:tcPr>
            <w:tcW w:w="1418" w:type="dxa"/>
            <w:vAlign w:val="center"/>
          </w:tcPr>
          <w:p>
            <w:pPr>
              <w:pStyle w:val="39"/>
              <w:ind w:left="420" w:hanging="420"/>
            </w:pPr>
            <w:r>
              <w:rPr>
                <w:rFonts w:hint="eastAsia"/>
              </w:rPr>
              <w:t>0.2</w:t>
            </w:r>
          </w:p>
        </w:tc>
        <w:tc>
          <w:tcPr>
            <w:tcW w:w="843" w:type="dxa"/>
            <w:vAlign w:val="center"/>
          </w:tcPr>
          <w:p>
            <w:pPr>
              <w:pStyle w:val="39"/>
              <w:ind w:left="420" w:hanging="420"/>
            </w:pPr>
            <w:r>
              <w:rPr>
                <w:rFonts w:hint="eastAsia"/>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80" w:type="dxa"/>
            <w:vMerge w:val="continue"/>
            <w:vAlign w:val="center"/>
          </w:tcPr>
          <w:p>
            <w:pPr>
              <w:pStyle w:val="39"/>
              <w:ind w:left="420" w:hanging="420"/>
            </w:pPr>
          </w:p>
        </w:tc>
        <w:tc>
          <w:tcPr>
            <w:tcW w:w="2005" w:type="dxa"/>
            <w:vAlign w:val="center"/>
          </w:tcPr>
          <w:p>
            <w:pPr>
              <w:pStyle w:val="39"/>
              <w:ind w:left="420" w:hanging="420"/>
            </w:pPr>
            <w:r>
              <w:rPr>
                <w:rFonts w:hint="eastAsia"/>
              </w:rPr>
              <w:t>LAS</w:t>
            </w:r>
          </w:p>
        </w:tc>
        <w:tc>
          <w:tcPr>
            <w:tcW w:w="1559" w:type="dxa"/>
            <w:vAlign w:val="center"/>
          </w:tcPr>
          <w:p>
            <w:pPr>
              <w:pStyle w:val="39"/>
              <w:ind w:left="420" w:hanging="420"/>
            </w:pPr>
            <w:r>
              <w:rPr>
                <w:rFonts w:hint="eastAsia"/>
              </w:rPr>
              <w:t>0.010~0.011</w:t>
            </w:r>
          </w:p>
        </w:tc>
        <w:tc>
          <w:tcPr>
            <w:tcW w:w="1134" w:type="dxa"/>
            <w:vAlign w:val="center"/>
          </w:tcPr>
          <w:p>
            <w:pPr>
              <w:pStyle w:val="39"/>
              <w:ind w:left="420" w:hanging="420"/>
            </w:pPr>
            <w:r>
              <w:rPr>
                <w:rFonts w:hint="eastAsia"/>
              </w:rPr>
              <w:t>0</w:t>
            </w:r>
          </w:p>
        </w:tc>
        <w:tc>
          <w:tcPr>
            <w:tcW w:w="1134" w:type="dxa"/>
            <w:vAlign w:val="center"/>
          </w:tcPr>
          <w:p>
            <w:pPr>
              <w:pStyle w:val="39"/>
              <w:ind w:left="420" w:hanging="420"/>
            </w:pPr>
            <w:r>
              <w:rPr>
                <w:rFonts w:hint="eastAsia"/>
              </w:rPr>
              <w:t>0</w:t>
            </w:r>
          </w:p>
        </w:tc>
        <w:tc>
          <w:tcPr>
            <w:tcW w:w="1418" w:type="dxa"/>
            <w:vAlign w:val="center"/>
          </w:tcPr>
          <w:p>
            <w:pPr>
              <w:pStyle w:val="39"/>
              <w:ind w:left="420" w:hanging="420"/>
            </w:pPr>
            <w:r>
              <w:rPr>
                <w:rFonts w:hint="eastAsia"/>
              </w:rPr>
              <w:t>——</w:t>
            </w:r>
          </w:p>
        </w:tc>
        <w:tc>
          <w:tcPr>
            <w:tcW w:w="843" w:type="dxa"/>
            <w:vAlign w:val="center"/>
          </w:tcPr>
          <w:p>
            <w:pPr>
              <w:pStyle w:val="39"/>
              <w:ind w:left="420" w:hanging="420"/>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80" w:type="dxa"/>
            <w:vMerge w:val="continue"/>
            <w:vAlign w:val="center"/>
          </w:tcPr>
          <w:p>
            <w:pPr>
              <w:pStyle w:val="39"/>
              <w:ind w:left="420" w:hanging="420"/>
            </w:pPr>
          </w:p>
        </w:tc>
        <w:tc>
          <w:tcPr>
            <w:tcW w:w="2005" w:type="dxa"/>
            <w:vAlign w:val="center"/>
          </w:tcPr>
          <w:p>
            <w:pPr>
              <w:pStyle w:val="39"/>
              <w:ind w:left="420" w:hanging="420"/>
            </w:pPr>
            <w:r>
              <w:rPr>
                <w:rFonts w:hint="eastAsia"/>
              </w:rPr>
              <w:t>动植物油</w:t>
            </w:r>
          </w:p>
        </w:tc>
        <w:tc>
          <w:tcPr>
            <w:tcW w:w="1559" w:type="dxa"/>
            <w:vAlign w:val="center"/>
          </w:tcPr>
          <w:p>
            <w:pPr>
              <w:pStyle w:val="39"/>
              <w:ind w:left="420" w:hanging="420"/>
            </w:pPr>
            <w:r>
              <w:rPr>
                <w:rFonts w:hint="eastAsia"/>
              </w:rPr>
              <w:t>2.2~2.3</w:t>
            </w:r>
          </w:p>
        </w:tc>
        <w:tc>
          <w:tcPr>
            <w:tcW w:w="1134" w:type="dxa"/>
            <w:vAlign w:val="center"/>
          </w:tcPr>
          <w:p>
            <w:pPr>
              <w:pStyle w:val="39"/>
              <w:ind w:left="420" w:hanging="420"/>
            </w:pPr>
            <w:r>
              <w:rPr>
                <w:rFonts w:hint="eastAsia"/>
              </w:rPr>
              <w:t>0</w:t>
            </w:r>
          </w:p>
        </w:tc>
        <w:tc>
          <w:tcPr>
            <w:tcW w:w="1134" w:type="dxa"/>
            <w:vAlign w:val="center"/>
          </w:tcPr>
          <w:p>
            <w:pPr>
              <w:pStyle w:val="39"/>
              <w:ind w:left="420" w:hanging="420"/>
            </w:pPr>
            <w:r>
              <w:rPr>
                <w:rFonts w:hint="eastAsia"/>
              </w:rPr>
              <w:t>0</w:t>
            </w:r>
          </w:p>
        </w:tc>
        <w:tc>
          <w:tcPr>
            <w:tcW w:w="1418" w:type="dxa"/>
            <w:vAlign w:val="center"/>
          </w:tcPr>
          <w:p>
            <w:pPr>
              <w:pStyle w:val="39"/>
              <w:ind w:left="420" w:hanging="420"/>
            </w:pPr>
            <w:r>
              <w:rPr>
                <w:rFonts w:hint="eastAsia"/>
              </w:rPr>
              <w:t>——</w:t>
            </w:r>
          </w:p>
        </w:tc>
        <w:tc>
          <w:tcPr>
            <w:tcW w:w="843" w:type="dxa"/>
            <w:vAlign w:val="center"/>
          </w:tcPr>
          <w:p>
            <w:pPr>
              <w:pStyle w:val="39"/>
              <w:ind w:left="420" w:hanging="420"/>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80" w:type="dxa"/>
            <w:vMerge w:val="continue"/>
            <w:vAlign w:val="center"/>
          </w:tcPr>
          <w:p>
            <w:pPr>
              <w:pStyle w:val="39"/>
              <w:ind w:left="420" w:hanging="420"/>
            </w:pPr>
          </w:p>
        </w:tc>
        <w:tc>
          <w:tcPr>
            <w:tcW w:w="2005" w:type="dxa"/>
            <w:vAlign w:val="center"/>
          </w:tcPr>
          <w:p>
            <w:pPr>
              <w:pStyle w:val="39"/>
              <w:ind w:left="420" w:hanging="420"/>
            </w:pPr>
            <w:r>
              <w:rPr>
                <w:rFonts w:hint="eastAsia"/>
              </w:rPr>
              <w:t>粪大肠菌群（个/L）</w:t>
            </w:r>
          </w:p>
        </w:tc>
        <w:tc>
          <w:tcPr>
            <w:tcW w:w="1559" w:type="dxa"/>
            <w:vAlign w:val="center"/>
          </w:tcPr>
          <w:p>
            <w:pPr>
              <w:pStyle w:val="39"/>
              <w:ind w:left="420" w:hanging="420"/>
            </w:pPr>
            <w:r>
              <w:rPr>
                <w:rFonts w:hint="eastAsia"/>
              </w:rPr>
              <w:t>1800~1900</w:t>
            </w:r>
          </w:p>
        </w:tc>
        <w:tc>
          <w:tcPr>
            <w:tcW w:w="1134" w:type="dxa"/>
            <w:vAlign w:val="center"/>
          </w:tcPr>
          <w:p>
            <w:pPr>
              <w:pStyle w:val="39"/>
              <w:ind w:left="420" w:hanging="420"/>
            </w:pPr>
            <w:r>
              <w:rPr>
                <w:rFonts w:hint="eastAsia"/>
              </w:rPr>
              <w:t>0</w:t>
            </w:r>
          </w:p>
        </w:tc>
        <w:tc>
          <w:tcPr>
            <w:tcW w:w="1134" w:type="dxa"/>
            <w:vAlign w:val="center"/>
          </w:tcPr>
          <w:p>
            <w:pPr>
              <w:pStyle w:val="39"/>
              <w:ind w:left="420" w:hanging="420"/>
            </w:pPr>
            <w:r>
              <w:rPr>
                <w:rFonts w:hint="eastAsia"/>
              </w:rPr>
              <w:t>0</w:t>
            </w:r>
          </w:p>
        </w:tc>
        <w:tc>
          <w:tcPr>
            <w:tcW w:w="1418" w:type="dxa"/>
            <w:vAlign w:val="center"/>
          </w:tcPr>
          <w:p>
            <w:pPr>
              <w:pStyle w:val="39"/>
              <w:ind w:left="420" w:hanging="420"/>
            </w:pPr>
            <w:r>
              <w:rPr>
                <w:rFonts w:hint="eastAsia"/>
              </w:rPr>
              <w:t>10000</w:t>
            </w:r>
          </w:p>
        </w:tc>
        <w:tc>
          <w:tcPr>
            <w:tcW w:w="843" w:type="dxa"/>
            <w:vAlign w:val="center"/>
          </w:tcPr>
          <w:p>
            <w:pPr>
              <w:pStyle w:val="39"/>
              <w:ind w:left="420" w:hanging="420"/>
            </w:pPr>
            <w:r>
              <w:rPr>
                <w:rFonts w:hint="eastAsia"/>
              </w:rPr>
              <w:t>达标</w:t>
            </w:r>
          </w:p>
        </w:tc>
      </w:tr>
    </w:tbl>
    <w:p>
      <w:pPr>
        <w:pStyle w:val="3"/>
        <w:ind w:firstLine="480"/>
      </w:pPr>
    </w:p>
    <w:p>
      <w:pPr>
        <w:pStyle w:val="3"/>
        <w:ind w:firstLine="480"/>
      </w:pPr>
      <w:r>
        <w:rPr>
          <w:rFonts w:hint="eastAsia"/>
        </w:rPr>
        <w:t>根据监测结果</w:t>
      </w:r>
      <w:r>
        <w:t>，</w:t>
      </w:r>
      <w:r>
        <w:rPr>
          <w:rFonts w:hint="eastAsia"/>
        </w:rPr>
        <w:t>项目北侧水塘水质</w:t>
      </w:r>
      <w:r>
        <w:t>中</w:t>
      </w:r>
      <w:r>
        <w:rPr>
          <w:rFonts w:hint="eastAsia"/>
        </w:rPr>
        <w:t>各</w:t>
      </w:r>
      <w:r>
        <w:t>监测因子均能达到《地表水环境质量标准》（GB3838-2002）</w:t>
      </w:r>
      <w:r>
        <w:rPr>
          <w:rFonts w:hint="eastAsia"/>
        </w:rPr>
        <w:t>Ⅲ</w:t>
      </w:r>
      <w:r>
        <w:rPr>
          <w:szCs w:val="24"/>
        </w:rPr>
        <w:t>类标准</w:t>
      </w:r>
      <w:r>
        <w:rPr>
          <w:rFonts w:hint="eastAsia"/>
          <w:szCs w:val="24"/>
        </w:rPr>
        <w:t>，</w:t>
      </w:r>
      <w:r>
        <w:t>水塘水质</w:t>
      </w:r>
      <w:r>
        <w:rPr>
          <w:rFonts w:hint="eastAsia"/>
        </w:rPr>
        <w:t>良好</w:t>
      </w:r>
      <w:r>
        <w:t>。</w:t>
      </w:r>
    </w:p>
    <w:p>
      <w:pPr>
        <w:pStyle w:val="6"/>
      </w:pPr>
      <w:r>
        <w:rPr>
          <w:rFonts w:hint="eastAsia"/>
        </w:rPr>
        <w:t>地下水</w:t>
      </w:r>
      <w:r>
        <w:t>环境质量现状</w:t>
      </w:r>
      <w:r>
        <w:rPr>
          <w:rFonts w:hint="eastAsia"/>
        </w:rPr>
        <w:t>调查</w:t>
      </w:r>
      <w:r>
        <w:t>与评价</w:t>
      </w:r>
    </w:p>
    <w:p>
      <w:pPr>
        <w:pStyle w:val="3"/>
        <w:ind w:firstLine="480"/>
      </w:pPr>
      <w:r>
        <w:t>（1）监测点位布设：</w:t>
      </w:r>
    </w:p>
    <w:p>
      <w:pPr>
        <w:pStyle w:val="3"/>
        <w:ind w:firstLine="480"/>
      </w:pPr>
      <w:r>
        <w:t>D</w:t>
      </w:r>
      <w:r>
        <w:rPr>
          <w:rFonts w:hint="eastAsia"/>
        </w:rPr>
        <w:t>1：</w:t>
      </w:r>
      <w:r>
        <w:rPr>
          <w:rFonts w:hint="eastAsia"/>
          <w:bCs/>
        </w:rPr>
        <w:t>厂址北侧散户居民点水井</w:t>
      </w:r>
      <w:r>
        <w:rPr>
          <w:rFonts w:hint="eastAsia"/>
        </w:rPr>
        <w:t>；</w:t>
      </w:r>
    </w:p>
    <w:p>
      <w:pPr>
        <w:pStyle w:val="3"/>
        <w:ind w:firstLine="480"/>
      </w:pPr>
      <w:r>
        <w:t>D</w:t>
      </w:r>
      <w:r>
        <w:rPr>
          <w:rFonts w:hint="eastAsia"/>
        </w:rPr>
        <w:t>2：</w:t>
      </w:r>
      <w:r>
        <w:rPr>
          <w:rFonts w:hint="eastAsia"/>
          <w:bCs/>
        </w:rPr>
        <w:t>厂界西南侧散户居名点水井</w:t>
      </w:r>
      <w:r>
        <w:rPr>
          <w:rFonts w:hint="eastAsia"/>
        </w:rPr>
        <w:t>；</w:t>
      </w:r>
    </w:p>
    <w:p>
      <w:pPr>
        <w:pStyle w:val="3"/>
        <w:ind w:firstLine="480"/>
      </w:pPr>
      <w:r>
        <w:rPr>
          <w:rFonts w:hint="eastAsia"/>
        </w:rPr>
        <w:t>D3：厂界东南侧散户居名点水井</w:t>
      </w:r>
    </w:p>
    <w:p>
      <w:pPr>
        <w:pStyle w:val="3"/>
        <w:ind w:firstLine="480"/>
      </w:pPr>
      <w:r>
        <w:t>（2）</w:t>
      </w:r>
      <w:r>
        <w:rPr>
          <w:spacing w:val="-2"/>
        </w:rPr>
        <w:t>监测因子：</w:t>
      </w:r>
      <w:r>
        <w:rPr>
          <w:rFonts w:hint="eastAsia"/>
        </w:rPr>
        <w:t>pH、总硬度、溶解性</w:t>
      </w:r>
      <w:r>
        <w:t>总固体、挥发酚、</w:t>
      </w:r>
      <w:r>
        <w:rPr>
          <w:rFonts w:hint="eastAsia"/>
        </w:rPr>
        <w:t>LAS、氨氮、耗氧量、总大肠菌群共</w:t>
      </w:r>
      <w:r>
        <w:t>8</w:t>
      </w:r>
      <w:r>
        <w:rPr>
          <w:rFonts w:hint="eastAsia"/>
        </w:rPr>
        <w:t>项</w:t>
      </w:r>
      <w:r>
        <w:rPr>
          <w:spacing w:val="-2"/>
        </w:rPr>
        <w:t>；</w:t>
      </w:r>
    </w:p>
    <w:p>
      <w:pPr>
        <w:pStyle w:val="3"/>
        <w:ind w:firstLine="472"/>
      </w:pPr>
      <w:r>
        <w:rPr>
          <w:spacing w:val="-2"/>
        </w:rPr>
        <w:t>（3）监测时间与频次：</w:t>
      </w:r>
      <w:r>
        <w:rPr>
          <w:rFonts w:hint="eastAsia"/>
          <w:spacing w:val="-2"/>
        </w:rPr>
        <w:t>20</w:t>
      </w:r>
      <w:r>
        <w:rPr>
          <w:spacing w:val="-2"/>
        </w:rPr>
        <w:t>2</w:t>
      </w:r>
      <w:r>
        <w:rPr>
          <w:rFonts w:hint="eastAsia"/>
          <w:spacing w:val="-2"/>
        </w:rPr>
        <w:t>1年6月</w:t>
      </w:r>
      <w:r>
        <w:rPr>
          <w:spacing w:val="-2"/>
        </w:rPr>
        <w:t>1</w:t>
      </w:r>
      <w:r>
        <w:rPr>
          <w:rFonts w:hint="eastAsia"/>
          <w:spacing w:val="-2"/>
        </w:rPr>
        <w:t>~3日</w:t>
      </w:r>
      <w:r>
        <w:rPr>
          <w:rFonts w:hint="eastAsia"/>
        </w:rPr>
        <w:t>连续</w:t>
      </w:r>
      <w:r>
        <w:t>监测</w:t>
      </w:r>
      <w:r>
        <w:rPr>
          <w:rFonts w:hint="eastAsia"/>
        </w:rPr>
        <w:t>3天</w:t>
      </w:r>
      <w:r>
        <w:rPr>
          <w:rFonts w:hint="eastAsia"/>
          <w:szCs w:val="24"/>
        </w:rPr>
        <w:t>。</w:t>
      </w:r>
    </w:p>
    <w:p>
      <w:pPr>
        <w:pStyle w:val="3"/>
        <w:ind w:firstLine="480"/>
      </w:pPr>
      <w:r>
        <w:t>（4）评价标准：</w:t>
      </w:r>
      <w:r>
        <w:rPr>
          <w:rFonts w:hint="eastAsia"/>
        </w:rPr>
        <w:t>本项目评价区域地下水执行《地下水环境质量标准》（GB/T14848-2017）中的Ⅲ类水质标准。</w:t>
      </w:r>
    </w:p>
    <w:p>
      <w:pPr>
        <w:pStyle w:val="3"/>
        <w:ind w:firstLine="480"/>
      </w:pPr>
      <w:r>
        <w:t>（5）评价方法：采用超标率和最大超标倍数等数理统计法进行评价；</w:t>
      </w:r>
    </w:p>
    <w:p>
      <w:pPr>
        <w:pStyle w:val="3"/>
        <w:ind w:firstLine="480"/>
      </w:pPr>
      <w:r>
        <w:t>（6）监测结果：监测及评价结果见表4.2</w:t>
      </w:r>
      <w:r>
        <w:rPr>
          <w:rFonts w:hint="eastAsia"/>
        </w:rPr>
        <w:t>-</w:t>
      </w:r>
      <w:r>
        <w:t>4。</w:t>
      </w:r>
    </w:p>
    <w:p>
      <w:pPr>
        <w:pStyle w:val="15"/>
      </w:pPr>
      <w:r>
        <w:t>表4.2</w:t>
      </w:r>
      <w:r>
        <w:rPr>
          <w:rFonts w:hint="eastAsia"/>
        </w:rPr>
        <w:t>-</w:t>
      </w:r>
      <w:r>
        <w:t>4</w:t>
      </w:r>
      <w:r>
        <w:rPr>
          <w:rFonts w:hint="eastAsia"/>
        </w:rPr>
        <w:t xml:space="preserve">  地下水环境质量</w:t>
      </w:r>
      <w:r>
        <w:t>现状监测统计结果</w:t>
      </w:r>
      <w:r>
        <w:rPr>
          <w:rFonts w:hint="eastAsia"/>
        </w:rPr>
        <w:t xml:space="preserve">   单位：</w:t>
      </w:r>
      <w:r>
        <w:t>除pH外，其余为mg/L</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3"/>
        <w:gridCol w:w="1897"/>
        <w:gridCol w:w="1438"/>
        <w:gridCol w:w="1016"/>
        <w:gridCol w:w="1170"/>
        <w:gridCol w:w="2079"/>
        <w:gridCol w:w="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27" w:type="pct"/>
            <w:vAlign w:val="center"/>
          </w:tcPr>
          <w:p>
            <w:pPr>
              <w:pStyle w:val="39"/>
            </w:pPr>
            <w:r>
              <w:t>监测点位</w:t>
            </w:r>
          </w:p>
        </w:tc>
        <w:tc>
          <w:tcPr>
            <w:tcW w:w="1034" w:type="pct"/>
            <w:vAlign w:val="center"/>
          </w:tcPr>
          <w:p>
            <w:pPr>
              <w:pStyle w:val="39"/>
            </w:pPr>
            <w:r>
              <w:rPr>
                <w:kern w:val="0"/>
              </w:rPr>
              <w:t>监测项目</w:t>
            </w:r>
          </w:p>
        </w:tc>
        <w:tc>
          <w:tcPr>
            <w:tcW w:w="784" w:type="pct"/>
            <w:vAlign w:val="center"/>
          </w:tcPr>
          <w:p>
            <w:pPr>
              <w:pStyle w:val="39"/>
              <w:rPr>
                <w:kern w:val="0"/>
              </w:rPr>
            </w:pPr>
            <w:r>
              <w:rPr>
                <w:kern w:val="0"/>
              </w:rPr>
              <w:t>监测结果</w:t>
            </w:r>
          </w:p>
        </w:tc>
        <w:tc>
          <w:tcPr>
            <w:tcW w:w="554" w:type="pct"/>
            <w:vAlign w:val="center"/>
          </w:tcPr>
          <w:p>
            <w:pPr>
              <w:pStyle w:val="39"/>
              <w:rPr>
                <w:kern w:val="0"/>
              </w:rPr>
            </w:pPr>
            <w:r>
              <w:rPr>
                <w:rFonts w:hint="eastAsia"/>
              </w:rPr>
              <w:t>最大超标倍数</w:t>
            </w:r>
          </w:p>
        </w:tc>
        <w:tc>
          <w:tcPr>
            <w:tcW w:w="638" w:type="pct"/>
            <w:vAlign w:val="center"/>
          </w:tcPr>
          <w:p>
            <w:pPr>
              <w:pStyle w:val="39"/>
              <w:rPr>
                <w:kern w:val="0"/>
              </w:rPr>
            </w:pPr>
            <w:r>
              <w:rPr>
                <w:rFonts w:hint="eastAsia"/>
              </w:rPr>
              <w:t>超标率</w:t>
            </w:r>
            <w:r>
              <w:t>（%）</w:t>
            </w:r>
          </w:p>
        </w:tc>
        <w:tc>
          <w:tcPr>
            <w:tcW w:w="1133" w:type="pct"/>
            <w:vAlign w:val="center"/>
          </w:tcPr>
          <w:p>
            <w:pPr>
              <w:pStyle w:val="39"/>
              <w:rPr>
                <w:kern w:val="0"/>
              </w:rPr>
            </w:pPr>
            <w:r>
              <w:rPr>
                <w:kern w:val="0"/>
              </w:rPr>
              <w:t>GB/T14848-</w:t>
            </w:r>
            <w:r>
              <w:rPr>
                <w:rFonts w:hint="eastAsia"/>
                <w:kern w:val="0"/>
              </w:rPr>
              <w:t>2017</w:t>
            </w:r>
          </w:p>
          <w:p>
            <w:pPr>
              <w:pStyle w:val="39"/>
              <w:rPr>
                <w:kern w:val="0"/>
              </w:rPr>
            </w:pPr>
            <w:r>
              <w:rPr>
                <w:rFonts w:hint="eastAsia" w:ascii="宋体" w:hAnsi="宋体" w:cs="宋体"/>
                <w:kern w:val="0"/>
              </w:rPr>
              <w:t>Ⅲ</w:t>
            </w:r>
            <w:r>
              <w:rPr>
                <w:kern w:val="0"/>
              </w:rPr>
              <w:t>类标准</w:t>
            </w:r>
          </w:p>
        </w:tc>
        <w:tc>
          <w:tcPr>
            <w:tcW w:w="430" w:type="pct"/>
            <w:vAlign w:val="center"/>
          </w:tcPr>
          <w:p>
            <w:pPr>
              <w:pStyle w:val="39"/>
            </w:pPr>
            <w:r>
              <w:rPr>
                <w:kern w:val="0"/>
              </w:rPr>
              <w:t>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427" w:type="pct"/>
            <w:vMerge w:val="restart"/>
            <w:vAlign w:val="center"/>
          </w:tcPr>
          <w:p>
            <w:pPr>
              <w:pStyle w:val="39"/>
            </w:pPr>
            <w:r>
              <w:t>D</w:t>
            </w:r>
            <w:r>
              <w:rPr>
                <w:rFonts w:hint="eastAsia"/>
              </w:rPr>
              <w:t>1：厂址北侧散户居民点水井</w:t>
            </w:r>
          </w:p>
        </w:tc>
        <w:tc>
          <w:tcPr>
            <w:tcW w:w="1034" w:type="pct"/>
            <w:vAlign w:val="center"/>
          </w:tcPr>
          <w:p>
            <w:pPr>
              <w:pStyle w:val="39"/>
              <w:rPr>
                <w:bCs/>
              </w:rPr>
            </w:pPr>
            <w:r>
              <w:t>pH</w:t>
            </w:r>
          </w:p>
        </w:tc>
        <w:tc>
          <w:tcPr>
            <w:tcW w:w="784" w:type="pct"/>
            <w:vAlign w:val="center"/>
          </w:tcPr>
          <w:p>
            <w:pPr>
              <w:pStyle w:val="39"/>
            </w:pPr>
            <w:r>
              <w:rPr>
                <w:rFonts w:hint="eastAsia"/>
              </w:rPr>
              <w:t>7.38</w:t>
            </w:r>
            <w:r>
              <w:t>~</w:t>
            </w:r>
            <w:r>
              <w:rPr>
                <w:rFonts w:hint="eastAsia"/>
              </w:rPr>
              <w:t>7.49</w:t>
            </w:r>
          </w:p>
        </w:tc>
        <w:tc>
          <w:tcPr>
            <w:tcW w:w="554" w:type="pct"/>
            <w:vAlign w:val="center"/>
          </w:tcPr>
          <w:p>
            <w:pPr>
              <w:pStyle w:val="39"/>
              <w:rPr>
                <w:kern w:val="0"/>
              </w:rPr>
            </w:pPr>
            <w:r>
              <w:rPr>
                <w:rFonts w:hint="eastAsia"/>
                <w:kern w:val="0"/>
              </w:rPr>
              <w:t>——</w:t>
            </w:r>
          </w:p>
        </w:tc>
        <w:tc>
          <w:tcPr>
            <w:tcW w:w="638" w:type="pct"/>
            <w:vAlign w:val="center"/>
          </w:tcPr>
          <w:p>
            <w:pPr>
              <w:pStyle w:val="39"/>
              <w:rPr>
                <w:kern w:val="0"/>
              </w:rPr>
            </w:pPr>
            <w:r>
              <w:rPr>
                <w:rFonts w:hint="eastAsia"/>
                <w:kern w:val="0"/>
              </w:rPr>
              <w:t>——</w:t>
            </w:r>
          </w:p>
        </w:tc>
        <w:tc>
          <w:tcPr>
            <w:tcW w:w="1133" w:type="pct"/>
            <w:vAlign w:val="center"/>
          </w:tcPr>
          <w:p>
            <w:pPr>
              <w:pStyle w:val="39"/>
              <w:rPr>
                <w:kern w:val="0"/>
              </w:rPr>
            </w:pPr>
            <w:r>
              <w:rPr>
                <w:kern w:val="0"/>
              </w:rPr>
              <w:t>6.5~8.5</w:t>
            </w:r>
          </w:p>
        </w:tc>
        <w:tc>
          <w:tcPr>
            <w:tcW w:w="430" w:type="pct"/>
            <w:vAlign w:val="center"/>
          </w:tcPr>
          <w:p>
            <w:pPr>
              <w:pStyle w:val="39"/>
            </w:pPr>
            <w:r>
              <w:rPr>
                <w:rFonts w:hint="eastAsia"/>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427" w:type="pct"/>
            <w:vMerge w:val="continue"/>
            <w:vAlign w:val="center"/>
          </w:tcPr>
          <w:p>
            <w:pPr>
              <w:pStyle w:val="39"/>
            </w:pPr>
          </w:p>
        </w:tc>
        <w:tc>
          <w:tcPr>
            <w:tcW w:w="1034" w:type="pct"/>
            <w:vAlign w:val="center"/>
          </w:tcPr>
          <w:p>
            <w:pPr>
              <w:pStyle w:val="39"/>
              <w:rPr>
                <w:bCs/>
              </w:rPr>
            </w:pPr>
            <w:r>
              <w:t>总硬度</w:t>
            </w:r>
          </w:p>
        </w:tc>
        <w:tc>
          <w:tcPr>
            <w:tcW w:w="784" w:type="pct"/>
            <w:vAlign w:val="center"/>
          </w:tcPr>
          <w:p>
            <w:pPr>
              <w:pStyle w:val="39"/>
            </w:pPr>
            <w:r>
              <w:rPr>
                <w:rFonts w:hint="eastAsia"/>
              </w:rPr>
              <w:t>299</w:t>
            </w:r>
            <w:r>
              <w:t>~</w:t>
            </w:r>
            <w:r>
              <w:rPr>
                <w:rFonts w:hint="eastAsia"/>
              </w:rPr>
              <w:t>305</w:t>
            </w:r>
          </w:p>
        </w:tc>
        <w:tc>
          <w:tcPr>
            <w:tcW w:w="554" w:type="pct"/>
            <w:vAlign w:val="center"/>
          </w:tcPr>
          <w:p>
            <w:pPr>
              <w:pStyle w:val="39"/>
              <w:rPr>
                <w:kern w:val="0"/>
              </w:rPr>
            </w:pPr>
            <w:r>
              <w:rPr>
                <w:rFonts w:hint="eastAsia"/>
              </w:rPr>
              <w:t>0</w:t>
            </w:r>
          </w:p>
        </w:tc>
        <w:tc>
          <w:tcPr>
            <w:tcW w:w="638" w:type="pct"/>
            <w:vAlign w:val="center"/>
          </w:tcPr>
          <w:p>
            <w:pPr>
              <w:pStyle w:val="39"/>
              <w:rPr>
                <w:kern w:val="0"/>
              </w:rPr>
            </w:pPr>
            <w:r>
              <w:rPr>
                <w:rFonts w:hint="eastAsia"/>
              </w:rPr>
              <w:t>0</w:t>
            </w:r>
          </w:p>
        </w:tc>
        <w:tc>
          <w:tcPr>
            <w:tcW w:w="1133" w:type="pct"/>
            <w:vAlign w:val="center"/>
          </w:tcPr>
          <w:p>
            <w:pPr>
              <w:pStyle w:val="39"/>
              <w:rPr>
                <w:kern w:val="0"/>
              </w:rPr>
            </w:pPr>
            <w:r>
              <w:rPr>
                <w:kern w:val="0"/>
              </w:rPr>
              <w:t>≤450</w:t>
            </w:r>
          </w:p>
        </w:tc>
        <w:tc>
          <w:tcPr>
            <w:tcW w:w="430" w:type="pct"/>
            <w:vAlign w:val="center"/>
          </w:tcPr>
          <w:p>
            <w:pPr>
              <w:pStyle w:val="39"/>
            </w:pPr>
            <w:r>
              <w:rPr>
                <w:kern w:val="0"/>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427" w:type="pct"/>
            <w:vMerge w:val="continue"/>
            <w:vAlign w:val="center"/>
          </w:tcPr>
          <w:p>
            <w:pPr>
              <w:pStyle w:val="39"/>
            </w:pPr>
          </w:p>
        </w:tc>
        <w:tc>
          <w:tcPr>
            <w:tcW w:w="1034" w:type="pct"/>
            <w:vAlign w:val="center"/>
          </w:tcPr>
          <w:p>
            <w:pPr>
              <w:pStyle w:val="39"/>
              <w:rPr>
                <w:bCs/>
              </w:rPr>
            </w:pPr>
            <w:r>
              <w:t>溶解性总固体</w:t>
            </w:r>
          </w:p>
        </w:tc>
        <w:tc>
          <w:tcPr>
            <w:tcW w:w="784" w:type="pct"/>
            <w:vAlign w:val="center"/>
          </w:tcPr>
          <w:p>
            <w:pPr>
              <w:pStyle w:val="39"/>
            </w:pPr>
            <w:r>
              <w:rPr>
                <w:rFonts w:hint="eastAsia"/>
              </w:rPr>
              <w:t>243</w:t>
            </w:r>
            <w:r>
              <w:t>~</w:t>
            </w:r>
            <w:r>
              <w:rPr>
                <w:rFonts w:hint="eastAsia"/>
              </w:rPr>
              <w:t>246</w:t>
            </w:r>
          </w:p>
        </w:tc>
        <w:tc>
          <w:tcPr>
            <w:tcW w:w="554" w:type="pct"/>
            <w:vAlign w:val="center"/>
          </w:tcPr>
          <w:p>
            <w:pPr>
              <w:pStyle w:val="39"/>
              <w:rPr>
                <w:kern w:val="0"/>
              </w:rPr>
            </w:pPr>
            <w:r>
              <w:rPr>
                <w:rFonts w:hint="eastAsia"/>
              </w:rPr>
              <w:t>0</w:t>
            </w:r>
          </w:p>
        </w:tc>
        <w:tc>
          <w:tcPr>
            <w:tcW w:w="638" w:type="pct"/>
            <w:vAlign w:val="center"/>
          </w:tcPr>
          <w:p>
            <w:pPr>
              <w:pStyle w:val="39"/>
              <w:rPr>
                <w:kern w:val="0"/>
              </w:rPr>
            </w:pPr>
            <w:r>
              <w:rPr>
                <w:rFonts w:hint="eastAsia"/>
              </w:rPr>
              <w:t>0</w:t>
            </w:r>
          </w:p>
        </w:tc>
        <w:tc>
          <w:tcPr>
            <w:tcW w:w="1133" w:type="pct"/>
            <w:vAlign w:val="center"/>
          </w:tcPr>
          <w:p>
            <w:pPr>
              <w:pStyle w:val="39"/>
              <w:rPr>
                <w:kern w:val="0"/>
              </w:rPr>
            </w:pPr>
            <w:r>
              <w:rPr>
                <w:kern w:val="0"/>
              </w:rPr>
              <w:t>≤500</w:t>
            </w:r>
          </w:p>
        </w:tc>
        <w:tc>
          <w:tcPr>
            <w:tcW w:w="430" w:type="pct"/>
            <w:vAlign w:val="center"/>
          </w:tcPr>
          <w:p>
            <w:pPr>
              <w:pStyle w:val="39"/>
            </w:pPr>
            <w:r>
              <w:rPr>
                <w:kern w:val="0"/>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427" w:type="pct"/>
            <w:vMerge w:val="continue"/>
            <w:vAlign w:val="center"/>
          </w:tcPr>
          <w:p>
            <w:pPr>
              <w:pStyle w:val="39"/>
            </w:pPr>
          </w:p>
        </w:tc>
        <w:tc>
          <w:tcPr>
            <w:tcW w:w="1034" w:type="pct"/>
            <w:vAlign w:val="center"/>
          </w:tcPr>
          <w:p>
            <w:pPr>
              <w:pStyle w:val="39"/>
              <w:rPr>
                <w:bCs/>
              </w:rPr>
            </w:pPr>
            <w:r>
              <w:t>挥发酚</w:t>
            </w:r>
          </w:p>
        </w:tc>
        <w:tc>
          <w:tcPr>
            <w:tcW w:w="784" w:type="pct"/>
            <w:vAlign w:val="center"/>
          </w:tcPr>
          <w:p>
            <w:pPr>
              <w:pStyle w:val="39"/>
            </w:pPr>
            <w:r>
              <w:rPr>
                <w:rFonts w:hint="eastAsia"/>
              </w:rPr>
              <w:t>0.001</w:t>
            </w:r>
          </w:p>
        </w:tc>
        <w:tc>
          <w:tcPr>
            <w:tcW w:w="554" w:type="pct"/>
            <w:vAlign w:val="center"/>
          </w:tcPr>
          <w:p>
            <w:pPr>
              <w:pStyle w:val="39"/>
              <w:rPr>
                <w:kern w:val="0"/>
              </w:rPr>
            </w:pPr>
            <w:r>
              <w:rPr>
                <w:rFonts w:hint="eastAsia"/>
              </w:rPr>
              <w:t>0</w:t>
            </w:r>
          </w:p>
        </w:tc>
        <w:tc>
          <w:tcPr>
            <w:tcW w:w="638" w:type="pct"/>
            <w:vAlign w:val="center"/>
          </w:tcPr>
          <w:p>
            <w:pPr>
              <w:pStyle w:val="39"/>
              <w:rPr>
                <w:kern w:val="0"/>
              </w:rPr>
            </w:pPr>
            <w:r>
              <w:rPr>
                <w:rFonts w:hint="eastAsia"/>
              </w:rPr>
              <w:t>0</w:t>
            </w:r>
          </w:p>
        </w:tc>
        <w:tc>
          <w:tcPr>
            <w:tcW w:w="1133" w:type="pct"/>
            <w:vAlign w:val="center"/>
          </w:tcPr>
          <w:p>
            <w:pPr>
              <w:pStyle w:val="39"/>
              <w:rPr>
                <w:kern w:val="0"/>
              </w:rPr>
            </w:pPr>
            <w:r>
              <w:rPr>
                <w:kern w:val="0"/>
              </w:rPr>
              <w:t>≤0.002</w:t>
            </w:r>
          </w:p>
        </w:tc>
        <w:tc>
          <w:tcPr>
            <w:tcW w:w="430" w:type="pct"/>
            <w:vAlign w:val="center"/>
          </w:tcPr>
          <w:p>
            <w:pPr>
              <w:pStyle w:val="39"/>
            </w:pPr>
            <w:r>
              <w:rPr>
                <w:kern w:val="0"/>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427" w:type="pct"/>
            <w:vMerge w:val="continue"/>
            <w:vAlign w:val="center"/>
          </w:tcPr>
          <w:p>
            <w:pPr>
              <w:pStyle w:val="39"/>
            </w:pPr>
          </w:p>
        </w:tc>
        <w:tc>
          <w:tcPr>
            <w:tcW w:w="1034" w:type="pct"/>
            <w:vAlign w:val="center"/>
          </w:tcPr>
          <w:p>
            <w:pPr>
              <w:pStyle w:val="39"/>
              <w:rPr>
                <w:bCs/>
              </w:rPr>
            </w:pPr>
            <w:r>
              <w:rPr>
                <w:bCs/>
              </w:rPr>
              <w:t>LAS</w:t>
            </w:r>
          </w:p>
        </w:tc>
        <w:tc>
          <w:tcPr>
            <w:tcW w:w="784" w:type="pct"/>
            <w:vAlign w:val="center"/>
          </w:tcPr>
          <w:p>
            <w:pPr>
              <w:pStyle w:val="39"/>
            </w:pPr>
            <w:r>
              <w:rPr>
                <w:rFonts w:hint="eastAsia"/>
              </w:rPr>
              <w:t>0.011</w:t>
            </w:r>
          </w:p>
        </w:tc>
        <w:tc>
          <w:tcPr>
            <w:tcW w:w="554" w:type="pct"/>
            <w:vAlign w:val="center"/>
          </w:tcPr>
          <w:p>
            <w:pPr>
              <w:pStyle w:val="39"/>
              <w:rPr>
                <w:kern w:val="0"/>
              </w:rPr>
            </w:pPr>
            <w:r>
              <w:rPr>
                <w:rFonts w:hint="eastAsia"/>
              </w:rPr>
              <w:t>0</w:t>
            </w:r>
          </w:p>
        </w:tc>
        <w:tc>
          <w:tcPr>
            <w:tcW w:w="638" w:type="pct"/>
            <w:vAlign w:val="center"/>
          </w:tcPr>
          <w:p>
            <w:pPr>
              <w:pStyle w:val="39"/>
              <w:rPr>
                <w:kern w:val="0"/>
              </w:rPr>
            </w:pPr>
            <w:r>
              <w:rPr>
                <w:rFonts w:hint="eastAsia"/>
              </w:rPr>
              <w:t>0</w:t>
            </w:r>
          </w:p>
        </w:tc>
        <w:tc>
          <w:tcPr>
            <w:tcW w:w="1133" w:type="pct"/>
            <w:vAlign w:val="center"/>
          </w:tcPr>
          <w:p>
            <w:pPr>
              <w:pStyle w:val="39"/>
              <w:rPr>
                <w:kern w:val="0"/>
              </w:rPr>
            </w:pPr>
            <w:r>
              <w:rPr>
                <w:rFonts w:hint="eastAsia"/>
                <w:kern w:val="0"/>
              </w:rPr>
              <w:t>——</w:t>
            </w:r>
          </w:p>
        </w:tc>
        <w:tc>
          <w:tcPr>
            <w:tcW w:w="430" w:type="pct"/>
            <w:vAlign w:val="center"/>
          </w:tcPr>
          <w:p>
            <w:pPr>
              <w:pStyle w:val="39"/>
              <w:rPr>
                <w:kern w:val="0"/>
              </w:rPr>
            </w:pPr>
            <w:r>
              <w:rPr>
                <w:rFonts w:hint="eastAsia"/>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427" w:type="pct"/>
            <w:vMerge w:val="continue"/>
            <w:vAlign w:val="center"/>
          </w:tcPr>
          <w:p>
            <w:pPr>
              <w:pStyle w:val="39"/>
            </w:pPr>
          </w:p>
        </w:tc>
        <w:tc>
          <w:tcPr>
            <w:tcW w:w="1034" w:type="pct"/>
            <w:vAlign w:val="center"/>
          </w:tcPr>
          <w:p>
            <w:pPr>
              <w:pStyle w:val="39"/>
              <w:rPr>
                <w:bCs/>
              </w:rPr>
            </w:pPr>
            <w:r>
              <w:t>氨氮</w:t>
            </w:r>
          </w:p>
        </w:tc>
        <w:tc>
          <w:tcPr>
            <w:tcW w:w="784" w:type="pct"/>
            <w:vAlign w:val="center"/>
          </w:tcPr>
          <w:p>
            <w:pPr>
              <w:pStyle w:val="39"/>
            </w:pPr>
            <w:r>
              <w:rPr>
                <w:rFonts w:hint="eastAsia"/>
              </w:rPr>
              <w:t>0.182</w:t>
            </w:r>
            <w:r>
              <w:t>~0.</w:t>
            </w:r>
            <w:r>
              <w:rPr>
                <w:rFonts w:hint="eastAsia"/>
              </w:rPr>
              <w:t>191</w:t>
            </w:r>
          </w:p>
        </w:tc>
        <w:tc>
          <w:tcPr>
            <w:tcW w:w="554" w:type="pct"/>
            <w:vAlign w:val="center"/>
          </w:tcPr>
          <w:p>
            <w:pPr>
              <w:pStyle w:val="39"/>
              <w:rPr>
                <w:kern w:val="0"/>
              </w:rPr>
            </w:pPr>
            <w:r>
              <w:rPr>
                <w:rFonts w:hint="eastAsia"/>
              </w:rPr>
              <w:t>0</w:t>
            </w:r>
          </w:p>
        </w:tc>
        <w:tc>
          <w:tcPr>
            <w:tcW w:w="638" w:type="pct"/>
            <w:vAlign w:val="center"/>
          </w:tcPr>
          <w:p>
            <w:pPr>
              <w:pStyle w:val="39"/>
              <w:rPr>
                <w:kern w:val="0"/>
              </w:rPr>
            </w:pPr>
            <w:r>
              <w:rPr>
                <w:rFonts w:hint="eastAsia"/>
              </w:rPr>
              <w:t>0</w:t>
            </w:r>
          </w:p>
        </w:tc>
        <w:tc>
          <w:tcPr>
            <w:tcW w:w="1133" w:type="pct"/>
            <w:vAlign w:val="center"/>
          </w:tcPr>
          <w:p>
            <w:pPr>
              <w:pStyle w:val="39"/>
              <w:rPr>
                <w:kern w:val="0"/>
              </w:rPr>
            </w:pPr>
            <w:r>
              <w:rPr>
                <w:kern w:val="0"/>
              </w:rPr>
              <w:t>≤0.5</w:t>
            </w:r>
          </w:p>
        </w:tc>
        <w:tc>
          <w:tcPr>
            <w:tcW w:w="430" w:type="pct"/>
            <w:vAlign w:val="center"/>
          </w:tcPr>
          <w:p>
            <w:pPr>
              <w:pStyle w:val="39"/>
            </w:pPr>
            <w:r>
              <w:rPr>
                <w:kern w:val="0"/>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427" w:type="pct"/>
            <w:vMerge w:val="continue"/>
            <w:vAlign w:val="center"/>
          </w:tcPr>
          <w:p>
            <w:pPr>
              <w:pStyle w:val="39"/>
            </w:pPr>
          </w:p>
        </w:tc>
        <w:tc>
          <w:tcPr>
            <w:tcW w:w="1034" w:type="pct"/>
            <w:vAlign w:val="center"/>
          </w:tcPr>
          <w:p>
            <w:pPr>
              <w:pStyle w:val="39"/>
              <w:rPr>
                <w:bCs/>
              </w:rPr>
            </w:pPr>
            <w:r>
              <w:t>耗氧量</w:t>
            </w:r>
          </w:p>
        </w:tc>
        <w:tc>
          <w:tcPr>
            <w:tcW w:w="784" w:type="pct"/>
            <w:vAlign w:val="center"/>
          </w:tcPr>
          <w:p>
            <w:pPr>
              <w:pStyle w:val="39"/>
            </w:pPr>
            <w:r>
              <w:rPr>
                <w:rFonts w:hint="eastAsia"/>
              </w:rPr>
              <w:t>1.1</w:t>
            </w:r>
            <w:r>
              <w:t>~</w:t>
            </w:r>
            <w:r>
              <w:rPr>
                <w:rFonts w:hint="eastAsia"/>
              </w:rPr>
              <w:t>1.2</w:t>
            </w:r>
          </w:p>
        </w:tc>
        <w:tc>
          <w:tcPr>
            <w:tcW w:w="554" w:type="pct"/>
            <w:vAlign w:val="center"/>
          </w:tcPr>
          <w:p>
            <w:pPr>
              <w:pStyle w:val="39"/>
              <w:rPr>
                <w:kern w:val="0"/>
              </w:rPr>
            </w:pPr>
            <w:r>
              <w:rPr>
                <w:rFonts w:hint="eastAsia"/>
              </w:rPr>
              <w:t>0</w:t>
            </w:r>
          </w:p>
        </w:tc>
        <w:tc>
          <w:tcPr>
            <w:tcW w:w="638" w:type="pct"/>
            <w:vAlign w:val="center"/>
          </w:tcPr>
          <w:p>
            <w:pPr>
              <w:pStyle w:val="39"/>
              <w:rPr>
                <w:kern w:val="0"/>
              </w:rPr>
            </w:pPr>
            <w:r>
              <w:rPr>
                <w:rFonts w:hint="eastAsia"/>
              </w:rPr>
              <w:t>0</w:t>
            </w:r>
          </w:p>
        </w:tc>
        <w:tc>
          <w:tcPr>
            <w:tcW w:w="1133" w:type="pct"/>
            <w:vAlign w:val="center"/>
          </w:tcPr>
          <w:p>
            <w:pPr>
              <w:pStyle w:val="39"/>
              <w:rPr>
                <w:kern w:val="0"/>
              </w:rPr>
            </w:pPr>
            <w:r>
              <w:rPr>
                <w:kern w:val="0"/>
              </w:rPr>
              <w:t>≤3</w:t>
            </w:r>
            <w:r>
              <w:rPr>
                <w:rFonts w:hint="eastAsia"/>
                <w:kern w:val="0"/>
              </w:rPr>
              <w:t>.0</w:t>
            </w:r>
          </w:p>
        </w:tc>
        <w:tc>
          <w:tcPr>
            <w:tcW w:w="430" w:type="pct"/>
            <w:vAlign w:val="center"/>
          </w:tcPr>
          <w:p>
            <w:pPr>
              <w:pStyle w:val="39"/>
              <w:rPr>
                <w:kern w:val="0"/>
              </w:rPr>
            </w:pPr>
            <w:r>
              <w:rPr>
                <w:kern w:val="0"/>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427" w:type="pct"/>
            <w:vMerge w:val="continue"/>
            <w:vAlign w:val="center"/>
          </w:tcPr>
          <w:p>
            <w:pPr>
              <w:pStyle w:val="39"/>
            </w:pPr>
          </w:p>
        </w:tc>
        <w:tc>
          <w:tcPr>
            <w:tcW w:w="1034" w:type="pct"/>
            <w:vAlign w:val="center"/>
          </w:tcPr>
          <w:p>
            <w:pPr>
              <w:pStyle w:val="39"/>
              <w:rPr>
                <w:bCs/>
              </w:rPr>
            </w:pPr>
            <w:r>
              <w:t>总大肠菌群</w:t>
            </w:r>
          </w:p>
        </w:tc>
        <w:tc>
          <w:tcPr>
            <w:tcW w:w="784" w:type="pct"/>
            <w:vAlign w:val="center"/>
          </w:tcPr>
          <w:p>
            <w:pPr>
              <w:pStyle w:val="39"/>
            </w:pPr>
            <w:r>
              <w:t>ND</w:t>
            </w:r>
          </w:p>
        </w:tc>
        <w:tc>
          <w:tcPr>
            <w:tcW w:w="554" w:type="pct"/>
            <w:vAlign w:val="center"/>
          </w:tcPr>
          <w:p>
            <w:pPr>
              <w:pStyle w:val="39"/>
            </w:pPr>
            <w:r>
              <w:rPr>
                <w:rFonts w:hint="eastAsia"/>
              </w:rPr>
              <w:t>0</w:t>
            </w:r>
          </w:p>
        </w:tc>
        <w:tc>
          <w:tcPr>
            <w:tcW w:w="638" w:type="pct"/>
            <w:vAlign w:val="center"/>
          </w:tcPr>
          <w:p>
            <w:pPr>
              <w:pStyle w:val="39"/>
            </w:pPr>
            <w:r>
              <w:rPr>
                <w:rFonts w:hint="eastAsia"/>
              </w:rPr>
              <w:t>0</w:t>
            </w:r>
          </w:p>
        </w:tc>
        <w:tc>
          <w:tcPr>
            <w:tcW w:w="1133" w:type="pct"/>
            <w:vAlign w:val="center"/>
          </w:tcPr>
          <w:p>
            <w:pPr>
              <w:pStyle w:val="39"/>
            </w:pPr>
            <w:r>
              <w:t>≤3.0</w:t>
            </w:r>
          </w:p>
        </w:tc>
        <w:tc>
          <w:tcPr>
            <w:tcW w:w="430" w:type="pct"/>
            <w:vAlign w:val="center"/>
          </w:tcPr>
          <w:p>
            <w:pPr>
              <w:pStyle w:val="39"/>
            </w:pPr>
            <w: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7" w:type="pct"/>
            <w:vMerge w:val="restart"/>
            <w:vAlign w:val="center"/>
          </w:tcPr>
          <w:p>
            <w:pPr>
              <w:pStyle w:val="39"/>
            </w:pPr>
            <w:r>
              <w:t>D</w:t>
            </w:r>
            <w:r>
              <w:rPr>
                <w:rFonts w:hint="eastAsia"/>
              </w:rPr>
              <w:t>2：厂界西南侧散户居名点水井</w:t>
            </w:r>
          </w:p>
        </w:tc>
        <w:tc>
          <w:tcPr>
            <w:tcW w:w="1034" w:type="pct"/>
            <w:vAlign w:val="center"/>
          </w:tcPr>
          <w:p>
            <w:pPr>
              <w:pStyle w:val="39"/>
              <w:rPr>
                <w:bCs/>
              </w:rPr>
            </w:pPr>
            <w:r>
              <w:t>pH</w:t>
            </w:r>
          </w:p>
        </w:tc>
        <w:tc>
          <w:tcPr>
            <w:tcW w:w="784" w:type="pct"/>
            <w:vAlign w:val="center"/>
          </w:tcPr>
          <w:p>
            <w:pPr>
              <w:pStyle w:val="39"/>
            </w:pPr>
            <w:r>
              <w:rPr>
                <w:rFonts w:hint="eastAsia"/>
              </w:rPr>
              <w:t>7.32</w:t>
            </w:r>
            <w:r>
              <w:t>~</w:t>
            </w:r>
            <w:r>
              <w:rPr>
                <w:rFonts w:hint="eastAsia"/>
              </w:rPr>
              <w:t>7.41</w:t>
            </w:r>
          </w:p>
        </w:tc>
        <w:tc>
          <w:tcPr>
            <w:tcW w:w="554" w:type="pct"/>
            <w:vAlign w:val="center"/>
          </w:tcPr>
          <w:p>
            <w:pPr>
              <w:pStyle w:val="39"/>
              <w:rPr>
                <w:kern w:val="0"/>
              </w:rPr>
            </w:pPr>
            <w:r>
              <w:rPr>
                <w:rFonts w:hint="eastAsia"/>
              </w:rPr>
              <w:t>——</w:t>
            </w:r>
          </w:p>
        </w:tc>
        <w:tc>
          <w:tcPr>
            <w:tcW w:w="638" w:type="pct"/>
            <w:vAlign w:val="center"/>
          </w:tcPr>
          <w:p>
            <w:pPr>
              <w:pStyle w:val="39"/>
              <w:rPr>
                <w:kern w:val="0"/>
              </w:rPr>
            </w:pPr>
            <w:r>
              <w:rPr>
                <w:rFonts w:hint="eastAsia"/>
              </w:rPr>
              <w:t>——</w:t>
            </w:r>
          </w:p>
        </w:tc>
        <w:tc>
          <w:tcPr>
            <w:tcW w:w="1133" w:type="pct"/>
            <w:vAlign w:val="center"/>
          </w:tcPr>
          <w:p>
            <w:pPr>
              <w:pStyle w:val="39"/>
              <w:rPr>
                <w:kern w:val="0"/>
              </w:rPr>
            </w:pPr>
            <w:r>
              <w:rPr>
                <w:kern w:val="0"/>
              </w:rPr>
              <w:t>6.5~8.5</w:t>
            </w:r>
          </w:p>
        </w:tc>
        <w:tc>
          <w:tcPr>
            <w:tcW w:w="430" w:type="pct"/>
            <w:vAlign w:val="center"/>
          </w:tcPr>
          <w:p>
            <w:pPr>
              <w:pStyle w:val="39"/>
              <w:rPr>
                <w:kern w:val="0"/>
              </w:rPr>
            </w:pPr>
            <w:r>
              <w:rPr>
                <w:rFonts w:hint="eastAsia"/>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7" w:type="pct"/>
            <w:vMerge w:val="continue"/>
            <w:vAlign w:val="center"/>
          </w:tcPr>
          <w:p>
            <w:pPr>
              <w:pStyle w:val="39"/>
            </w:pPr>
          </w:p>
        </w:tc>
        <w:tc>
          <w:tcPr>
            <w:tcW w:w="1034" w:type="pct"/>
            <w:vAlign w:val="center"/>
          </w:tcPr>
          <w:p>
            <w:pPr>
              <w:pStyle w:val="39"/>
              <w:rPr>
                <w:bCs/>
              </w:rPr>
            </w:pPr>
            <w:r>
              <w:t>总硬度</w:t>
            </w:r>
          </w:p>
        </w:tc>
        <w:tc>
          <w:tcPr>
            <w:tcW w:w="784" w:type="pct"/>
            <w:vAlign w:val="center"/>
          </w:tcPr>
          <w:p>
            <w:pPr>
              <w:pStyle w:val="39"/>
            </w:pPr>
            <w:r>
              <w:rPr>
                <w:rFonts w:hint="eastAsia"/>
              </w:rPr>
              <w:t>279</w:t>
            </w:r>
            <w:r>
              <w:t>~</w:t>
            </w:r>
            <w:r>
              <w:rPr>
                <w:rFonts w:hint="eastAsia"/>
              </w:rPr>
              <w:t>288</w:t>
            </w:r>
          </w:p>
        </w:tc>
        <w:tc>
          <w:tcPr>
            <w:tcW w:w="554" w:type="pct"/>
            <w:vAlign w:val="center"/>
          </w:tcPr>
          <w:p>
            <w:pPr>
              <w:pStyle w:val="39"/>
              <w:rPr>
                <w:kern w:val="0"/>
              </w:rPr>
            </w:pPr>
            <w:r>
              <w:rPr>
                <w:rFonts w:hint="eastAsia"/>
              </w:rPr>
              <w:t>0</w:t>
            </w:r>
          </w:p>
        </w:tc>
        <w:tc>
          <w:tcPr>
            <w:tcW w:w="638" w:type="pct"/>
            <w:vAlign w:val="center"/>
          </w:tcPr>
          <w:p>
            <w:pPr>
              <w:pStyle w:val="39"/>
              <w:rPr>
                <w:kern w:val="0"/>
              </w:rPr>
            </w:pPr>
            <w:r>
              <w:rPr>
                <w:rFonts w:hint="eastAsia"/>
              </w:rPr>
              <w:t>0</w:t>
            </w:r>
          </w:p>
        </w:tc>
        <w:tc>
          <w:tcPr>
            <w:tcW w:w="1133" w:type="pct"/>
            <w:vAlign w:val="center"/>
          </w:tcPr>
          <w:p>
            <w:pPr>
              <w:pStyle w:val="39"/>
              <w:rPr>
                <w:kern w:val="0"/>
              </w:rPr>
            </w:pPr>
            <w:r>
              <w:rPr>
                <w:kern w:val="0"/>
              </w:rPr>
              <w:t>≤450</w:t>
            </w:r>
          </w:p>
        </w:tc>
        <w:tc>
          <w:tcPr>
            <w:tcW w:w="430" w:type="pct"/>
            <w:vAlign w:val="center"/>
          </w:tcPr>
          <w:p>
            <w:pPr>
              <w:pStyle w:val="39"/>
              <w:rPr>
                <w:kern w:val="0"/>
              </w:rPr>
            </w:pPr>
            <w:r>
              <w:rPr>
                <w:kern w:val="0"/>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7" w:type="pct"/>
            <w:vMerge w:val="continue"/>
            <w:vAlign w:val="center"/>
          </w:tcPr>
          <w:p>
            <w:pPr>
              <w:pStyle w:val="39"/>
            </w:pPr>
          </w:p>
        </w:tc>
        <w:tc>
          <w:tcPr>
            <w:tcW w:w="1034" w:type="pct"/>
            <w:vAlign w:val="center"/>
          </w:tcPr>
          <w:p>
            <w:pPr>
              <w:pStyle w:val="39"/>
              <w:rPr>
                <w:bCs/>
              </w:rPr>
            </w:pPr>
            <w:r>
              <w:t>溶解性总固体</w:t>
            </w:r>
          </w:p>
        </w:tc>
        <w:tc>
          <w:tcPr>
            <w:tcW w:w="784" w:type="pct"/>
            <w:vAlign w:val="center"/>
          </w:tcPr>
          <w:p>
            <w:pPr>
              <w:pStyle w:val="39"/>
            </w:pPr>
            <w:r>
              <w:rPr>
                <w:rFonts w:hint="eastAsia"/>
              </w:rPr>
              <w:t>211</w:t>
            </w:r>
            <w:r>
              <w:t>~</w:t>
            </w:r>
            <w:r>
              <w:rPr>
                <w:rFonts w:hint="eastAsia"/>
              </w:rPr>
              <w:t>216</w:t>
            </w:r>
          </w:p>
        </w:tc>
        <w:tc>
          <w:tcPr>
            <w:tcW w:w="554" w:type="pct"/>
            <w:vAlign w:val="center"/>
          </w:tcPr>
          <w:p>
            <w:pPr>
              <w:pStyle w:val="39"/>
              <w:rPr>
                <w:kern w:val="0"/>
              </w:rPr>
            </w:pPr>
            <w:r>
              <w:rPr>
                <w:rFonts w:hint="eastAsia"/>
              </w:rPr>
              <w:t>0</w:t>
            </w:r>
          </w:p>
        </w:tc>
        <w:tc>
          <w:tcPr>
            <w:tcW w:w="638" w:type="pct"/>
            <w:vAlign w:val="center"/>
          </w:tcPr>
          <w:p>
            <w:pPr>
              <w:pStyle w:val="39"/>
              <w:rPr>
                <w:kern w:val="0"/>
              </w:rPr>
            </w:pPr>
            <w:r>
              <w:rPr>
                <w:rFonts w:hint="eastAsia"/>
              </w:rPr>
              <w:t>0</w:t>
            </w:r>
          </w:p>
        </w:tc>
        <w:tc>
          <w:tcPr>
            <w:tcW w:w="1133" w:type="pct"/>
            <w:vAlign w:val="center"/>
          </w:tcPr>
          <w:p>
            <w:pPr>
              <w:pStyle w:val="39"/>
              <w:rPr>
                <w:kern w:val="0"/>
              </w:rPr>
            </w:pPr>
            <w:r>
              <w:rPr>
                <w:kern w:val="0"/>
              </w:rPr>
              <w:t>≤500</w:t>
            </w:r>
          </w:p>
        </w:tc>
        <w:tc>
          <w:tcPr>
            <w:tcW w:w="430" w:type="pct"/>
            <w:vAlign w:val="center"/>
          </w:tcPr>
          <w:p>
            <w:pPr>
              <w:pStyle w:val="39"/>
              <w:rPr>
                <w:kern w:val="0"/>
              </w:rPr>
            </w:pPr>
            <w:r>
              <w:rPr>
                <w:kern w:val="0"/>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7" w:type="pct"/>
            <w:vMerge w:val="continue"/>
            <w:vAlign w:val="center"/>
          </w:tcPr>
          <w:p>
            <w:pPr>
              <w:pStyle w:val="39"/>
            </w:pPr>
          </w:p>
        </w:tc>
        <w:tc>
          <w:tcPr>
            <w:tcW w:w="1034" w:type="pct"/>
            <w:vAlign w:val="center"/>
          </w:tcPr>
          <w:p>
            <w:pPr>
              <w:pStyle w:val="39"/>
              <w:rPr>
                <w:bCs/>
              </w:rPr>
            </w:pPr>
            <w:r>
              <w:t>挥发酚</w:t>
            </w:r>
          </w:p>
        </w:tc>
        <w:tc>
          <w:tcPr>
            <w:tcW w:w="784" w:type="pct"/>
            <w:vAlign w:val="center"/>
          </w:tcPr>
          <w:p>
            <w:pPr>
              <w:pStyle w:val="39"/>
            </w:pPr>
            <w:r>
              <w:rPr>
                <w:rFonts w:hint="eastAsia"/>
              </w:rPr>
              <w:t>0.001</w:t>
            </w:r>
          </w:p>
        </w:tc>
        <w:tc>
          <w:tcPr>
            <w:tcW w:w="554" w:type="pct"/>
            <w:vAlign w:val="center"/>
          </w:tcPr>
          <w:p>
            <w:pPr>
              <w:pStyle w:val="39"/>
              <w:rPr>
                <w:kern w:val="0"/>
              </w:rPr>
            </w:pPr>
            <w:r>
              <w:rPr>
                <w:rFonts w:hint="eastAsia"/>
              </w:rPr>
              <w:t>0</w:t>
            </w:r>
          </w:p>
        </w:tc>
        <w:tc>
          <w:tcPr>
            <w:tcW w:w="638" w:type="pct"/>
            <w:vAlign w:val="center"/>
          </w:tcPr>
          <w:p>
            <w:pPr>
              <w:pStyle w:val="39"/>
              <w:rPr>
                <w:kern w:val="0"/>
              </w:rPr>
            </w:pPr>
            <w:r>
              <w:rPr>
                <w:rFonts w:hint="eastAsia"/>
              </w:rPr>
              <w:t>0</w:t>
            </w:r>
          </w:p>
        </w:tc>
        <w:tc>
          <w:tcPr>
            <w:tcW w:w="1133" w:type="pct"/>
            <w:vAlign w:val="center"/>
          </w:tcPr>
          <w:p>
            <w:pPr>
              <w:pStyle w:val="39"/>
              <w:rPr>
                <w:kern w:val="0"/>
              </w:rPr>
            </w:pPr>
            <w:r>
              <w:rPr>
                <w:kern w:val="0"/>
              </w:rPr>
              <w:t>≤0.002</w:t>
            </w:r>
          </w:p>
        </w:tc>
        <w:tc>
          <w:tcPr>
            <w:tcW w:w="430" w:type="pct"/>
            <w:vAlign w:val="center"/>
          </w:tcPr>
          <w:p>
            <w:pPr>
              <w:pStyle w:val="39"/>
              <w:rPr>
                <w:kern w:val="0"/>
              </w:rPr>
            </w:pPr>
            <w:r>
              <w:rPr>
                <w:kern w:val="0"/>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7" w:type="pct"/>
            <w:vMerge w:val="continue"/>
            <w:vAlign w:val="center"/>
          </w:tcPr>
          <w:p>
            <w:pPr>
              <w:pStyle w:val="39"/>
            </w:pPr>
          </w:p>
        </w:tc>
        <w:tc>
          <w:tcPr>
            <w:tcW w:w="1034" w:type="pct"/>
            <w:vAlign w:val="center"/>
          </w:tcPr>
          <w:p>
            <w:pPr>
              <w:pStyle w:val="39"/>
              <w:rPr>
                <w:bCs/>
              </w:rPr>
            </w:pPr>
            <w:r>
              <w:rPr>
                <w:bCs/>
              </w:rPr>
              <w:t>LAS</w:t>
            </w:r>
          </w:p>
        </w:tc>
        <w:tc>
          <w:tcPr>
            <w:tcW w:w="784" w:type="pct"/>
            <w:vAlign w:val="center"/>
          </w:tcPr>
          <w:p>
            <w:pPr>
              <w:pStyle w:val="39"/>
            </w:pPr>
            <w:r>
              <w:rPr>
                <w:rFonts w:hint="eastAsia"/>
              </w:rPr>
              <w:t>0.011</w:t>
            </w:r>
          </w:p>
        </w:tc>
        <w:tc>
          <w:tcPr>
            <w:tcW w:w="554" w:type="pct"/>
            <w:vAlign w:val="center"/>
          </w:tcPr>
          <w:p>
            <w:pPr>
              <w:pStyle w:val="39"/>
              <w:rPr>
                <w:kern w:val="0"/>
              </w:rPr>
            </w:pPr>
            <w:r>
              <w:rPr>
                <w:rFonts w:hint="eastAsia"/>
              </w:rPr>
              <w:t>0</w:t>
            </w:r>
          </w:p>
        </w:tc>
        <w:tc>
          <w:tcPr>
            <w:tcW w:w="638" w:type="pct"/>
            <w:vAlign w:val="center"/>
          </w:tcPr>
          <w:p>
            <w:pPr>
              <w:pStyle w:val="39"/>
              <w:rPr>
                <w:kern w:val="0"/>
              </w:rPr>
            </w:pPr>
            <w:r>
              <w:rPr>
                <w:rFonts w:hint="eastAsia"/>
              </w:rPr>
              <w:t>0</w:t>
            </w:r>
          </w:p>
        </w:tc>
        <w:tc>
          <w:tcPr>
            <w:tcW w:w="1133" w:type="pct"/>
            <w:vAlign w:val="center"/>
          </w:tcPr>
          <w:p>
            <w:pPr>
              <w:pStyle w:val="39"/>
              <w:rPr>
                <w:kern w:val="0"/>
              </w:rPr>
            </w:pPr>
            <w:r>
              <w:rPr>
                <w:rFonts w:hint="eastAsia"/>
                <w:kern w:val="0"/>
              </w:rPr>
              <w:t>——</w:t>
            </w:r>
          </w:p>
        </w:tc>
        <w:tc>
          <w:tcPr>
            <w:tcW w:w="430" w:type="pct"/>
            <w:vAlign w:val="center"/>
          </w:tcPr>
          <w:p>
            <w:pPr>
              <w:pStyle w:val="39"/>
              <w:rPr>
                <w:kern w:val="0"/>
              </w:rPr>
            </w:pPr>
            <w:r>
              <w:rPr>
                <w:kern w:val="0"/>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7" w:type="pct"/>
            <w:vMerge w:val="continue"/>
            <w:vAlign w:val="center"/>
          </w:tcPr>
          <w:p>
            <w:pPr>
              <w:pStyle w:val="39"/>
            </w:pPr>
          </w:p>
        </w:tc>
        <w:tc>
          <w:tcPr>
            <w:tcW w:w="1034" w:type="pct"/>
            <w:vAlign w:val="center"/>
          </w:tcPr>
          <w:p>
            <w:pPr>
              <w:pStyle w:val="39"/>
              <w:rPr>
                <w:bCs/>
              </w:rPr>
            </w:pPr>
            <w:r>
              <w:t>氨氮</w:t>
            </w:r>
          </w:p>
        </w:tc>
        <w:tc>
          <w:tcPr>
            <w:tcW w:w="784" w:type="pct"/>
            <w:vAlign w:val="center"/>
          </w:tcPr>
          <w:p>
            <w:pPr>
              <w:pStyle w:val="39"/>
            </w:pPr>
            <w:r>
              <w:t>0.</w:t>
            </w:r>
            <w:r>
              <w:rPr>
                <w:rFonts w:hint="eastAsia"/>
              </w:rPr>
              <w:t>186</w:t>
            </w:r>
            <w:r>
              <w:t>~0.</w:t>
            </w:r>
            <w:r>
              <w:rPr>
                <w:rFonts w:hint="eastAsia"/>
              </w:rPr>
              <w:t>188</w:t>
            </w:r>
          </w:p>
        </w:tc>
        <w:tc>
          <w:tcPr>
            <w:tcW w:w="554" w:type="pct"/>
            <w:vAlign w:val="center"/>
          </w:tcPr>
          <w:p>
            <w:pPr>
              <w:pStyle w:val="39"/>
              <w:rPr>
                <w:kern w:val="0"/>
              </w:rPr>
            </w:pPr>
            <w:r>
              <w:rPr>
                <w:rFonts w:hint="eastAsia"/>
              </w:rPr>
              <w:t>0</w:t>
            </w:r>
          </w:p>
        </w:tc>
        <w:tc>
          <w:tcPr>
            <w:tcW w:w="638" w:type="pct"/>
            <w:vAlign w:val="center"/>
          </w:tcPr>
          <w:p>
            <w:pPr>
              <w:pStyle w:val="39"/>
              <w:rPr>
                <w:kern w:val="0"/>
              </w:rPr>
            </w:pPr>
            <w:r>
              <w:rPr>
                <w:rFonts w:hint="eastAsia"/>
              </w:rPr>
              <w:t>0</w:t>
            </w:r>
          </w:p>
        </w:tc>
        <w:tc>
          <w:tcPr>
            <w:tcW w:w="1133" w:type="pct"/>
            <w:vAlign w:val="center"/>
          </w:tcPr>
          <w:p>
            <w:pPr>
              <w:pStyle w:val="39"/>
              <w:rPr>
                <w:kern w:val="0"/>
              </w:rPr>
            </w:pPr>
            <w:r>
              <w:rPr>
                <w:kern w:val="0"/>
              </w:rPr>
              <w:t>≤0.5</w:t>
            </w:r>
          </w:p>
        </w:tc>
        <w:tc>
          <w:tcPr>
            <w:tcW w:w="430" w:type="pct"/>
            <w:vAlign w:val="center"/>
          </w:tcPr>
          <w:p>
            <w:pPr>
              <w:pStyle w:val="39"/>
              <w:rPr>
                <w:kern w:val="0"/>
              </w:rPr>
            </w:pPr>
            <w:r>
              <w:rPr>
                <w:kern w:val="0"/>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7" w:type="pct"/>
            <w:vMerge w:val="continue"/>
            <w:vAlign w:val="center"/>
          </w:tcPr>
          <w:p>
            <w:pPr>
              <w:pStyle w:val="39"/>
            </w:pPr>
          </w:p>
        </w:tc>
        <w:tc>
          <w:tcPr>
            <w:tcW w:w="1034" w:type="pct"/>
            <w:vAlign w:val="center"/>
          </w:tcPr>
          <w:p>
            <w:pPr>
              <w:pStyle w:val="39"/>
              <w:rPr>
                <w:bCs/>
              </w:rPr>
            </w:pPr>
            <w:r>
              <w:t>耗氧量</w:t>
            </w:r>
          </w:p>
        </w:tc>
        <w:tc>
          <w:tcPr>
            <w:tcW w:w="784" w:type="pct"/>
            <w:vAlign w:val="center"/>
          </w:tcPr>
          <w:p>
            <w:pPr>
              <w:pStyle w:val="39"/>
            </w:pPr>
            <w:r>
              <w:t>0.</w:t>
            </w:r>
            <w:r>
              <w:rPr>
                <w:rFonts w:hint="eastAsia"/>
              </w:rPr>
              <w:t>93</w:t>
            </w:r>
            <w:r>
              <w:t>~0.9</w:t>
            </w:r>
            <w:r>
              <w:rPr>
                <w:rFonts w:hint="eastAsia"/>
              </w:rPr>
              <w:t>8</w:t>
            </w:r>
          </w:p>
        </w:tc>
        <w:tc>
          <w:tcPr>
            <w:tcW w:w="554" w:type="pct"/>
            <w:vAlign w:val="center"/>
          </w:tcPr>
          <w:p>
            <w:pPr>
              <w:pStyle w:val="39"/>
              <w:rPr>
                <w:kern w:val="0"/>
              </w:rPr>
            </w:pPr>
            <w:r>
              <w:rPr>
                <w:rFonts w:hint="eastAsia"/>
              </w:rPr>
              <w:t>0</w:t>
            </w:r>
          </w:p>
        </w:tc>
        <w:tc>
          <w:tcPr>
            <w:tcW w:w="638" w:type="pct"/>
            <w:vAlign w:val="center"/>
          </w:tcPr>
          <w:p>
            <w:pPr>
              <w:pStyle w:val="39"/>
              <w:rPr>
                <w:kern w:val="0"/>
              </w:rPr>
            </w:pPr>
            <w:r>
              <w:rPr>
                <w:rFonts w:hint="eastAsia"/>
              </w:rPr>
              <w:t>0</w:t>
            </w:r>
          </w:p>
        </w:tc>
        <w:tc>
          <w:tcPr>
            <w:tcW w:w="1133" w:type="pct"/>
            <w:vAlign w:val="center"/>
          </w:tcPr>
          <w:p>
            <w:pPr>
              <w:pStyle w:val="39"/>
              <w:rPr>
                <w:kern w:val="0"/>
              </w:rPr>
            </w:pPr>
            <w:r>
              <w:rPr>
                <w:kern w:val="0"/>
              </w:rPr>
              <w:t>≤3</w:t>
            </w:r>
            <w:r>
              <w:rPr>
                <w:rFonts w:hint="eastAsia"/>
                <w:kern w:val="0"/>
              </w:rPr>
              <w:t>.0</w:t>
            </w:r>
          </w:p>
        </w:tc>
        <w:tc>
          <w:tcPr>
            <w:tcW w:w="430" w:type="pct"/>
            <w:vAlign w:val="center"/>
          </w:tcPr>
          <w:p>
            <w:pPr>
              <w:pStyle w:val="39"/>
              <w:rPr>
                <w:kern w:val="0"/>
              </w:rPr>
            </w:pPr>
            <w:r>
              <w:rPr>
                <w:kern w:val="0"/>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7" w:type="pct"/>
            <w:vMerge w:val="continue"/>
            <w:vAlign w:val="center"/>
          </w:tcPr>
          <w:p>
            <w:pPr>
              <w:pStyle w:val="39"/>
            </w:pPr>
          </w:p>
        </w:tc>
        <w:tc>
          <w:tcPr>
            <w:tcW w:w="1034" w:type="pct"/>
            <w:vAlign w:val="center"/>
          </w:tcPr>
          <w:p>
            <w:pPr>
              <w:pStyle w:val="39"/>
              <w:rPr>
                <w:bCs/>
              </w:rPr>
            </w:pPr>
            <w:r>
              <w:t>总大肠菌群</w:t>
            </w:r>
          </w:p>
        </w:tc>
        <w:tc>
          <w:tcPr>
            <w:tcW w:w="784" w:type="pct"/>
            <w:vAlign w:val="center"/>
          </w:tcPr>
          <w:p>
            <w:pPr>
              <w:pStyle w:val="39"/>
            </w:pPr>
            <w:r>
              <w:t>ND</w:t>
            </w:r>
          </w:p>
        </w:tc>
        <w:tc>
          <w:tcPr>
            <w:tcW w:w="554" w:type="pct"/>
            <w:vAlign w:val="center"/>
          </w:tcPr>
          <w:p>
            <w:pPr>
              <w:pStyle w:val="39"/>
            </w:pPr>
            <w:r>
              <w:rPr>
                <w:rFonts w:hint="eastAsia"/>
              </w:rPr>
              <w:t>0</w:t>
            </w:r>
          </w:p>
        </w:tc>
        <w:tc>
          <w:tcPr>
            <w:tcW w:w="638" w:type="pct"/>
            <w:vAlign w:val="center"/>
          </w:tcPr>
          <w:p>
            <w:pPr>
              <w:pStyle w:val="39"/>
            </w:pPr>
            <w:r>
              <w:rPr>
                <w:rFonts w:hint="eastAsia"/>
              </w:rPr>
              <w:t>0</w:t>
            </w:r>
          </w:p>
        </w:tc>
        <w:tc>
          <w:tcPr>
            <w:tcW w:w="1133" w:type="pct"/>
            <w:vAlign w:val="center"/>
          </w:tcPr>
          <w:p>
            <w:pPr>
              <w:pStyle w:val="39"/>
            </w:pPr>
            <w:r>
              <w:t>≤3.0</w:t>
            </w:r>
          </w:p>
        </w:tc>
        <w:tc>
          <w:tcPr>
            <w:tcW w:w="430" w:type="pct"/>
            <w:vAlign w:val="center"/>
          </w:tcPr>
          <w:p>
            <w:pPr>
              <w:pStyle w:val="39"/>
              <w:rPr>
                <w:kern w:val="0"/>
              </w:rPr>
            </w:pPr>
            <w:r>
              <w:rPr>
                <w:kern w:val="0"/>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7" w:type="pct"/>
            <w:vMerge w:val="restart"/>
            <w:vAlign w:val="center"/>
          </w:tcPr>
          <w:p>
            <w:pPr>
              <w:pStyle w:val="39"/>
            </w:pPr>
            <w:r>
              <w:t>D3</w:t>
            </w:r>
            <w:r>
              <w:rPr>
                <w:rFonts w:hint="eastAsia"/>
              </w:rPr>
              <w:t>：厂界西侧散户居名点水井</w:t>
            </w:r>
          </w:p>
        </w:tc>
        <w:tc>
          <w:tcPr>
            <w:tcW w:w="1034" w:type="pct"/>
            <w:vAlign w:val="center"/>
          </w:tcPr>
          <w:p>
            <w:pPr>
              <w:pStyle w:val="39"/>
              <w:rPr>
                <w:bCs/>
              </w:rPr>
            </w:pPr>
            <w:r>
              <w:t>pH</w:t>
            </w:r>
          </w:p>
        </w:tc>
        <w:tc>
          <w:tcPr>
            <w:tcW w:w="784" w:type="pct"/>
            <w:vAlign w:val="center"/>
          </w:tcPr>
          <w:p>
            <w:pPr>
              <w:pStyle w:val="39"/>
            </w:pPr>
            <w:r>
              <w:rPr>
                <w:rFonts w:hint="eastAsia"/>
              </w:rPr>
              <w:t>7.46</w:t>
            </w:r>
            <w:r>
              <w:t>~</w:t>
            </w:r>
            <w:r>
              <w:rPr>
                <w:rFonts w:hint="eastAsia"/>
              </w:rPr>
              <w:t>7.52</w:t>
            </w:r>
          </w:p>
        </w:tc>
        <w:tc>
          <w:tcPr>
            <w:tcW w:w="554" w:type="pct"/>
            <w:vAlign w:val="center"/>
          </w:tcPr>
          <w:p>
            <w:pPr>
              <w:pStyle w:val="39"/>
              <w:rPr>
                <w:kern w:val="0"/>
              </w:rPr>
            </w:pPr>
            <w:r>
              <w:rPr>
                <w:rFonts w:hint="eastAsia"/>
              </w:rPr>
              <w:t>——</w:t>
            </w:r>
          </w:p>
        </w:tc>
        <w:tc>
          <w:tcPr>
            <w:tcW w:w="638" w:type="pct"/>
            <w:vAlign w:val="center"/>
          </w:tcPr>
          <w:p>
            <w:pPr>
              <w:pStyle w:val="39"/>
              <w:rPr>
                <w:kern w:val="0"/>
              </w:rPr>
            </w:pPr>
            <w:r>
              <w:rPr>
                <w:rFonts w:hint="eastAsia"/>
              </w:rPr>
              <w:t>——</w:t>
            </w:r>
          </w:p>
        </w:tc>
        <w:tc>
          <w:tcPr>
            <w:tcW w:w="1133" w:type="pct"/>
            <w:vAlign w:val="center"/>
          </w:tcPr>
          <w:p>
            <w:pPr>
              <w:pStyle w:val="39"/>
              <w:rPr>
                <w:kern w:val="0"/>
              </w:rPr>
            </w:pPr>
            <w:r>
              <w:rPr>
                <w:kern w:val="0"/>
              </w:rPr>
              <w:t>6.5~8.5</w:t>
            </w:r>
          </w:p>
        </w:tc>
        <w:tc>
          <w:tcPr>
            <w:tcW w:w="430" w:type="pct"/>
            <w:vAlign w:val="center"/>
          </w:tcPr>
          <w:p>
            <w:pPr>
              <w:pStyle w:val="39"/>
              <w:rPr>
                <w:kern w:val="0"/>
              </w:rPr>
            </w:pPr>
            <w:r>
              <w:rPr>
                <w:rFonts w:hint="eastAsia"/>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7" w:type="pct"/>
            <w:vMerge w:val="continue"/>
            <w:vAlign w:val="center"/>
          </w:tcPr>
          <w:p>
            <w:pPr>
              <w:pStyle w:val="39"/>
            </w:pPr>
          </w:p>
        </w:tc>
        <w:tc>
          <w:tcPr>
            <w:tcW w:w="1034" w:type="pct"/>
            <w:vAlign w:val="center"/>
          </w:tcPr>
          <w:p>
            <w:pPr>
              <w:pStyle w:val="39"/>
              <w:rPr>
                <w:bCs/>
              </w:rPr>
            </w:pPr>
            <w:r>
              <w:t>总硬度</w:t>
            </w:r>
          </w:p>
        </w:tc>
        <w:tc>
          <w:tcPr>
            <w:tcW w:w="784" w:type="pct"/>
            <w:vAlign w:val="center"/>
          </w:tcPr>
          <w:p>
            <w:pPr>
              <w:pStyle w:val="39"/>
            </w:pPr>
            <w:r>
              <w:rPr>
                <w:rFonts w:hint="eastAsia"/>
              </w:rPr>
              <w:t>280</w:t>
            </w:r>
            <w:r>
              <w:t>~</w:t>
            </w:r>
            <w:r>
              <w:rPr>
                <w:rFonts w:hint="eastAsia"/>
              </w:rPr>
              <w:t>281</w:t>
            </w:r>
          </w:p>
        </w:tc>
        <w:tc>
          <w:tcPr>
            <w:tcW w:w="554" w:type="pct"/>
            <w:vAlign w:val="center"/>
          </w:tcPr>
          <w:p>
            <w:pPr>
              <w:pStyle w:val="39"/>
              <w:rPr>
                <w:kern w:val="0"/>
              </w:rPr>
            </w:pPr>
            <w:r>
              <w:rPr>
                <w:rFonts w:hint="eastAsia"/>
              </w:rPr>
              <w:t>0</w:t>
            </w:r>
          </w:p>
        </w:tc>
        <w:tc>
          <w:tcPr>
            <w:tcW w:w="638" w:type="pct"/>
            <w:vAlign w:val="center"/>
          </w:tcPr>
          <w:p>
            <w:pPr>
              <w:pStyle w:val="39"/>
              <w:rPr>
                <w:kern w:val="0"/>
              </w:rPr>
            </w:pPr>
            <w:r>
              <w:rPr>
                <w:rFonts w:hint="eastAsia"/>
              </w:rPr>
              <w:t>0</w:t>
            </w:r>
          </w:p>
        </w:tc>
        <w:tc>
          <w:tcPr>
            <w:tcW w:w="1133" w:type="pct"/>
            <w:vAlign w:val="center"/>
          </w:tcPr>
          <w:p>
            <w:pPr>
              <w:pStyle w:val="39"/>
              <w:rPr>
                <w:kern w:val="0"/>
              </w:rPr>
            </w:pPr>
            <w:r>
              <w:rPr>
                <w:kern w:val="0"/>
              </w:rPr>
              <w:t>≤450</w:t>
            </w:r>
          </w:p>
        </w:tc>
        <w:tc>
          <w:tcPr>
            <w:tcW w:w="430" w:type="pct"/>
            <w:vAlign w:val="center"/>
          </w:tcPr>
          <w:p>
            <w:pPr>
              <w:pStyle w:val="39"/>
              <w:rPr>
                <w:kern w:val="0"/>
              </w:rPr>
            </w:pPr>
            <w:r>
              <w:rPr>
                <w:kern w:val="0"/>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7" w:type="pct"/>
            <w:vMerge w:val="continue"/>
            <w:vAlign w:val="center"/>
          </w:tcPr>
          <w:p>
            <w:pPr>
              <w:pStyle w:val="39"/>
            </w:pPr>
          </w:p>
        </w:tc>
        <w:tc>
          <w:tcPr>
            <w:tcW w:w="1034" w:type="pct"/>
            <w:vAlign w:val="center"/>
          </w:tcPr>
          <w:p>
            <w:pPr>
              <w:pStyle w:val="39"/>
              <w:rPr>
                <w:bCs/>
              </w:rPr>
            </w:pPr>
            <w:r>
              <w:t>溶解性总固体</w:t>
            </w:r>
          </w:p>
        </w:tc>
        <w:tc>
          <w:tcPr>
            <w:tcW w:w="784" w:type="pct"/>
            <w:vAlign w:val="center"/>
          </w:tcPr>
          <w:p>
            <w:pPr>
              <w:pStyle w:val="39"/>
            </w:pPr>
            <w:r>
              <w:rPr>
                <w:rFonts w:hint="eastAsia"/>
              </w:rPr>
              <w:t>241</w:t>
            </w:r>
            <w:r>
              <w:t>~</w:t>
            </w:r>
            <w:r>
              <w:rPr>
                <w:rFonts w:hint="eastAsia"/>
              </w:rPr>
              <w:t>244</w:t>
            </w:r>
          </w:p>
        </w:tc>
        <w:tc>
          <w:tcPr>
            <w:tcW w:w="554" w:type="pct"/>
            <w:vAlign w:val="center"/>
          </w:tcPr>
          <w:p>
            <w:pPr>
              <w:pStyle w:val="39"/>
              <w:rPr>
                <w:kern w:val="0"/>
              </w:rPr>
            </w:pPr>
            <w:r>
              <w:rPr>
                <w:rFonts w:hint="eastAsia"/>
              </w:rPr>
              <w:t>0</w:t>
            </w:r>
          </w:p>
        </w:tc>
        <w:tc>
          <w:tcPr>
            <w:tcW w:w="638" w:type="pct"/>
            <w:vAlign w:val="center"/>
          </w:tcPr>
          <w:p>
            <w:pPr>
              <w:pStyle w:val="39"/>
              <w:rPr>
                <w:kern w:val="0"/>
              </w:rPr>
            </w:pPr>
            <w:r>
              <w:rPr>
                <w:rFonts w:hint="eastAsia"/>
              </w:rPr>
              <w:t>0</w:t>
            </w:r>
          </w:p>
        </w:tc>
        <w:tc>
          <w:tcPr>
            <w:tcW w:w="1133" w:type="pct"/>
            <w:vAlign w:val="center"/>
          </w:tcPr>
          <w:p>
            <w:pPr>
              <w:pStyle w:val="39"/>
              <w:rPr>
                <w:kern w:val="0"/>
              </w:rPr>
            </w:pPr>
            <w:r>
              <w:rPr>
                <w:kern w:val="0"/>
              </w:rPr>
              <w:t>≤500</w:t>
            </w:r>
          </w:p>
        </w:tc>
        <w:tc>
          <w:tcPr>
            <w:tcW w:w="430" w:type="pct"/>
            <w:vAlign w:val="center"/>
          </w:tcPr>
          <w:p>
            <w:pPr>
              <w:pStyle w:val="39"/>
              <w:rPr>
                <w:kern w:val="0"/>
              </w:rPr>
            </w:pPr>
            <w:r>
              <w:rPr>
                <w:kern w:val="0"/>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7" w:type="pct"/>
            <w:vMerge w:val="continue"/>
            <w:vAlign w:val="center"/>
          </w:tcPr>
          <w:p>
            <w:pPr>
              <w:pStyle w:val="39"/>
            </w:pPr>
          </w:p>
        </w:tc>
        <w:tc>
          <w:tcPr>
            <w:tcW w:w="1034" w:type="pct"/>
            <w:vAlign w:val="center"/>
          </w:tcPr>
          <w:p>
            <w:pPr>
              <w:pStyle w:val="39"/>
              <w:rPr>
                <w:bCs/>
              </w:rPr>
            </w:pPr>
            <w:r>
              <w:t>挥发酚</w:t>
            </w:r>
          </w:p>
        </w:tc>
        <w:tc>
          <w:tcPr>
            <w:tcW w:w="784" w:type="pct"/>
            <w:vAlign w:val="center"/>
          </w:tcPr>
          <w:p>
            <w:pPr>
              <w:pStyle w:val="39"/>
            </w:pPr>
            <w:r>
              <w:rPr>
                <w:rFonts w:hint="eastAsia"/>
              </w:rPr>
              <w:t>0.001</w:t>
            </w:r>
          </w:p>
        </w:tc>
        <w:tc>
          <w:tcPr>
            <w:tcW w:w="554" w:type="pct"/>
            <w:vAlign w:val="center"/>
          </w:tcPr>
          <w:p>
            <w:pPr>
              <w:pStyle w:val="39"/>
              <w:rPr>
                <w:kern w:val="0"/>
              </w:rPr>
            </w:pPr>
            <w:r>
              <w:rPr>
                <w:rFonts w:hint="eastAsia"/>
              </w:rPr>
              <w:t>0</w:t>
            </w:r>
          </w:p>
        </w:tc>
        <w:tc>
          <w:tcPr>
            <w:tcW w:w="638" w:type="pct"/>
            <w:vAlign w:val="center"/>
          </w:tcPr>
          <w:p>
            <w:pPr>
              <w:pStyle w:val="39"/>
              <w:rPr>
                <w:kern w:val="0"/>
              </w:rPr>
            </w:pPr>
            <w:r>
              <w:rPr>
                <w:rFonts w:hint="eastAsia"/>
              </w:rPr>
              <w:t>0</w:t>
            </w:r>
          </w:p>
        </w:tc>
        <w:tc>
          <w:tcPr>
            <w:tcW w:w="1133" w:type="pct"/>
            <w:vAlign w:val="center"/>
          </w:tcPr>
          <w:p>
            <w:pPr>
              <w:pStyle w:val="39"/>
              <w:rPr>
                <w:kern w:val="0"/>
              </w:rPr>
            </w:pPr>
            <w:r>
              <w:rPr>
                <w:kern w:val="0"/>
              </w:rPr>
              <w:t>≤0.002</w:t>
            </w:r>
          </w:p>
        </w:tc>
        <w:tc>
          <w:tcPr>
            <w:tcW w:w="430" w:type="pct"/>
            <w:vAlign w:val="center"/>
          </w:tcPr>
          <w:p>
            <w:pPr>
              <w:pStyle w:val="39"/>
              <w:rPr>
                <w:kern w:val="0"/>
              </w:rPr>
            </w:pPr>
            <w:r>
              <w:rPr>
                <w:kern w:val="0"/>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7" w:type="pct"/>
            <w:vMerge w:val="continue"/>
            <w:vAlign w:val="center"/>
          </w:tcPr>
          <w:p>
            <w:pPr>
              <w:pStyle w:val="39"/>
            </w:pPr>
          </w:p>
        </w:tc>
        <w:tc>
          <w:tcPr>
            <w:tcW w:w="1034" w:type="pct"/>
            <w:vAlign w:val="center"/>
          </w:tcPr>
          <w:p>
            <w:pPr>
              <w:pStyle w:val="39"/>
              <w:rPr>
                <w:bCs/>
              </w:rPr>
            </w:pPr>
            <w:r>
              <w:rPr>
                <w:bCs/>
              </w:rPr>
              <w:t>LAS</w:t>
            </w:r>
          </w:p>
        </w:tc>
        <w:tc>
          <w:tcPr>
            <w:tcW w:w="784" w:type="pct"/>
            <w:vAlign w:val="center"/>
          </w:tcPr>
          <w:p>
            <w:pPr>
              <w:pStyle w:val="39"/>
            </w:pPr>
            <w:r>
              <w:rPr>
                <w:rFonts w:hint="eastAsia"/>
              </w:rPr>
              <w:t>0.011</w:t>
            </w:r>
          </w:p>
        </w:tc>
        <w:tc>
          <w:tcPr>
            <w:tcW w:w="554" w:type="pct"/>
            <w:vAlign w:val="center"/>
          </w:tcPr>
          <w:p>
            <w:pPr>
              <w:pStyle w:val="39"/>
              <w:rPr>
                <w:kern w:val="0"/>
              </w:rPr>
            </w:pPr>
            <w:r>
              <w:rPr>
                <w:rFonts w:hint="eastAsia"/>
              </w:rPr>
              <w:t>0</w:t>
            </w:r>
          </w:p>
        </w:tc>
        <w:tc>
          <w:tcPr>
            <w:tcW w:w="638" w:type="pct"/>
            <w:vAlign w:val="center"/>
          </w:tcPr>
          <w:p>
            <w:pPr>
              <w:pStyle w:val="39"/>
              <w:rPr>
                <w:kern w:val="0"/>
              </w:rPr>
            </w:pPr>
            <w:r>
              <w:rPr>
                <w:rFonts w:hint="eastAsia"/>
              </w:rPr>
              <w:t>0</w:t>
            </w:r>
          </w:p>
        </w:tc>
        <w:tc>
          <w:tcPr>
            <w:tcW w:w="1133" w:type="pct"/>
            <w:vAlign w:val="center"/>
          </w:tcPr>
          <w:p>
            <w:pPr>
              <w:pStyle w:val="39"/>
              <w:rPr>
                <w:kern w:val="0"/>
              </w:rPr>
            </w:pPr>
            <w:r>
              <w:rPr>
                <w:rFonts w:hint="eastAsia"/>
                <w:kern w:val="0"/>
              </w:rPr>
              <w:t>——</w:t>
            </w:r>
          </w:p>
        </w:tc>
        <w:tc>
          <w:tcPr>
            <w:tcW w:w="430" w:type="pct"/>
            <w:vAlign w:val="center"/>
          </w:tcPr>
          <w:p>
            <w:pPr>
              <w:pStyle w:val="39"/>
              <w:rPr>
                <w:kern w:val="0"/>
              </w:rPr>
            </w:pPr>
            <w:r>
              <w:rPr>
                <w:kern w:val="0"/>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7" w:type="pct"/>
            <w:vMerge w:val="continue"/>
            <w:vAlign w:val="center"/>
          </w:tcPr>
          <w:p>
            <w:pPr>
              <w:pStyle w:val="39"/>
            </w:pPr>
          </w:p>
        </w:tc>
        <w:tc>
          <w:tcPr>
            <w:tcW w:w="1034" w:type="pct"/>
            <w:vAlign w:val="center"/>
          </w:tcPr>
          <w:p>
            <w:pPr>
              <w:pStyle w:val="39"/>
              <w:rPr>
                <w:bCs/>
              </w:rPr>
            </w:pPr>
            <w:r>
              <w:t>氨氮</w:t>
            </w:r>
          </w:p>
        </w:tc>
        <w:tc>
          <w:tcPr>
            <w:tcW w:w="784" w:type="pct"/>
            <w:vAlign w:val="center"/>
          </w:tcPr>
          <w:p>
            <w:pPr>
              <w:pStyle w:val="39"/>
            </w:pPr>
            <w:r>
              <w:t>0.</w:t>
            </w:r>
            <w:r>
              <w:rPr>
                <w:rFonts w:hint="eastAsia"/>
              </w:rPr>
              <w:t>182</w:t>
            </w:r>
            <w:r>
              <w:t>~0.</w:t>
            </w:r>
            <w:r>
              <w:rPr>
                <w:rFonts w:hint="eastAsia"/>
              </w:rPr>
              <w:t>189</w:t>
            </w:r>
          </w:p>
        </w:tc>
        <w:tc>
          <w:tcPr>
            <w:tcW w:w="554" w:type="pct"/>
            <w:vAlign w:val="center"/>
          </w:tcPr>
          <w:p>
            <w:pPr>
              <w:pStyle w:val="39"/>
              <w:rPr>
                <w:kern w:val="0"/>
              </w:rPr>
            </w:pPr>
            <w:r>
              <w:rPr>
                <w:rFonts w:hint="eastAsia"/>
              </w:rPr>
              <w:t>0</w:t>
            </w:r>
          </w:p>
        </w:tc>
        <w:tc>
          <w:tcPr>
            <w:tcW w:w="638" w:type="pct"/>
            <w:vAlign w:val="center"/>
          </w:tcPr>
          <w:p>
            <w:pPr>
              <w:pStyle w:val="39"/>
              <w:rPr>
                <w:kern w:val="0"/>
              </w:rPr>
            </w:pPr>
            <w:r>
              <w:rPr>
                <w:rFonts w:hint="eastAsia"/>
              </w:rPr>
              <w:t>0</w:t>
            </w:r>
          </w:p>
        </w:tc>
        <w:tc>
          <w:tcPr>
            <w:tcW w:w="1133" w:type="pct"/>
            <w:vAlign w:val="center"/>
          </w:tcPr>
          <w:p>
            <w:pPr>
              <w:pStyle w:val="39"/>
              <w:rPr>
                <w:kern w:val="0"/>
              </w:rPr>
            </w:pPr>
            <w:r>
              <w:rPr>
                <w:kern w:val="0"/>
              </w:rPr>
              <w:t>≤0.5</w:t>
            </w:r>
          </w:p>
        </w:tc>
        <w:tc>
          <w:tcPr>
            <w:tcW w:w="430" w:type="pct"/>
            <w:vAlign w:val="center"/>
          </w:tcPr>
          <w:p>
            <w:pPr>
              <w:pStyle w:val="39"/>
              <w:rPr>
                <w:kern w:val="0"/>
              </w:rPr>
            </w:pPr>
            <w:r>
              <w:rPr>
                <w:kern w:val="0"/>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7" w:type="pct"/>
            <w:vMerge w:val="continue"/>
            <w:vAlign w:val="center"/>
          </w:tcPr>
          <w:p>
            <w:pPr>
              <w:pStyle w:val="39"/>
            </w:pPr>
          </w:p>
        </w:tc>
        <w:tc>
          <w:tcPr>
            <w:tcW w:w="1034" w:type="pct"/>
            <w:vAlign w:val="center"/>
          </w:tcPr>
          <w:p>
            <w:pPr>
              <w:pStyle w:val="39"/>
              <w:rPr>
                <w:bCs/>
              </w:rPr>
            </w:pPr>
            <w:r>
              <w:t>耗氧量</w:t>
            </w:r>
          </w:p>
        </w:tc>
        <w:tc>
          <w:tcPr>
            <w:tcW w:w="784" w:type="pct"/>
            <w:vAlign w:val="center"/>
          </w:tcPr>
          <w:p>
            <w:pPr>
              <w:pStyle w:val="39"/>
            </w:pPr>
            <w:r>
              <w:rPr>
                <w:rFonts w:hint="eastAsia"/>
              </w:rPr>
              <w:t>1.0</w:t>
            </w:r>
            <w:r>
              <w:t>~</w:t>
            </w:r>
            <w:r>
              <w:rPr>
                <w:rFonts w:hint="eastAsia"/>
              </w:rPr>
              <w:t>1.1</w:t>
            </w:r>
          </w:p>
        </w:tc>
        <w:tc>
          <w:tcPr>
            <w:tcW w:w="554" w:type="pct"/>
            <w:vAlign w:val="center"/>
          </w:tcPr>
          <w:p>
            <w:pPr>
              <w:pStyle w:val="39"/>
              <w:rPr>
                <w:kern w:val="0"/>
              </w:rPr>
            </w:pPr>
            <w:r>
              <w:rPr>
                <w:rFonts w:hint="eastAsia"/>
              </w:rPr>
              <w:t>0</w:t>
            </w:r>
          </w:p>
        </w:tc>
        <w:tc>
          <w:tcPr>
            <w:tcW w:w="638" w:type="pct"/>
            <w:vAlign w:val="center"/>
          </w:tcPr>
          <w:p>
            <w:pPr>
              <w:pStyle w:val="39"/>
              <w:rPr>
                <w:kern w:val="0"/>
              </w:rPr>
            </w:pPr>
            <w:r>
              <w:rPr>
                <w:rFonts w:hint="eastAsia"/>
              </w:rPr>
              <w:t>0</w:t>
            </w:r>
          </w:p>
        </w:tc>
        <w:tc>
          <w:tcPr>
            <w:tcW w:w="1133" w:type="pct"/>
            <w:vAlign w:val="center"/>
          </w:tcPr>
          <w:p>
            <w:pPr>
              <w:pStyle w:val="39"/>
              <w:rPr>
                <w:kern w:val="0"/>
              </w:rPr>
            </w:pPr>
            <w:r>
              <w:rPr>
                <w:kern w:val="0"/>
              </w:rPr>
              <w:t>≤3</w:t>
            </w:r>
            <w:r>
              <w:rPr>
                <w:rFonts w:hint="eastAsia"/>
                <w:kern w:val="0"/>
              </w:rPr>
              <w:t>.0</w:t>
            </w:r>
          </w:p>
        </w:tc>
        <w:tc>
          <w:tcPr>
            <w:tcW w:w="430" w:type="pct"/>
            <w:vAlign w:val="center"/>
          </w:tcPr>
          <w:p>
            <w:pPr>
              <w:pStyle w:val="39"/>
              <w:rPr>
                <w:kern w:val="0"/>
              </w:rPr>
            </w:pPr>
            <w:r>
              <w:rPr>
                <w:kern w:val="0"/>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7" w:type="pct"/>
            <w:vMerge w:val="continue"/>
            <w:vAlign w:val="center"/>
          </w:tcPr>
          <w:p>
            <w:pPr>
              <w:pStyle w:val="39"/>
            </w:pPr>
          </w:p>
        </w:tc>
        <w:tc>
          <w:tcPr>
            <w:tcW w:w="1034" w:type="pct"/>
            <w:vAlign w:val="center"/>
          </w:tcPr>
          <w:p>
            <w:pPr>
              <w:pStyle w:val="39"/>
              <w:rPr>
                <w:bCs/>
              </w:rPr>
            </w:pPr>
            <w:r>
              <w:t>总大肠菌群</w:t>
            </w:r>
          </w:p>
        </w:tc>
        <w:tc>
          <w:tcPr>
            <w:tcW w:w="784" w:type="pct"/>
            <w:vAlign w:val="center"/>
          </w:tcPr>
          <w:p>
            <w:pPr>
              <w:pStyle w:val="39"/>
            </w:pPr>
            <w:r>
              <w:t>ND</w:t>
            </w:r>
          </w:p>
        </w:tc>
        <w:tc>
          <w:tcPr>
            <w:tcW w:w="554" w:type="pct"/>
            <w:vAlign w:val="center"/>
          </w:tcPr>
          <w:p>
            <w:pPr>
              <w:pStyle w:val="39"/>
            </w:pPr>
            <w:r>
              <w:rPr>
                <w:rFonts w:hint="eastAsia"/>
              </w:rPr>
              <w:t>0</w:t>
            </w:r>
          </w:p>
        </w:tc>
        <w:tc>
          <w:tcPr>
            <w:tcW w:w="638" w:type="pct"/>
            <w:vAlign w:val="center"/>
          </w:tcPr>
          <w:p>
            <w:pPr>
              <w:pStyle w:val="39"/>
            </w:pPr>
            <w:r>
              <w:rPr>
                <w:rFonts w:hint="eastAsia"/>
              </w:rPr>
              <w:t>0</w:t>
            </w:r>
          </w:p>
        </w:tc>
        <w:tc>
          <w:tcPr>
            <w:tcW w:w="1133" w:type="pct"/>
            <w:vAlign w:val="center"/>
          </w:tcPr>
          <w:p>
            <w:pPr>
              <w:pStyle w:val="39"/>
            </w:pPr>
            <w:r>
              <w:t>≤3.0</w:t>
            </w:r>
          </w:p>
        </w:tc>
        <w:tc>
          <w:tcPr>
            <w:tcW w:w="430" w:type="pct"/>
            <w:vAlign w:val="center"/>
          </w:tcPr>
          <w:p>
            <w:pPr>
              <w:pStyle w:val="39"/>
              <w:rPr>
                <w:kern w:val="0"/>
              </w:rPr>
            </w:pPr>
            <w:r>
              <w:rPr>
                <w:kern w:val="0"/>
              </w:rPr>
              <w:t>达标</w:t>
            </w:r>
          </w:p>
        </w:tc>
      </w:tr>
    </w:tbl>
    <w:p>
      <w:pPr>
        <w:pStyle w:val="3"/>
        <w:ind w:firstLine="480"/>
      </w:pPr>
    </w:p>
    <w:p>
      <w:pPr>
        <w:pStyle w:val="3"/>
        <w:ind w:firstLine="480"/>
      </w:pPr>
      <w:r>
        <w:t>监测结果表明项目所在区域地下水环境现状质量较好，其现状质量符合《地下水环境质量标准》</w:t>
      </w:r>
      <w:r>
        <w:rPr>
          <w:rFonts w:hint="eastAsia"/>
        </w:rPr>
        <w:t>（</w:t>
      </w:r>
      <w:r>
        <w:t>GB/T14848-</w:t>
      </w:r>
      <w:r>
        <w:rPr>
          <w:rFonts w:hint="eastAsia"/>
        </w:rPr>
        <w:t>2017）</w:t>
      </w:r>
      <w:r>
        <w:t>中的</w:t>
      </w:r>
      <w:r>
        <w:rPr>
          <w:rFonts w:hint="eastAsia" w:ascii="宋体" w:hAnsi="宋体" w:cs="宋体"/>
        </w:rPr>
        <w:t>Ⅲ</w:t>
      </w:r>
      <w:r>
        <w:t>类水质标准。</w:t>
      </w:r>
    </w:p>
    <w:p>
      <w:pPr>
        <w:pStyle w:val="6"/>
      </w:pPr>
      <w:r>
        <w:t>声环境的现状</w:t>
      </w:r>
      <w:r>
        <w:rPr>
          <w:rFonts w:hint="eastAsia"/>
        </w:rPr>
        <w:t>调查</w:t>
      </w:r>
      <w:r>
        <w:t>与评价</w:t>
      </w:r>
    </w:p>
    <w:p>
      <w:pPr>
        <w:pStyle w:val="3"/>
        <w:ind w:firstLine="472"/>
        <w:rPr>
          <w:bCs/>
        </w:rPr>
      </w:pPr>
      <w:r>
        <w:rPr>
          <w:spacing w:val="-2"/>
        </w:rPr>
        <w:t>（1）监测点位：</w:t>
      </w:r>
      <w:r>
        <w:t>本项目</w:t>
      </w:r>
      <w:r>
        <w:rPr>
          <w:rFonts w:hint="eastAsia"/>
        </w:rPr>
        <w:t>场</w:t>
      </w:r>
      <w:r>
        <w:t>界东、南、西、北</w:t>
      </w:r>
      <w:r>
        <w:rPr>
          <w:bCs/>
        </w:rPr>
        <w:t>四个方向</w:t>
      </w:r>
      <w:r>
        <w:rPr>
          <w:rFonts w:hint="eastAsia"/>
          <w:bCs/>
        </w:rPr>
        <w:t>边</w:t>
      </w:r>
      <w:r>
        <w:rPr>
          <w:bCs/>
        </w:rPr>
        <w:t>界外1m处</w:t>
      </w:r>
      <w:r>
        <w:rPr>
          <w:rFonts w:hint="eastAsia"/>
          <w:bCs/>
        </w:rPr>
        <w:t>（N1~N4）</w:t>
      </w:r>
      <w:r>
        <w:rPr>
          <w:bCs/>
        </w:rPr>
        <w:t>；</w:t>
      </w:r>
    </w:p>
    <w:p>
      <w:pPr>
        <w:pStyle w:val="3"/>
        <w:ind w:firstLine="472"/>
        <w:rPr>
          <w:spacing w:val="-2"/>
        </w:rPr>
      </w:pPr>
      <w:r>
        <w:rPr>
          <w:spacing w:val="-2"/>
        </w:rPr>
        <w:t>（2）监测因子：</w:t>
      </w:r>
      <w:r>
        <w:rPr>
          <w:bCs/>
        </w:rPr>
        <w:t>Leq(A)</w:t>
      </w:r>
      <w:r>
        <w:rPr>
          <w:spacing w:val="-2"/>
        </w:rPr>
        <w:t>；</w:t>
      </w:r>
    </w:p>
    <w:p>
      <w:pPr>
        <w:pStyle w:val="3"/>
        <w:ind w:firstLine="472"/>
        <w:rPr>
          <w:spacing w:val="-2"/>
          <w:u w:val="single"/>
        </w:rPr>
      </w:pPr>
      <w:r>
        <w:rPr>
          <w:spacing w:val="-2"/>
        </w:rPr>
        <w:t>（3）监测时间及频次：</w:t>
      </w:r>
      <w:r>
        <w:rPr>
          <w:rFonts w:hint="eastAsia"/>
          <w:bCs/>
        </w:rPr>
        <w:t>于</w:t>
      </w:r>
      <w:r>
        <w:rPr>
          <w:rFonts w:hint="eastAsia"/>
          <w:spacing w:val="-2"/>
        </w:rPr>
        <w:t>20</w:t>
      </w:r>
      <w:r>
        <w:rPr>
          <w:spacing w:val="-2"/>
        </w:rPr>
        <w:t>2</w:t>
      </w:r>
      <w:r>
        <w:rPr>
          <w:rFonts w:hint="eastAsia"/>
          <w:spacing w:val="-2"/>
        </w:rPr>
        <w:t>1年6月3~4日，监测</w:t>
      </w:r>
      <w:r>
        <w:rPr>
          <w:spacing w:val="-2"/>
        </w:rPr>
        <w:t>2</w:t>
      </w:r>
      <w:r>
        <w:rPr>
          <w:rFonts w:hint="eastAsia"/>
          <w:spacing w:val="-2"/>
        </w:rPr>
        <w:t>天；</w:t>
      </w:r>
    </w:p>
    <w:p>
      <w:pPr>
        <w:pStyle w:val="3"/>
        <w:ind w:firstLine="480"/>
      </w:pPr>
      <w:r>
        <w:t>（4）评价标准：</w:t>
      </w:r>
      <w:r>
        <w:rPr>
          <w:bCs/>
        </w:rPr>
        <w:t>《声环境质量标准》（GB3096-2008）中的</w:t>
      </w:r>
      <w:r>
        <w:rPr>
          <w:rFonts w:hint="eastAsia"/>
          <w:bCs/>
        </w:rPr>
        <w:t>2</w:t>
      </w:r>
      <w:r>
        <w:rPr>
          <w:bCs/>
        </w:rPr>
        <w:t>类标准；</w:t>
      </w:r>
    </w:p>
    <w:p>
      <w:pPr>
        <w:pStyle w:val="3"/>
        <w:ind w:firstLine="480"/>
      </w:pPr>
      <w:r>
        <w:t>（5）监测结果：见下表。</w:t>
      </w:r>
    </w:p>
    <w:p>
      <w:pPr>
        <w:pStyle w:val="15"/>
        <w:rPr>
          <w:spacing w:val="2"/>
        </w:rPr>
      </w:pPr>
      <w:r>
        <w:rPr>
          <w:rFonts w:hint="eastAsia"/>
        </w:rPr>
        <w:t>表4.2-</w:t>
      </w:r>
      <w:r>
        <w:t>5</w:t>
      </w:r>
      <w:r>
        <w:rPr>
          <w:rFonts w:hint="eastAsia"/>
        </w:rPr>
        <w:t xml:space="preserve">   噪声监测结果一览表   单位：dB(A)</w:t>
      </w:r>
    </w:p>
    <w:tbl>
      <w:tblPr>
        <w:tblStyle w:val="2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9"/>
        <w:gridCol w:w="1266"/>
        <w:gridCol w:w="1369"/>
        <w:gridCol w:w="1370"/>
        <w:gridCol w:w="1836"/>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133" w:type="pct"/>
            <w:vMerge w:val="restart"/>
            <w:vAlign w:val="center"/>
          </w:tcPr>
          <w:p>
            <w:pPr>
              <w:pStyle w:val="39"/>
            </w:pPr>
            <w:r>
              <w:rPr>
                <w:rFonts w:hint="eastAsia"/>
              </w:rPr>
              <w:t>监测点位</w:t>
            </w:r>
          </w:p>
        </w:tc>
        <w:tc>
          <w:tcPr>
            <w:tcW w:w="690" w:type="pct"/>
            <w:vMerge w:val="restart"/>
            <w:vAlign w:val="center"/>
          </w:tcPr>
          <w:p>
            <w:pPr>
              <w:pStyle w:val="39"/>
            </w:pPr>
            <w:r>
              <w:rPr>
                <w:rFonts w:hint="eastAsia"/>
              </w:rPr>
              <w:t>监测时段</w:t>
            </w:r>
          </w:p>
        </w:tc>
        <w:tc>
          <w:tcPr>
            <w:tcW w:w="1493" w:type="pct"/>
            <w:gridSpan w:val="2"/>
            <w:vAlign w:val="center"/>
          </w:tcPr>
          <w:p>
            <w:pPr>
              <w:pStyle w:val="39"/>
            </w:pPr>
            <w:r>
              <w:rPr>
                <w:rFonts w:hint="eastAsia"/>
              </w:rPr>
              <w:t>监测结果</w:t>
            </w:r>
          </w:p>
        </w:tc>
        <w:tc>
          <w:tcPr>
            <w:tcW w:w="1001" w:type="pct"/>
            <w:vMerge w:val="restart"/>
            <w:vAlign w:val="center"/>
          </w:tcPr>
          <w:p>
            <w:pPr>
              <w:pStyle w:val="39"/>
            </w:pPr>
            <w:r>
              <w:rPr>
                <w:rFonts w:hint="eastAsia"/>
              </w:rPr>
              <w:t>GB12348-2008</w:t>
            </w:r>
          </w:p>
          <w:p>
            <w:pPr>
              <w:pStyle w:val="39"/>
            </w:pPr>
            <w:r>
              <w:rPr>
                <w:rFonts w:hint="eastAsia"/>
              </w:rPr>
              <w:t>2类标准</w:t>
            </w:r>
          </w:p>
        </w:tc>
        <w:tc>
          <w:tcPr>
            <w:tcW w:w="683" w:type="pct"/>
            <w:vMerge w:val="restart"/>
            <w:vAlign w:val="center"/>
          </w:tcPr>
          <w:p>
            <w:pPr>
              <w:pStyle w:val="39"/>
            </w:pPr>
            <w:r>
              <w:rPr>
                <w:rFonts w:hint="eastAsia"/>
              </w:rPr>
              <w:t>是否达标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133" w:type="pct"/>
            <w:vMerge w:val="continue"/>
            <w:vAlign w:val="center"/>
          </w:tcPr>
          <w:p>
            <w:pPr>
              <w:pStyle w:val="39"/>
            </w:pPr>
          </w:p>
        </w:tc>
        <w:tc>
          <w:tcPr>
            <w:tcW w:w="690" w:type="pct"/>
            <w:vMerge w:val="continue"/>
            <w:vAlign w:val="center"/>
          </w:tcPr>
          <w:p>
            <w:pPr>
              <w:pStyle w:val="39"/>
            </w:pPr>
          </w:p>
        </w:tc>
        <w:tc>
          <w:tcPr>
            <w:tcW w:w="746" w:type="pct"/>
            <w:vAlign w:val="center"/>
          </w:tcPr>
          <w:p>
            <w:pPr>
              <w:pStyle w:val="39"/>
            </w:pPr>
            <w:r>
              <w:rPr>
                <w:rFonts w:hint="eastAsia"/>
              </w:rPr>
              <w:t>20</w:t>
            </w:r>
            <w:r>
              <w:t>2</w:t>
            </w:r>
            <w:r>
              <w:rPr>
                <w:rFonts w:hint="eastAsia"/>
              </w:rPr>
              <w:t>1</w:t>
            </w:r>
            <w:r>
              <w:t>.</w:t>
            </w:r>
            <w:r>
              <w:rPr>
                <w:rFonts w:hint="eastAsia"/>
              </w:rPr>
              <w:t>6</w:t>
            </w:r>
            <w:r>
              <w:t>.</w:t>
            </w:r>
            <w:r>
              <w:rPr>
                <w:rFonts w:hint="eastAsia"/>
              </w:rPr>
              <w:t>3</w:t>
            </w:r>
          </w:p>
        </w:tc>
        <w:tc>
          <w:tcPr>
            <w:tcW w:w="747" w:type="pct"/>
            <w:vAlign w:val="center"/>
          </w:tcPr>
          <w:p>
            <w:pPr>
              <w:pStyle w:val="39"/>
            </w:pPr>
            <w:r>
              <w:rPr>
                <w:rFonts w:hint="eastAsia"/>
              </w:rPr>
              <w:t>2021.6.4</w:t>
            </w:r>
          </w:p>
        </w:tc>
        <w:tc>
          <w:tcPr>
            <w:tcW w:w="1001" w:type="pct"/>
            <w:vMerge w:val="continue"/>
            <w:vAlign w:val="center"/>
          </w:tcPr>
          <w:p>
            <w:pPr>
              <w:pStyle w:val="39"/>
            </w:pPr>
          </w:p>
        </w:tc>
        <w:tc>
          <w:tcPr>
            <w:tcW w:w="683" w:type="pct"/>
            <w:vMerge w:val="continue"/>
            <w:vAlign w:val="center"/>
          </w:tcPr>
          <w:p>
            <w:pPr>
              <w:pStyle w:val="3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3" w:type="pct"/>
            <w:vMerge w:val="restart"/>
            <w:vAlign w:val="center"/>
          </w:tcPr>
          <w:p>
            <w:pPr>
              <w:pStyle w:val="39"/>
            </w:pPr>
            <w:r>
              <w:rPr>
                <w:rFonts w:hint="eastAsia"/>
              </w:rPr>
              <w:t>N1场</w:t>
            </w:r>
            <w:r>
              <w:t>界</w:t>
            </w:r>
            <w:r>
              <w:rPr>
                <w:rFonts w:hint="eastAsia"/>
              </w:rPr>
              <w:t>东侧外1m</w:t>
            </w:r>
          </w:p>
        </w:tc>
        <w:tc>
          <w:tcPr>
            <w:tcW w:w="690" w:type="pct"/>
            <w:vAlign w:val="center"/>
          </w:tcPr>
          <w:p>
            <w:pPr>
              <w:pStyle w:val="39"/>
            </w:pPr>
            <w:r>
              <w:rPr>
                <w:rFonts w:hint="eastAsia"/>
              </w:rPr>
              <w:t>昼间</w:t>
            </w:r>
          </w:p>
        </w:tc>
        <w:tc>
          <w:tcPr>
            <w:tcW w:w="746" w:type="pct"/>
            <w:vAlign w:val="center"/>
          </w:tcPr>
          <w:p>
            <w:pPr>
              <w:pStyle w:val="39"/>
              <w:rPr>
                <w:rFonts w:eastAsia="仿宋"/>
              </w:rPr>
            </w:pPr>
            <w:r>
              <w:rPr>
                <w:rFonts w:hint="eastAsia" w:eastAsia="仿宋"/>
              </w:rPr>
              <w:t>51</w:t>
            </w:r>
          </w:p>
        </w:tc>
        <w:tc>
          <w:tcPr>
            <w:tcW w:w="747" w:type="pct"/>
            <w:vAlign w:val="center"/>
          </w:tcPr>
          <w:p>
            <w:pPr>
              <w:pStyle w:val="39"/>
              <w:rPr>
                <w:rFonts w:eastAsia="仿宋"/>
              </w:rPr>
            </w:pPr>
            <w:r>
              <w:rPr>
                <w:rFonts w:hint="eastAsia" w:eastAsia="仿宋"/>
              </w:rPr>
              <w:t>52</w:t>
            </w:r>
          </w:p>
        </w:tc>
        <w:tc>
          <w:tcPr>
            <w:tcW w:w="1001" w:type="pct"/>
            <w:vAlign w:val="center"/>
          </w:tcPr>
          <w:p>
            <w:pPr>
              <w:pStyle w:val="39"/>
            </w:pPr>
            <w:r>
              <w:rPr>
                <w:rFonts w:hint="eastAsia"/>
              </w:rPr>
              <w:t>60</w:t>
            </w:r>
          </w:p>
        </w:tc>
        <w:tc>
          <w:tcPr>
            <w:tcW w:w="683" w:type="pct"/>
            <w:vAlign w:val="center"/>
          </w:tcPr>
          <w:p>
            <w:pPr>
              <w:pStyle w:val="39"/>
            </w:pPr>
            <w:r>
              <w:rPr>
                <w:rFonts w:hint="eastAsia"/>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3" w:type="pct"/>
            <w:vMerge w:val="continue"/>
            <w:vAlign w:val="center"/>
          </w:tcPr>
          <w:p>
            <w:pPr>
              <w:pStyle w:val="39"/>
            </w:pPr>
          </w:p>
        </w:tc>
        <w:tc>
          <w:tcPr>
            <w:tcW w:w="690" w:type="pct"/>
            <w:vAlign w:val="center"/>
          </w:tcPr>
          <w:p>
            <w:pPr>
              <w:pStyle w:val="39"/>
            </w:pPr>
            <w:r>
              <w:rPr>
                <w:rFonts w:hint="eastAsia"/>
              </w:rPr>
              <w:t>夜间</w:t>
            </w:r>
          </w:p>
        </w:tc>
        <w:tc>
          <w:tcPr>
            <w:tcW w:w="746" w:type="pct"/>
            <w:vAlign w:val="center"/>
          </w:tcPr>
          <w:p>
            <w:pPr>
              <w:pStyle w:val="39"/>
              <w:rPr>
                <w:rFonts w:eastAsia="仿宋"/>
              </w:rPr>
            </w:pPr>
            <w:r>
              <w:rPr>
                <w:rFonts w:hint="eastAsia" w:eastAsia="仿宋"/>
              </w:rPr>
              <w:t>43</w:t>
            </w:r>
          </w:p>
        </w:tc>
        <w:tc>
          <w:tcPr>
            <w:tcW w:w="747" w:type="pct"/>
            <w:vAlign w:val="center"/>
          </w:tcPr>
          <w:p>
            <w:pPr>
              <w:pStyle w:val="39"/>
              <w:rPr>
                <w:rFonts w:eastAsia="仿宋"/>
              </w:rPr>
            </w:pPr>
            <w:r>
              <w:rPr>
                <w:rFonts w:hint="eastAsia" w:eastAsia="仿宋"/>
              </w:rPr>
              <w:t>44</w:t>
            </w:r>
          </w:p>
        </w:tc>
        <w:tc>
          <w:tcPr>
            <w:tcW w:w="1001" w:type="pct"/>
            <w:vAlign w:val="center"/>
          </w:tcPr>
          <w:p>
            <w:pPr>
              <w:pStyle w:val="39"/>
            </w:pPr>
            <w:r>
              <w:rPr>
                <w:rFonts w:hint="eastAsia"/>
              </w:rPr>
              <w:t>50</w:t>
            </w:r>
          </w:p>
        </w:tc>
        <w:tc>
          <w:tcPr>
            <w:tcW w:w="683" w:type="pct"/>
            <w:vAlign w:val="center"/>
          </w:tcPr>
          <w:p>
            <w:pPr>
              <w:pStyle w:val="39"/>
            </w:pPr>
            <w:r>
              <w:rPr>
                <w:rFonts w:hint="eastAsia"/>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3" w:type="pct"/>
            <w:vMerge w:val="restart"/>
            <w:vAlign w:val="center"/>
          </w:tcPr>
          <w:p>
            <w:pPr>
              <w:pStyle w:val="39"/>
            </w:pPr>
            <w:r>
              <w:rPr>
                <w:rFonts w:hint="eastAsia"/>
              </w:rPr>
              <w:t>N2场</w:t>
            </w:r>
            <w:r>
              <w:t>界</w:t>
            </w:r>
            <w:r>
              <w:rPr>
                <w:rFonts w:hint="eastAsia"/>
              </w:rPr>
              <w:t>南侧外1m</w:t>
            </w:r>
          </w:p>
        </w:tc>
        <w:tc>
          <w:tcPr>
            <w:tcW w:w="690" w:type="pct"/>
            <w:vAlign w:val="center"/>
          </w:tcPr>
          <w:p>
            <w:pPr>
              <w:pStyle w:val="39"/>
            </w:pPr>
            <w:r>
              <w:rPr>
                <w:rFonts w:hint="eastAsia"/>
              </w:rPr>
              <w:t>昼间</w:t>
            </w:r>
          </w:p>
        </w:tc>
        <w:tc>
          <w:tcPr>
            <w:tcW w:w="746" w:type="pct"/>
            <w:vAlign w:val="center"/>
          </w:tcPr>
          <w:p>
            <w:pPr>
              <w:pStyle w:val="39"/>
              <w:rPr>
                <w:rFonts w:eastAsia="仿宋"/>
              </w:rPr>
            </w:pPr>
            <w:r>
              <w:rPr>
                <w:rFonts w:hint="eastAsia" w:eastAsia="仿宋"/>
              </w:rPr>
              <w:t>53</w:t>
            </w:r>
          </w:p>
        </w:tc>
        <w:tc>
          <w:tcPr>
            <w:tcW w:w="747" w:type="pct"/>
            <w:vAlign w:val="center"/>
          </w:tcPr>
          <w:p>
            <w:pPr>
              <w:pStyle w:val="39"/>
              <w:rPr>
                <w:rFonts w:eastAsia="仿宋"/>
              </w:rPr>
            </w:pPr>
            <w:r>
              <w:rPr>
                <w:rFonts w:hint="eastAsia" w:eastAsia="仿宋"/>
              </w:rPr>
              <w:t>53</w:t>
            </w:r>
          </w:p>
        </w:tc>
        <w:tc>
          <w:tcPr>
            <w:tcW w:w="1001" w:type="pct"/>
            <w:vAlign w:val="center"/>
          </w:tcPr>
          <w:p>
            <w:pPr>
              <w:pStyle w:val="39"/>
            </w:pPr>
            <w:r>
              <w:rPr>
                <w:rFonts w:hint="eastAsia"/>
              </w:rPr>
              <w:t>60</w:t>
            </w:r>
          </w:p>
        </w:tc>
        <w:tc>
          <w:tcPr>
            <w:tcW w:w="683" w:type="pct"/>
            <w:vAlign w:val="center"/>
          </w:tcPr>
          <w:p>
            <w:pPr>
              <w:pStyle w:val="39"/>
            </w:pPr>
            <w:r>
              <w:rPr>
                <w:rFonts w:hint="eastAsia"/>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3" w:type="pct"/>
            <w:vMerge w:val="continue"/>
            <w:vAlign w:val="center"/>
          </w:tcPr>
          <w:p>
            <w:pPr>
              <w:pStyle w:val="39"/>
            </w:pPr>
          </w:p>
        </w:tc>
        <w:tc>
          <w:tcPr>
            <w:tcW w:w="690" w:type="pct"/>
            <w:vAlign w:val="center"/>
          </w:tcPr>
          <w:p>
            <w:pPr>
              <w:pStyle w:val="39"/>
            </w:pPr>
            <w:r>
              <w:rPr>
                <w:rFonts w:hint="eastAsia"/>
              </w:rPr>
              <w:t>夜间</w:t>
            </w:r>
          </w:p>
        </w:tc>
        <w:tc>
          <w:tcPr>
            <w:tcW w:w="746" w:type="pct"/>
            <w:vAlign w:val="center"/>
          </w:tcPr>
          <w:p>
            <w:pPr>
              <w:pStyle w:val="39"/>
              <w:rPr>
                <w:rFonts w:eastAsia="仿宋"/>
              </w:rPr>
            </w:pPr>
            <w:r>
              <w:rPr>
                <w:rFonts w:hint="eastAsia" w:eastAsia="仿宋"/>
              </w:rPr>
              <w:t>42</w:t>
            </w:r>
          </w:p>
        </w:tc>
        <w:tc>
          <w:tcPr>
            <w:tcW w:w="747" w:type="pct"/>
            <w:vAlign w:val="center"/>
          </w:tcPr>
          <w:p>
            <w:pPr>
              <w:pStyle w:val="39"/>
              <w:rPr>
                <w:rFonts w:eastAsia="仿宋"/>
              </w:rPr>
            </w:pPr>
            <w:r>
              <w:rPr>
                <w:rFonts w:hint="eastAsia" w:eastAsia="仿宋"/>
              </w:rPr>
              <w:t>43</w:t>
            </w:r>
          </w:p>
        </w:tc>
        <w:tc>
          <w:tcPr>
            <w:tcW w:w="1001" w:type="pct"/>
            <w:vAlign w:val="center"/>
          </w:tcPr>
          <w:p>
            <w:pPr>
              <w:pStyle w:val="39"/>
            </w:pPr>
            <w:r>
              <w:rPr>
                <w:rFonts w:hint="eastAsia"/>
              </w:rPr>
              <w:t>50</w:t>
            </w:r>
          </w:p>
        </w:tc>
        <w:tc>
          <w:tcPr>
            <w:tcW w:w="683" w:type="pct"/>
            <w:vAlign w:val="center"/>
          </w:tcPr>
          <w:p>
            <w:pPr>
              <w:pStyle w:val="39"/>
            </w:pPr>
            <w:r>
              <w:rPr>
                <w:rFonts w:hint="eastAsia"/>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3" w:type="pct"/>
            <w:vMerge w:val="restart"/>
            <w:vAlign w:val="center"/>
          </w:tcPr>
          <w:p>
            <w:pPr>
              <w:pStyle w:val="39"/>
            </w:pPr>
            <w:r>
              <w:rPr>
                <w:rFonts w:hint="eastAsia"/>
              </w:rPr>
              <w:t>N3场</w:t>
            </w:r>
            <w:r>
              <w:t>界</w:t>
            </w:r>
            <w:r>
              <w:rPr>
                <w:rFonts w:hint="eastAsia"/>
              </w:rPr>
              <w:t>西侧外1m</w:t>
            </w:r>
          </w:p>
        </w:tc>
        <w:tc>
          <w:tcPr>
            <w:tcW w:w="690" w:type="pct"/>
            <w:vAlign w:val="center"/>
          </w:tcPr>
          <w:p>
            <w:pPr>
              <w:pStyle w:val="39"/>
            </w:pPr>
            <w:r>
              <w:rPr>
                <w:rFonts w:hint="eastAsia"/>
              </w:rPr>
              <w:t>昼间</w:t>
            </w:r>
          </w:p>
        </w:tc>
        <w:tc>
          <w:tcPr>
            <w:tcW w:w="746" w:type="pct"/>
            <w:vAlign w:val="center"/>
          </w:tcPr>
          <w:p>
            <w:pPr>
              <w:pStyle w:val="39"/>
              <w:rPr>
                <w:rFonts w:eastAsia="仿宋"/>
              </w:rPr>
            </w:pPr>
            <w:r>
              <w:rPr>
                <w:rFonts w:hint="eastAsia" w:eastAsia="仿宋"/>
              </w:rPr>
              <w:t>52</w:t>
            </w:r>
          </w:p>
        </w:tc>
        <w:tc>
          <w:tcPr>
            <w:tcW w:w="747" w:type="pct"/>
            <w:vAlign w:val="center"/>
          </w:tcPr>
          <w:p>
            <w:pPr>
              <w:pStyle w:val="39"/>
              <w:rPr>
                <w:rFonts w:eastAsia="仿宋"/>
              </w:rPr>
            </w:pPr>
            <w:r>
              <w:rPr>
                <w:rFonts w:hint="eastAsia" w:eastAsia="仿宋"/>
              </w:rPr>
              <w:t>53</w:t>
            </w:r>
          </w:p>
        </w:tc>
        <w:tc>
          <w:tcPr>
            <w:tcW w:w="1001" w:type="pct"/>
            <w:vAlign w:val="center"/>
          </w:tcPr>
          <w:p>
            <w:pPr>
              <w:pStyle w:val="39"/>
            </w:pPr>
            <w:r>
              <w:rPr>
                <w:rFonts w:hint="eastAsia"/>
              </w:rPr>
              <w:t>60</w:t>
            </w:r>
          </w:p>
        </w:tc>
        <w:tc>
          <w:tcPr>
            <w:tcW w:w="683" w:type="pct"/>
            <w:vAlign w:val="center"/>
          </w:tcPr>
          <w:p>
            <w:pPr>
              <w:pStyle w:val="39"/>
            </w:pPr>
            <w:r>
              <w:rPr>
                <w:rFonts w:hint="eastAsia"/>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3" w:type="pct"/>
            <w:vMerge w:val="continue"/>
            <w:vAlign w:val="center"/>
          </w:tcPr>
          <w:p>
            <w:pPr>
              <w:pStyle w:val="39"/>
            </w:pPr>
          </w:p>
        </w:tc>
        <w:tc>
          <w:tcPr>
            <w:tcW w:w="690" w:type="pct"/>
            <w:vAlign w:val="center"/>
          </w:tcPr>
          <w:p>
            <w:pPr>
              <w:pStyle w:val="39"/>
            </w:pPr>
            <w:r>
              <w:rPr>
                <w:rFonts w:hint="eastAsia"/>
              </w:rPr>
              <w:t>夜间</w:t>
            </w:r>
          </w:p>
        </w:tc>
        <w:tc>
          <w:tcPr>
            <w:tcW w:w="746" w:type="pct"/>
            <w:vAlign w:val="center"/>
          </w:tcPr>
          <w:p>
            <w:pPr>
              <w:pStyle w:val="39"/>
              <w:rPr>
                <w:rFonts w:eastAsia="仿宋"/>
              </w:rPr>
            </w:pPr>
            <w:r>
              <w:rPr>
                <w:rFonts w:hint="eastAsia" w:eastAsia="仿宋"/>
              </w:rPr>
              <w:t>41</w:t>
            </w:r>
          </w:p>
        </w:tc>
        <w:tc>
          <w:tcPr>
            <w:tcW w:w="747" w:type="pct"/>
            <w:vAlign w:val="center"/>
          </w:tcPr>
          <w:p>
            <w:pPr>
              <w:pStyle w:val="39"/>
              <w:rPr>
                <w:rFonts w:eastAsia="仿宋"/>
              </w:rPr>
            </w:pPr>
            <w:r>
              <w:rPr>
                <w:rFonts w:hint="eastAsia" w:eastAsia="仿宋"/>
              </w:rPr>
              <w:t>42</w:t>
            </w:r>
          </w:p>
        </w:tc>
        <w:tc>
          <w:tcPr>
            <w:tcW w:w="1001" w:type="pct"/>
            <w:vAlign w:val="center"/>
          </w:tcPr>
          <w:p>
            <w:pPr>
              <w:pStyle w:val="39"/>
            </w:pPr>
            <w:r>
              <w:rPr>
                <w:rFonts w:hint="eastAsia"/>
              </w:rPr>
              <w:t>50</w:t>
            </w:r>
          </w:p>
        </w:tc>
        <w:tc>
          <w:tcPr>
            <w:tcW w:w="683" w:type="pct"/>
            <w:vAlign w:val="center"/>
          </w:tcPr>
          <w:p>
            <w:pPr>
              <w:pStyle w:val="39"/>
            </w:pPr>
            <w:r>
              <w:rPr>
                <w:rFonts w:hint="eastAsia"/>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3" w:type="pct"/>
            <w:vMerge w:val="restart"/>
            <w:vAlign w:val="center"/>
          </w:tcPr>
          <w:p>
            <w:pPr>
              <w:pStyle w:val="39"/>
            </w:pPr>
            <w:r>
              <w:rPr>
                <w:rFonts w:hint="eastAsia"/>
              </w:rPr>
              <w:t>N4场</w:t>
            </w:r>
            <w:r>
              <w:t>界</w:t>
            </w:r>
            <w:r>
              <w:rPr>
                <w:rFonts w:hint="eastAsia"/>
              </w:rPr>
              <w:t>北侧外1m</w:t>
            </w:r>
          </w:p>
        </w:tc>
        <w:tc>
          <w:tcPr>
            <w:tcW w:w="690" w:type="pct"/>
            <w:vAlign w:val="center"/>
          </w:tcPr>
          <w:p>
            <w:pPr>
              <w:pStyle w:val="39"/>
            </w:pPr>
            <w:r>
              <w:rPr>
                <w:rFonts w:hint="eastAsia"/>
              </w:rPr>
              <w:t>昼间</w:t>
            </w:r>
          </w:p>
        </w:tc>
        <w:tc>
          <w:tcPr>
            <w:tcW w:w="746" w:type="pct"/>
            <w:vAlign w:val="center"/>
          </w:tcPr>
          <w:p>
            <w:pPr>
              <w:pStyle w:val="39"/>
              <w:rPr>
                <w:rFonts w:eastAsia="仿宋"/>
              </w:rPr>
            </w:pPr>
            <w:r>
              <w:rPr>
                <w:rFonts w:hint="eastAsia" w:eastAsia="仿宋"/>
              </w:rPr>
              <w:t>52</w:t>
            </w:r>
          </w:p>
        </w:tc>
        <w:tc>
          <w:tcPr>
            <w:tcW w:w="747" w:type="pct"/>
            <w:vAlign w:val="center"/>
          </w:tcPr>
          <w:p>
            <w:pPr>
              <w:pStyle w:val="39"/>
              <w:rPr>
                <w:rFonts w:eastAsia="仿宋"/>
              </w:rPr>
            </w:pPr>
            <w:r>
              <w:rPr>
                <w:rFonts w:hint="eastAsia" w:eastAsia="仿宋"/>
              </w:rPr>
              <w:t>52</w:t>
            </w:r>
          </w:p>
        </w:tc>
        <w:tc>
          <w:tcPr>
            <w:tcW w:w="1001" w:type="pct"/>
            <w:vAlign w:val="center"/>
          </w:tcPr>
          <w:p>
            <w:pPr>
              <w:pStyle w:val="39"/>
            </w:pPr>
            <w:r>
              <w:rPr>
                <w:rFonts w:hint="eastAsia"/>
              </w:rPr>
              <w:t>60</w:t>
            </w:r>
          </w:p>
        </w:tc>
        <w:tc>
          <w:tcPr>
            <w:tcW w:w="683" w:type="pct"/>
            <w:vAlign w:val="center"/>
          </w:tcPr>
          <w:p>
            <w:pPr>
              <w:pStyle w:val="39"/>
            </w:pPr>
            <w:r>
              <w:rPr>
                <w:rFonts w:hint="eastAsia"/>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3" w:type="pct"/>
            <w:vMerge w:val="continue"/>
            <w:vAlign w:val="center"/>
          </w:tcPr>
          <w:p>
            <w:pPr>
              <w:pStyle w:val="39"/>
            </w:pPr>
          </w:p>
        </w:tc>
        <w:tc>
          <w:tcPr>
            <w:tcW w:w="690" w:type="pct"/>
            <w:vAlign w:val="center"/>
          </w:tcPr>
          <w:p>
            <w:pPr>
              <w:pStyle w:val="39"/>
            </w:pPr>
            <w:r>
              <w:rPr>
                <w:rFonts w:hint="eastAsia"/>
              </w:rPr>
              <w:t>夜间</w:t>
            </w:r>
          </w:p>
        </w:tc>
        <w:tc>
          <w:tcPr>
            <w:tcW w:w="746" w:type="pct"/>
            <w:vAlign w:val="center"/>
          </w:tcPr>
          <w:p>
            <w:pPr>
              <w:pStyle w:val="39"/>
              <w:rPr>
                <w:rFonts w:eastAsia="仿宋"/>
              </w:rPr>
            </w:pPr>
            <w:r>
              <w:rPr>
                <w:rFonts w:hint="eastAsia" w:eastAsia="仿宋"/>
              </w:rPr>
              <w:t>43</w:t>
            </w:r>
          </w:p>
        </w:tc>
        <w:tc>
          <w:tcPr>
            <w:tcW w:w="747" w:type="pct"/>
            <w:vAlign w:val="center"/>
          </w:tcPr>
          <w:p>
            <w:pPr>
              <w:pStyle w:val="39"/>
              <w:rPr>
                <w:rFonts w:eastAsia="仿宋"/>
              </w:rPr>
            </w:pPr>
            <w:r>
              <w:rPr>
                <w:rFonts w:hint="eastAsia" w:eastAsia="仿宋"/>
              </w:rPr>
              <w:t>42</w:t>
            </w:r>
          </w:p>
        </w:tc>
        <w:tc>
          <w:tcPr>
            <w:tcW w:w="1001" w:type="pct"/>
            <w:vAlign w:val="center"/>
          </w:tcPr>
          <w:p>
            <w:pPr>
              <w:pStyle w:val="39"/>
            </w:pPr>
            <w:r>
              <w:rPr>
                <w:rFonts w:hint="eastAsia"/>
              </w:rPr>
              <w:t>50</w:t>
            </w:r>
          </w:p>
        </w:tc>
        <w:tc>
          <w:tcPr>
            <w:tcW w:w="683" w:type="pct"/>
            <w:vAlign w:val="center"/>
          </w:tcPr>
          <w:p>
            <w:pPr>
              <w:pStyle w:val="39"/>
            </w:pPr>
            <w:r>
              <w:rPr>
                <w:rFonts w:hint="eastAsia"/>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3" w:type="pct"/>
            <w:vMerge w:val="restart"/>
            <w:vAlign w:val="center"/>
          </w:tcPr>
          <w:p>
            <w:pPr>
              <w:pStyle w:val="39"/>
            </w:pPr>
            <w:r>
              <w:rPr>
                <w:rFonts w:hint="eastAsia"/>
              </w:rPr>
              <w:t>N5</w:t>
            </w:r>
            <w:r>
              <w:t>厂界西南55m散户居民点</w:t>
            </w:r>
          </w:p>
        </w:tc>
        <w:tc>
          <w:tcPr>
            <w:tcW w:w="690" w:type="pct"/>
            <w:vAlign w:val="center"/>
          </w:tcPr>
          <w:p>
            <w:pPr>
              <w:pStyle w:val="39"/>
            </w:pPr>
            <w:r>
              <w:rPr>
                <w:rFonts w:hint="eastAsia"/>
              </w:rPr>
              <w:t>昼间</w:t>
            </w:r>
          </w:p>
        </w:tc>
        <w:tc>
          <w:tcPr>
            <w:tcW w:w="746" w:type="pct"/>
            <w:vAlign w:val="center"/>
          </w:tcPr>
          <w:p>
            <w:pPr>
              <w:pStyle w:val="39"/>
              <w:rPr>
                <w:rFonts w:eastAsia="仿宋"/>
              </w:rPr>
            </w:pPr>
            <w:r>
              <w:rPr>
                <w:rFonts w:hint="eastAsia" w:eastAsia="仿宋"/>
              </w:rPr>
              <w:t>50</w:t>
            </w:r>
          </w:p>
        </w:tc>
        <w:tc>
          <w:tcPr>
            <w:tcW w:w="747" w:type="pct"/>
            <w:vAlign w:val="center"/>
          </w:tcPr>
          <w:p>
            <w:pPr>
              <w:pStyle w:val="39"/>
              <w:rPr>
                <w:rFonts w:eastAsia="仿宋"/>
              </w:rPr>
            </w:pPr>
            <w:r>
              <w:rPr>
                <w:rFonts w:hint="eastAsia" w:eastAsia="仿宋"/>
              </w:rPr>
              <w:t>51</w:t>
            </w:r>
          </w:p>
        </w:tc>
        <w:tc>
          <w:tcPr>
            <w:tcW w:w="1001" w:type="pct"/>
            <w:vAlign w:val="center"/>
          </w:tcPr>
          <w:p>
            <w:pPr>
              <w:pStyle w:val="39"/>
            </w:pPr>
            <w:r>
              <w:rPr>
                <w:rFonts w:hint="eastAsia"/>
              </w:rPr>
              <w:t>60</w:t>
            </w:r>
          </w:p>
        </w:tc>
        <w:tc>
          <w:tcPr>
            <w:tcW w:w="683" w:type="pct"/>
            <w:vAlign w:val="center"/>
          </w:tcPr>
          <w:p>
            <w:pPr>
              <w:pStyle w:val="39"/>
            </w:pPr>
            <w:r>
              <w:rPr>
                <w:rFonts w:hint="eastAsia"/>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3" w:type="pct"/>
            <w:vMerge w:val="continue"/>
            <w:vAlign w:val="center"/>
          </w:tcPr>
          <w:p>
            <w:pPr>
              <w:pStyle w:val="39"/>
            </w:pPr>
          </w:p>
        </w:tc>
        <w:tc>
          <w:tcPr>
            <w:tcW w:w="690" w:type="pct"/>
            <w:vAlign w:val="center"/>
          </w:tcPr>
          <w:p>
            <w:pPr>
              <w:pStyle w:val="39"/>
            </w:pPr>
            <w:r>
              <w:rPr>
                <w:rFonts w:hint="eastAsia"/>
              </w:rPr>
              <w:t>夜间</w:t>
            </w:r>
          </w:p>
        </w:tc>
        <w:tc>
          <w:tcPr>
            <w:tcW w:w="746" w:type="pct"/>
            <w:vAlign w:val="center"/>
          </w:tcPr>
          <w:p>
            <w:pPr>
              <w:pStyle w:val="39"/>
              <w:rPr>
                <w:rFonts w:eastAsia="仿宋"/>
              </w:rPr>
            </w:pPr>
            <w:r>
              <w:rPr>
                <w:rFonts w:hint="eastAsia" w:eastAsia="仿宋"/>
              </w:rPr>
              <w:t>41</w:t>
            </w:r>
          </w:p>
        </w:tc>
        <w:tc>
          <w:tcPr>
            <w:tcW w:w="747" w:type="pct"/>
            <w:vAlign w:val="center"/>
          </w:tcPr>
          <w:p>
            <w:pPr>
              <w:pStyle w:val="39"/>
              <w:rPr>
                <w:rFonts w:eastAsia="仿宋"/>
              </w:rPr>
            </w:pPr>
            <w:r>
              <w:rPr>
                <w:rFonts w:hint="eastAsia" w:eastAsia="仿宋"/>
              </w:rPr>
              <w:t>42</w:t>
            </w:r>
          </w:p>
        </w:tc>
        <w:tc>
          <w:tcPr>
            <w:tcW w:w="1001" w:type="pct"/>
            <w:vAlign w:val="center"/>
          </w:tcPr>
          <w:p>
            <w:pPr>
              <w:pStyle w:val="39"/>
            </w:pPr>
            <w:r>
              <w:rPr>
                <w:rFonts w:hint="eastAsia"/>
              </w:rPr>
              <w:t>50</w:t>
            </w:r>
          </w:p>
        </w:tc>
        <w:tc>
          <w:tcPr>
            <w:tcW w:w="683" w:type="pct"/>
            <w:vAlign w:val="center"/>
          </w:tcPr>
          <w:p>
            <w:pPr>
              <w:pStyle w:val="39"/>
            </w:pPr>
            <w:r>
              <w:rPr>
                <w:rFonts w:hint="eastAsia"/>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3" w:type="pct"/>
            <w:vMerge w:val="restart"/>
            <w:vAlign w:val="center"/>
          </w:tcPr>
          <w:p>
            <w:pPr>
              <w:pStyle w:val="39"/>
            </w:pPr>
            <w:r>
              <w:rPr>
                <w:rFonts w:hint="eastAsia"/>
              </w:rPr>
              <w:t>N6</w:t>
            </w:r>
            <w:r>
              <w:t>厂界东南80m散户居</w:t>
            </w:r>
            <w:r>
              <w:rPr>
                <w:rFonts w:hint="eastAsia"/>
              </w:rPr>
              <w:t>民</w:t>
            </w:r>
            <w:r>
              <w:t>点</w:t>
            </w:r>
          </w:p>
        </w:tc>
        <w:tc>
          <w:tcPr>
            <w:tcW w:w="690" w:type="pct"/>
            <w:vAlign w:val="center"/>
          </w:tcPr>
          <w:p>
            <w:pPr>
              <w:pStyle w:val="39"/>
            </w:pPr>
            <w:r>
              <w:rPr>
                <w:rFonts w:hint="eastAsia"/>
              </w:rPr>
              <w:t>昼间</w:t>
            </w:r>
          </w:p>
        </w:tc>
        <w:tc>
          <w:tcPr>
            <w:tcW w:w="746" w:type="pct"/>
            <w:vAlign w:val="center"/>
          </w:tcPr>
          <w:p>
            <w:pPr>
              <w:pStyle w:val="39"/>
              <w:rPr>
                <w:rFonts w:eastAsia="仿宋"/>
              </w:rPr>
            </w:pPr>
            <w:r>
              <w:rPr>
                <w:rFonts w:hint="eastAsia" w:eastAsia="仿宋"/>
              </w:rPr>
              <w:t>51</w:t>
            </w:r>
          </w:p>
        </w:tc>
        <w:tc>
          <w:tcPr>
            <w:tcW w:w="747" w:type="pct"/>
            <w:vAlign w:val="center"/>
          </w:tcPr>
          <w:p>
            <w:pPr>
              <w:pStyle w:val="39"/>
              <w:rPr>
                <w:rFonts w:eastAsia="仿宋"/>
              </w:rPr>
            </w:pPr>
            <w:r>
              <w:rPr>
                <w:rFonts w:hint="eastAsia" w:eastAsia="仿宋"/>
              </w:rPr>
              <w:t>51</w:t>
            </w:r>
          </w:p>
        </w:tc>
        <w:tc>
          <w:tcPr>
            <w:tcW w:w="1001" w:type="pct"/>
            <w:vAlign w:val="center"/>
          </w:tcPr>
          <w:p>
            <w:pPr>
              <w:pStyle w:val="39"/>
            </w:pPr>
            <w:r>
              <w:rPr>
                <w:rFonts w:hint="eastAsia"/>
              </w:rPr>
              <w:t>60</w:t>
            </w:r>
          </w:p>
        </w:tc>
        <w:tc>
          <w:tcPr>
            <w:tcW w:w="683" w:type="pct"/>
            <w:vAlign w:val="center"/>
          </w:tcPr>
          <w:p>
            <w:pPr>
              <w:pStyle w:val="39"/>
            </w:pPr>
            <w:r>
              <w:rPr>
                <w:rFonts w:hint="eastAsia"/>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3" w:type="pct"/>
            <w:vMerge w:val="continue"/>
            <w:vAlign w:val="center"/>
          </w:tcPr>
          <w:p>
            <w:pPr>
              <w:pStyle w:val="39"/>
            </w:pPr>
          </w:p>
        </w:tc>
        <w:tc>
          <w:tcPr>
            <w:tcW w:w="690" w:type="pct"/>
            <w:vAlign w:val="center"/>
          </w:tcPr>
          <w:p>
            <w:pPr>
              <w:pStyle w:val="39"/>
            </w:pPr>
            <w:r>
              <w:rPr>
                <w:rFonts w:hint="eastAsia"/>
              </w:rPr>
              <w:t>夜间</w:t>
            </w:r>
          </w:p>
        </w:tc>
        <w:tc>
          <w:tcPr>
            <w:tcW w:w="746" w:type="pct"/>
            <w:vAlign w:val="center"/>
          </w:tcPr>
          <w:p>
            <w:pPr>
              <w:pStyle w:val="39"/>
              <w:rPr>
                <w:rFonts w:eastAsia="仿宋"/>
              </w:rPr>
            </w:pPr>
            <w:r>
              <w:rPr>
                <w:rFonts w:hint="eastAsia" w:eastAsia="仿宋"/>
              </w:rPr>
              <w:t>40</w:t>
            </w:r>
          </w:p>
        </w:tc>
        <w:tc>
          <w:tcPr>
            <w:tcW w:w="747" w:type="pct"/>
            <w:vAlign w:val="center"/>
          </w:tcPr>
          <w:p>
            <w:pPr>
              <w:pStyle w:val="39"/>
              <w:rPr>
                <w:rFonts w:eastAsia="仿宋"/>
              </w:rPr>
            </w:pPr>
            <w:r>
              <w:rPr>
                <w:rFonts w:hint="eastAsia" w:eastAsia="仿宋"/>
              </w:rPr>
              <w:t>42</w:t>
            </w:r>
          </w:p>
        </w:tc>
        <w:tc>
          <w:tcPr>
            <w:tcW w:w="1001" w:type="pct"/>
            <w:vAlign w:val="center"/>
          </w:tcPr>
          <w:p>
            <w:pPr>
              <w:pStyle w:val="39"/>
            </w:pPr>
            <w:r>
              <w:rPr>
                <w:rFonts w:hint="eastAsia"/>
              </w:rPr>
              <w:t>50</w:t>
            </w:r>
          </w:p>
        </w:tc>
        <w:tc>
          <w:tcPr>
            <w:tcW w:w="683" w:type="pct"/>
            <w:vAlign w:val="center"/>
          </w:tcPr>
          <w:p>
            <w:pPr>
              <w:pStyle w:val="39"/>
            </w:pPr>
            <w:r>
              <w:rPr>
                <w:rFonts w:hint="eastAsia"/>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3" w:type="pct"/>
            <w:vMerge w:val="restart"/>
            <w:vAlign w:val="center"/>
          </w:tcPr>
          <w:p>
            <w:pPr>
              <w:pStyle w:val="39"/>
            </w:pPr>
            <w:r>
              <w:rPr>
                <w:rFonts w:hint="eastAsia"/>
              </w:rPr>
              <w:t>N7</w:t>
            </w:r>
            <w:r>
              <w:t>厂界东北110m散户居民点</w:t>
            </w:r>
          </w:p>
        </w:tc>
        <w:tc>
          <w:tcPr>
            <w:tcW w:w="690" w:type="pct"/>
            <w:vAlign w:val="center"/>
          </w:tcPr>
          <w:p>
            <w:pPr>
              <w:pStyle w:val="39"/>
            </w:pPr>
            <w:r>
              <w:rPr>
                <w:rFonts w:hint="eastAsia"/>
              </w:rPr>
              <w:t>昼间</w:t>
            </w:r>
          </w:p>
        </w:tc>
        <w:tc>
          <w:tcPr>
            <w:tcW w:w="746" w:type="pct"/>
            <w:vAlign w:val="center"/>
          </w:tcPr>
          <w:p>
            <w:pPr>
              <w:pStyle w:val="39"/>
              <w:rPr>
                <w:rFonts w:eastAsia="仿宋"/>
              </w:rPr>
            </w:pPr>
            <w:r>
              <w:rPr>
                <w:rFonts w:hint="eastAsia" w:eastAsia="仿宋"/>
              </w:rPr>
              <w:t>52</w:t>
            </w:r>
          </w:p>
        </w:tc>
        <w:tc>
          <w:tcPr>
            <w:tcW w:w="747" w:type="pct"/>
            <w:vAlign w:val="center"/>
          </w:tcPr>
          <w:p>
            <w:pPr>
              <w:pStyle w:val="39"/>
              <w:rPr>
                <w:rFonts w:eastAsia="仿宋"/>
              </w:rPr>
            </w:pPr>
            <w:r>
              <w:rPr>
                <w:rFonts w:hint="eastAsia" w:eastAsia="仿宋"/>
              </w:rPr>
              <w:t>49</w:t>
            </w:r>
          </w:p>
        </w:tc>
        <w:tc>
          <w:tcPr>
            <w:tcW w:w="1001" w:type="pct"/>
            <w:vAlign w:val="center"/>
          </w:tcPr>
          <w:p>
            <w:pPr>
              <w:pStyle w:val="39"/>
            </w:pPr>
            <w:r>
              <w:rPr>
                <w:rFonts w:hint="eastAsia"/>
              </w:rPr>
              <w:t>60</w:t>
            </w:r>
          </w:p>
        </w:tc>
        <w:tc>
          <w:tcPr>
            <w:tcW w:w="683" w:type="pct"/>
            <w:vAlign w:val="center"/>
          </w:tcPr>
          <w:p>
            <w:pPr>
              <w:pStyle w:val="39"/>
            </w:pPr>
            <w:r>
              <w:rPr>
                <w:rFonts w:hint="eastAsia"/>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3" w:type="pct"/>
            <w:vMerge w:val="continue"/>
            <w:vAlign w:val="center"/>
          </w:tcPr>
          <w:p>
            <w:pPr>
              <w:pStyle w:val="39"/>
            </w:pPr>
          </w:p>
        </w:tc>
        <w:tc>
          <w:tcPr>
            <w:tcW w:w="690" w:type="pct"/>
            <w:vAlign w:val="center"/>
          </w:tcPr>
          <w:p>
            <w:pPr>
              <w:pStyle w:val="39"/>
            </w:pPr>
            <w:r>
              <w:rPr>
                <w:rFonts w:hint="eastAsia"/>
              </w:rPr>
              <w:t>夜间</w:t>
            </w:r>
          </w:p>
        </w:tc>
        <w:tc>
          <w:tcPr>
            <w:tcW w:w="746" w:type="pct"/>
            <w:vAlign w:val="center"/>
          </w:tcPr>
          <w:p>
            <w:pPr>
              <w:pStyle w:val="39"/>
              <w:rPr>
                <w:rFonts w:eastAsia="仿宋"/>
              </w:rPr>
            </w:pPr>
            <w:r>
              <w:rPr>
                <w:rFonts w:hint="eastAsia" w:eastAsia="仿宋"/>
              </w:rPr>
              <w:t>41</w:t>
            </w:r>
          </w:p>
        </w:tc>
        <w:tc>
          <w:tcPr>
            <w:tcW w:w="747" w:type="pct"/>
            <w:vAlign w:val="center"/>
          </w:tcPr>
          <w:p>
            <w:pPr>
              <w:pStyle w:val="39"/>
              <w:rPr>
                <w:rFonts w:eastAsia="仿宋"/>
              </w:rPr>
            </w:pPr>
            <w:r>
              <w:rPr>
                <w:rFonts w:hint="eastAsia" w:eastAsia="仿宋"/>
              </w:rPr>
              <w:t>40</w:t>
            </w:r>
          </w:p>
        </w:tc>
        <w:tc>
          <w:tcPr>
            <w:tcW w:w="1001" w:type="pct"/>
            <w:vAlign w:val="center"/>
          </w:tcPr>
          <w:p>
            <w:pPr>
              <w:pStyle w:val="39"/>
            </w:pPr>
            <w:r>
              <w:rPr>
                <w:rFonts w:hint="eastAsia"/>
              </w:rPr>
              <w:t>50</w:t>
            </w:r>
          </w:p>
        </w:tc>
        <w:tc>
          <w:tcPr>
            <w:tcW w:w="683" w:type="pct"/>
            <w:vAlign w:val="center"/>
          </w:tcPr>
          <w:p>
            <w:pPr>
              <w:pStyle w:val="39"/>
            </w:pPr>
            <w:r>
              <w:rPr>
                <w:rFonts w:hint="eastAsia"/>
              </w:rPr>
              <w:t>达标</w:t>
            </w:r>
          </w:p>
        </w:tc>
      </w:tr>
    </w:tbl>
    <w:p>
      <w:pPr>
        <w:pStyle w:val="3"/>
        <w:ind w:firstLine="472"/>
        <w:rPr>
          <w:spacing w:val="-2"/>
        </w:rPr>
      </w:pPr>
    </w:p>
    <w:p>
      <w:pPr>
        <w:pStyle w:val="3"/>
        <w:ind w:firstLine="472"/>
      </w:pPr>
      <w:r>
        <w:rPr>
          <w:rFonts w:hint="eastAsia"/>
          <w:spacing w:val="-2"/>
        </w:rPr>
        <w:t>根据监测结果，区域声环境质量</w:t>
      </w:r>
      <w:r>
        <w:rPr>
          <w:rFonts w:hint="eastAsia"/>
        </w:rPr>
        <w:t>能够达到《声环境质量标准》（GB3096-2008）2类标准要求，声环境质量较好。</w:t>
      </w:r>
    </w:p>
    <w:p>
      <w:pPr>
        <w:pStyle w:val="6"/>
      </w:pPr>
      <w:r>
        <w:rPr>
          <w:rFonts w:hint="eastAsia"/>
        </w:rPr>
        <w:t>土壤</w:t>
      </w:r>
      <w:r>
        <w:t>环境的现状</w:t>
      </w:r>
      <w:r>
        <w:rPr>
          <w:rFonts w:hint="eastAsia"/>
        </w:rPr>
        <w:t>调查</w:t>
      </w:r>
      <w:r>
        <w:t>与评价</w:t>
      </w:r>
    </w:p>
    <w:p>
      <w:pPr>
        <w:pStyle w:val="3"/>
        <w:ind w:firstLine="480"/>
      </w:pPr>
      <w:r>
        <w:t>（1）监测点位布设：</w:t>
      </w:r>
    </w:p>
    <w:p>
      <w:pPr>
        <w:pStyle w:val="3"/>
        <w:ind w:firstLine="480"/>
      </w:pPr>
      <w:r>
        <w:rPr>
          <w:rFonts w:hint="eastAsia"/>
        </w:rPr>
        <w:t>T1：</w:t>
      </w:r>
      <w:r>
        <w:rPr>
          <w:rFonts w:hint="eastAsia"/>
          <w:szCs w:val="24"/>
        </w:rPr>
        <w:t>厂址中心</w:t>
      </w:r>
      <w:r>
        <w:rPr>
          <w:rFonts w:hint="eastAsia"/>
        </w:rPr>
        <w:t>；</w:t>
      </w:r>
    </w:p>
    <w:p>
      <w:pPr>
        <w:pStyle w:val="3"/>
        <w:ind w:firstLine="480"/>
      </w:pPr>
      <w:r>
        <w:rPr>
          <w:rFonts w:hint="eastAsia"/>
        </w:rPr>
        <w:t>T2：厂址内东北角；</w:t>
      </w:r>
    </w:p>
    <w:p>
      <w:pPr>
        <w:pStyle w:val="3"/>
        <w:ind w:firstLine="480"/>
      </w:pPr>
      <w:r>
        <w:rPr>
          <w:rFonts w:hint="eastAsia"/>
        </w:rPr>
        <w:t>T3：厂址内西南角；</w:t>
      </w:r>
      <w:r>
        <w:t>监测</w:t>
      </w:r>
      <w:r>
        <w:rPr>
          <w:rFonts w:hint="eastAsia"/>
        </w:rPr>
        <w:t>点位</w:t>
      </w:r>
      <w:r>
        <w:t>具体位置详见附图</w:t>
      </w:r>
      <w:r>
        <w:rPr>
          <w:rFonts w:hint="eastAsia"/>
        </w:rPr>
        <w:t>。</w:t>
      </w:r>
    </w:p>
    <w:p>
      <w:pPr>
        <w:pStyle w:val="3"/>
        <w:ind w:firstLine="480"/>
      </w:pPr>
      <w:r>
        <w:t>（2）</w:t>
      </w:r>
      <w:r>
        <w:rPr>
          <w:spacing w:val="-2"/>
        </w:rPr>
        <w:t>监测因子：</w:t>
      </w:r>
      <w:r>
        <w:rPr>
          <w:rFonts w:hint="eastAsia"/>
          <w:spacing w:val="-2"/>
        </w:rPr>
        <w:t>T1监测45项</w:t>
      </w:r>
      <w:r>
        <w:rPr>
          <w:spacing w:val="-2"/>
        </w:rPr>
        <w:t>基本因子</w:t>
      </w:r>
      <w:r>
        <w:rPr>
          <w:rFonts w:hint="eastAsia"/>
          <w:spacing w:val="-2"/>
        </w:rPr>
        <w:t>；T2、T3监测</w:t>
      </w:r>
      <w:r>
        <w:t>pH、As、Cr、Cd、Cu、Pb、Hg、Ni</w:t>
      </w:r>
      <w:r>
        <w:rPr>
          <w:rFonts w:hint="eastAsia"/>
        </w:rPr>
        <w:t>共8项</w:t>
      </w:r>
      <w:r>
        <w:rPr>
          <w:spacing w:val="-2"/>
        </w:rPr>
        <w:t>；</w:t>
      </w:r>
    </w:p>
    <w:p>
      <w:pPr>
        <w:pStyle w:val="3"/>
        <w:ind w:firstLine="472"/>
      </w:pPr>
      <w:r>
        <w:rPr>
          <w:spacing w:val="-2"/>
        </w:rPr>
        <w:t>（3）监测时间与频次：</w:t>
      </w:r>
      <w:r>
        <w:rPr>
          <w:rFonts w:hint="eastAsia"/>
          <w:spacing w:val="-2"/>
        </w:rPr>
        <w:t>20</w:t>
      </w:r>
      <w:r>
        <w:rPr>
          <w:spacing w:val="-2"/>
        </w:rPr>
        <w:t>2</w:t>
      </w:r>
      <w:r>
        <w:rPr>
          <w:rFonts w:hint="eastAsia"/>
          <w:spacing w:val="-2"/>
        </w:rPr>
        <w:t>1年6月</w:t>
      </w:r>
      <w:r>
        <w:rPr>
          <w:spacing w:val="-2"/>
        </w:rPr>
        <w:t>1</w:t>
      </w:r>
      <w:r>
        <w:rPr>
          <w:rFonts w:hint="eastAsia"/>
          <w:spacing w:val="-2"/>
        </w:rPr>
        <w:t>日</w:t>
      </w:r>
      <w:r>
        <w:t>监测</w:t>
      </w:r>
      <w:r>
        <w:rPr>
          <w:rFonts w:hint="eastAsia"/>
        </w:rPr>
        <w:t>1天。</w:t>
      </w:r>
      <w:r>
        <w:t xml:space="preserve"> </w:t>
      </w:r>
    </w:p>
    <w:p>
      <w:pPr>
        <w:pStyle w:val="3"/>
        <w:ind w:firstLine="480"/>
      </w:pPr>
      <w:r>
        <w:t>（4）评价标准：土壤环境质量中的砷、铬、镉、铜、铅、汞、镍执行《土壤环境质量农用地土壤污染风险管控标</w:t>
      </w:r>
      <w:r>
        <w:rPr>
          <w:bCs/>
          <w:kern w:val="0"/>
        </w:rPr>
        <w:t>准（试行）》（GB15618-2018）风险筛选值中的</w:t>
      </w:r>
      <w:r>
        <w:t>其他</w:t>
      </w:r>
      <w:r>
        <w:rPr>
          <w:bCs/>
          <w:kern w:val="0"/>
        </w:rPr>
        <w:t>的标准</w:t>
      </w:r>
      <w:r>
        <w:t>限值</w:t>
      </w:r>
      <w:r>
        <w:rPr>
          <w:bCs/>
          <w:kern w:val="0"/>
        </w:rPr>
        <w:t>，其他指标参照执行</w:t>
      </w:r>
      <w:r>
        <w:t>《土壤环境质量建设用地土壤污染风险管控标准（试行）》（GB36600-2018）风险筛选值中的第二类用地</w:t>
      </w:r>
      <w:r>
        <w:rPr>
          <w:bCs/>
          <w:kern w:val="0"/>
        </w:rPr>
        <w:t>的标准</w:t>
      </w:r>
      <w:r>
        <w:t>限值；</w:t>
      </w:r>
    </w:p>
    <w:p>
      <w:pPr>
        <w:pStyle w:val="3"/>
        <w:ind w:firstLine="480"/>
      </w:pPr>
      <w:r>
        <w:t>（5）评价方法：采用</w:t>
      </w:r>
      <w:r>
        <w:rPr>
          <w:rFonts w:hint="eastAsia"/>
        </w:rPr>
        <w:t>标准对比</w:t>
      </w:r>
      <w:r>
        <w:t>法进行评价；</w:t>
      </w:r>
    </w:p>
    <w:p>
      <w:pPr>
        <w:pStyle w:val="3"/>
        <w:ind w:firstLine="480"/>
      </w:pPr>
      <w:r>
        <w:t>（6）监测结果：监测及评价结果见表</w:t>
      </w:r>
      <w:r>
        <w:rPr>
          <w:rFonts w:hint="eastAsia"/>
        </w:rPr>
        <w:t>4.2-</w:t>
      </w:r>
      <w:r>
        <w:t>6。</w:t>
      </w:r>
    </w:p>
    <w:p>
      <w:pPr>
        <w:pStyle w:val="15"/>
      </w:pPr>
      <w:r>
        <w:t>表</w:t>
      </w:r>
      <w:r>
        <w:rPr>
          <w:rFonts w:hint="eastAsia"/>
        </w:rPr>
        <w:t>4.2-</w:t>
      </w:r>
      <w:r>
        <w:t>6</w:t>
      </w:r>
      <w:r>
        <w:rPr>
          <w:rFonts w:hint="eastAsia"/>
        </w:rPr>
        <w:t xml:space="preserve">   </w:t>
      </w:r>
      <w:r>
        <w:t>土壤环境现状监测及评价结果表</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237"/>
        <w:gridCol w:w="2595"/>
        <w:gridCol w:w="1230"/>
        <w:gridCol w:w="1584"/>
        <w:gridCol w:w="1160"/>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690" w:type="pct"/>
            <w:vMerge w:val="restart"/>
            <w:vAlign w:val="center"/>
          </w:tcPr>
          <w:p>
            <w:pPr>
              <w:pStyle w:val="39"/>
            </w:pPr>
            <w:r>
              <w:t>点位名称</w:t>
            </w:r>
          </w:p>
        </w:tc>
        <w:tc>
          <w:tcPr>
            <w:tcW w:w="1447" w:type="pct"/>
            <w:vMerge w:val="restart"/>
            <w:vAlign w:val="center"/>
          </w:tcPr>
          <w:p>
            <w:pPr>
              <w:pStyle w:val="39"/>
            </w:pPr>
            <w:r>
              <w:t>检测项目</w:t>
            </w:r>
          </w:p>
        </w:tc>
        <w:tc>
          <w:tcPr>
            <w:tcW w:w="686" w:type="pct"/>
            <w:vAlign w:val="center"/>
          </w:tcPr>
          <w:p>
            <w:pPr>
              <w:pStyle w:val="39"/>
            </w:pPr>
            <w:r>
              <w:t>检测结果</w:t>
            </w:r>
          </w:p>
        </w:tc>
        <w:tc>
          <w:tcPr>
            <w:tcW w:w="883" w:type="pct"/>
            <w:vMerge w:val="restart"/>
            <w:vAlign w:val="center"/>
          </w:tcPr>
          <w:p>
            <w:pPr>
              <w:pStyle w:val="39"/>
            </w:pPr>
            <w:r>
              <w:t>标准值</w:t>
            </w:r>
          </w:p>
        </w:tc>
        <w:tc>
          <w:tcPr>
            <w:tcW w:w="647" w:type="pct"/>
            <w:vMerge w:val="restart"/>
            <w:vAlign w:val="center"/>
          </w:tcPr>
          <w:p>
            <w:pPr>
              <w:pStyle w:val="39"/>
            </w:pPr>
            <w:r>
              <w:t>单位</w:t>
            </w:r>
          </w:p>
        </w:tc>
        <w:tc>
          <w:tcPr>
            <w:tcW w:w="647" w:type="pct"/>
            <w:vMerge w:val="restart"/>
            <w:vAlign w:val="center"/>
          </w:tcPr>
          <w:p>
            <w:pPr>
              <w:pStyle w:val="39"/>
            </w:pPr>
            <w:r>
              <w:rPr>
                <w:rFonts w:hint="eastAsia"/>
              </w:rPr>
              <w:t>是否</w:t>
            </w:r>
            <w: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690" w:type="pct"/>
            <w:vMerge w:val="continue"/>
            <w:vAlign w:val="center"/>
          </w:tcPr>
          <w:p>
            <w:pPr>
              <w:pStyle w:val="39"/>
            </w:pPr>
          </w:p>
        </w:tc>
        <w:tc>
          <w:tcPr>
            <w:tcW w:w="1447" w:type="pct"/>
            <w:vMerge w:val="continue"/>
            <w:vAlign w:val="center"/>
          </w:tcPr>
          <w:p>
            <w:pPr>
              <w:pStyle w:val="39"/>
            </w:pPr>
          </w:p>
        </w:tc>
        <w:tc>
          <w:tcPr>
            <w:tcW w:w="686" w:type="pct"/>
            <w:vAlign w:val="center"/>
          </w:tcPr>
          <w:p>
            <w:pPr>
              <w:pStyle w:val="39"/>
              <w:rPr>
                <w:rFonts w:eastAsia="Times New Roman"/>
              </w:rPr>
            </w:pPr>
            <w:r>
              <w:t>2020.</w:t>
            </w:r>
            <w:r>
              <w:rPr>
                <w:rFonts w:hint="eastAsia"/>
              </w:rPr>
              <w:t>6</w:t>
            </w:r>
            <w:r>
              <w:t>.1</w:t>
            </w:r>
          </w:p>
        </w:tc>
        <w:tc>
          <w:tcPr>
            <w:tcW w:w="883" w:type="pct"/>
            <w:vMerge w:val="continue"/>
            <w:vAlign w:val="center"/>
          </w:tcPr>
          <w:p>
            <w:pPr>
              <w:pStyle w:val="39"/>
            </w:pPr>
          </w:p>
        </w:tc>
        <w:tc>
          <w:tcPr>
            <w:tcW w:w="647" w:type="pct"/>
            <w:vMerge w:val="continue"/>
            <w:vAlign w:val="center"/>
          </w:tcPr>
          <w:p>
            <w:pPr>
              <w:pStyle w:val="39"/>
            </w:pPr>
          </w:p>
        </w:tc>
        <w:tc>
          <w:tcPr>
            <w:tcW w:w="647" w:type="pct"/>
            <w:vMerge w:val="continue"/>
            <w:vAlign w:val="center"/>
          </w:tcPr>
          <w:p>
            <w:pPr>
              <w:pStyle w:val="3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90" w:type="pct"/>
            <w:vMerge w:val="restart"/>
            <w:vAlign w:val="center"/>
          </w:tcPr>
          <w:p>
            <w:pPr>
              <w:pStyle w:val="39"/>
              <w:rPr>
                <w:rFonts w:eastAsia="Times New Roman"/>
              </w:rPr>
            </w:pPr>
            <w:r>
              <w:rPr>
                <w:rFonts w:eastAsia="Times New Roman"/>
              </w:rPr>
              <w:t>T1</w:t>
            </w:r>
            <w:r>
              <w:rPr>
                <w:rFonts w:eastAsia="Times New Roman"/>
                <w:spacing w:val="-1"/>
              </w:rPr>
              <w:t xml:space="preserve"> </w:t>
            </w:r>
            <w:r>
              <w:t>厂址中心</w:t>
            </w:r>
          </w:p>
        </w:tc>
        <w:tc>
          <w:tcPr>
            <w:tcW w:w="1447" w:type="pct"/>
            <w:vAlign w:val="center"/>
          </w:tcPr>
          <w:p>
            <w:pPr>
              <w:pStyle w:val="39"/>
            </w:pPr>
            <w:r>
              <w:rPr>
                <w:rFonts w:eastAsia="Times New Roman"/>
              </w:rPr>
              <w:t>pH</w:t>
            </w:r>
            <w:r>
              <w:rPr>
                <w:rFonts w:eastAsia="Times New Roman"/>
                <w:spacing w:val="-2"/>
              </w:rPr>
              <w:t xml:space="preserve"> </w:t>
            </w:r>
            <w:r>
              <w:t>值</w:t>
            </w:r>
          </w:p>
        </w:tc>
        <w:tc>
          <w:tcPr>
            <w:tcW w:w="686" w:type="pct"/>
            <w:vAlign w:val="center"/>
          </w:tcPr>
          <w:p>
            <w:pPr>
              <w:pStyle w:val="39"/>
            </w:pPr>
            <w:r>
              <w:rPr>
                <w:rFonts w:hint="eastAsia"/>
              </w:rPr>
              <w:t>7.44</w:t>
            </w:r>
          </w:p>
        </w:tc>
        <w:tc>
          <w:tcPr>
            <w:tcW w:w="883" w:type="pct"/>
            <w:vAlign w:val="center"/>
          </w:tcPr>
          <w:p>
            <w:pPr>
              <w:pStyle w:val="39"/>
            </w:pPr>
            <w:r>
              <w:rPr>
                <w:rFonts w:cs="Times New Roman"/>
              </w:rPr>
              <w:t>6.5</w:t>
            </w:r>
            <w:r>
              <w:rPr>
                <w:rFonts w:hint="eastAsia" w:cs="Times New Roman"/>
              </w:rPr>
              <w:t>~</w:t>
            </w:r>
            <w:r>
              <w:rPr>
                <w:rFonts w:cs="Times New Roman"/>
              </w:rPr>
              <w:t>7.5</w:t>
            </w:r>
          </w:p>
        </w:tc>
        <w:tc>
          <w:tcPr>
            <w:tcW w:w="647" w:type="pct"/>
            <w:vAlign w:val="center"/>
          </w:tcPr>
          <w:p>
            <w:pPr>
              <w:pStyle w:val="39"/>
            </w:pPr>
            <w:r>
              <w:t>无量纲</w:t>
            </w:r>
          </w:p>
        </w:tc>
        <w:tc>
          <w:tcPr>
            <w:tcW w:w="647" w:type="pct"/>
            <w:vAlign w:val="center"/>
          </w:tcPr>
          <w:p>
            <w:pPr>
              <w:pStyle w:val="39"/>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90" w:type="pct"/>
            <w:vMerge w:val="continue"/>
            <w:vAlign w:val="center"/>
          </w:tcPr>
          <w:p>
            <w:pPr>
              <w:pStyle w:val="39"/>
            </w:pPr>
          </w:p>
        </w:tc>
        <w:tc>
          <w:tcPr>
            <w:tcW w:w="1447" w:type="pct"/>
            <w:vAlign w:val="center"/>
          </w:tcPr>
          <w:p>
            <w:pPr>
              <w:pStyle w:val="39"/>
            </w:pPr>
            <w:r>
              <w:t>砷</w:t>
            </w:r>
          </w:p>
        </w:tc>
        <w:tc>
          <w:tcPr>
            <w:tcW w:w="686" w:type="pct"/>
            <w:vAlign w:val="center"/>
          </w:tcPr>
          <w:p>
            <w:pPr>
              <w:pStyle w:val="39"/>
            </w:pPr>
            <w:r>
              <w:rPr>
                <w:rFonts w:hint="eastAsia" w:eastAsia="仿宋"/>
                <w:bCs/>
                <w:color w:val="000000"/>
                <w:kern w:val="0"/>
              </w:rPr>
              <w:t>7.12</w:t>
            </w:r>
          </w:p>
        </w:tc>
        <w:tc>
          <w:tcPr>
            <w:tcW w:w="883" w:type="pct"/>
            <w:vAlign w:val="center"/>
          </w:tcPr>
          <w:p>
            <w:pPr>
              <w:pStyle w:val="39"/>
            </w:pPr>
            <w:r>
              <w:rPr>
                <w:rFonts w:hint="eastAsia"/>
              </w:rPr>
              <w:t>30</w:t>
            </w:r>
          </w:p>
        </w:tc>
        <w:tc>
          <w:tcPr>
            <w:tcW w:w="647" w:type="pct"/>
            <w:vAlign w:val="center"/>
          </w:tcPr>
          <w:p>
            <w:pPr>
              <w:pStyle w:val="39"/>
              <w:rPr>
                <w:rFonts w:eastAsia="Times New Roman"/>
              </w:rPr>
            </w:pPr>
            <w:r>
              <w:t>mg/kg</w:t>
            </w:r>
          </w:p>
        </w:tc>
        <w:tc>
          <w:tcPr>
            <w:tcW w:w="647" w:type="pct"/>
            <w:vAlign w:val="center"/>
          </w:tcPr>
          <w:p>
            <w:pPr>
              <w:pStyle w:val="39"/>
            </w:pPr>
            <w: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90" w:type="pct"/>
            <w:vMerge w:val="continue"/>
            <w:vAlign w:val="center"/>
          </w:tcPr>
          <w:p>
            <w:pPr>
              <w:pStyle w:val="39"/>
            </w:pPr>
          </w:p>
        </w:tc>
        <w:tc>
          <w:tcPr>
            <w:tcW w:w="1447" w:type="pct"/>
            <w:vAlign w:val="center"/>
          </w:tcPr>
          <w:p>
            <w:pPr>
              <w:pStyle w:val="39"/>
            </w:pPr>
            <w:r>
              <w:t>镉</w:t>
            </w:r>
          </w:p>
        </w:tc>
        <w:tc>
          <w:tcPr>
            <w:tcW w:w="686" w:type="pct"/>
            <w:vAlign w:val="center"/>
          </w:tcPr>
          <w:p>
            <w:pPr>
              <w:pStyle w:val="39"/>
            </w:pPr>
            <w:r>
              <w:rPr>
                <w:rFonts w:hint="eastAsia"/>
              </w:rPr>
              <w:t>0.023</w:t>
            </w:r>
          </w:p>
        </w:tc>
        <w:tc>
          <w:tcPr>
            <w:tcW w:w="883" w:type="pct"/>
            <w:vAlign w:val="center"/>
          </w:tcPr>
          <w:p>
            <w:pPr>
              <w:pStyle w:val="39"/>
            </w:pPr>
            <w:r>
              <w:t>0.3</w:t>
            </w:r>
          </w:p>
        </w:tc>
        <w:tc>
          <w:tcPr>
            <w:tcW w:w="647" w:type="pct"/>
            <w:vAlign w:val="center"/>
          </w:tcPr>
          <w:p>
            <w:pPr>
              <w:pStyle w:val="39"/>
              <w:rPr>
                <w:rFonts w:eastAsia="Times New Roman"/>
              </w:rPr>
            </w:pPr>
            <w:r>
              <w:t>mg/kg</w:t>
            </w:r>
          </w:p>
        </w:tc>
        <w:tc>
          <w:tcPr>
            <w:tcW w:w="647" w:type="pct"/>
            <w:vAlign w:val="center"/>
          </w:tcPr>
          <w:p>
            <w:pPr>
              <w:pStyle w:val="39"/>
            </w:pPr>
            <w: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90" w:type="pct"/>
            <w:vMerge w:val="continue"/>
            <w:vAlign w:val="center"/>
          </w:tcPr>
          <w:p>
            <w:pPr>
              <w:pStyle w:val="39"/>
            </w:pPr>
          </w:p>
        </w:tc>
        <w:tc>
          <w:tcPr>
            <w:tcW w:w="1447" w:type="pct"/>
            <w:vAlign w:val="center"/>
          </w:tcPr>
          <w:p>
            <w:pPr>
              <w:pStyle w:val="39"/>
            </w:pPr>
            <w:r>
              <w:rPr>
                <w:rFonts w:hint="eastAsia"/>
              </w:rPr>
              <w:t>铬</w:t>
            </w:r>
          </w:p>
        </w:tc>
        <w:tc>
          <w:tcPr>
            <w:tcW w:w="686" w:type="pct"/>
            <w:vAlign w:val="center"/>
          </w:tcPr>
          <w:p>
            <w:pPr>
              <w:pStyle w:val="39"/>
            </w:pPr>
            <w:r>
              <w:rPr>
                <w:rFonts w:hint="eastAsia"/>
              </w:rPr>
              <w:t>27</w:t>
            </w:r>
          </w:p>
        </w:tc>
        <w:tc>
          <w:tcPr>
            <w:tcW w:w="883" w:type="pct"/>
            <w:vAlign w:val="center"/>
          </w:tcPr>
          <w:p>
            <w:pPr>
              <w:pStyle w:val="39"/>
            </w:pPr>
            <w:r>
              <w:rPr>
                <w:rFonts w:hint="eastAsia"/>
              </w:rPr>
              <w:t>200</w:t>
            </w:r>
          </w:p>
        </w:tc>
        <w:tc>
          <w:tcPr>
            <w:tcW w:w="647" w:type="pct"/>
            <w:vAlign w:val="center"/>
          </w:tcPr>
          <w:p>
            <w:pPr>
              <w:pStyle w:val="39"/>
              <w:rPr>
                <w:rFonts w:eastAsia="Times New Roman"/>
              </w:rPr>
            </w:pPr>
            <w:r>
              <w:t>mg/kg</w:t>
            </w:r>
          </w:p>
        </w:tc>
        <w:tc>
          <w:tcPr>
            <w:tcW w:w="647" w:type="pct"/>
            <w:vAlign w:val="center"/>
          </w:tcPr>
          <w:p>
            <w:pPr>
              <w:pStyle w:val="39"/>
            </w:pPr>
            <w: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90" w:type="pct"/>
            <w:vMerge w:val="continue"/>
            <w:vAlign w:val="center"/>
          </w:tcPr>
          <w:p>
            <w:pPr>
              <w:pStyle w:val="39"/>
            </w:pPr>
          </w:p>
        </w:tc>
        <w:tc>
          <w:tcPr>
            <w:tcW w:w="1447" w:type="pct"/>
            <w:vAlign w:val="center"/>
          </w:tcPr>
          <w:p>
            <w:pPr>
              <w:pStyle w:val="39"/>
            </w:pPr>
            <w:r>
              <w:t>铜</w:t>
            </w:r>
          </w:p>
        </w:tc>
        <w:tc>
          <w:tcPr>
            <w:tcW w:w="686" w:type="pct"/>
            <w:vAlign w:val="center"/>
          </w:tcPr>
          <w:p>
            <w:pPr>
              <w:pStyle w:val="39"/>
            </w:pPr>
            <w:r>
              <w:rPr>
                <w:rFonts w:hint="eastAsia"/>
              </w:rPr>
              <w:t>20</w:t>
            </w:r>
          </w:p>
        </w:tc>
        <w:tc>
          <w:tcPr>
            <w:tcW w:w="883" w:type="pct"/>
            <w:vAlign w:val="center"/>
          </w:tcPr>
          <w:p>
            <w:pPr>
              <w:pStyle w:val="39"/>
            </w:pPr>
            <w:r>
              <w:rPr>
                <w:rFonts w:hint="eastAsia"/>
              </w:rPr>
              <w:t>100</w:t>
            </w:r>
          </w:p>
        </w:tc>
        <w:tc>
          <w:tcPr>
            <w:tcW w:w="647" w:type="pct"/>
            <w:vAlign w:val="center"/>
          </w:tcPr>
          <w:p>
            <w:pPr>
              <w:pStyle w:val="39"/>
              <w:rPr>
                <w:rFonts w:eastAsia="Times New Roman"/>
              </w:rPr>
            </w:pPr>
            <w:r>
              <w:t>mg/kg</w:t>
            </w:r>
          </w:p>
        </w:tc>
        <w:tc>
          <w:tcPr>
            <w:tcW w:w="647" w:type="pct"/>
            <w:vAlign w:val="center"/>
          </w:tcPr>
          <w:p>
            <w:pPr>
              <w:pStyle w:val="39"/>
            </w:pPr>
            <w: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90" w:type="pct"/>
            <w:vMerge w:val="continue"/>
            <w:vAlign w:val="center"/>
          </w:tcPr>
          <w:p>
            <w:pPr>
              <w:pStyle w:val="39"/>
            </w:pPr>
          </w:p>
        </w:tc>
        <w:tc>
          <w:tcPr>
            <w:tcW w:w="1447" w:type="pct"/>
            <w:vAlign w:val="center"/>
          </w:tcPr>
          <w:p>
            <w:pPr>
              <w:pStyle w:val="39"/>
            </w:pPr>
            <w:r>
              <w:t>铅</w:t>
            </w:r>
          </w:p>
        </w:tc>
        <w:tc>
          <w:tcPr>
            <w:tcW w:w="686" w:type="pct"/>
            <w:vAlign w:val="center"/>
          </w:tcPr>
          <w:p>
            <w:pPr>
              <w:pStyle w:val="39"/>
            </w:pPr>
            <w:r>
              <w:rPr>
                <w:rFonts w:hint="eastAsia"/>
              </w:rPr>
              <w:t>35</w:t>
            </w:r>
          </w:p>
        </w:tc>
        <w:tc>
          <w:tcPr>
            <w:tcW w:w="883" w:type="pct"/>
            <w:vAlign w:val="center"/>
          </w:tcPr>
          <w:p>
            <w:pPr>
              <w:pStyle w:val="39"/>
            </w:pPr>
            <w:r>
              <w:rPr>
                <w:rFonts w:hint="eastAsia"/>
              </w:rPr>
              <w:t>120</w:t>
            </w:r>
          </w:p>
        </w:tc>
        <w:tc>
          <w:tcPr>
            <w:tcW w:w="647" w:type="pct"/>
            <w:vAlign w:val="center"/>
          </w:tcPr>
          <w:p>
            <w:pPr>
              <w:pStyle w:val="39"/>
              <w:rPr>
                <w:rFonts w:eastAsia="Times New Roman"/>
              </w:rPr>
            </w:pPr>
            <w:r>
              <w:t>mg/kg</w:t>
            </w:r>
          </w:p>
        </w:tc>
        <w:tc>
          <w:tcPr>
            <w:tcW w:w="647" w:type="pct"/>
            <w:vAlign w:val="center"/>
          </w:tcPr>
          <w:p>
            <w:pPr>
              <w:pStyle w:val="39"/>
            </w:pPr>
            <w: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90" w:type="pct"/>
            <w:vMerge w:val="continue"/>
            <w:vAlign w:val="center"/>
          </w:tcPr>
          <w:p>
            <w:pPr>
              <w:pStyle w:val="39"/>
            </w:pPr>
          </w:p>
        </w:tc>
        <w:tc>
          <w:tcPr>
            <w:tcW w:w="1447" w:type="pct"/>
            <w:vAlign w:val="center"/>
          </w:tcPr>
          <w:p>
            <w:pPr>
              <w:pStyle w:val="39"/>
            </w:pPr>
            <w:r>
              <w:t>汞</w:t>
            </w:r>
          </w:p>
        </w:tc>
        <w:tc>
          <w:tcPr>
            <w:tcW w:w="686" w:type="pct"/>
            <w:vAlign w:val="center"/>
          </w:tcPr>
          <w:p>
            <w:pPr>
              <w:pStyle w:val="39"/>
            </w:pPr>
            <w:r>
              <w:rPr>
                <w:rFonts w:hint="eastAsia"/>
              </w:rPr>
              <w:t>0.248</w:t>
            </w:r>
          </w:p>
        </w:tc>
        <w:tc>
          <w:tcPr>
            <w:tcW w:w="883" w:type="pct"/>
            <w:vAlign w:val="center"/>
          </w:tcPr>
          <w:p>
            <w:pPr>
              <w:pStyle w:val="39"/>
            </w:pPr>
            <w:r>
              <w:rPr>
                <w:rFonts w:hint="eastAsia"/>
              </w:rPr>
              <w:t>0.6</w:t>
            </w:r>
          </w:p>
        </w:tc>
        <w:tc>
          <w:tcPr>
            <w:tcW w:w="647" w:type="pct"/>
            <w:vAlign w:val="center"/>
          </w:tcPr>
          <w:p>
            <w:pPr>
              <w:pStyle w:val="39"/>
              <w:rPr>
                <w:rFonts w:eastAsia="Times New Roman"/>
              </w:rPr>
            </w:pPr>
            <w:r>
              <w:t>mg/kg</w:t>
            </w:r>
          </w:p>
        </w:tc>
        <w:tc>
          <w:tcPr>
            <w:tcW w:w="647" w:type="pct"/>
            <w:vAlign w:val="center"/>
          </w:tcPr>
          <w:p>
            <w:pPr>
              <w:pStyle w:val="39"/>
            </w:pPr>
            <w: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90" w:type="pct"/>
            <w:vMerge w:val="continue"/>
            <w:vAlign w:val="center"/>
          </w:tcPr>
          <w:p>
            <w:pPr>
              <w:pStyle w:val="39"/>
            </w:pPr>
          </w:p>
        </w:tc>
        <w:tc>
          <w:tcPr>
            <w:tcW w:w="1447" w:type="pct"/>
            <w:vAlign w:val="center"/>
          </w:tcPr>
          <w:p>
            <w:pPr>
              <w:pStyle w:val="39"/>
            </w:pPr>
            <w:r>
              <w:t>镍</w:t>
            </w:r>
          </w:p>
        </w:tc>
        <w:tc>
          <w:tcPr>
            <w:tcW w:w="686" w:type="pct"/>
            <w:vAlign w:val="center"/>
          </w:tcPr>
          <w:p>
            <w:pPr>
              <w:pStyle w:val="39"/>
            </w:pPr>
            <w:r>
              <w:rPr>
                <w:rFonts w:hint="eastAsia"/>
              </w:rPr>
              <w:t>42</w:t>
            </w:r>
          </w:p>
        </w:tc>
        <w:tc>
          <w:tcPr>
            <w:tcW w:w="883" w:type="pct"/>
            <w:vAlign w:val="center"/>
          </w:tcPr>
          <w:p>
            <w:pPr>
              <w:pStyle w:val="39"/>
            </w:pPr>
            <w:r>
              <w:rPr>
                <w:rFonts w:hint="eastAsia"/>
              </w:rPr>
              <w:t>100</w:t>
            </w:r>
          </w:p>
        </w:tc>
        <w:tc>
          <w:tcPr>
            <w:tcW w:w="647" w:type="pct"/>
            <w:vAlign w:val="center"/>
          </w:tcPr>
          <w:p>
            <w:pPr>
              <w:pStyle w:val="39"/>
              <w:rPr>
                <w:rFonts w:eastAsia="Times New Roman"/>
              </w:rPr>
            </w:pPr>
            <w:r>
              <w:t>mg/kg</w:t>
            </w:r>
          </w:p>
        </w:tc>
        <w:tc>
          <w:tcPr>
            <w:tcW w:w="647" w:type="pct"/>
            <w:vAlign w:val="center"/>
          </w:tcPr>
          <w:p>
            <w:pPr>
              <w:pStyle w:val="39"/>
            </w:pPr>
            <w: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90" w:type="pct"/>
            <w:vMerge w:val="continue"/>
            <w:vAlign w:val="center"/>
          </w:tcPr>
          <w:p>
            <w:pPr>
              <w:pStyle w:val="39"/>
            </w:pPr>
          </w:p>
        </w:tc>
        <w:tc>
          <w:tcPr>
            <w:tcW w:w="1447" w:type="pct"/>
            <w:vAlign w:val="center"/>
          </w:tcPr>
          <w:p>
            <w:pPr>
              <w:pStyle w:val="39"/>
              <w:rPr>
                <w:rFonts w:eastAsia="Times New Roman"/>
              </w:rPr>
            </w:pPr>
            <w:r>
              <w:t>四氯化碳</w:t>
            </w:r>
            <w:r>
              <w:rPr>
                <w:rFonts w:eastAsia="Times New Roman"/>
                <w:position w:val="8"/>
              </w:rPr>
              <w:t>#</w:t>
            </w:r>
          </w:p>
        </w:tc>
        <w:tc>
          <w:tcPr>
            <w:tcW w:w="686" w:type="pct"/>
            <w:vAlign w:val="center"/>
          </w:tcPr>
          <w:p>
            <w:pPr>
              <w:pStyle w:val="39"/>
            </w:pPr>
            <w:r>
              <w:rPr>
                <w:rFonts w:cs="Times New Roman"/>
                <w:kern w:val="0"/>
                <w:lang w:bidi="ar"/>
              </w:rPr>
              <w:t>ND</w:t>
            </w:r>
          </w:p>
        </w:tc>
        <w:tc>
          <w:tcPr>
            <w:tcW w:w="883" w:type="pct"/>
            <w:vAlign w:val="center"/>
          </w:tcPr>
          <w:p>
            <w:pPr>
              <w:pStyle w:val="39"/>
            </w:pPr>
            <w:r>
              <w:t>2.8</w:t>
            </w:r>
          </w:p>
        </w:tc>
        <w:tc>
          <w:tcPr>
            <w:tcW w:w="647" w:type="pct"/>
            <w:vAlign w:val="center"/>
          </w:tcPr>
          <w:p>
            <w:pPr>
              <w:pStyle w:val="39"/>
              <w:rPr>
                <w:rFonts w:eastAsia="Times New Roman"/>
              </w:rPr>
            </w:pPr>
            <w:r>
              <w:rPr>
                <w:rFonts w:hint="eastAsia"/>
              </w:rPr>
              <w:t>m</w:t>
            </w:r>
            <w:r>
              <w:t>g/kg</w:t>
            </w:r>
          </w:p>
        </w:tc>
        <w:tc>
          <w:tcPr>
            <w:tcW w:w="647" w:type="pct"/>
            <w:vAlign w:val="center"/>
          </w:tcPr>
          <w:p>
            <w:pPr>
              <w:pStyle w:val="39"/>
            </w:pPr>
            <w: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90" w:type="pct"/>
            <w:vMerge w:val="continue"/>
            <w:vAlign w:val="center"/>
          </w:tcPr>
          <w:p>
            <w:pPr>
              <w:pStyle w:val="39"/>
            </w:pPr>
          </w:p>
        </w:tc>
        <w:tc>
          <w:tcPr>
            <w:tcW w:w="1447" w:type="pct"/>
            <w:vAlign w:val="center"/>
          </w:tcPr>
          <w:p>
            <w:pPr>
              <w:pStyle w:val="39"/>
              <w:rPr>
                <w:rFonts w:eastAsia="Times New Roman"/>
              </w:rPr>
            </w:pPr>
            <w:r>
              <w:t>氯仿</w:t>
            </w:r>
            <w:r>
              <w:rPr>
                <w:rFonts w:eastAsia="Times New Roman"/>
                <w:position w:val="8"/>
              </w:rPr>
              <w:t>#</w:t>
            </w:r>
          </w:p>
        </w:tc>
        <w:tc>
          <w:tcPr>
            <w:tcW w:w="686" w:type="pct"/>
            <w:vAlign w:val="center"/>
          </w:tcPr>
          <w:p>
            <w:pPr>
              <w:pStyle w:val="39"/>
            </w:pPr>
            <w:r>
              <w:rPr>
                <w:rFonts w:cs="Times New Roman"/>
                <w:kern w:val="0"/>
                <w:lang w:bidi="ar"/>
              </w:rPr>
              <w:t>ND</w:t>
            </w:r>
          </w:p>
        </w:tc>
        <w:tc>
          <w:tcPr>
            <w:tcW w:w="883" w:type="pct"/>
            <w:vAlign w:val="center"/>
          </w:tcPr>
          <w:p>
            <w:pPr>
              <w:pStyle w:val="39"/>
            </w:pPr>
            <w:r>
              <w:t>0.9</w:t>
            </w:r>
          </w:p>
        </w:tc>
        <w:tc>
          <w:tcPr>
            <w:tcW w:w="647" w:type="pct"/>
            <w:vAlign w:val="center"/>
          </w:tcPr>
          <w:p>
            <w:pPr>
              <w:pStyle w:val="39"/>
              <w:rPr>
                <w:rFonts w:eastAsia="Times New Roman"/>
              </w:rPr>
            </w:pPr>
            <w:r>
              <w:t>mg/kg</w:t>
            </w:r>
          </w:p>
        </w:tc>
        <w:tc>
          <w:tcPr>
            <w:tcW w:w="647" w:type="pct"/>
            <w:vAlign w:val="center"/>
          </w:tcPr>
          <w:p>
            <w:pPr>
              <w:pStyle w:val="39"/>
            </w:pPr>
            <w: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90" w:type="pct"/>
            <w:vMerge w:val="continue"/>
            <w:vAlign w:val="center"/>
          </w:tcPr>
          <w:p>
            <w:pPr>
              <w:pStyle w:val="39"/>
            </w:pPr>
          </w:p>
        </w:tc>
        <w:tc>
          <w:tcPr>
            <w:tcW w:w="1447" w:type="pct"/>
            <w:vAlign w:val="center"/>
          </w:tcPr>
          <w:p>
            <w:pPr>
              <w:pStyle w:val="39"/>
              <w:rPr>
                <w:rFonts w:eastAsia="Times New Roman"/>
              </w:rPr>
            </w:pPr>
            <w:r>
              <w:t>氯甲烷</w:t>
            </w:r>
            <w:r>
              <w:rPr>
                <w:rFonts w:eastAsia="Times New Roman"/>
                <w:position w:val="8"/>
              </w:rPr>
              <w:t>#</w:t>
            </w:r>
          </w:p>
        </w:tc>
        <w:tc>
          <w:tcPr>
            <w:tcW w:w="686" w:type="pct"/>
            <w:vAlign w:val="center"/>
          </w:tcPr>
          <w:p>
            <w:pPr>
              <w:pStyle w:val="39"/>
            </w:pPr>
            <w:r>
              <w:rPr>
                <w:rFonts w:cs="Times New Roman"/>
                <w:kern w:val="0"/>
                <w:lang w:bidi="ar"/>
              </w:rPr>
              <w:t>ND</w:t>
            </w:r>
          </w:p>
        </w:tc>
        <w:tc>
          <w:tcPr>
            <w:tcW w:w="883" w:type="pct"/>
            <w:vAlign w:val="center"/>
          </w:tcPr>
          <w:p>
            <w:pPr>
              <w:pStyle w:val="39"/>
            </w:pPr>
            <w:r>
              <w:t>37</w:t>
            </w:r>
          </w:p>
        </w:tc>
        <w:tc>
          <w:tcPr>
            <w:tcW w:w="647" w:type="pct"/>
            <w:vAlign w:val="center"/>
          </w:tcPr>
          <w:p>
            <w:pPr>
              <w:pStyle w:val="39"/>
              <w:rPr>
                <w:rFonts w:eastAsia="Times New Roman"/>
              </w:rPr>
            </w:pPr>
            <w:r>
              <w:t>mg/kg</w:t>
            </w:r>
          </w:p>
        </w:tc>
        <w:tc>
          <w:tcPr>
            <w:tcW w:w="647" w:type="pct"/>
            <w:vAlign w:val="center"/>
          </w:tcPr>
          <w:p>
            <w:pPr>
              <w:pStyle w:val="39"/>
            </w:pPr>
            <w: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90" w:type="pct"/>
            <w:vMerge w:val="continue"/>
            <w:vAlign w:val="center"/>
          </w:tcPr>
          <w:p>
            <w:pPr>
              <w:pStyle w:val="39"/>
            </w:pPr>
          </w:p>
        </w:tc>
        <w:tc>
          <w:tcPr>
            <w:tcW w:w="1447" w:type="pct"/>
            <w:vAlign w:val="center"/>
          </w:tcPr>
          <w:p>
            <w:pPr>
              <w:pStyle w:val="39"/>
              <w:rPr>
                <w:rFonts w:eastAsia="Times New Roman"/>
              </w:rPr>
            </w:pPr>
            <w:r>
              <w:rPr>
                <w:rFonts w:eastAsia="Times New Roman"/>
              </w:rPr>
              <w:t>1,1-</w:t>
            </w:r>
            <w:r>
              <w:t>二氯乙烷</w:t>
            </w:r>
            <w:r>
              <w:rPr>
                <w:rFonts w:eastAsia="Times New Roman"/>
                <w:position w:val="8"/>
              </w:rPr>
              <w:t>#</w:t>
            </w:r>
          </w:p>
        </w:tc>
        <w:tc>
          <w:tcPr>
            <w:tcW w:w="686" w:type="pct"/>
            <w:vAlign w:val="center"/>
          </w:tcPr>
          <w:p>
            <w:pPr>
              <w:pStyle w:val="39"/>
            </w:pPr>
            <w:r>
              <w:rPr>
                <w:rFonts w:cs="Times New Roman"/>
                <w:kern w:val="0"/>
                <w:lang w:bidi="ar"/>
              </w:rPr>
              <w:t>ND</w:t>
            </w:r>
          </w:p>
        </w:tc>
        <w:tc>
          <w:tcPr>
            <w:tcW w:w="883" w:type="pct"/>
            <w:vAlign w:val="center"/>
          </w:tcPr>
          <w:p>
            <w:pPr>
              <w:pStyle w:val="39"/>
            </w:pPr>
            <w:r>
              <w:t>9</w:t>
            </w:r>
          </w:p>
        </w:tc>
        <w:tc>
          <w:tcPr>
            <w:tcW w:w="647" w:type="pct"/>
            <w:vAlign w:val="center"/>
          </w:tcPr>
          <w:p>
            <w:pPr>
              <w:pStyle w:val="39"/>
              <w:rPr>
                <w:rFonts w:eastAsia="Times New Roman"/>
              </w:rPr>
            </w:pPr>
            <w:r>
              <w:t>mg/kg</w:t>
            </w:r>
          </w:p>
        </w:tc>
        <w:tc>
          <w:tcPr>
            <w:tcW w:w="647" w:type="pct"/>
            <w:vAlign w:val="center"/>
          </w:tcPr>
          <w:p>
            <w:pPr>
              <w:pStyle w:val="39"/>
            </w:pPr>
            <w: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90" w:type="pct"/>
            <w:vMerge w:val="continue"/>
            <w:vAlign w:val="center"/>
          </w:tcPr>
          <w:p>
            <w:pPr>
              <w:pStyle w:val="39"/>
            </w:pPr>
          </w:p>
        </w:tc>
        <w:tc>
          <w:tcPr>
            <w:tcW w:w="1447" w:type="pct"/>
            <w:vAlign w:val="center"/>
          </w:tcPr>
          <w:p>
            <w:pPr>
              <w:pStyle w:val="39"/>
              <w:rPr>
                <w:rFonts w:eastAsia="Times New Roman"/>
              </w:rPr>
            </w:pPr>
            <w:r>
              <w:rPr>
                <w:rFonts w:eastAsia="Times New Roman"/>
              </w:rPr>
              <w:t>1,2-</w:t>
            </w:r>
            <w:r>
              <w:t>二氯乙烷</w:t>
            </w:r>
            <w:r>
              <w:rPr>
                <w:rFonts w:eastAsia="Times New Roman"/>
                <w:position w:val="8"/>
              </w:rPr>
              <w:t>#</w:t>
            </w:r>
          </w:p>
        </w:tc>
        <w:tc>
          <w:tcPr>
            <w:tcW w:w="686" w:type="pct"/>
            <w:vAlign w:val="center"/>
          </w:tcPr>
          <w:p>
            <w:pPr>
              <w:pStyle w:val="39"/>
            </w:pPr>
            <w:r>
              <w:rPr>
                <w:rFonts w:cs="Times New Roman"/>
                <w:kern w:val="0"/>
                <w:lang w:bidi="ar"/>
              </w:rPr>
              <w:t>ND</w:t>
            </w:r>
          </w:p>
        </w:tc>
        <w:tc>
          <w:tcPr>
            <w:tcW w:w="883" w:type="pct"/>
            <w:vAlign w:val="center"/>
          </w:tcPr>
          <w:p>
            <w:pPr>
              <w:pStyle w:val="39"/>
            </w:pPr>
            <w:r>
              <w:t>5</w:t>
            </w:r>
          </w:p>
        </w:tc>
        <w:tc>
          <w:tcPr>
            <w:tcW w:w="647" w:type="pct"/>
            <w:vAlign w:val="center"/>
          </w:tcPr>
          <w:p>
            <w:pPr>
              <w:pStyle w:val="39"/>
              <w:rPr>
                <w:rFonts w:eastAsia="Times New Roman"/>
              </w:rPr>
            </w:pPr>
            <w:r>
              <w:t>mg/kg</w:t>
            </w:r>
          </w:p>
        </w:tc>
        <w:tc>
          <w:tcPr>
            <w:tcW w:w="647" w:type="pct"/>
            <w:vAlign w:val="center"/>
          </w:tcPr>
          <w:p>
            <w:pPr>
              <w:pStyle w:val="39"/>
            </w:pPr>
            <w: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90" w:type="pct"/>
            <w:vMerge w:val="continue"/>
            <w:vAlign w:val="center"/>
          </w:tcPr>
          <w:p>
            <w:pPr>
              <w:pStyle w:val="39"/>
            </w:pPr>
          </w:p>
        </w:tc>
        <w:tc>
          <w:tcPr>
            <w:tcW w:w="1447" w:type="pct"/>
            <w:vAlign w:val="center"/>
          </w:tcPr>
          <w:p>
            <w:pPr>
              <w:pStyle w:val="39"/>
              <w:rPr>
                <w:rFonts w:eastAsia="Times New Roman"/>
              </w:rPr>
            </w:pPr>
            <w:r>
              <w:rPr>
                <w:rFonts w:eastAsia="Times New Roman"/>
              </w:rPr>
              <w:t>1,1-</w:t>
            </w:r>
            <w:r>
              <w:t>二氯乙烯</w:t>
            </w:r>
            <w:r>
              <w:rPr>
                <w:rFonts w:eastAsia="Times New Roman"/>
                <w:position w:val="8"/>
              </w:rPr>
              <w:t>#</w:t>
            </w:r>
          </w:p>
        </w:tc>
        <w:tc>
          <w:tcPr>
            <w:tcW w:w="686" w:type="pct"/>
            <w:vAlign w:val="center"/>
          </w:tcPr>
          <w:p>
            <w:pPr>
              <w:pStyle w:val="39"/>
            </w:pPr>
            <w:r>
              <w:rPr>
                <w:rFonts w:cs="Times New Roman"/>
                <w:kern w:val="0"/>
                <w:lang w:bidi="ar"/>
              </w:rPr>
              <w:t>ND</w:t>
            </w:r>
          </w:p>
        </w:tc>
        <w:tc>
          <w:tcPr>
            <w:tcW w:w="883" w:type="pct"/>
            <w:vAlign w:val="center"/>
          </w:tcPr>
          <w:p>
            <w:pPr>
              <w:pStyle w:val="39"/>
            </w:pPr>
            <w:r>
              <w:t>66</w:t>
            </w:r>
          </w:p>
        </w:tc>
        <w:tc>
          <w:tcPr>
            <w:tcW w:w="647" w:type="pct"/>
            <w:vAlign w:val="center"/>
          </w:tcPr>
          <w:p>
            <w:pPr>
              <w:pStyle w:val="39"/>
              <w:rPr>
                <w:rFonts w:eastAsia="Times New Roman"/>
              </w:rPr>
            </w:pPr>
            <w:r>
              <w:t>mg/kg</w:t>
            </w:r>
          </w:p>
        </w:tc>
        <w:tc>
          <w:tcPr>
            <w:tcW w:w="647" w:type="pct"/>
            <w:vAlign w:val="center"/>
          </w:tcPr>
          <w:p>
            <w:pPr>
              <w:pStyle w:val="39"/>
            </w:pPr>
            <w: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90" w:type="pct"/>
            <w:vMerge w:val="continue"/>
            <w:vAlign w:val="center"/>
          </w:tcPr>
          <w:p>
            <w:pPr>
              <w:pStyle w:val="39"/>
            </w:pPr>
          </w:p>
        </w:tc>
        <w:tc>
          <w:tcPr>
            <w:tcW w:w="1447" w:type="pct"/>
            <w:vAlign w:val="center"/>
          </w:tcPr>
          <w:p>
            <w:pPr>
              <w:pStyle w:val="39"/>
              <w:rPr>
                <w:rFonts w:eastAsia="Times New Roman"/>
              </w:rPr>
            </w:pPr>
            <w:r>
              <w:t>顺</w:t>
            </w:r>
            <w:r>
              <w:rPr>
                <w:rFonts w:eastAsia="Times New Roman"/>
              </w:rPr>
              <w:t>-1,2-</w:t>
            </w:r>
            <w:r>
              <w:t>二氯乙烯</w:t>
            </w:r>
            <w:r>
              <w:rPr>
                <w:rFonts w:eastAsia="Times New Roman"/>
                <w:position w:val="8"/>
              </w:rPr>
              <w:t>#</w:t>
            </w:r>
          </w:p>
        </w:tc>
        <w:tc>
          <w:tcPr>
            <w:tcW w:w="686" w:type="pct"/>
            <w:vAlign w:val="center"/>
          </w:tcPr>
          <w:p>
            <w:pPr>
              <w:pStyle w:val="39"/>
            </w:pPr>
            <w:r>
              <w:rPr>
                <w:rFonts w:cs="Times New Roman"/>
                <w:kern w:val="0"/>
                <w:lang w:bidi="ar"/>
              </w:rPr>
              <w:t>ND</w:t>
            </w:r>
          </w:p>
        </w:tc>
        <w:tc>
          <w:tcPr>
            <w:tcW w:w="883" w:type="pct"/>
            <w:vAlign w:val="center"/>
          </w:tcPr>
          <w:p>
            <w:pPr>
              <w:pStyle w:val="39"/>
            </w:pPr>
            <w:r>
              <w:t>596</w:t>
            </w:r>
          </w:p>
        </w:tc>
        <w:tc>
          <w:tcPr>
            <w:tcW w:w="647" w:type="pct"/>
            <w:vAlign w:val="center"/>
          </w:tcPr>
          <w:p>
            <w:pPr>
              <w:pStyle w:val="39"/>
              <w:rPr>
                <w:rFonts w:eastAsia="Times New Roman"/>
              </w:rPr>
            </w:pPr>
            <w:r>
              <w:t>mg/kg</w:t>
            </w:r>
          </w:p>
        </w:tc>
        <w:tc>
          <w:tcPr>
            <w:tcW w:w="647" w:type="pct"/>
            <w:vAlign w:val="center"/>
          </w:tcPr>
          <w:p>
            <w:pPr>
              <w:pStyle w:val="39"/>
            </w:pPr>
            <w: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90" w:type="pct"/>
            <w:vMerge w:val="continue"/>
            <w:vAlign w:val="center"/>
          </w:tcPr>
          <w:p>
            <w:pPr>
              <w:pStyle w:val="39"/>
            </w:pPr>
          </w:p>
        </w:tc>
        <w:tc>
          <w:tcPr>
            <w:tcW w:w="1447" w:type="pct"/>
            <w:vAlign w:val="center"/>
          </w:tcPr>
          <w:p>
            <w:pPr>
              <w:pStyle w:val="39"/>
              <w:rPr>
                <w:rFonts w:eastAsia="Times New Roman"/>
              </w:rPr>
            </w:pPr>
            <w:r>
              <w:t>反</w:t>
            </w:r>
            <w:r>
              <w:rPr>
                <w:rFonts w:eastAsia="Times New Roman"/>
              </w:rPr>
              <w:t>-1,2-</w:t>
            </w:r>
            <w:r>
              <w:t>二氯乙烯</w:t>
            </w:r>
            <w:r>
              <w:rPr>
                <w:rFonts w:eastAsia="Times New Roman"/>
                <w:position w:val="8"/>
              </w:rPr>
              <w:t>#</w:t>
            </w:r>
          </w:p>
        </w:tc>
        <w:tc>
          <w:tcPr>
            <w:tcW w:w="686" w:type="pct"/>
            <w:vAlign w:val="center"/>
          </w:tcPr>
          <w:p>
            <w:pPr>
              <w:pStyle w:val="39"/>
            </w:pPr>
            <w:r>
              <w:rPr>
                <w:rFonts w:cs="Times New Roman"/>
                <w:kern w:val="0"/>
                <w:lang w:bidi="ar"/>
              </w:rPr>
              <w:t>ND</w:t>
            </w:r>
          </w:p>
        </w:tc>
        <w:tc>
          <w:tcPr>
            <w:tcW w:w="883" w:type="pct"/>
            <w:vAlign w:val="center"/>
          </w:tcPr>
          <w:p>
            <w:pPr>
              <w:pStyle w:val="39"/>
            </w:pPr>
            <w:r>
              <w:t>54</w:t>
            </w:r>
          </w:p>
        </w:tc>
        <w:tc>
          <w:tcPr>
            <w:tcW w:w="647" w:type="pct"/>
            <w:vAlign w:val="center"/>
          </w:tcPr>
          <w:p>
            <w:pPr>
              <w:pStyle w:val="39"/>
              <w:rPr>
                <w:rFonts w:eastAsia="Times New Roman"/>
              </w:rPr>
            </w:pPr>
            <w:r>
              <w:t>mg/kg</w:t>
            </w:r>
          </w:p>
        </w:tc>
        <w:tc>
          <w:tcPr>
            <w:tcW w:w="647" w:type="pct"/>
            <w:vAlign w:val="center"/>
          </w:tcPr>
          <w:p>
            <w:pPr>
              <w:pStyle w:val="39"/>
            </w:pPr>
            <w: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90" w:type="pct"/>
            <w:vMerge w:val="continue"/>
            <w:vAlign w:val="center"/>
          </w:tcPr>
          <w:p>
            <w:pPr>
              <w:pStyle w:val="39"/>
            </w:pPr>
          </w:p>
        </w:tc>
        <w:tc>
          <w:tcPr>
            <w:tcW w:w="1447" w:type="pct"/>
            <w:vAlign w:val="center"/>
          </w:tcPr>
          <w:p>
            <w:pPr>
              <w:pStyle w:val="39"/>
              <w:rPr>
                <w:rFonts w:eastAsia="Times New Roman"/>
              </w:rPr>
            </w:pPr>
            <w:r>
              <w:t>二氯甲烷</w:t>
            </w:r>
            <w:r>
              <w:rPr>
                <w:rFonts w:eastAsia="Times New Roman"/>
                <w:position w:val="8"/>
              </w:rPr>
              <w:t>#</w:t>
            </w:r>
          </w:p>
        </w:tc>
        <w:tc>
          <w:tcPr>
            <w:tcW w:w="686" w:type="pct"/>
            <w:vAlign w:val="center"/>
          </w:tcPr>
          <w:p>
            <w:pPr>
              <w:pStyle w:val="39"/>
            </w:pPr>
            <w:r>
              <w:rPr>
                <w:rFonts w:cs="Times New Roman"/>
                <w:kern w:val="0"/>
                <w:lang w:bidi="ar"/>
              </w:rPr>
              <w:t>ND</w:t>
            </w:r>
          </w:p>
        </w:tc>
        <w:tc>
          <w:tcPr>
            <w:tcW w:w="883" w:type="pct"/>
            <w:vAlign w:val="center"/>
          </w:tcPr>
          <w:p>
            <w:pPr>
              <w:pStyle w:val="39"/>
            </w:pPr>
            <w:r>
              <w:t>616</w:t>
            </w:r>
          </w:p>
        </w:tc>
        <w:tc>
          <w:tcPr>
            <w:tcW w:w="647" w:type="pct"/>
            <w:vAlign w:val="center"/>
          </w:tcPr>
          <w:p>
            <w:pPr>
              <w:pStyle w:val="39"/>
              <w:rPr>
                <w:rFonts w:eastAsia="Times New Roman"/>
              </w:rPr>
            </w:pPr>
            <w:r>
              <w:t>mg/kg</w:t>
            </w:r>
          </w:p>
        </w:tc>
        <w:tc>
          <w:tcPr>
            <w:tcW w:w="647" w:type="pct"/>
            <w:vAlign w:val="center"/>
          </w:tcPr>
          <w:p>
            <w:pPr>
              <w:pStyle w:val="39"/>
            </w:pPr>
            <w: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90" w:type="pct"/>
            <w:vMerge w:val="continue"/>
            <w:vAlign w:val="center"/>
          </w:tcPr>
          <w:p>
            <w:pPr>
              <w:pStyle w:val="39"/>
            </w:pPr>
          </w:p>
        </w:tc>
        <w:tc>
          <w:tcPr>
            <w:tcW w:w="1447" w:type="pct"/>
            <w:vAlign w:val="center"/>
          </w:tcPr>
          <w:p>
            <w:pPr>
              <w:pStyle w:val="39"/>
              <w:rPr>
                <w:rFonts w:eastAsia="Times New Roman"/>
              </w:rPr>
            </w:pPr>
            <w:r>
              <w:rPr>
                <w:rFonts w:eastAsia="Times New Roman"/>
              </w:rPr>
              <w:t>1,2-</w:t>
            </w:r>
            <w:r>
              <w:t>二氯丙烷</w:t>
            </w:r>
            <w:r>
              <w:rPr>
                <w:rFonts w:eastAsia="Times New Roman"/>
                <w:position w:val="8"/>
              </w:rPr>
              <w:t>#</w:t>
            </w:r>
          </w:p>
        </w:tc>
        <w:tc>
          <w:tcPr>
            <w:tcW w:w="686" w:type="pct"/>
            <w:vAlign w:val="center"/>
          </w:tcPr>
          <w:p>
            <w:pPr>
              <w:pStyle w:val="39"/>
            </w:pPr>
            <w:r>
              <w:rPr>
                <w:rFonts w:cs="Times New Roman"/>
                <w:kern w:val="0"/>
                <w:lang w:bidi="ar"/>
              </w:rPr>
              <w:t>ND</w:t>
            </w:r>
          </w:p>
        </w:tc>
        <w:tc>
          <w:tcPr>
            <w:tcW w:w="883" w:type="pct"/>
            <w:vAlign w:val="center"/>
          </w:tcPr>
          <w:p>
            <w:pPr>
              <w:pStyle w:val="39"/>
            </w:pPr>
            <w:r>
              <w:t>5</w:t>
            </w:r>
          </w:p>
        </w:tc>
        <w:tc>
          <w:tcPr>
            <w:tcW w:w="647" w:type="pct"/>
            <w:vAlign w:val="center"/>
          </w:tcPr>
          <w:p>
            <w:pPr>
              <w:pStyle w:val="39"/>
              <w:rPr>
                <w:rFonts w:eastAsia="Times New Roman"/>
              </w:rPr>
            </w:pPr>
            <w:r>
              <w:t>mg/kg</w:t>
            </w:r>
          </w:p>
        </w:tc>
        <w:tc>
          <w:tcPr>
            <w:tcW w:w="647" w:type="pct"/>
            <w:vAlign w:val="center"/>
          </w:tcPr>
          <w:p>
            <w:pPr>
              <w:pStyle w:val="39"/>
            </w:pPr>
            <w: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90" w:type="pct"/>
            <w:vMerge w:val="continue"/>
            <w:vAlign w:val="center"/>
          </w:tcPr>
          <w:p>
            <w:pPr>
              <w:pStyle w:val="39"/>
            </w:pPr>
          </w:p>
        </w:tc>
        <w:tc>
          <w:tcPr>
            <w:tcW w:w="1447" w:type="pct"/>
            <w:vAlign w:val="center"/>
          </w:tcPr>
          <w:p>
            <w:pPr>
              <w:pStyle w:val="39"/>
              <w:rPr>
                <w:rFonts w:eastAsia="Times New Roman"/>
              </w:rPr>
            </w:pPr>
            <w:r>
              <w:rPr>
                <w:rFonts w:eastAsia="Times New Roman"/>
              </w:rPr>
              <w:t>1,1,1,2-</w:t>
            </w:r>
            <w:r>
              <w:t>四氯乙烷</w:t>
            </w:r>
            <w:r>
              <w:rPr>
                <w:rFonts w:eastAsia="Times New Roman"/>
                <w:position w:val="8"/>
              </w:rPr>
              <w:t>#</w:t>
            </w:r>
          </w:p>
        </w:tc>
        <w:tc>
          <w:tcPr>
            <w:tcW w:w="686" w:type="pct"/>
            <w:vAlign w:val="center"/>
          </w:tcPr>
          <w:p>
            <w:pPr>
              <w:pStyle w:val="39"/>
            </w:pPr>
            <w:r>
              <w:rPr>
                <w:rFonts w:cs="Times New Roman"/>
                <w:kern w:val="0"/>
                <w:lang w:bidi="ar"/>
              </w:rPr>
              <w:t>ND</w:t>
            </w:r>
          </w:p>
        </w:tc>
        <w:tc>
          <w:tcPr>
            <w:tcW w:w="883" w:type="pct"/>
            <w:vAlign w:val="center"/>
          </w:tcPr>
          <w:p>
            <w:pPr>
              <w:pStyle w:val="39"/>
            </w:pPr>
            <w:r>
              <w:t>10</w:t>
            </w:r>
          </w:p>
        </w:tc>
        <w:tc>
          <w:tcPr>
            <w:tcW w:w="647" w:type="pct"/>
            <w:vAlign w:val="center"/>
          </w:tcPr>
          <w:p>
            <w:pPr>
              <w:pStyle w:val="39"/>
              <w:rPr>
                <w:rFonts w:eastAsia="Times New Roman"/>
              </w:rPr>
            </w:pPr>
            <w:r>
              <w:t>mg/kg</w:t>
            </w:r>
          </w:p>
        </w:tc>
        <w:tc>
          <w:tcPr>
            <w:tcW w:w="647" w:type="pct"/>
            <w:vAlign w:val="center"/>
          </w:tcPr>
          <w:p>
            <w:pPr>
              <w:pStyle w:val="39"/>
            </w:pPr>
            <w: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90" w:type="pct"/>
            <w:vMerge w:val="continue"/>
            <w:vAlign w:val="center"/>
          </w:tcPr>
          <w:p>
            <w:pPr>
              <w:pStyle w:val="39"/>
            </w:pPr>
          </w:p>
        </w:tc>
        <w:tc>
          <w:tcPr>
            <w:tcW w:w="1447" w:type="pct"/>
            <w:vAlign w:val="center"/>
          </w:tcPr>
          <w:p>
            <w:pPr>
              <w:pStyle w:val="39"/>
              <w:rPr>
                <w:rFonts w:eastAsia="Times New Roman"/>
              </w:rPr>
            </w:pPr>
            <w:r>
              <w:rPr>
                <w:rFonts w:eastAsia="Times New Roman"/>
              </w:rPr>
              <w:t>1,1,2,2-</w:t>
            </w:r>
            <w:r>
              <w:t>四氯乙烷</w:t>
            </w:r>
            <w:r>
              <w:rPr>
                <w:rFonts w:eastAsia="Times New Roman"/>
                <w:position w:val="8"/>
              </w:rPr>
              <w:t>#</w:t>
            </w:r>
          </w:p>
        </w:tc>
        <w:tc>
          <w:tcPr>
            <w:tcW w:w="686" w:type="pct"/>
            <w:vAlign w:val="center"/>
          </w:tcPr>
          <w:p>
            <w:pPr>
              <w:pStyle w:val="39"/>
            </w:pPr>
            <w:r>
              <w:rPr>
                <w:rFonts w:cs="Times New Roman"/>
                <w:kern w:val="0"/>
                <w:lang w:bidi="ar"/>
              </w:rPr>
              <w:t>ND</w:t>
            </w:r>
          </w:p>
        </w:tc>
        <w:tc>
          <w:tcPr>
            <w:tcW w:w="883" w:type="pct"/>
            <w:vAlign w:val="center"/>
          </w:tcPr>
          <w:p>
            <w:pPr>
              <w:pStyle w:val="39"/>
            </w:pPr>
            <w:r>
              <w:t>6.8</w:t>
            </w:r>
          </w:p>
        </w:tc>
        <w:tc>
          <w:tcPr>
            <w:tcW w:w="647" w:type="pct"/>
            <w:vAlign w:val="center"/>
          </w:tcPr>
          <w:p>
            <w:pPr>
              <w:pStyle w:val="39"/>
              <w:rPr>
                <w:rFonts w:eastAsia="Times New Roman"/>
              </w:rPr>
            </w:pPr>
            <w:r>
              <w:t>mg/kg</w:t>
            </w:r>
          </w:p>
        </w:tc>
        <w:tc>
          <w:tcPr>
            <w:tcW w:w="647" w:type="pct"/>
            <w:vAlign w:val="center"/>
          </w:tcPr>
          <w:p>
            <w:pPr>
              <w:pStyle w:val="39"/>
            </w:pPr>
            <w: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90" w:type="pct"/>
            <w:vMerge w:val="continue"/>
            <w:vAlign w:val="center"/>
          </w:tcPr>
          <w:p>
            <w:pPr>
              <w:pStyle w:val="39"/>
            </w:pPr>
          </w:p>
        </w:tc>
        <w:tc>
          <w:tcPr>
            <w:tcW w:w="1447" w:type="pct"/>
            <w:vAlign w:val="center"/>
          </w:tcPr>
          <w:p>
            <w:pPr>
              <w:pStyle w:val="39"/>
              <w:rPr>
                <w:rFonts w:eastAsia="Times New Roman"/>
              </w:rPr>
            </w:pPr>
            <w:r>
              <w:t>四氯乙烯</w:t>
            </w:r>
            <w:r>
              <w:rPr>
                <w:rFonts w:eastAsia="Times New Roman"/>
                <w:position w:val="8"/>
              </w:rPr>
              <w:t>#</w:t>
            </w:r>
          </w:p>
        </w:tc>
        <w:tc>
          <w:tcPr>
            <w:tcW w:w="686" w:type="pct"/>
            <w:vAlign w:val="center"/>
          </w:tcPr>
          <w:p>
            <w:pPr>
              <w:pStyle w:val="39"/>
            </w:pPr>
            <w:r>
              <w:rPr>
                <w:rFonts w:cs="Times New Roman"/>
                <w:kern w:val="0"/>
                <w:lang w:bidi="ar"/>
              </w:rPr>
              <w:t>ND</w:t>
            </w:r>
          </w:p>
        </w:tc>
        <w:tc>
          <w:tcPr>
            <w:tcW w:w="883" w:type="pct"/>
            <w:vAlign w:val="center"/>
          </w:tcPr>
          <w:p>
            <w:pPr>
              <w:pStyle w:val="39"/>
            </w:pPr>
            <w:r>
              <w:t>53</w:t>
            </w:r>
          </w:p>
        </w:tc>
        <w:tc>
          <w:tcPr>
            <w:tcW w:w="647" w:type="pct"/>
            <w:vAlign w:val="center"/>
          </w:tcPr>
          <w:p>
            <w:pPr>
              <w:pStyle w:val="39"/>
              <w:rPr>
                <w:rFonts w:eastAsia="Times New Roman"/>
              </w:rPr>
            </w:pPr>
            <w:r>
              <w:t>mg/kg</w:t>
            </w:r>
          </w:p>
        </w:tc>
        <w:tc>
          <w:tcPr>
            <w:tcW w:w="647" w:type="pct"/>
            <w:vAlign w:val="center"/>
          </w:tcPr>
          <w:p>
            <w:pPr>
              <w:pStyle w:val="39"/>
            </w:pPr>
            <w: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90" w:type="pct"/>
            <w:vMerge w:val="continue"/>
            <w:vAlign w:val="center"/>
          </w:tcPr>
          <w:p>
            <w:pPr>
              <w:pStyle w:val="39"/>
            </w:pPr>
          </w:p>
        </w:tc>
        <w:tc>
          <w:tcPr>
            <w:tcW w:w="1447" w:type="pct"/>
            <w:vAlign w:val="center"/>
          </w:tcPr>
          <w:p>
            <w:pPr>
              <w:pStyle w:val="39"/>
              <w:rPr>
                <w:rFonts w:eastAsia="Times New Roman"/>
              </w:rPr>
            </w:pPr>
            <w:r>
              <w:rPr>
                <w:rFonts w:eastAsia="Times New Roman"/>
              </w:rPr>
              <w:t>1,1,1-</w:t>
            </w:r>
            <w:r>
              <w:t>三氯乙烷</w:t>
            </w:r>
            <w:r>
              <w:rPr>
                <w:rFonts w:eastAsia="Times New Roman"/>
                <w:position w:val="8"/>
              </w:rPr>
              <w:t>#</w:t>
            </w:r>
          </w:p>
        </w:tc>
        <w:tc>
          <w:tcPr>
            <w:tcW w:w="686" w:type="pct"/>
            <w:vAlign w:val="center"/>
          </w:tcPr>
          <w:p>
            <w:pPr>
              <w:pStyle w:val="39"/>
            </w:pPr>
            <w:r>
              <w:rPr>
                <w:rFonts w:cs="Times New Roman"/>
                <w:kern w:val="0"/>
                <w:lang w:bidi="ar"/>
              </w:rPr>
              <w:t>ND</w:t>
            </w:r>
          </w:p>
        </w:tc>
        <w:tc>
          <w:tcPr>
            <w:tcW w:w="883" w:type="pct"/>
            <w:vAlign w:val="center"/>
          </w:tcPr>
          <w:p>
            <w:pPr>
              <w:pStyle w:val="39"/>
            </w:pPr>
            <w:r>
              <w:t>840</w:t>
            </w:r>
          </w:p>
        </w:tc>
        <w:tc>
          <w:tcPr>
            <w:tcW w:w="647" w:type="pct"/>
            <w:vAlign w:val="center"/>
          </w:tcPr>
          <w:p>
            <w:pPr>
              <w:pStyle w:val="39"/>
              <w:rPr>
                <w:rFonts w:eastAsia="Times New Roman"/>
              </w:rPr>
            </w:pPr>
            <w:r>
              <w:t>mg/kg</w:t>
            </w:r>
          </w:p>
        </w:tc>
        <w:tc>
          <w:tcPr>
            <w:tcW w:w="647" w:type="pct"/>
            <w:vAlign w:val="center"/>
          </w:tcPr>
          <w:p>
            <w:pPr>
              <w:pStyle w:val="39"/>
            </w:pPr>
            <w: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90" w:type="pct"/>
            <w:vMerge w:val="continue"/>
            <w:vAlign w:val="center"/>
          </w:tcPr>
          <w:p>
            <w:pPr>
              <w:pStyle w:val="39"/>
            </w:pPr>
          </w:p>
        </w:tc>
        <w:tc>
          <w:tcPr>
            <w:tcW w:w="1447" w:type="pct"/>
            <w:vAlign w:val="center"/>
          </w:tcPr>
          <w:p>
            <w:pPr>
              <w:pStyle w:val="39"/>
              <w:rPr>
                <w:rFonts w:eastAsia="Times New Roman"/>
              </w:rPr>
            </w:pPr>
            <w:r>
              <w:rPr>
                <w:rFonts w:eastAsia="Times New Roman"/>
              </w:rPr>
              <w:t>1,1,2-</w:t>
            </w:r>
            <w:r>
              <w:t>三氯乙烷</w:t>
            </w:r>
            <w:r>
              <w:rPr>
                <w:rFonts w:eastAsia="Times New Roman"/>
                <w:position w:val="8"/>
              </w:rPr>
              <w:t>#</w:t>
            </w:r>
          </w:p>
        </w:tc>
        <w:tc>
          <w:tcPr>
            <w:tcW w:w="686" w:type="pct"/>
            <w:vAlign w:val="center"/>
          </w:tcPr>
          <w:p>
            <w:pPr>
              <w:pStyle w:val="39"/>
            </w:pPr>
            <w:r>
              <w:rPr>
                <w:rFonts w:cs="Times New Roman"/>
                <w:kern w:val="0"/>
                <w:lang w:bidi="ar"/>
              </w:rPr>
              <w:t>ND</w:t>
            </w:r>
          </w:p>
        </w:tc>
        <w:tc>
          <w:tcPr>
            <w:tcW w:w="883" w:type="pct"/>
            <w:vAlign w:val="center"/>
          </w:tcPr>
          <w:p>
            <w:pPr>
              <w:pStyle w:val="39"/>
            </w:pPr>
            <w:r>
              <w:t>2.8</w:t>
            </w:r>
          </w:p>
        </w:tc>
        <w:tc>
          <w:tcPr>
            <w:tcW w:w="647" w:type="pct"/>
            <w:vAlign w:val="center"/>
          </w:tcPr>
          <w:p>
            <w:pPr>
              <w:pStyle w:val="39"/>
              <w:rPr>
                <w:rFonts w:eastAsia="Times New Roman"/>
              </w:rPr>
            </w:pPr>
            <w:r>
              <w:t>mg/kg</w:t>
            </w:r>
          </w:p>
        </w:tc>
        <w:tc>
          <w:tcPr>
            <w:tcW w:w="647" w:type="pct"/>
            <w:vAlign w:val="center"/>
          </w:tcPr>
          <w:p>
            <w:pPr>
              <w:pStyle w:val="39"/>
            </w:pPr>
            <w: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90" w:type="pct"/>
            <w:vMerge w:val="continue"/>
            <w:vAlign w:val="center"/>
          </w:tcPr>
          <w:p>
            <w:pPr>
              <w:pStyle w:val="39"/>
            </w:pPr>
          </w:p>
        </w:tc>
        <w:tc>
          <w:tcPr>
            <w:tcW w:w="1447" w:type="pct"/>
            <w:vAlign w:val="center"/>
          </w:tcPr>
          <w:p>
            <w:pPr>
              <w:pStyle w:val="39"/>
              <w:rPr>
                <w:rFonts w:eastAsia="Times New Roman"/>
              </w:rPr>
            </w:pPr>
            <w:r>
              <w:t>三氯乙烯</w:t>
            </w:r>
            <w:r>
              <w:rPr>
                <w:rFonts w:eastAsia="Times New Roman"/>
                <w:position w:val="8"/>
              </w:rPr>
              <w:t>#</w:t>
            </w:r>
          </w:p>
        </w:tc>
        <w:tc>
          <w:tcPr>
            <w:tcW w:w="686" w:type="pct"/>
            <w:vAlign w:val="center"/>
          </w:tcPr>
          <w:p>
            <w:pPr>
              <w:pStyle w:val="39"/>
            </w:pPr>
            <w:r>
              <w:rPr>
                <w:rFonts w:cs="Times New Roman"/>
                <w:kern w:val="0"/>
                <w:lang w:bidi="ar"/>
              </w:rPr>
              <w:t>ND</w:t>
            </w:r>
          </w:p>
        </w:tc>
        <w:tc>
          <w:tcPr>
            <w:tcW w:w="883" w:type="pct"/>
            <w:vAlign w:val="center"/>
          </w:tcPr>
          <w:p>
            <w:pPr>
              <w:pStyle w:val="39"/>
            </w:pPr>
            <w:r>
              <w:t>2.8</w:t>
            </w:r>
          </w:p>
        </w:tc>
        <w:tc>
          <w:tcPr>
            <w:tcW w:w="647" w:type="pct"/>
            <w:vAlign w:val="center"/>
          </w:tcPr>
          <w:p>
            <w:pPr>
              <w:pStyle w:val="39"/>
              <w:rPr>
                <w:rFonts w:eastAsia="Times New Roman"/>
              </w:rPr>
            </w:pPr>
            <w:r>
              <w:t>mg/kg</w:t>
            </w:r>
          </w:p>
        </w:tc>
        <w:tc>
          <w:tcPr>
            <w:tcW w:w="647" w:type="pct"/>
            <w:vAlign w:val="center"/>
          </w:tcPr>
          <w:p>
            <w:pPr>
              <w:pStyle w:val="39"/>
            </w:pPr>
            <w: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90" w:type="pct"/>
            <w:vMerge w:val="continue"/>
            <w:vAlign w:val="center"/>
          </w:tcPr>
          <w:p>
            <w:pPr>
              <w:pStyle w:val="39"/>
            </w:pPr>
          </w:p>
        </w:tc>
        <w:tc>
          <w:tcPr>
            <w:tcW w:w="1447" w:type="pct"/>
            <w:vAlign w:val="center"/>
          </w:tcPr>
          <w:p>
            <w:pPr>
              <w:pStyle w:val="39"/>
              <w:rPr>
                <w:rFonts w:eastAsia="Times New Roman"/>
              </w:rPr>
            </w:pPr>
            <w:r>
              <w:rPr>
                <w:rFonts w:eastAsia="Times New Roman"/>
              </w:rPr>
              <w:t>1,2,3-</w:t>
            </w:r>
            <w:r>
              <w:t>三氯丙烷</w:t>
            </w:r>
            <w:r>
              <w:rPr>
                <w:rFonts w:eastAsia="Times New Roman"/>
                <w:position w:val="8"/>
              </w:rPr>
              <w:t>#</w:t>
            </w:r>
          </w:p>
        </w:tc>
        <w:tc>
          <w:tcPr>
            <w:tcW w:w="686" w:type="pct"/>
            <w:vAlign w:val="center"/>
          </w:tcPr>
          <w:p>
            <w:pPr>
              <w:pStyle w:val="39"/>
            </w:pPr>
            <w:r>
              <w:rPr>
                <w:rFonts w:cs="Times New Roman"/>
                <w:kern w:val="0"/>
                <w:lang w:bidi="ar"/>
              </w:rPr>
              <w:t>ND</w:t>
            </w:r>
          </w:p>
        </w:tc>
        <w:tc>
          <w:tcPr>
            <w:tcW w:w="883" w:type="pct"/>
            <w:vAlign w:val="center"/>
          </w:tcPr>
          <w:p>
            <w:pPr>
              <w:pStyle w:val="39"/>
            </w:pPr>
            <w:r>
              <w:t>0.5</w:t>
            </w:r>
          </w:p>
        </w:tc>
        <w:tc>
          <w:tcPr>
            <w:tcW w:w="647" w:type="pct"/>
            <w:vAlign w:val="center"/>
          </w:tcPr>
          <w:p>
            <w:pPr>
              <w:pStyle w:val="39"/>
              <w:rPr>
                <w:rFonts w:eastAsia="Times New Roman"/>
              </w:rPr>
            </w:pPr>
            <w:r>
              <w:t>mg/kg</w:t>
            </w:r>
          </w:p>
        </w:tc>
        <w:tc>
          <w:tcPr>
            <w:tcW w:w="647" w:type="pct"/>
            <w:vAlign w:val="center"/>
          </w:tcPr>
          <w:p>
            <w:pPr>
              <w:pStyle w:val="39"/>
            </w:pPr>
            <w: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90" w:type="pct"/>
            <w:vMerge w:val="continue"/>
            <w:vAlign w:val="center"/>
          </w:tcPr>
          <w:p>
            <w:pPr>
              <w:pStyle w:val="39"/>
            </w:pPr>
          </w:p>
        </w:tc>
        <w:tc>
          <w:tcPr>
            <w:tcW w:w="1447" w:type="pct"/>
            <w:vAlign w:val="center"/>
          </w:tcPr>
          <w:p>
            <w:pPr>
              <w:pStyle w:val="39"/>
              <w:rPr>
                <w:rFonts w:eastAsia="Times New Roman"/>
              </w:rPr>
            </w:pPr>
            <w:r>
              <w:t>氯乙烯</w:t>
            </w:r>
            <w:r>
              <w:rPr>
                <w:rFonts w:eastAsia="Times New Roman"/>
                <w:position w:val="8"/>
              </w:rPr>
              <w:t>#</w:t>
            </w:r>
          </w:p>
        </w:tc>
        <w:tc>
          <w:tcPr>
            <w:tcW w:w="686" w:type="pct"/>
            <w:vAlign w:val="center"/>
          </w:tcPr>
          <w:p>
            <w:pPr>
              <w:pStyle w:val="39"/>
            </w:pPr>
            <w:r>
              <w:rPr>
                <w:rFonts w:cs="Times New Roman"/>
                <w:kern w:val="0"/>
                <w:lang w:bidi="ar"/>
              </w:rPr>
              <w:t>ND</w:t>
            </w:r>
          </w:p>
        </w:tc>
        <w:tc>
          <w:tcPr>
            <w:tcW w:w="883" w:type="pct"/>
            <w:vAlign w:val="center"/>
          </w:tcPr>
          <w:p>
            <w:pPr>
              <w:pStyle w:val="39"/>
            </w:pPr>
            <w:r>
              <w:t>0.43</w:t>
            </w:r>
          </w:p>
        </w:tc>
        <w:tc>
          <w:tcPr>
            <w:tcW w:w="647" w:type="pct"/>
            <w:vAlign w:val="center"/>
          </w:tcPr>
          <w:p>
            <w:pPr>
              <w:pStyle w:val="39"/>
              <w:rPr>
                <w:rFonts w:eastAsia="Times New Roman"/>
              </w:rPr>
            </w:pPr>
            <w:r>
              <w:t>mg/kg</w:t>
            </w:r>
          </w:p>
        </w:tc>
        <w:tc>
          <w:tcPr>
            <w:tcW w:w="647" w:type="pct"/>
            <w:vAlign w:val="center"/>
          </w:tcPr>
          <w:p>
            <w:pPr>
              <w:pStyle w:val="39"/>
            </w:pPr>
            <w: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90" w:type="pct"/>
            <w:vMerge w:val="continue"/>
            <w:vAlign w:val="center"/>
          </w:tcPr>
          <w:p>
            <w:pPr>
              <w:pStyle w:val="39"/>
            </w:pPr>
          </w:p>
        </w:tc>
        <w:tc>
          <w:tcPr>
            <w:tcW w:w="1447" w:type="pct"/>
            <w:vAlign w:val="center"/>
          </w:tcPr>
          <w:p>
            <w:pPr>
              <w:pStyle w:val="39"/>
              <w:rPr>
                <w:rFonts w:eastAsia="Times New Roman"/>
              </w:rPr>
            </w:pPr>
            <w:r>
              <w:rPr>
                <w:position w:val="-7"/>
              </w:rPr>
              <w:t>苯</w:t>
            </w:r>
            <w:r>
              <w:rPr>
                <w:rFonts w:eastAsia="Times New Roman"/>
              </w:rPr>
              <w:t>#</w:t>
            </w:r>
          </w:p>
        </w:tc>
        <w:tc>
          <w:tcPr>
            <w:tcW w:w="686" w:type="pct"/>
            <w:vAlign w:val="center"/>
          </w:tcPr>
          <w:p>
            <w:pPr>
              <w:pStyle w:val="39"/>
            </w:pPr>
            <w:r>
              <w:rPr>
                <w:rFonts w:cs="Times New Roman"/>
                <w:kern w:val="0"/>
                <w:lang w:bidi="ar"/>
              </w:rPr>
              <w:t>ND</w:t>
            </w:r>
          </w:p>
        </w:tc>
        <w:tc>
          <w:tcPr>
            <w:tcW w:w="883" w:type="pct"/>
            <w:vAlign w:val="center"/>
          </w:tcPr>
          <w:p>
            <w:pPr>
              <w:pStyle w:val="39"/>
            </w:pPr>
            <w:r>
              <w:t>4</w:t>
            </w:r>
          </w:p>
        </w:tc>
        <w:tc>
          <w:tcPr>
            <w:tcW w:w="647" w:type="pct"/>
            <w:vAlign w:val="center"/>
          </w:tcPr>
          <w:p>
            <w:pPr>
              <w:pStyle w:val="39"/>
              <w:rPr>
                <w:rFonts w:eastAsia="Times New Roman"/>
              </w:rPr>
            </w:pPr>
            <w:r>
              <w:t>mg/kg</w:t>
            </w:r>
          </w:p>
        </w:tc>
        <w:tc>
          <w:tcPr>
            <w:tcW w:w="647" w:type="pct"/>
            <w:vAlign w:val="center"/>
          </w:tcPr>
          <w:p>
            <w:pPr>
              <w:pStyle w:val="39"/>
            </w:pPr>
            <w: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90" w:type="pct"/>
            <w:vMerge w:val="continue"/>
            <w:vAlign w:val="center"/>
          </w:tcPr>
          <w:p>
            <w:pPr>
              <w:pStyle w:val="39"/>
            </w:pPr>
          </w:p>
        </w:tc>
        <w:tc>
          <w:tcPr>
            <w:tcW w:w="1447" w:type="pct"/>
            <w:vAlign w:val="center"/>
          </w:tcPr>
          <w:p>
            <w:pPr>
              <w:pStyle w:val="39"/>
              <w:rPr>
                <w:rFonts w:eastAsia="Times New Roman"/>
              </w:rPr>
            </w:pPr>
            <w:r>
              <w:t>氯苯</w:t>
            </w:r>
            <w:r>
              <w:rPr>
                <w:rFonts w:eastAsia="Times New Roman"/>
                <w:position w:val="8"/>
              </w:rPr>
              <w:t>#</w:t>
            </w:r>
          </w:p>
        </w:tc>
        <w:tc>
          <w:tcPr>
            <w:tcW w:w="686" w:type="pct"/>
            <w:vAlign w:val="center"/>
          </w:tcPr>
          <w:p>
            <w:pPr>
              <w:pStyle w:val="39"/>
            </w:pPr>
            <w:r>
              <w:rPr>
                <w:rFonts w:cs="Times New Roman"/>
                <w:kern w:val="0"/>
                <w:lang w:bidi="ar"/>
              </w:rPr>
              <w:t>ND</w:t>
            </w:r>
          </w:p>
        </w:tc>
        <w:tc>
          <w:tcPr>
            <w:tcW w:w="883" w:type="pct"/>
            <w:vAlign w:val="center"/>
          </w:tcPr>
          <w:p>
            <w:pPr>
              <w:pStyle w:val="39"/>
            </w:pPr>
            <w:r>
              <w:t>270</w:t>
            </w:r>
          </w:p>
        </w:tc>
        <w:tc>
          <w:tcPr>
            <w:tcW w:w="647" w:type="pct"/>
            <w:vAlign w:val="center"/>
          </w:tcPr>
          <w:p>
            <w:pPr>
              <w:pStyle w:val="39"/>
              <w:rPr>
                <w:rFonts w:eastAsia="Times New Roman"/>
              </w:rPr>
            </w:pPr>
            <w:r>
              <w:t>mg/kg</w:t>
            </w:r>
          </w:p>
        </w:tc>
        <w:tc>
          <w:tcPr>
            <w:tcW w:w="647" w:type="pct"/>
            <w:vAlign w:val="center"/>
          </w:tcPr>
          <w:p>
            <w:pPr>
              <w:pStyle w:val="39"/>
            </w:pPr>
            <w: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90" w:type="pct"/>
            <w:vMerge w:val="continue"/>
            <w:vAlign w:val="center"/>
          </w:tcPr>
          <w:p>
            <w:pPr>
              <w:pStyle w:val="39"/>
            </w:pPr>
          </w:p>
        </w:tc>
        <w:tc>
          <w:tcPr>
            <w:tcW w:w="1447" w:type="pct"/>
            <w:vAlign w:val="center"/>
          </w:tcPr>
          <w:p>
            <w:pPr>
              <w:pStyle w:val="39"/>
              <w:rPr>
                <w:rFonts w:eastAsia="Times New Roman"/>
              </w:rPr>
            </w:pPr>
            <w:r>
              <w:rPr>
                <w:rFonts w:eastAsia="Times New Roman"/>
              </w:rPr>
              <w:t>1,2-</w:t>
            </w:r>
            <w:r>
              <w:t>二氯苯</w:t>
            </w:r>
            <w:r>
              <w:rPr>
                <w:rFonts w:eastAsia="Times New Roman"/>
                <w:position w:val="8"/>
              </w:rPr>
              <w:t>#</w:t>
            </w:r>
          </w:p>
        </w:tc>
        <w:tc>
          <w:tcPr>
            <w:tcW w:w="686" w:type="pct"/>
            <w:vAlign w:val="center"/>
          </w:tcPr>
          <w:p>
            <w:pPr>
              <w:pStyle w:val="39"/>
            </w:pPr>
            <w:r>
              <w:rPr>
                <w:rFonts w:cs="Times New Roman"/>
                <w:kern w:val="0"/>
                <w:lang w:bidi="ar"/>
              </w:rPr>
              <w:t>ND</w:t>
            </w:r>
          </w:p>
        </w:tc>
        <w:tc>
          <w:tcPr>
            <w:tcW w:w="883" w:type="pct"/>
            <w:vAlign w:val="center"/>
          </w:tcPr>
          <w:p>
            <w:pPr>
              <w:pStyle w:val="39"/>
            </w:pPr>
            <w:r>
              <w:t>560</w:t>
            </w:r>
          </w:p>
        </w:tc>
        <w:tc>
          <w:tcPr>
            <w:tcW w:w="647" w:type="pct"/>
            <w:vAlign w:val="center"/>
          </w:tcPr>
          <w:p>
            <w:pPr>
              <w:pStyle w:val="39"/>
              <w:rPr>
                <w:rFonts w:eastAsia="Times New Roman"/>
              </w:rPr>
            </w:pPr>
            <w:r>
              <w:t>mg/kg</w:t>
            </w:r>
          </w:p>
        </w:tc>
        <w:tc>
          <w:tcPr>
            <w:tcW w:w="647" w:type="pct"/>
            <w:vAlign w:val="center"/>
          </w:tcPr>
          <w:p>
            <w:pPr>
              <w:pStyle w:val="39"/>
            </w:pPr>
            <w: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90" w:type="pct"/>
            <w:vMerge w:val="continue"/>
            <w:vAlign w:val="center"/>
          </w:tcPr>
          <w:p>
            <w:pPr>
              <w:pStyle w:val="39"/>
            </w:pPr>
          </w:p>
        </w:tc>
        <w:tc>
          <w:tcPr>
            <w:tcW w:w="1447" w:type="pct"/>
            <w:vAlign w:val="center"/>
          </w:tcPr>
          <w:p>
            <w:pPr>
              <w:pStyle w:val="39"/>
              <w:rPr>
                <w:rFonts w:eastAsia="Times New Roman"/>
              </w:rPr>
            </w:pPr>
            <w:r>
              <w:rPr>
                <w:rFonts w:eastAsia="Times New Roman"/>
              </w:rPr>
              <w:t>1,4</w:t>
            </w:r>
            <w:r>
              <w:rPr>
                <w:rFonts w:eastAsia="Times New Roman"/>
                <w:spacing w:val="3"/>
              </w:rPr>
              <w:t xml:space="preserve"> </w:t>
            </w:r>
            <w:r>
              <w:t>二氯苯</w:t>
            </w:r>
            <w:r>
              <w:rPr>
                <w:rFonts w:eastAsia="Times New Roman"/>
                <w:position w:val="8"/>
              </w:rPr>
              <w:t>#</w:t>
            </w:r>
          </w:p>
        </w:tc>
        <w:tc>
          <w:tcPr>
            <w:tcW w:w="686" w:type="pct"/>
            <w:vAlign w:val="center"/>
          </w:tcPr>
          <w:p>
            <w:pPr>
              <w:pStyle w:val="39"/>
            </w:pPr>
            <w:r>
              <w:rPr>
                <w:rFonts w:cs="Times New Roman"/>
                <w:kern w:val="0"/>
                <w:lang w:bidi="ar"/>
              </w:rPr>
              <w:t>ND</w:t>
            </w:r>
          </w:p>
        </w:tc>
        <w:tc>
          <w:tcPr>
            <w:tcW w:w="883" w:type="pct"/>
            <w:vAlign w:val="center"/>
          </w:tcPr>
          <w:p>
            <w:pPr>
              <w:pStyle w:val="39"/>
            </w:pPr>
            <w:r>
              <w:t>20</w:t>
            </w:r>
          </w:p>
        </w:tc>
        <w:tc>
          <w:tcPr>
            <w:tcW w:w="647" w:type="pct"/>
            <w:vAlign w:val="center"/>
          </w:tcPr>
          <w:p>
            <w:pPr>
              <w:pStyle w:val="39"/>
              <w:rPr>
                <w:rFonts w:eastAsia="Times New Roman"/>
              </w:rPr>
            </w:pPr>
            <w:r>
              <w:t>mg/kg</w:t>
            </w:r>
          </w:p>
        </w:tc>
        <w:tc>
          <w:tcPr>
            <w:tcW w:w="647" w:type="pct"/>
            <w:vAlign w:val="center"/>
          </w:tcPr>
          <w:p>
            <w:pPr>
              <w:pStyle w:val="39"/>
            </w:pPr>
            <w: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90" w:type="pct"/>
            <w:vMerge w:val="continue"/>
            <w:vAlign w:val="center"/>
          </w:tcPr>
          <w:p>
            <w:pPr>
              <w:pStyle w:val="39"/>
            </w:pPr>
          </w:p>
        </w:tc>
        <w:tc>
          <w:tcPr>
            <w:tcW w:w="1447" w:type="pct"/>
            <w:vAlign w:val="center"/>
          </w:tcPr>
          <w:p>
            <w:pPr>
              <w:pStyle w:val="39"/>
              <w:rPr>
                <w:rFonts w:eastAsia="Times New Roman"/>
              </w:rPr>
            </w:pPr>
            <w:r>
              <w:t>乙苯</w:t>
            </w:r>
            <w:r>
              <w:rPr>
                <w:rFonts w:eastAsia="Times New Roman"/>
                <w:position w:val="8"/>
              </w:rPr>
              <w:t>#</w:t>
            </w:r>
          </w:p>
        </w:tc>
        <w:tc>
          <w:tcPr>
            <w:tcW w:w="686" w:type="pct"/>
            <w:vAlign w:val="center"/>
          </w:tcPr>
          <w:p>
            <w:pPr>
              <w:pStyle w:val="39"/>
            </w:pPr>
            <w:r>
              <w:rPr>
                <w:rFonts w:cs="Times New Roman"/>
                <w:kern w:val="0"/>
                <w:lang w:bidi="ar"/>
              </w:rPr>
              <w:t>ND</w:t>
            </w:r>
          </w:p>
        </w:tc>
        <w:tc>
          <w:tcPr>
            <w:tcW w:w="883" w:type="pct"/>
            <w:vAlign w:val="center"/>
          </w:tcPr>
          <w:p>
            <w:pPr>
              <w:pStyle w:val="39"/>
            </w:pPr>
            <w:r>
              <w:t>28</w:t>
            </w:r>
          </w:p>
        </w:tc>
        <w:tc>
          <w:tcPr>
            <w:tcW w:w="647" w:type="pct"/>
            <w:vAlign w:val="center"/>
          </w:tcPr>
          <w:p>
            <w:pPr>
              <w:pStyle w:val="39"/>
              <w:rPr>
                <w:rFonts w:eastAsia="Times New Roman"/>
              </w:rPr>
            </w:pPr>
            <w:r>
              <w:t>mg/kg</w:t>
            </w:r>
          </w:p>
        </w:tc>
        <w:tc>
          <w:tcPr>
            <w:tcW w:w="647" w:type="pct"/>
            <w:vAlign w:val="center"/>
          </w:tcPr>
          <w:p>
            <w:pPr>
              <w:pStyle w:val="39"/>
            </w:pPr>
            <w: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90" w:type="pct"/>
            <w:vMerge w:val="continue"/>
            <w:vAlign w:val="center"/>
          </w:tcPr>
          <w:p>
            <w:pPr>
              <w:pStyle w:val="39"/>
            </w:pPr>
          </w:p>
        </w:tc>
        <w:tc>
          <w:tcPr>
            <w:tcW w:w="1447" w:type="pct"/>
            <w:vAlign w:val="center"/>
          </w:tcPr>
          <w:p>
            <w:pPr>
              <w:pStyle w:val="39"/>
              <w:rPr>
                <w:rFonts w:eastAsia="Times New Roman"/>
              </w:rPr>
            </w:pPr>
            <w:r>
              <w:t>苯乙烯</w:t>
            </w:r>
            <w:r>
              <w:rPr>
                <w:rFonts w:eastAsia="Times New Roman"/>
                <w:position w:val="8"/>
              </w:rPr>
              <w:t>#</w:t>
            </w:r>
          </w:p>
        </w:tc>
        <w:tc>
          <w:tcPr>
            <w:tcW w:w="686" w:type="pct"/>
            <w:vAlign w:val="center"/>
          </w:tcPr>
          <w:p>
            <w:pPr>
              <w:pStyle w:val="39"/>
            </w:pPr>
            <w:r>
              <w:rPr>
                <w:rFonts w:cs="Times New Roman"/>
                <w:kern w:val="0"/>
                <w:lang w:bidi="ar"/>
              </w:rPr>
              <w:t>ND</w:t>
            </w:r>
          </w:p>
        </w:tc>
        <w:tc>
          <w:tcPr>
            <w:tcW w:w="883" w:type="pct"/>
            <w:vAlign w:val="center"/>
          </w:tcPr>
          <w:p>
            <w:pPr>
              <w:pStyle w:val="39"/>
            </w:pPr>
            <w:r>
              <w:t>1290</w:t>
            </w:r>
          </w:p>
        </w:tc>
        <w:tc>
          <w:tcPr>
            <w:tcW w:w="647" w:type="pct"/>
            <w:vAlign w:val="center"/>
          </w:tcPr>
          <w:p>
            <w:pPr>
              <w:pStyle w:val="39"/>
              <w:rPr>
                <w:rFonts w:eastAsia="Times New Roman"/>
              </w:rPr>
            </w:pPr>
            <w:r>
              <w:t>mg/kg</w:t>
            </w:r>
          </w:p>
        </w:tc>
        <w:tc>
          <w:tcPr>
            <w:tcW w:w="647" w:type="pct"/>
            <w:vAlign w:val="center"/>
          </w:tcPr>
          <w:p>
            <w:pPr>
              <w:pStyle w:val="39"/>
            </w:pPr>
            <w: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90" w:type="pct"/>
            <w:vMerge w:val="continue"/>
            <w:vAlign w:val="center"/>
          </w:tcPr>
          <w:p>
            <w:pPr>
              <w:pStyle w:val="39"/>
            </w:pPr>
          </w:p>
        </w:tc>
        <w:tc>
          <w:tcPr>
            <w:tcW w:w="1447" w:type="pct"/>
            <w:vAlign w:val="center"/>
          </w:tcPr>
          <w:p>
            <w:pPr>
              <w:pStyle w:val="39"/>
              <w:rPr>
                <w:rFonts w:eastAsia="Times New Roman"/>
              </w:rPr>
            </w:pPr>
            <w:r>
              <w:t>甲苯</w:t>
            </w:r>
            <w:r>
              <w:rPr>
                <w:rFonts w:eastAsia="Times New Roman"/>
                <w:position w:val="8"/>
              </w:rPr>
              <w:t>#</w:t>
            </w:r>
          </w:p>
        </w:tc>
        <w:tc>
          <w:tcPr>
            <w:tcW w:w="686" w:type="pct"/>
            <w:vAlign w:val="center"/>
          </w:tcPr>
          <w:p>
            <w:pPr>
              <w:pStyle w:val="39"/>
            </w:pPr>
            <w:r>
              <w:rPr>
                <w:rFonts w:cs="Times New Roman"/>
                <w:kern w:val="0"/>
                <w:lang w:bidi="ar"/>
              </w:rPr>
              <w:t>ND</w:t>
            </w:r>
          </w:p>
        </w:tc>
        <w:tc>
          <w:tcPr>
            <w:tcW w:w="883" w:type="pct"/>
            <w:vAlign w:val="center"/>
          </w:tcPr>
          <w:p>
            <w:pPr>
              <w:pStyle w:val="39"/>
            </w:pPr>
            <w:r>
              <w:t>1200</w:t>
            </w:r>
          </w:p>
        </w:tc>
        <w:tc>
          <w:tcPr>
            <w:tcW w:w="647" w:type="pct"/>
            <w:vAlign w:val="center"/>
          </w:tcPr>
          <w:p>
            <w:pPr>
              <w:pStyle w:val="39"/>
              <w:rPr>
                <w:rFonts w:eastAsia="Times New Roman"/>
              </w:rPr>
            </w:pPr>
            <w:r>
              <w:t>mg/kg</w:t>
            </w:r>
          </w:p>
        </w:tc>
        <w:tc>
          <w:tcPr>
            <w:tcW w:w="647" w:type="pct"/>
            <w:vAlign w:val="center"/>
          </w:tcPr>
          <w:p>
            <w:pPr>
              <w:pStyle w:val="39"/>
            </w:pPr>
            <w: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90" w:type="pct"/>
            <w:vMerge w:val="continue"/>
            <w:vAlign w:val="center"/>
          </w:tcPr>
          <w:p>
            <w:pPr>
              <w:pStyle w:val="39"/>
            </w:pPr>
          </w:p>
        </w:tc>
        <w:tc>
          <w:tcPr>
            <w:tcW w:w="1447" w:type="pct"/>
            <w:vAlign w:val="center"/>
          </w:tcPr>
          <w:p>
            <w:pPr>
              <w:pStyle w:val="39"/>
              <w:rPr>
                <w:rFonts w:eastAsiaTheme="minorEastAsia"/>
              </w:rPr>
            </w:pPr>
            <w:r>
              <w:t>间二甲苯</w:t>
            </w:r>
            <w:r>
              <w:rPr>
                <w:rFonts w:eastAsia="Times New Roman"/>
              </w:rPr>
              <w:t>+</w:t>
            </w:r>
            <w:r>
              <w:t>对二甲</w:t>
            </w:r>
            <w:r>
              <w:rPr>
                <w:rFonts w:hint="eastAsia" w:eastAsiaTheme="minorEastAsia"/>
              </w:rPr>
              <w:t>苯</w:t>
            </w:r>
            <w:r>
              <w:rPr>
                <w:rFonts w:eastAsiaTheme="minorEastAsia"/>
                <w:sz w:val="28"/>
                <w:szCs w:val="28"/>
                <w:vertAlign w:val="superscript"/>
              </w:rPr>
              <w:t>#</w:t>
            </w:r>
          </w:p>
        </w:tc>
        <w:tc>
          <w:tcPr>
            <w:tcW w:w="686" w:type="pct"/>
            <w:vAlign w:val="center"/>
          </w:tcPr>
          <w:p>
            <w:pPr>
              <w:pStyle w:val="39"/>
            </w:pPr>
            <w:r>
              <w:rPr>
                <w:rFonts w:cs="Times New Roman"/>
                <w:kern w:val="0"/>
                <w:lang w:bidi="ar"/>
              </w:rPr>
              <w:t>ND</w:t>
            </w:r>
          </w:p>
        </w:tc>
        <w:tc>
          <w:tcPr>
            <w:tcW w:w="883" w:type="pct"/>
            <w:vAlign w:val="center"/>
          </w:tcPr>
          <w:p>
            <w:pPr>
              <w:pStyle w:val="39"/>
            </w:pPr>
            <w:r>
              <w:t>570</w:t>
            </w:r>
          </w:p>
        </w:tc>
        <w:tc>
          <w:tcPr>
            <w:tcW w:w="647" w:type="pct"/>
            <w:vAlign w:val="center"/>
          </w:tcPr>
          <w:p>
            <w:pPr>
              <w:pStyle w:val="39"/>
              <w:rPr>
                <w:rFonts w:eastAsia="Times New Roman"/>
              </w:rPr>
            </w:pPr>
            <w:r>
              <w:t>mg/kg</w:t>
            </w:r>
          </w:p>
        </w:tc>
        <w:tc>
          <w:tcPr>
            <w:tcW w:w="647" w:type="pct"/>
            <w:vAlign w:val="center"/>
          </w:tcPr>
          <w:p>
            <w:pPr>
              <w:pStyle w:val="39"/>
            </w:pPr>
            <w: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90" w:type="pct"/>
            <w:vMerge w:val="continue"/>
            <w:vAlign w:val="center"/>
          </w:tcPr>
          <w:p>
            <w:pPr>
              <w:pStyle w:val="39"/>
            </w:pPr>
          </w:p>
        </w:tc>
        <w:tc>
          <w:tcPr>
            <w:tcW w:w="1447" w:type="pct"/>
            <w:vAlign w:val="center"/>
          </w:tcPr>
          <w:p>
            <w:pPr>
              <w:pStyle w:val="39"/>
              <w:rPr>
                <w:rFonts w:eastAsia="Times New Roman"/>
              </w:rPr>
            </w:pPr>
            <w:r>
              <w:t>邻二甲苯</w:t>
            </w:r>
            <w:r>
              <w:rPr>
                <w:rFonts w:eastAsia="Times New Roman"/>
                <w:position w:val="8"/>
              </w:rPr>
              <w:t>#</w:t>
            </w:r>
          </w:p>
        </w:tc>
        <w:tc>
          <w:tcPr>
            <w:tcW w:w="686" w:type="pct"/>
            <w:vAlign w:val="center"/>
          </w:tcPr>
          <w:p>
            <w:pPr>
              <w:pStyle w:val="39"/>
            </w:pPr>
            <w:r>
              <w:rPr>
                <w:rFonts w:cs="Times New Roman"/>
                <w:kern w:val="0"/>
                <w:lang w:bidi="ar"/>
              </w:rPr>
              <w:t>ND</w:t>
            </w:r>
          </w:p>
        </w:tc>
        <w:tc>
          <w:tcPr>
            <w:tcW w:w="883" w:type="pct"/>
            <w:vAlign w:val="center"/>
          </w:tcPr>
          <w:p>
            <w:pPr>
              <w:pStyle w:val="39"/>
            </w:pPr>
            <w:r>
              <w:t>640</w:t>
            </w:r>
          </w:p>
        </w:tc>
        <w:tc>
          <w:tcPr>
            <w:tcW w:w="647" w:type="pct"/>
            <w:vAlign w:val="center"/>
          </w:tcPr>
          <w:p>
            <w:pPr>
              <w:pStyle w:val="39"/>
              <w:rPr>
                <w:rFonts w:eastAsia="Times New Roman"/>
              </w:rPr>
            </w:pPr>
            <w:r>
              <w:t>mg/kg</w:t>
            </w:r>
          </w:p>
        </w:tc>
        <w:tc>
          <w:tcPr>
            <w:tcW w:w="647" w:type="pct"/>
            <w:vAlign w:val="center"/>
          </w:tcPr>
          <w:p>
            <w:pPr>
              <w:pStyle w:val="39"/>
            </w:pPr>
            <w: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90" w:type="pct"/>
            <w:vMerge w:val="continue"/>
            <w:vAlign w:val="center"/>
          </w:tcPr>
          <w:p>
            <w:pPr>
              <w:pStyle w:val="39"/>
            </w:pPr>
          </w:p>
        </w:tc>
        <w:tc>
          <w:tcPr>
            <w:tcW w:w="1447" w:type="pct"/>
            <w:vAlign w:val="center"/>
          </w:tcPr>
          <w:p>
            <w:pPr>
              <w:pStyle w:val="39"/>
              <w:rPr>
                <w:rFonts w:eastAsia="Times New Roman"/>
              </w:rPr>
            </w:pPr>
            <w:r>
              <w:t>硝基苯</w:t>
            </w:r>
            <w:r>
              <w:rPr>
                <w:rFonts w:eastAsia="Times New Roman"/>
                <w:position w:val="8"/>
              </w:rPr>
              <w:t>#</w:t>
            </w:r>
          </w:p>
        </w:tc>
        <w:tc>
          <w:tcPr>
            <w:tcW w:w="686" w:type="pct"/>
            <w:vAlign w:val="center"/>
          </w:tcPr>
          <w:p>
            <w:pPr>
              <w:pStyle w:val="39"/>
            </w:pPr>
            <w:r>
              <w:rPr>
                <w:rFonts w:cs="Times New Roman"/>
                <w:kern w:val="0"/>
                <w:lang w:bidi="ar"/>
              </w:rPr>
              <w:t>ND</w:t>
            </w:r>
          </w:p>
        </w:tc>
        <w:tc>
          <w:tcPr>
            <w:tcW w:w="883" w:type="pct"/>
            <w:vAlign w:val="center"/>
          </w:tcPr>
          <w:p>
            <w:pPr>
              <w:pStyle w:val="39"/>
            </w:pPr>
            <w:r>
              <w:t>76</w:t>
            </w:r>
          </w:p>
        </w:tc>
        <w:tc>
          <w:tcPr>
            <w:tcW w:w="647" w:type="pct"/>
            <w:vAlign w:val="center"/>
          </w:tcPr>
          <w:p>
            <w:pPr>
              <w:pStyle w:val="39"/>
              <w:rPr>
                <w:rFonts w:eastAsia="Times New Roman"/>
              </w:rPr>
            </w:pPr>
            <w:r>
              <w:t>mg/kg</w:t>
            </w:r>
          </w:p>
        </w:tc>
        <w:tc>
          <w:tcPr>
            <w:tcW w:w="647" w:type="pct"/>
            <w:vAlign w:val="center"/>
          </w:tcPr>
          <w:p>
            <w:pPr>
              <w:pStyle w:val="39"/>
            </w:pPr>
            <w: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90" w:type="pct"/>
            <w:vMerge w:val="continue"/>
            <w:vAlign w:val="center"/>
          </w:tcPr>
          <w:p>
            <w:pPr>
              <w:pStyle w:val="39"/>
            </w:pPr>
          </w:p>
        </w:tc>
        <w:tc>
          <w:tcPr>
            <w:tcW w:w="1447" w:type="pct"/>
            <w:vAlign w:val="center"/>
          </w:tcPr>
          <w:p>
            <w:pPr>
              <w:pStyle w:val="39"/>
              <w:rPr>
                <w:rFonts w:eastAsia="Times New Roman"/>
              </w:rPr>
            </w:pPr>
            <w:r>
              <w:t>苯胺</w:t>
            </w:r>
            <w:r>
              <w:rPr>
                <w:rFonts w:eastAsia="Times New Roman"/>
                <w:position w:val="8"/>
              </w:rPr>
              <w:t>#</w:t>
            </w:r>
          </w:p>
        </w:tc>
        <w:tc>
          <w:tcPr>
            <w:tcW w:w="686" w:type="pct"/>
            <w:vAlign w:val="center"/>
          </w:tcPr>
          <w:p>
            <w:pPr>
              <w:pStyle w:val="39"/>
            </w:pPr>
            <w:r>
              <w:rPr>
                <w:rFonts w:cs="Times New Roman"/>
                <w:kern w:val="0"/>
                <w:lang w:bidi="ar"/>
              </w:rPr>
              <w:t>ND</w:t>
            </w:r>
          </w:p>
        </w:tc>
        <w:tc>
          <w:tcPr>
            <w:tcW w:w="883" w:type="pct"/>
            <w:vAlign w:val="center"/>
          </w:tcPr>
          <w:p>
            <w:pPr>
              <w:pStyle w:val="39"/>
            </w:pPr>
            <w:r>
              <w:t>260</w:t>
            </w:r>
          </w:p>
        </w:tc>
        <w:tc>
          <w:tcPr>
            <w:tcW w:w="647" w:type="pct"/>
            <w:vAlign w:val="center"/>
          </w:tcPr>
          <w:p>
            <w:pPr>
              <w:pStyle w:val="39"/>
              <w:rPr>
                <w:rFonts w:eastAsia="Times New Roman"/>
              </w:rPr>
            </w:pPr>
            <w:r>
              <w:t>mg/kg</w:t>
            </w:r>
          </w:p>
        </w:tc>
        <w:tc>
          <w:tcPr>
            <w:tcW w:w="647" w:type="pct"/>
            <w:vAlign w:val="center"/>
          </w:tcPr>
          <w:p>
            <w:pPr>
              <w:pStyle w:val="39"/>
            </w:pPr>
            <w: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90" w:type="pct"/>
            <w:vMerge w:val="continue"/>
            <w:vAlign w:val="center"/>
          </w:tcPr>
          <w:p>
            <w:pPr>
              <w:pStyle w:val="39"/>
            </w:pPr>
          </w:p>
        </w:tc>
        <w:tc>
          <w:tcPr>
            <w:tcW w:w="1447" w:type="pct"/>
            <w:vAlign w:val="center"/>
          </w:tcPr>
          <w:p>
            <w:pPr>
              <w:pStyle w:val="39"/>
              <w:rPr>
                <w:rFonts w:eastAsia="Times New Roman"/>
              </w:rPr>
            </w:pPr>
            <w:r>
              <w:rPr>
                <w:rFonts w:eastAsia="Times New Roman"/>
              </w:rPr>
              <w:t>2-</w:t>
            </w:r>
            <w:r>
              <w:t>氯酚</w:t>
            </w:r>
            <w:r>
              <w:rPr>
                <w:rFonts w:eastAsia="Times New Roman"/>
                <w:position w:val="8"/>
              </w:rPr>
              <w:t>#</w:t>
            </w:r>
          </w:p>
        </w:tc>
        <w:tc>
          <w:tcPr>
            <w:tcW w:w="686" w:type="pct"/>
            <w:vAlign w:val="center"/>
          </w:tcPr>
          <w:p>
            <w:pPr>
              <w:pStyle w:val="39"/>
            </w:pPr>
            <w:r>
              <w:rPr>
                <w:rFonts w:cs="Times New Roman"/>
                <w:kern w:val="0"/>
                <w:lang w:bidi="ar"/>
              </w:rPr>
              <w:t>ND</w:t>
            </w:r>
          </w:p>
        </w:tc>
        <w:tc>
          <w:tcPr>
            <w:tcW w:w="883" w:type="pct"/>
            <w:vAlign w:val="center"/>
          </w:tcPr>
          <w:p>
            <w:pPr>
              <w:pStyle w:val="39"/>
            </w:pPr>
            <w:r>
              <w:t>2556</w:t>
            </w:r>
          </w:p>
        </w:tc>
        <w:tc>
          <w:tcPr>
            <w:tcW w:w="647" w:type="pct"/>
            <w:vAlign w:val="center"/>
          </w:tcPr>
          <w:p>
            <w:pPr>
              <w:pStyle w:val="39"/>
              <w:rPr>
                <w:rFonts w:eastAsia="Times New Roman"/>
              </w:rPr>
            </w:pPr>
            <w:r>
              <w:t>mg/kg</w:t>
            </w:r>
          </w:p>
        </w:tc>
        <w:tc>
          <w:tcPr>
            <w:tcW w:w="647" w:type="pct"/>
            <w:vAlign w:val="center"/>
          </w:tcPr>
          <w:p>
            <w:pPr>
              <w:pStyle w:val="39"/>
            </w:pPr>
            <w: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90" w:type="pct"/>
            <w:vMerge w:val="continue"/>
            <w:vAlign w:val="center"/>
          </w:tcPr>
          <w:p>
            <w:pPr>
              <w:pStyle w:val="39"/>
            </w:pPr>
          </w:p>
        </w:tc>
        <w:tc>
          <w:tcPr>
            <w:tcW w:w="1447" w:type="pct"/>
            <w:vAlign w:val="center"/>
          </w:tcPr>
          <w:p>
            <w:pPr>
              <w:pStyle w:val="39"/>
              <w:rPr>
                <w:rFonts w:eastAsia="Times New Roman"/>
              </w:rPr>
            </w:pPr>
            <w:r>
              <w:t>苯并</w:t>
            </w:r>
            <w:r>
              <w:rPr>
                <w:rFonts w:eastAsia="Times New Roman"/>
              </w:rPr>
              <w:t>[a]</w:t>
            </w:r>
            <w:r>
              <w:t>蒽</w:t>
            </w:r>
            <w:r>
              <w:rPr>
                <w:rFonts w:eastAsia="Times New Roman"/>
                <w:position w:val="8"/>
              </w:rPr>
              <w:t>#</w:t>
            </w:r>
          </w:p>
        </w:tc>
        <w:tc>
          <w:tcPr>
            <w:tcW w:w="686" w:type="pct"/>
            <w:vAlign w:val="center"/>
          </w:tcPr>
          <w:p>
            <w:pPr>
              <w:pStyle w:val="39"/>
            </w:pPr>
            <w:r>
              <w:rPr>
                <w:rFonts w:cs="Times New Roman"/>
                <w:kern w:val="0"/>
                <w:lang w:bidi="ar"/>
              </w:rPr>
              <w:t>ND</w:t>
            </w:r>
          </w:p>
        </w:tc>
        <w:tc>
          <w:tcPr>
            <w:tcW w:w="883" w:type="pct"/>
            <w:vAlign w:val="center"/>
          </w:tcPr>
          <w:p>
            <w:pPr>
              <w:pStyle w:val="39"/>
            </w:pPr>
            <w:r>
              <w:t>15</w:t>
            </w:r>
          </w:p>
        </w:tc>
        <w:tc>
          <w:tcPr>
            <w:tcW w:w="647" w:type="pct"/>
            <w:vAlign w:val="center"/>
          </w:tcPr>
          <w:p>
            <w:pPr>
              <w:pStyle w:val="39"/>
              <w:rPr>
                <w:rFonts w:eastAsia="Times New Roman"/>
              </w:rPr>
            </w:pPr>
            <w:r>
              <w:t>mg/kg</w:t>
            </w:r>
          </w:p>
        </w:tc>
        <w:tc>
          <w:tcPr>
            <w:tcW w:w="647" w:type="pct"/>
            <w:vAlign w:val="center"/>
          </w:tcPr>
          <w:p>
            <w:pPr>
              <w:pStyle w:val="39"/>
            </w:pPr>
            <w: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90" w:type="pct"/>
            <w:vMerge w:val="continue"/>
            <w:vAlign w:val="center"/>
          </w:tcPr>
          <w:p>
            <w:pPr>
              <w:pStyle w:val="39"/>
            </w:pPr>
          </w:p>
        </w:tc>
        <w:tc>
          <w:tcPr>
            <w:tcW w:w="1447" w:type="pct"/>
            <w:vAlign w:val="center"/>
          </w:tcPr>
          <w:p>
            <w:pPr>
              <w:pStyle w:val="39"/>
              <w:rPr>
                <w:rFonts w:eastAsia="Times New Roman"/>
              </w:rPr>
            </w:pPr>
            <w:r>
              <w:t>苯并</w:t>
            </w:r>
            <w:r>
              <w:rPr>
                <w:rFonts w:eastAsia="Times New Roman"/>
              </w:rPr>
              <w:t>[a]</w:t>
            </w:r>
            <w:r>
              <w:t>芘</w:t>
            </w:r>
            <w:r>
              <w:rPr>
                <w:rFonts w:eastAsia="Times New Roman"/>
                <w:position w:val="8"/>
              </w:rPr>
              <w:t>#</w:t>
            </w:r>
          </w:p>
        </w:tc>
        <w:tc>
          <w:tcPr>
            <w:tcW w:w="686" w:type="pct"/>
            <w:vAlign w:val="center"/>
          </w:tcPr>
          <w:p>
            <w:pPr>
              <w:pStyle w:val="39"/>
            </w:pPr>
            <w:r>
              <w:rPr>
                <w:rFonts w:cs="Times New Roman"/>
                <w:kern w:val="0"/>
                <w:lang w:bidi="ar"/>
              </w:rPr>
              <w:t>ND</w:t>
            </w:r>
          </w:p>
        </w:tc>
        <w:tc>
          <w:tcPr>
            <w:tcW w:w="883" w:type="pct"/>
            <w:vAlign w:val="center"/>
          </w:tcPr>
          <w:p>
            <w:pPr>
              <w:pStyle w:val="39"/>
            </w:pPr>
            <w:r>
              <w:t>1.5</w:t>
            </w:r>
          </w:p>
        </w:tc>
        <w:tc>
          <w:tcPr>
            <w:tcW w:w="647" w:type="pct"/>
            <w:vAlign w:val="center"/>
          </w:tcPr>
          <w:p>
            <w:pPr>
              <w:pStyle w:val="39"/>
              <w:rPr>
                <w:rFonts w:eastAsia="Times New Roman"/>
              </w:rPr>
            </w:pPr>
            <w:r>
              <w:t>mg/kg</w:t>
            </w:r>
          </w:p>
        </w:tc>
        <w:tc>
          <w:tcPr>
            <w:tcW w:w="647" w:type="pct"/>
            <w:vAlign w:val="center"/>
          </w:tcPr>
          <w:p>
            <w:pPr>
              <w:pStyle w:val="39"/>
            </w:pPr>
            <w: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90" w:type="pct"/>
            <w:vMerge w:val="continue"/>
            <w:vAlign w:val="center"/>
          </w:tcPr>
          <w:p>
            <w:pPr>
              <w:pStyle w:val="39"/>
            </w:pPr>
          </w:p>
        </w:tc>
        <w:tc>
          <w:tcPr>
            <w:tcW w:w="1447" w:type="pct"/>
            <w:vAlign w:val="center"/>
          </w:tcPr>
          <w:p>
            <w:pPr>
              <w:pStyle w:val="39"/>
              <w:rPr>
                <w:rFonts w:eastAsia="Times New Roman"/>
              </w:rPr>
            </w:pPr>
            <w:r>
              <w:t>苯并</w:t>
            </w:r>
            <w:r>
              <w:rPr>
                <w:rFonts w:eastAsia="Times New Roman"/>
              </w:rPr>
              <w:t>[b]</w:t>
            </w:r>
            <w:r>
              <w:t>荧蒽</w:t>
            </w:r>
            <w:r>
              <w:rPr>
                <w:rFonts w:eastAsia="Times New Roman"/>
                <w:position w:val="8"/>
              </w:rPr>
              <w:t>#</w:t>
            </w:r>
          </w:p>
        </w:tc>
        <w:tc>
          <w:tcPr>
            <w:tcW w:w="686" w:type="pct"/>
            <w:vAlign w:val="center"/>
          </w:tcPr>
          <w:p>
            <w:pPr>
              <w:pStyle w:val="39"/>
            </w:pPr>
            <w:r>
              <w:rPr>
                <w:rFonts w:cs="Times New Roman"/>
                <w:kern w:val="0"/>
                <w:lang w:bidi="ar"/>
              </w:rPr>
              <w:t>ND</w:t>
            </w:r>
          </w:p>
        </w:tc>
        <w:tc>
          <w:tcPr>
            <w:tcW w:w="883" w:type="pct"/>
            <w:vAlign w:val="center"/>
          </w:tcPr>
          <w:p>
            <w:pPr>
              <w:pStyle w:val="39"/>
            </w:pPr>
            <w:r>
              <w:t>15</w:t>
            </w:r>
          </w:p>
        </w:tc>
        <w:tc>
          <w:tcPr>
            <w:tcW w:w="647" w:type="pct"/>
            <w:vAlign w:val="center"/>
          </w:tcPr>
          <w:p>
            <w:pPr>
              <w:pStyle w:val="39"/>
              <w:rPr>
                <w:rFonts w:eastAsia="Times New Roman"/>
              </w:rPr>
            </w:pPr>
            <w:r>
              <w:t>mg/kg</w:t>
            </w:r>
          </w:p>
        </w:tc>
        <w:tc>
          <w:tcPr>
            <w:tcW w:w="647" w:type="pct"/>
            <w:vAlign w:val="center"/>
          </w:tcPr>
          <w:p>
            <w:pPr>
              <w:pStyle w:val="39"/>
            </w:pPr>
            <w: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90" w:type="pct"/>
            <w:vMerge w:val="continue"/>
            <w:vAlign w:val="center"/>
          </w:tcPr>
          <w:p>
            <w:pPr>
              <w:pStyle w:val="39"/>
            </w:pPr>
          </w:p>
        </w:tc>
        <w:tc>
          <w:tcPr>
            <w:tcW w:w="1447" w:type="pct"/>
            <w:vAlign w:val="center"/>
          </w:tcPr>
          <w:p>
            <w:pPr>
              <w:pStyle w:val="39"/>
              <w:rPr>
                <w:rFonts w:eastAsia="Times New Roman"/>
              </w:rPr>
            </w:pPr>
            <w:r>
              <w:t>苯并</w:t>
            </w:r>
            <w:r>
              <w:rPr>
                <w:rFonts w:eastAsia="Times New Roman"/>
              </w:rPr>
              <w:t>[k]</w:t>
            </w:r>
            <w:r>
              <w:t>荧蒽</w:t>
            </w:r>
            <w:r>
              <w:rPr>
                <w:rFonts w:eastAsia="Times New Roman"/>
                <w:position w:val="8"/>
              </w:rPr>
              <w:t>#</w:t>
            </w:r>
          </w:p>
        </w:tc>
        <w:tc>
          <w:tcPr>
            <w:tcW w:w="686" w:type="pct"/>
            <w:vAlign w:val="center"/>
          </w:tcPr>
          <w:p>
            <w:pPr>
              <w:pStyle w:val="39"/>
            </w:pPr>
            <w:r>
              <w:rPr>
                <w:rFonts w:cs="Times New Roman"/>
                <w:kern w:val="0"/>
                <w:lang w:bidi="ar"/>
              </w:rPr>
              <w:t>ND</w:t>
            </w:r>
          </w:p>
        </w:tc>
        <w:tc>
          <w:tcPr>
            <w:tcW w:w="883" w:type="pct"/>
            <w:vAlign w:val="center"/>
          </w:tcPr>
          <w:p>
            <w:pPr>
              <w:pStyle w:val="39"/>
            </w:pPr>
            <w:r>
              <w:t>151</w:t>
            </w:r>
          </w:p>
        </w:tc>
        <w:tc>
          <w:tcPr>
            <w:tcW w:w="647" w:type="pct"/>
            <w:vAlign w:val="center"/>
          </w:tcPr>
          <w:p>
            <w:pPr>
              <w:pStyle w:val="39"/>
              <w:rPr>
                <w:rFonts w:eastAsia="Times New Roman"/>
              </w:rPr>
            </w:pPr>
            <w:r>
              <w:t>mg/kg</w:t>
            </w:r>
          </w:p>
        </w:tc>
        <w:tc>
          <w:tcPr>
            <w:tcW w:w="647" w:type="pct"/>
            <w:vAlign w:val="center"/>
          </w:tcPr>
          <w:p>
            <w:pPr>
              <w:pStyle w:val="39"/>
            </w:pPr>
            <w: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90" w:type="pct"/>
            <w:vMerge w:val="continue"/>
            <w:vAlign w:val="center"/>
          </w:tcPr>
          <w:p>
            <w:pPr>
              <w:pStyle w:val="39"/>
            </w:pPr>
          </w:p>
        </w:tc>
        <w:tc>
          <w:tcPr>
            <w:tcW w:w="1447" w:type="pct"/>
            <w:vAlign w:val="center"/>
          </w:tcPr>
          <w:p>
            <w:pPr>
              <w:pStyle w:val="39"/>
              <w:rPr>
                <w:rFonts w:eastAsia="Times New Roman"/>
              </w:rPr>
            </w:pPr>
            <w:r>
              <w:rPr>
                <w:position w:val="-7"/>
              </w:rPr>
              <w:t>䓛</w:t>
            </w:r>
            <w:r>
              <w:rPr>
                <w:rFonts w:eastAsia="Times New Roman"/>
              </w:rPr>
              <w:t>#</w:t>
            </w:r>
          </w:p>
        </w:tc>
        <w:tc>
          <w:tcPr>
            <w:tcW w:w="686" w:type="pct"/>
            <w:vAlign w:val="center"/>
          </w:tcPr>
          <w:p>
            <w:pPr>
              <w:pStyle w:val="39"/>
            </w:pPr>
            <w:r>
              <w:rPr>
                <w:rFonts w:cs="Times New Roman"/>
                <w:kern w:val="0"/>
                <w:lang w:bidi="ar"/>
              </w:rPr>
              <w:t>ND</w:t>
            </w:r>
          </w:p>
        </w:tc>
        <w:tc>
          <w:tcPr>
            <w:tcW w:w="883" w:type="pct"/>
            <w:vAlign w:val="center"/>
          </w:tcPr>
          <w:p>
            <w:pPr>
              <w:pStyle w:val="39"/>
            </w:pPr>
            <w:r>
              <w:t>1293</w:t>
            </w:r>
          </w:p>
        </w:tc>
        <w:tc>
          <w:tcPr>
            <w:tcW w:w="647" w:type="pct"/>
            <w:vAlign w:val="center"/>
          </w:tcPr>
          <w:p>
            <w:pPr>
              <w:pStyle w:val="39"/>
              <w:rPr>
                <w:rFonts w:eastAsia="Times New Roman"/>
              </w:rPr>
            </w:pPr>
            <w:r>
              <w:t>mg/kg</w:t>
            </w:r>
          </w:p>
        </w:tc>
        <w:tc>
          <w:tcPr>
            <w:tcW w:w="647" w:type="pct"/>
            <w:vAlign w:val="center"/>
          </w:tcPr>
          <w:p>
            <w:pPr>
              <w:pStyle w:val="39"/>
            </w:pPr>
            <w: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90" w:type="pct"/>
            <w:vMerge w:val="continue"/>
            <w:vAlign w:val="center"/>
          </w:tcPr>
          <w:p>
            <w:pPr>
              <w:pStyle w:val="39"/>
            </w:pPr>
          </w:p>
        </w:tc>
        <w:tc>
          <w:tcPr>
            <w:tcW w:w="1447" w:type="pct"/>
            <w:vAlign w:val="center"/>
          </w:tcPr>
          <w:p>
            <w:pPr>
              <w:pStyle w:val="39"/>
              <w:rPr>
                <w:rFonts w:eastAsia="Times New Roman"/>
              </w:rPr>
            </w:pPr>
            <w:r>
              <w:t>二苯并</w:t>
            </w:r>
            <w:r>
              <w:rPr>
                <w:rFonts w:eastAsia="Times New Roman"/>
              </w:rPr>
              <w:t>[a</w:t>
            </w:r>
            <w:r>
              <w:t>，</w:t>
            </w:r>
            <w:r>
              <w:rPr>
                <w:rFonts w:eastAsia="Times New Roman"/>
              </w:rPr>
              <w:t>h]</w:t>
            </w:r>
            <w:r>
              <w:t>蒽</w:t>
            </w:r>
            <w:r>
              <w:rPr>
                <w:rFonts w:eastAsia="Times New Roman"/>
                <w:position w:val="8"/>
              </w:rPr>
              <w:t>#</w:t>
            </w:r>
          </w:p>
        </w:tc>
        <w:tc>
          <w:tcPr>
            <w:tcW w:w="686" w:type="pct"/>
            <w:vAlign w:val="center"/>
          </w:tcPr>
          <w:p>
            <w:pPr>
              <w:pStyle w:val="39"/>
            </w:pPr>
            <w:r>
              <w:rPr>
                <w:rFonts w:cs="Times New Roman"/>
                <w:kern w:val="0"/>
                <w:lang w:bidi="ar"/>
              </w:rPr>
              <w:t>ND</w:t>
            </w:r>
          </w:p>
        </w:tc>
        <w:tc>
          <w:tcPr>
            <w:tcW w:w="883" w:type="pct"/>
            <w:vAlign w:val="center"/>
          </w:tcPr>
          <w:p>
            <w:pPr>
              <w:pStyle w:val="39"/>
            </w:pPr>
            <w:r>
              <w:t>1.5</w:t>
            </w:r>
          </w:p>
        </w:tc>
        <w:tc>
          <w:tcPr>
            <w:tcW w:w="647" w:type="pct"/>
            <w:vAlign w:val="center"/>
          </w:tcPr>
          <w:p>
            <w:pPr>
              <w:pStyle w:val="39"/>
              <w:rPr>
                <w:rFonts w:eastAsia="Times New Roman"/>
              </w:rPr>
            </w:pPr>
            <w:r>
              <w:t>mg/kg</w:t>
            </w:r>
          </w:p>
        </w:tc>
        <w:tc>
          <w:tcPr>
            <w:tcW w:w="647" w:type="pct"/>
            <w:vAlign w:val="center"/>
          </w:tcPr>
          <w:p>
            <w:pPr>
              <w:pStyle w:val="39"/>
            </w:pPr>
            <w: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90" w:type="pct"/>
            <w:vMerge w:val="continue"/>
            <w:vAlign w:val="center"/>
          </w:tcPr>
          <w:p>
            <w:pPr>
              <w:pStyle w:val="39"/>
            </w:pPr>
          </w:p>
        </w:tc>
        <w:tc>
          <w:tcPr>
            <w:tcW w:w="1447" w:type="pct"/>
            <w:vAlign w:val="center"/>
          </w:tcPr>
          <w:p>
            <w:pPr>
              <w:pStyle w:val="39"/>
              <w:rPr>
                <w:rFonts w:eastAsia="Times New Roman"/>
              </w:rPr>
            </w:pPr>
            <w:r>
              <w:t>茚并</w:t>
            </w:r>
            <w:r>
              <w:rPr>
                <w:rFonts w:eastAsia="Times New Roman"/>
              </w:rPr>
              <w:t>[1,2,3-cd]</w:t>
            </w:r>
            <w:r>
              <w:t>芘</w:t>
            </w:r>
            <w:r>
              <w:rPr>
                <w:rFonts w:eastAsia="Times New Roman"/>
                <w:position w:val="8"/>
              </w:rPr>
              <w:t>#</w:t>
            </w:r>
          </w:p>
        </w:tc>
        <w:tc>
          <w:tcPr>
            <w:tcW w:w="686" w:type="pct"/>
            <w:vAlign w:val="center"/>
          </w:tcPr>
          <w:p>
            <w:pPr>
              <w:pStyle w:val="39"/>
            </w:pPr>
            <w:r>
              <w:rPr>
                <w:rFonts w:cs="Times New Roman"/>
                <w:kern w:val="0"/>
                <w:lang w:bidi="ar"/>
              </w:rPr>
              <w:t>ND</w:t>
            </w:r>
          </w:p>
        </w:tc>
        <w:tc>
          <w:tcPr>
            <w:tcW w:w="883" w:type="pct"/>
            <w:vAlign w:val="center"/>
          </w:tcPr>
          <w:p>
            <w:pPr>
              <w:pStyle w:val="39"/>
            </w:pPr>
            <w:r>
              <w:t>15</w:t>
            </w:r>
          </w:p>
        </w:tc>
        <w:tc>
          <w:tcPr>
            <w:tcW w:w="647" w:type="pct"/>
            <w:vAlign w:val="center"/>
          </w:tcPr>
          <w:p>
            <w:pPr>
              <w:pStyle w:val="39"/>
              <w:rPr>
                <w:rFonts w:eastAsia="Times New Roman"/>
              </w:rPr>
            </w:pPr>
            <w:r>
              <w:t>mg/kg</w:t>
            </w:r>
          </w:p>
        </w:tc>
        <w:tc>
          <w:tcPr>
            <w:tcW w:w="647" w:type="pct"/>
            <w:vAlign w:val="center"/>
          </w:tcPr>
          <w:p>
            <w:pPr>
              <w:pStyle w:val="39"/>
            </w:pPr>
            <w: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90" w:type="pct"/>
            <w:vMerge w:val="continue"/>
            <w:vAlign w:val="center"/>
          </w:tcPr>
          <w:p>
            <w:pPr>
              <w:pStyle w:val="39"/>
            </w:pPr>
          </w:p>
        </w:tc>
        <w:tc>
          <w:tcPr>
            <w:tcW w:w="1447" w:type="pct"/>
            <w:vAlign w:val="center"/>
          </w:tcPr>
          <w:p>
            <w:pPr>
              <w:pStyle w:val="39"/>
              <w:rPr>
                <w:rFonts w:eastAsia="Times New Roman"/>
              </w:rPr>
            </w:pPr>
            <w:r>
              <w:rPr>
                <w:position w:val="-7"/>
              </w:rPr>
              <w:t>萘</w:t>
            </w:r>
            <w:r>
              <w:rPr>
                <w:rFonts w:eastAsia="Times New Roman"/>
              </w:rPr>
              <w:t>#</w:t>
            </w:r>
          </w:p>
        </w:tc>
        <w:tc>
          <w:tcPr>
            <w:tcW w:w="686" w:type="pct"/>
            <w:vAlign w:val="center"/>
          </w:tcPr>
          <w:p>
            <w:pPr>
              <w:pStyle w:val="39"/>
            </w:pPr>
            <w:r>
              <w:rPr>
                <w:rFonts w:cs="Times New Roman"/>
                <w:kern w:val="0"/>
                <w:lang w:bidi="ar"/>
              </w:rPr>
              <w:t>ND</w:t>
            </w:r>
          </w:p>
        </w:tc>
        <w:tc>
          <w:tcPr>
            <w:tcW w:w="883" w:type="pct"/>
            <w:vAlign w:val="center"/>
          </w:tcPr>
          <w:p>
            <w:pPr>
              <w:pStyle w:val="39"/>
            </w:pPr>
            <w:r>
              <w:t>70</w:t>
            </w:r>
          </w:p>
        </w:tc>
        <w:tc>
          <w:tcPr>
            <w:tcW w:w="647" w:type="pct"/>
            <w:vAlign w:val="center"/>
          </w:tcPr>
          <w:p>
            <w:pPr>
              <w:pStyle w:val="39"/>
              <w:rPr>
                <w:rFonts w:eastAsia="Times New Roman"/>
              </w:rPr>
            </w:pPr>
            <w:r>
              <w:t>mg/kg</w:t>
            </w:r>
          </w:p>
        </w:tc>
        <w:tc>
          <w:tcPr>
            <w:tcW w:w="647" w:type="pct"/>
            <w:vAlign w:val="center"/>
          </w:tcPr>
          <w:p>
            <w:pPr>
              <w:pStyle w:val="39"/>
            </w:pPr>
            <w: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90" w:type="pct"/>
            <w:vMerge w:val="restart"/>
            <w:vAlign w:val="center"/>
          </w:tcPr>
          <w:p>
            <w:pPr>
              <w:pStyle w:val="39"/>
            </w:pPr>
            <w:r>
              <w:rPr>
                <w:rFonts w:eastAsia="Times New Roman"/>
              </w:rPr>
              <w:t>T2</w:t>
            </w:r>
            <w:r>
              <w:rPr>
                <w:rFonts w:eastAsia="Times New Roman"/>
                <w:spacing w:val="-1"/>
              </w:rPr>
              <w:t xml:space="preserve"> </w:t>
            </w:r>
            <w:r>
              <w:t>厂址内东北角</w:t>
            </w:r>
          </w:p>
        </w:tc>
        <w:tc>
          <w:tcPr>
            <w:tcW w:w="1447" w:type="pct"/>
            <w:vAlign w:val="center"/>
          </w:tcPr>
          <w:p>
            <w:pPr>
              <w:pStyle w:val="39"/>
            </w:pPr>
            <w:r>
              <w:rPr>
                <w:rFonts w:eastAsia="Times New Roman"/>
              </w:rPr>
              <w:t>pH</w:t>
            </w:r>
            <w:r>
              <w:rPr>
                <w:rFonts w:eastAsia="Times New Roman"/>
                <w:spacing w:val="-2"/>
              </w:rPr>
              <w:t xml:space="preserve"> </w:t>
            </w:r>
            <w:r>
              <w:t>值</w:t>
            </w:r>
          </w:p>
        </w:tc>
        <w:tc>
          <w:tcPr>
            <w:tcW w:w="686" w:type="pct"/>
            <w:vAlign w:val="center"/>
          </w:tcPr>
          <w:p>
            <w:pPr>
              <w:pStyle w:val="39"/>
            </w:pPr>
            <w:r>
              <w:rPr>
                <w:rFonts w:hint="eastAsia" w:eastAsia="仿宋" w:cs="Times New Roman"/>
                <w:bCs/>
                <w:color w:val="000000"/>
                <w:kern w:val="0"/>
              </w:rPr>
              <w:t>7.52</w:t>
            </w:r>
          </w:p>
        </w:tc>
        <w:tc>
          <w:tcPr>
            <w:tcW w:w="883" w:type="pct"/>
            <w:vAlign w:val="center"/>
          </w:tcPr>
          <w:p>
            <w:pPr>
              <w:pStyle w:val="39"/>
            </w:pPr>
            <w:r>
              <w:rPr>
                <w:rFonts w:hint="eastAsia"/>
              </w:rPr>
              <w:t>＞7.5</w:t>
            </w:r>
          </w:p>
        </w:tc>
        <w:tc>
          <w:tcPr>
            <w:tcW w:w="647" w:type="pct"/>
            <w:vAlign w:val="center"/>
          </w:tcPr>
          <w:p>
            <w:pPr>
              <w:pStyle w:val="39"/>
            </w:pPr>
            <w:r>
              <w:t>无量纲</w:t>
            </w:r>
          </w:p>
        </w:tc>
        <w:tc>
          <w:tcPr>
            <w:tcW w:w="647" w:type="pct"/>
            <w:vAlign w:val="center"/>
          </w:tcPr>
          <w:p>
            <w:pPr>
              <w:pStyle w:val="39"/>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90" w:type="pct"/>
            <w:vMerge w:val="continue"/>
            <w:vAlign w:val="center"/>
          </w:tcPr>
          <w:p>
            <w:pPr>
              <w:pStyle w:val="39"/>
            </w:pPr>
          </w:p>
        </w:tc>
        <w:tc>
          <w:tcPr>
            <w:tcW w:w="1447" w:type="pct"/>
            <w:vAlign w:val="center"/>
          </w:tcPr>
          <w:p>
            <w:pPr>
              <w:pStyle w:val="39"/>
            </w:pPr>
            <w:r>
              <w:t>砷</w:t>
            </w:r>
          </w:p>
        </w:tc>
        <w:tc>
          <w:tcPr>
            <w:tcW w:w="686" w:type="pct"/>
            <w:vAlign w:val="center"/>
          </w:tcPr>
          <w:p>
            <w:pPr>
              <w:pStyle w:val="39"/>
            </w:pPr>
            <w:r>
              <w:rPr>
                <w:rFonts w:hint="eastAsia"/>
              </w:rPr>
              <w:t>6.92</w:t>
            </w:r>
          </w:p>
        </w:tc>
        <w:tc>
          <w:tcPr>
            <w:tcW w:w="883" w:type="pct"/>
            <w:vAlign w:val="center"/>
          </w:tcPr>
          <w:p>
            <w:pPr>
              <w:pStyle w:val="39"/>
            </w:pPr>
            <w:r>
              <w:rPr>
                <w:rFonts w:hint="eastAsia"/>
              </w:rPr>
              <w:t>25</w:t>
            </w:r>
          </w:p>
        </w:tc>
        <w:tc>
          <w:tcPr>
            <w:tcW w:w="647" w:type="pct"/>
            <w:vAlign w:val="center"/>
          </w:tcPr>
          <w:p>
            <w:pPr>
              <w:pStyle w:val="39"/>
              <w:rPr>
                <w:rFonts w:eastAsia="Times New Roman"/>
              </w:rPr>
            </w:pPr>
            <w:r>
              <w:t>mg/kg</w:t>
            </w:r>
          </w:p>
        </w:tc>
        <w:tc>
          <w:tcPr>
            <w:tcW w:w="647" w:type="pct"/>
            <w:vAlign w:val="center"/>
          </w:tcPr>
          <w:p>
            <w:pPr>
              <w:pStyle w:val="39"/>
            </w:pPr>
            <w: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90" w:type="pct"/>
            <w:vMerge w:val="continue"/>
            <w:vAlign w:val="center"/>
          </w:tcPr>
          <w:p>
            <w:pPr>
              <w:pStyle w:val="39"/>
            </w:pPr>
          </w:p>
        </w:tc>
        <w:tc>
          <w:tcPr>
            <w:tcW w:w="1447" w:type="pct"/>
            <w:vAlign w:val="center"/>
          </w:tcPr>
          <w:p>
            <w:pPr>
              <w:pStyle w:val="39"/>
            </w:pPr>
            <w:r>
              <w:t>镉</w:t>
            </w:r>
          </w:p>
        </w:tc>
        <w:tc>
          <w:tcPr>
            <w:tcW w:w="686" w:type="pct"/>
            <w:vAlign w:val="center"/>
          </w:tcPr>
          <w:p>
            <w:pPr>
              <w:pStyle w:val="39"/>
            </w:pPr>
            <w:r>
              <w:rPr>
                <w:rFonts w:hint="eastAsia"/>
              </w:rPr>
              <w:t>0.023</w:t>
            </w:r>
          </w:p>
        </w:tc>
        <w:tc>
          <w:tcPr>
            <w:tcW w:w="883" w:type="pct"/>
            <w:vAlign w:val="center"/>
          </w:tcPr>
          <w:p>
            <w:pPr>
              <w:pStyle w:val="39"/>
            </w:pPr>
            <w:r>
              <w:rPr>
                <w:rFonts w:hint="eastAsia"/>
              </w:rPr>
              <w:t>0.6</w:t>
            </w:r>
          </w:p>
        </w:tc>
        <w:tc>
          <w:tcPr>
            <w:tcW w:w="647" w:type="pct"/>
            <w:vAlign w:val="center"/>
          </w:tcPr>
          <w:p>
            <w:pPr>
              <w:pStyle w:val="39"/>
              <w:rPr>
                <w:rFonts w:eastAsia="Times New Roman"/>
              </w:rPr>
            </w:pPr>
            <w:r>
              <w:t>mg/kg</w:t>
            </w:r>
          </w:p>
        </w:tc>
        <w:tc>
          <w:tcPr>
            <w:tcW w:w="647" w:type="pct"/>
            <w:vAlign w:val="center"/>
          </w:tcPr>
          <w:p>
            <w:pPr>
              <w:pStyle w:val="39"/>
            </w:pPr>
            <w:r>
              <w:rPr>
                <w:rFonts w:hint="eastAsia"/>
              </w:rPr>
              <w:t>达</w:t>
            </w:r>
            <w:r>
              <w:t>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90" w:type="pct"/>
            <w:vMerge w:val="continue"/>
            <w:vAlign w:val="center"/>
          </w:tcPr>
          <w:p>
            <w:pPr>
              <w:pStyle w:val="39"/>
            </w:pPr>
          </w:p>
        </w:tc>
        <w:tc>
          <w:tcPr>
            <w:tcW w:w="1447" w:type="pct"/>
            <w:vAlign w:val="center"/>
          </w:tcPr>
          <w:p>
            <w:pPr>
              <w:pStyle w:val="39"/>
            </w:pPr>
            <w:r>
              <w:rPr>
                <w:rFonts w:hint="eastAsia"/>
              </w:rPr>
              <w:t>铬</w:t>
            </w:r>
          </w:p>
        </w:tc>
        <w:tc>
          <w:tcPr>
            <w:tcW w:w="686" w:type="pct"/>
            <w:vAlign w:val="center"/>
          </w:tcPr>
          <w:p>
            <w:pPr>
              <w:pStyle w:val="39"/>
            </w:pPr>
            <w:r>
              <w:rPr>
                <w:rFonts w:hint="eastAsia"/>
              </w:rPr>
              <w:t>10.2</w:t>
            </w:r>
          </w:p>
        </w:tc>
        <w:tc>
          <w:tcPr>
            <w:tcW w:w="883" w:type="pct"/>
            <w:vAlign w:val="center"/>
          </w:tcPr>
          <w:p>
            <w:pPr>
              <w:pStyle w:val="39"/>
            </w:pPr>
            <w:r>
              <w:rPr>
                <w:rFonts w:hint="eastAsia"/>
              </w:rPr>
              <w:t>200</w:t>
            </w:r>
          </w:p>
        </w:tc>
        <w:tc>
          <w:tcPr>
            <w:tcW w:w="647" w:type="pct"/>
            <w:vAlign w:val="center"/>
          </w:tcPr>
          <w:p>
            <w:pPr>
              <w:pStyle w:val="39"/>
              <w:rPr>
                <w:rFonts w:eastAsia="Times New Roman"/>
              </w:rPr>
            </w:pPr>
            <w:r>
              <w:t>mg/kg</w:t>
            </w:r>
          </w:p>
        </w:tc>
        <w:tc>
          <w:tcPr>
            <w:tcW w:w="647" w:type="pct"/>
            <w:vAlign w:val="center"/>
          </w:tcPr>
          <w:p>
            <w:pPr>
              <w:pStyle w:val="39"/>
            </w:pPr>
            <w: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90" w:type="pct"/>
            <w:vMerge w:val="continue"/>
            <w:vAlign w:val="center"/>
          </w:tcPr>
          <w:p>
            <w:pPr>
              <w:pStyle w:val="39"/>
            </w:pPr>
          </w:p>
        </w:tc>
        <w:tc>
          <w:tcPr>
            <w:tcW w:w="1447" w:type="pct"/>
            <w:vAlign w:val="center"/>
          </w:tcPr>
          <w:p>
            <w:pPr>
              <w:pStyle w:val="39"/>
            </w:pPr>
            <w:r>
              <w:t>铜</w:t>
            </w:r>
          </w:p>
        </w:tc>
        <w:tc>
          <w:tcPr>
            <w:tcW w:w="686" w:type="pct"/>
            <w:vAlign w:val="center"/>
          </w:tcPr>
          <w:p>
            <w:pPr>
              <w:pStyle w:val="39"/>
            </w:pPr>
            <w:r>
              <w:rPr>
                <w:rFonts w:hint="eastAsia"/>
              </w:rPr>
              <w:t>24</w:t>
            </w:r>
          </w:p>
        </w:tc>
        <w:tc>
          <w:tcPr>
            <w:tcW w:w="883" w:type="pct"/>
            <w:vAlign w:val="center"/>
          </w:tcPr>
          <w:p>
            <w:pPr>
              <w:pStyle w:val="39"/>
            </w:pPr>
            <w:r>
              <w:rPr>
                <w:rFonts w:hint="eastAsia"/>
              </w:rPr>
              <w:t>100</w:t>
            </w:r>
          </w:p>
        </w:tc>
        <w:tc>
          <w:tcPr>
            <w:tcW w:w="647" w:type="pct"/>
            <w:vAlign w:val="center"/>
          </w:tcPr>
          <w:p>
            <w:pPr>
              <w:pStyle w:val="39"/>
              <w:rPr>
                <w:rFonts w:eastAsia="Times New Roman"/>
              </w:rPr>
            </w:pPr>
            <w:r>
              <w:t>mg/kg</w:t>
            </w:r>
          </w:p>
        </w:tc>
        <w:tc>
          <w:tcPr>
            <w:tcW w:w="647" w:type="pct"/>
            <w:vAlign w:val="center"/>
          </w:tcPr>
          <w:p>
            <w:pPr>
              <w:pStyle w:val="39"/>
            </w:pPr>
            <w: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90" w:type="pct"/>
            <w:vMerge w:val="continue"/>
            <w:vAlign w:val="center"/>
          </w:tcPr>
          <w:p>
            <w:pPr>
              <w:pStyle w:val="39"/>
            </w:pPr>
          </w:p>
        </w:tc>
        <w:tc>
          <w:tcPr>
            <w:tcW w:w="1447" w:type="pct"/>
            <w:vAlign w:val="center"/>
          </w:tcPr>
          <w:p>
            <w:pPr>
              <w:pStyle w:val="39"/>
            </w:pPr>
            <w:r>
              <w:t>铅</w:t>
            </w:r>
          </w:p>
        </w:tc>
        <w:tc>
          <w:tcPr>
            <w:tcW w:w="686" w:type="pct"/>
            <w:vAlign w:val="center"/>
          </w:tcPr>
          <w:p>
            <w:pPr>
              <w:pStyle w:val="39"/>
            </w:pPr>
            <w:r>
              <w:rPr>
                <w:rFonts w:hint="eastAsia"/>
              </w:rPr>
              <w:t>69</w:t>
            </w:r>
          </w:p>
        </w:tc>
        <w:tc>
          <w:tcPr>
            <w:tcW w:w="883" w:type="pct"/>
            <w:vAlign w:val="center"/>
          </w:tcPr>
          <w:p>
            <w:pPr>
              <w:pStyle w:val="39"/>
            </w:pPr>
            <w:r>
              <w:rPr>
                <w:rFonts w:hint="eastAsia"/>
              </w:rPr>
              <w:t>170</w:t>
            </w:r>
          </w:p>
        </w:tc>
        <w:tc>
          <w:tcPr>
            <w:tcW w:w="647" w:type="pct"/>
            <w:vAlign w:val="center"/>
          </w:tcPr>
          <w:p>
            <w:pPr>
              <w:pStyle w:val="39"/>
              <w:rPr>
                <w:rFonts w:eastAsia="Times New Roman"/>
              </w:rPr>
            </w:pPr>
            <w:r>
              <w:t>mg/kg</w:t>
            </w:r>
          </w:p>
        </w:tc>
        <w:tc>
          <w:tcPr>
            <w:tcW w:w="647" w:type="pct"/>
            <w:vAlign w:val="center"/>
          </w:tcPr>
          <w:p>
            <w:pPr>
              <w:pStyle w:val="39"/>
            </w:pPr>
            <w: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90" w:type="pct"/>
            <w:vMerge w:val="continue"/>
            <w:vAlign w:val="center"/>
          </w:tcPr>
          <w:p>
            <w:pPr>
              <w:pStyle w:val="39"/>
            </w:pPr>
          </w:p>
        </w:tc>
        <w:tc>
          <w:tcPr>
            <w:tcW w:w="1447" w:type="pct"/>
            <w:vAlign w:val="center"/>
          </w:tcPr>
          <w:p>
            <w:pPr>
              <w:pStyle w:val="39"/>
            </w:pPr>
            <w:r>
              <w:t>汞</w:t>
            </w:r>
          </w:p>
        </w:tc>
        <w:tc>
          <w:tcPr>
            <w:tcW w:w="686" w:type="pct"/>
            <w:vAlign w:val="center"/>
          </w:tcPr>
          <w:p>
            <w:pPr>
              <w:pStyle w:val="39"/>
            </w:pPr>
            <w:r>
              <w:rPr>
                <w:rFonts w:hint="eastAsia"/>
              </w:rPr>
              <w:t>0.111</w:t>
            </w:r>
          </w:p>
        </w:tc>
        <w:tc>
          <w:tcPr>
            <w:tcW w:w="883" w:type="pct"/>
            <w:vAlign w:val="center"/>
          </w:tcPr>
          <w:p>
            <w:pPr>
              <w:pStyle w:val="39"/>
            </w:pPr>
            <w:r>
              <w:t>1.</w:t>
            </w:r>
            <w:r>
              <w:rPr>
                <w:rFonts w:hint="eastAsia"/>
              </w:rPr>
              <w:t>0</w:t>
            </w:r>
          </w:p>
        </w:tc>
        <w:tc>
          <w:tcPr>
            <w:tcW w:w="647" w:type="pct"/>
            <w:vAlign w:val="center"/>
          </w:tcPr>
          <w:p>
            <w:pPr>
              <w:pStyle w:val="39"/>
              <w:rPr>
                <w:rFonts w:eastAsia="Times New Roman"/>
              </w:rPr>
            </w:pPr>
            <w:r>
              <w:t>mg/kg</w:t>
            </w:r>
          </w:p>
        </w:tc>
        <w:tc>
          <w:tcPr>
            <w:tcW w:w="647" w:type="pct"/>
            <w:vAlign w:val="center"/>
          </w:tcPr>
          <w:p>
            <w:pPr>
              <w:pStyle w:val="39"/>
            </w:pPr>
            <w: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90" w:type="pct"/>
            <w:vMerge w:val="continue"/>
            <w:vAlign w:val="center"/>
          </w:tcPr>
          <w:p>
            <w:pPr>
              <w:pStyle w:val="39"/>
            </w:pPr>
          </w:p>
        </w:tc>
        <w:tc>
          <w:tcPr>
            <w:tcW w:w="1447" w:type="pct"/>
            <w:vAlign w:val="center"/>
          </w:tcPr>
          <w:p>
            <w:pPr>
              <w:pStyle w:val="39"/>
            </w:pPr>
            <w:r>
              <w:t>镍</w:t>
            </w:r>
          </w:p>
        </w:tc>
        <w:tc>
          <w:tcPr>
            <w:tcW w:w="686" w:type="pct"/>
            <w:vAlign w:val="center"/>
          </w:tcPr>
          <w:p>
            <w:pPr>
              <w:pStyle w:val="39"/>
            </w:pPr>
            <w:r>
              <w:rPr>
                <w:rFonts w:hint="eastAsia"/>
              </w:rPr>
              <w:t>41</w:t>
            </w:r>
          </w:p>
        </w:tc>
        <w:tc>
          <w:tcPr>
            <w:tcW w:w="883" w:type="pct"/>
            <w:vAlign w:val="center"/>
          </w:tcPr>
          <w:p>
            <w:pPr>
              <w:pStyle w:val="39"/>
            </w:pPr>
            <w:r>
              <w:rPr>
                <w:rFonts w:hint="eastAsia"/>
              </w:rPr>
              <w:t>190</w:t>
            </w:r>
          </w:p>
        </w:tc>
        <w:tc>
          <w:tcPr>
            <w:tcW w:w="647" w:type="pct"/>
            <w:vAlign w:val="center"/>
          </w:tcPr>
          <w:p>
            <w:pPr>
              <w:pStyle w:val="39"/>
              <w:rPr>
                <w:rFonts w:eastAsia="Times New Roman"/>
              </w:rPr>
            </w:pPr>
            <w:r>
              <w:t>mg/kg</w:t>
            </w:r>
          </w:p>
        </w:tc>
        <w:tc>
          <w:tcPr>
            <w:tcW w:w="647" w:type="pct"/>
            <w:vAlign w:val="center"/>
          </w:tcPr>
          <w:p>
            <w:pPr>
              <w:pStyle w:val="39"/>
            </w:pPr>
            <w: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90" w:type="pct"/>
            <w:vMerge w:val="restart"/>
            <w:vAlign w:val="center"/>
          </w:tcPr>
          <w:p>
            <w:pPr>
              <w:pStyle w:val="39"/>
            </w:pPr>
            <w:r>
              <w:rPr>
                <w:rFonts w:eastAsia="Times New Roman"/>
              </w:rPr>
              <w:t>T3</w:t>
            </w:r>
            <w:r>
              <w:rPr>
                <w:rFonts w:eastAsia="Times New Roman"/>
                <w:spacing w:val="-1"/>
              </w:rPr>
              <w:t xml:space="preserve"> </w:t>
            </w:r>
            <w:r>
              <w:t>厂址内西南角</w:t>
            </w:r>
          </w:p>
        </w:tc>
        <w:tc>
          <w:tcPr>
            <w:tcW w:w="1447" w:type="pct"/>
            <w:vAlign w:val="center"/>
          </w:tcPr>
          <w:p>
            <w:pPr>
              <w:pStyle w:val="39"/>
            </w:pPr>
            <w:r>
              <w:rPr>
                <w:rFonts w:eastAsia="Times New Roman"/>
              </w:rPr>
              <w:t>pH</w:t>
            </w:r>
            <w:r>
              <w:rPr>
                <w:rFonts w:eastAsia="Times New Roman"/>
                <w:spacing w:val="-2"/>
              </w:rPr>
              <w:t xml:space="preserve"> </w:t>
            </w:r>
            <w:r>
              <w:t>值</w:t>
            </w:r>
          </w:p>
        </w:tc>
        <w:tc>
          <w:tcPr>
            <w:tcW w:w="686" w:type="pct"/>
            <w:vAlign w:val="center"/>
          </w:tcPr>
          <w:p>
            <w:pPr>
              <w:pStyle w:val="39"/>
            </w:pPr>
            <w:r>
              <w:rPr>
                <w:rFonts w:hint="eastAsia" w:eastAsia="仿宋" w:cs="Times New Roman"/>
                <w:bCs/>
                <w:color w:val="000000"/>
                <w:kern w:val="0"/>
              </w:rPr>
              <w:t>7.52</w:t>
            </w:r>
          </w:p>
        </w:tc>
        <w:tc>
          <w:tcPr>
            <w:tcW w:w="883" w:type="pct"/>
            <w:vAlign w:val="center"/>
          </w:tcPr>
          <w:p>
            <w:pPr>
              <w:pStyle w:val="39"/>
            </w:pPr>
            <w:r>
              <w:rPr>
                <w:rFonts w:hint="eastAsia"/>
              </w:rPr>
              <w:t>＞7.5</w:t>
            </w:r>
          </w:p>
        </w:tc>
        <w:tc>
          <w:tcPr>
            <w:tcW w:w="647" w:type="pct"/>
            <w:vAlign w:val="center"/>
          </w:tcPr>
          <w:p>
            <w:pPr>
              <w:pStyle w:val="39"/>
            </w:pPr>
            <w:r>
              <w:t>无量纲</w:t>
            </w:r>
          </w:p>
        </w:tc>
        <w:tc>
          <w:tcPr>
            <w:tcW w:w="647" w:type="pct"/>
            <w:vAlign w:val="center"/>
          </w:tcPr>
          <w:p>
            <w:pPr>
              <w:pStyle w:val="39"/>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90" w:type="pct"/>
            <w:vMerge w:val="continue"/>
            <w:vAlign w:val="center"/>
          </w:tcPr>
          <w:p>
            <w:pPr>
              <w:pStyle w:val="39"/>
            </w:pPr>
          </w:p>
        </w:tc>
        <w:tc>
          <w:tcPr>
            <w:tcW w:w="1447" w:type="pct"/>
            <w:vAlign w:val="center"/>
          </w:tcPr>
          <w:p>
            <w:pPr>
              <w:pStyle w:val="39"/>
            </w:pPr>
            <w:r>
              <w:t>砷</w:t>
            </w:r>
          </w:p>
        </w:tc>
        <w:tc>
          <w:tcPr>
            <w:tcW w:w="686" w:type="pct"/>
            <w:vAlign w:val="center"/>
          </w:tcPr>
          <w:p>
            <w:pPr>
              <w:pStyle w:val="39"/>
            </w:pPr>
            <w:r>
              <w:rPr>
                <w:rFonts w:hint="eastAsia"/>
              </w:rPr>
              <w:t>6.06</w:t>
            </w:r>
          </w:p>
        </w:tc>
        <w:tc>
          <w:tcPr>
            <w:tcW w:w="883" w:type="pct"/>
            <w:vAlign w:val="center"/>
          </w:tcPr>
          <w:p>
            <w:pPr>
              <w:pStyle w:val="39"/>
            </w:pPr>
            <w:r>
              <w:rPr>
                <w:rFonts w:hint="eastAsia"/>
              </w:rPr>
              <w:t>25</w:t>
            </w:r>
          </w:p>
        </w:tc>
        <w:tc>
          <w:tcPr>
            <w:tcW w:w="647" w:type="pct"/>
            <w:vAlign w:val="center"/>
          </w:tcPr>
          <w:p>
            <w:pPr>
              <w:pStyle w:val="39"/>
              <w:rPr>
                <w:rFonts w:eastAsia="Times New Roman"/>
              </w:rPr>
            </w:pPr>
            <w:r>
              <w:t>mg/kg</w:t>
            </w:r>
          </w:p>
        </w:tc>
        <w:tc>
          <w:tcPr>
            <w:tcW w:w="647" w:type="pct"/>
            <w:vAlign w:val="center"/>
          </w:tcPr>
          <w:p>
            <w:pPr>
              <w:pStyle w:val="39"/>
            </w:pPr>
            <w: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90" w:type="pct"/>
            <w:vMerge w:val="continue"/>
            <w:vAlign w:val="center"/>
          </w:tcPr>
          <w:p>
            <w:pPr>
              <w:pStyle w:val="39"/>
            </w:pPr>
          </w:p>
        </w:tc>
        <w:tc>
          <w:tcPr>
            <w:tcW w:w="1447" w:type="pct"/>
            <w:vAlign w:val="center"/>
          </w:tcPr>
          <w:p>
            <w:pPr>
              <w:pStyle w:val="39"/>
            </w:pPr>
            <w:r>
              <w:t>镉</w:t>
            </w:r>
          </w:p>
        </w:tc>
        <w:tc>
          <w:tcPr>
            <w:tcW w:w="686" w:type="pct"/>
            <w:vAlign w:val="center"/>
          </w:tcPr>
          <w:p>
            <w:pPr>
              <w:pStyle w:val="39"/>
            </w:pPr>
            <w:r>
              <w:rPr>
                <w:rFonts w:hint="eastAsia" w:eastAsia="仿宋"/>
                <w:bCs/>
                <w:color w:val="000000"/>
                <w:kern w:val="0"/>
              </w:rPr>
              <w:t>0.035</w:t>
            </w:r>
          </w:p>
        </w:tc>
        <w:tc>
          <w:tcPr>
            <w:tcW w:w="883" w:type="pct"/>
            <w:vAlign w:val="center"/>
          </w:tcPr>
          <w:p>
            <w:pPr>
              <w:pStyle w:val="39"/>
            </w:pPr>
            <w:r>
              <w:rPr>
                <w:rFonts w:hint="eastAsia"/>
              </w:rPr>
              <w:t>0.6</w:t>
            </w:r>
          </w:p>
        </w:tc>
        <w:tc>
          <w:tcPr>
            <w:tcW w:w="647" w:type="pct"/>
            <w:vAlign w:val="center"/>
          </w:tcPr>
          <w:p>
            <w:pPr>
              <w:pStyle w:val="39"/>
              <w:rPr>
                <w:rFonts w:eastAsia="Times New Roman"/>
              </w:rPr>
            </w:pPr>
            <w:r>
              <w:t>mg/kg</w:t>
            </w:r>
          </w:p>
        </w:tc>
        <w:tc>
          <w:tcPr>
            <w:tcW w:w="647" w:type="pct"/>
            <w:vAlign w:val="center"/>
          </w:tcPr>
          <w:p>
            <w:pPr>
              <w:pStyle w:val="39"/>
            </w:pPr>
            <w:r>
              <w:rPr>
                <w:rFonts w:hint="eastAsia"/>
              </w:rPr>
              <w:t>达</w:t>
            </w:r>
            <w:r>
              <w:t>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90" w:type="pct"/>
            <w:vMerge w:val="continue"/>
            <w:vAlign w:val="center"/>
          </w:tcPr>
          <w:p>
            <w:pPr>
              <w:pStyle w:val="39"/>
            </w:pPr>
          </w:p>
        </w:tc>
        <w:tc>
          <w:tcPr>
            <w:tcW w:w="1447" w:type="pct"/>
            <w:vAlign w:val="center"/>
          </w:tcPr>
          <w:p>
            <w:pPr>
              <w:pStyle w:val="39"/>
            </w:pPr>
            <w:r>
              <w:rPr>
                <w:rFonts w:hint="eastAsia"/>
              </w:rPr>
              <w:t>铬</w:t>
            </w:r>
          </w:p>
        </w:tc>
        <w:tc>
          <w:tcPr>
            <w:tcW w:w="686" w:type="pct"/>
            <w:vAlign w:val="center"/>
          </w:tcPr>
          <w:p>
            <w:pPr>
              <w:pStyle w:val="39"/>
            </w:pPr>
            <w:r>
              <w:rPr>
                <w:rFonts w:hint="eastAsia"/>
              </w:rPr>
              <w:t>11.5</w:t>
            </w:r>
          </w:p>
        </w:tc>
        <w:tc>
          <w:tcPr>
            <w:tcW w:w="883" w:type="pct"/>
            <w:vAlign w:val="center"/>
          </w:tcPr>
          <w:p>
            <w:pPr>
              <w:pStyle w:val="39"/>
            </w:pPr>
            <w:r>
              <w:rPr>
                <w:rFonts w:hint="eastAsia"/>
              </w:rPr>
              <w:t>200</w:t>
            </w:r>
          </w:p>
        </w:tc>
        <w:tc>
          <w:tcPr>
            <w:tcW w:w="647" w:type="pct"/>
            <w:vAlign w:val="center"/>
          </w:tcPr>
          <w:p>
            <w:pPr>
              <w:pStyle w:val="39"/>
              <w:rPr>
                <w:rFonts w:eastAsia="Times New Roman"/>
              </w:rPr>
            </w:pPr>
            <w:r>
              <w:t>mg/kg</w:t>
            </w:r>
          </w:p>
        </w:tc>
        <w:tc>
          <w:tcPr>
            <w:tcW w:w="647" w:type="pct"/>
            <w:vAlign w:val="center"/>
          </w:tcPr>
          <w:p>
            <w:pPr>
              <w:pStyle w:val="39"/>
            </w:pPr>
            <w: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90" w:type="pct"/>
            <w:vMerge w:val="continue"/>
            <w:vAlign w:val="center"/>
          </w:tcPr>
          <w:p>
            <w:pPr>
              <w:pStyle w:val="39"/>
            </w:pPr>
          </w:p>
        </w:tc>
        <w:tc>
          <w:tcPr>
            <w:tcW w:w="1447" w:type="pct"/>
            <w:vAlign w:val="center"/>
          </w:tcPr>
          <w:p>
            <w:pPr>
              <w:pStyle w:val="39"/>
            </w:pPr>
            <w:r>
              <w:t>铜</w:t>
            </w:r>
          </w:p>
        </w:tc>
        <w:tc>
          <w:tcPr>
            <w:tcW w:w="686" w:type="pct"/>
            <w:vAlign w:val="center"/>
          </w:tcPr>
          <w:p>
            <w:pPr>
              <w:pStyle w:val="39"/>
            </w:pPr>
            <w:r>
              <w:rPr>
                <w:rFonts w:hint="eastAsia"/>
              </w:rPr>
              <w:t>22</w:t>
            </w:r>
          </w:p>
        </w:tc>
        <w:tc>
          <w:tcPr>
            <w:tcW w:w="883" w:type="pct"/>
            <w:vAlign w:val="center"/>
          </w:tcPr>
          <w:p>
            <w:pPr>
              <w:pStyle w:val="39"/>
            </w:pPr>
            <w:r>
              <w:rPr>
                <w:rFonts w:hint="eastAsia"/>
              </w:rPr>
              <w:t>100</w:t>
            </w:r>
          </w:p>
        </w:tc>
        <w:tc>
          <w:tcPr>
            <w:tcW w:w="647" w:type="pct"/>
            <w:vAlign w:val="center"/>
          </w:tcPr>
          <w:p>
            <w:pPr>
              <w:pStyle w:val="39"/>
              <w:rPr>
                <w:rFonts w:eastAsia="Times New Roman"/>
              </w:rPr>
            </w:pPr>
            <w:r>
              <w:t>mg/kg</w:t>
            </w:r>
          </w:p>
        </w:tc>
        <w:tc>
          <w:tcPr>
            <w:tcW w:w="647" w:type="pct"/>
            <w:vAlign w:val="center"/>
          </w:tcPr>
          <w:p>
            <w:pPr>
              <w:pStyle w:val="39"/>
            </w:pPr>
            <w: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90" w:type="pct"/>
            <w:vMerge w:val="continue"/>
            <w:vAlign w:val="center"/>
          </w:tcPr>
          <w:p>
            <w:pPr>
              <w:pStyle w:val="39"/>
            </w:pPr>
          </w:p>
        </w:tc>
        <w:tc>
          <w:tcPr>
            <w:tcW w:w="1447" w:type="pct"/>
            <w:vAlign w:val="center"/>
          </w:tcPr>
          <w:p>
            <w:pPr>
              <w:pStyle w:val="39"/>
            </w:pPr>
            <w:r>
              <w:t>铅</w:t>
            </w:r>
          </w:p>
        </w:tc>
        <w:tc>
          <w:tcPr>
            <w:tcW w:w="686" w:type="pct"/>
            <w:vAlign w:val="center"/>
          </w:tcPr>
          <w:p>
            <w:pPr>
              <w:pStyle w:val="39"/>
            </w:pPr>
            <w:r>
              <w:rPr>
                <w:rFonts w:hint="eastAsia"/>
              </w:rPr>
              <w:t>79</w:t>
            </w:r>
          </w:p>
        </w:tc>
        <w:tc>
          <w:tcPr>
            <w:tcW w:w="883" w:type="pct"/>
            <w:vAlign w:val="center"/>
          </w:tcPr>
          <w:p>
            <w:pPr>
              <w:pStyle w:val="39"/>
            </w:pPr>
            <w:r>
              <w:rPr>
                <w:rFonts w:hint="eastAsia"/>
              </w:rPr>
              <w:t>170</w:t>
            </w:r>
          </w:p>
        </w:tc>
        <w:tc>
          <w:tcPr>
            <w:tcW w:w="647" w:type="pct"/>
            <w:vAlign w:val="center"/>
          </w:tcPr>
          <w:p>
            <w:pPr>
              <w:pStyle w:val="39"/>
              <w:rPr>
                <w:rFonts w:eastAsia="Times New Roman"/>
              </w:rPr>
            </w:pPr>
            <w:r>
              <w:t>mg/kg</w:t>
            </w:r>
          </w:p>
        </w:tc>
        <w:tc>
          <w:tcPr>
            <w:tcW w:w="647" w:type="pct"/>
            <w:vAlign w:val="center"/>
          </w:tcPr>
          <w:p>
            <w:pPr>
              <w:pStyle w:val="39"/>
            </w:pPr>
            <w: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90" w:type="pct"/>
            <w:vMerge w:val="continue"/>
            <w:vAlign w:val="center"/>
          </w:tcPr>
          <w:p>
            <w:pPr>
              <w:pStyle w:val="39"/>
            </w:pPr>
          </w:p>
        </w:tc>
        <w:tc>
          <w:tcPr>
            <w:tcW w:w="1447" w:type="pct"/>
            <w:vAlign w:val="center"/>
          </w:tcPr>
          <w:p>
            <w:pPr>
              <w:pStyle w:val="39"/>
            </w:pPr>
            <w:r>
              <w:t>汞</w:t>
            </w:r>
          </w:p>
        </w:tc>
        <w:tc>
          <w:tcPr>
            <w:tcW w:w="686" w:type="pct"/>
            <w:vAlign w:val="center"/>
          </w:tcPr>
          <w:p>
            <w:pPr>
              <w:pStyle w:val="39"/>
            </w:pPr>
            <w:r>
              <w:rPr>
                <w:rFonts w:hint="eastAsia"/>
              </w:rPr>
              <w:t>0.083</w:t>
            </w:r>
          </w:p>
        </w:tc>
        <w:tc>
          <w:tcPr>
            <w:tcW w:w="883" w:type="pct"/>
            <w:vAlign w:val="center"/>
          </w:tcPr>
          <w:p>
            <w:pPr>
              <w:pStyle w:val="39"/>
            </w:pPr>
            <w:r>
              <w:t>1.</w:t>
            </w:r>
            <w:r>
              <w:rPr>
                <w:rFonts w:hint="eastAsia"/>
              </w:rPr>
              <w:t>0</w:t>
            </w:r>
          </w:p>
        </w:tc>
        <w:tc>
          <w:tcPr>
            <w:tcW w:w="647" w:type="pct"/>
            <w:vAlign w:val="center"/>
          </w:tcPr>
          <w:p>
            <w:pPr>
              <w:pStyle w:val="39"/>
              <w:rPr>
                <w:rFonts w:eastAsia="Times New Roman"/>
              </w:rPr>
            </w:pPr>
            <w:r>
              <w:t>mg/kg</w:t>
            </w:r>
          </w:p>
        </w:tc>
        <w:tc>
          <w:tcPr>
            <w:tcW w:w="647" w:type="pct"/>
            <w:vAlign w:val="center"/>
          </w:tcPr>
          <w:p>
            <w:pPr>
              <w:pStyle w:val="39"/>
            </w:pPr>
            <w: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90" w:type="pct"/>
            <w:vMerge w:val="continue"/>
            <w:vAlign w:val="center"/>
          </w:tcPr>
          <w:p>
            <w:pPr>
              <w:pStyle w:val="39"/>
            </w:pPr>
          </w:p>
        </w:tc>
        <w:tc>
          <w:tcPr>
            <w:tcW w:w="1447" w:type="pct"/>
            <w:vAlign w:val="center"/>
          </w:tcPr>
          <w:p>
            <w:pPr>
              <w:pStyle w:val="39"/>
            </w:pPr>
            <w:r>
              <w:t>镍</w:t>
            </w:r>
          </w:p>
        </w:tc>
        <w:tc>
          <w:tcPr>
            <w:tcW w:w="686" w:type="pct"/>
            <w:vAlign w:val="center"/>
          </w:tcPr>
          <w:p>
            <w:pPr>
              <w:pStyle w:val="39"/>
            </w:pPr>
            <w:r>
              <w:rPr>
                <w:rFonts w:hint="eastAsia"/>
              </w:rPr>
              <w:t>42</w:t>
            </w:r>
          </w:p>
        </w:tc>
        <w:tc>
          <w:tcPr>
            <w:tcW w:w="883" w:type="pct"/>
            <w:vAlign w:val="center"/>
          </w:tcPr>
          <w:p>
            <w:pPr>
              <w:pStyle w:val="39"/>
            </w:pPr>
            <w:r>
              <w:rPr>
                <w:rFonts w:hint="eastAsia"/>
              </w:rPr>
              <w:t>190</w:t>
            </w:r>
          </w:p>
        </w:tc>
        <w:tc>
          <w:tcPr>
            <w:tcW w:w="647" w:type="pct"/>
            <w:vAlign w:val="center"/>
          </w:tcPr>
          <w:p>
            <w:pPr>
              <w:pStyle w:val="39"/>
              <w:rPr>
                <w:rFonts w:eastAsia="Times New Roman"/>
              </w:rPr>
            </w:pPr>
            <w:r>
              <w:t>mg/kg</w:t>
            </w:r>
          </w:p>
        </w:tc>
        <w:tc>
          <w:tcPr>
            <w:tcW w:w="647" w:type="pct"/>
            <w:vAlign w:val="center"/>
          </w:tcPr>
          <w:p>
            <w:pPr>
              <w:pStyle w:val="39"/>
            </w:pPr>
            <w:r>
              <w:t>达标</w:t>
            </w:r>
          </w:p>
        </w:tc>
      </w:tr>
    </w:tbl>
    <w:p>
      <w:pPr>
        <w:pStyle w:val="3"/>
        <w:ind w:firstLine="480"/>
        <w:rPr>
          <w:u w:val="single"/>
        </w:rPr>
      </w:pPr>
    </w:p>
    <w:p>
      <w:pPr>
        <w:pStyle w:val="3"/>
        <w:ind w:firstLine="480"/>
      </w:pPr>
      <w:r>
        <w:rPr>
          <w:rFonts w:hint="eastAsia"/>
        </w:rPr>
        <w:t>由上表可知，本项目拟建区域土壤环境中</w:t>
      </w:r>
      <w:r>
        <w:t>砷、铬、镉、铜、铅、汞、镍</w:t>
      </w:r>
      <w:r>
        <w:rPr>
          <w:rFonts w:hint="eastAsia"/>
        </w:rPr>
        <w:t>监测因子能满足</w:t>
      </w:r>
      <w:r>
        <w:t>土壤环境质量农用地土壤污染风险管控标</w:t>
      </w:r>
      <w:r>
        <w:rPr>
          <w:bCs/>
          <w:kern w:val="0"/>
        </w:rPr>
        <w:t>准（试行）》（GB15618-2018）风险筛选值中的</w:t>
      </w:r>
      <w:r>
        <w:t>其他</w:t>
      </w:r>
      <w:r>
        <w:rPr>
          <w:bCs/>
          <w:kern w:val="0"/>
        </w:rPr>
        <w:t>的标准</w:t>
      </w:r>
      <w:r>
        <w:t>限值</w:t>
      </w:r>
      <w:r>
        <w:rPr>
          <w:rFonts w:hint="eastAsia"/>
        </w:rPr>
        <w:t>，</w:t>
      </w:r>
      <w:r>
        <w:rPr>
          <w:bCs/>
          <w:kern w:val="0"/>
        </w:rPr>
        <w:t>其他指标</w:t>
      </w:r>
      <w:r>
        <w:rPr>
          <w:rFonts w:hint="eastAsia"/>
          <w:bCs/>
          <w:kern w:val="0"/>
        </w:rPr>
        <w:t>可达到</w:t>
      </w:r>
      <w:r>
        <w:t>《土壤环境质量建设用地土壤污染风险管控标准（试行）》（GB36600-2018）风险筛选值中的第二类用地</w:t>
      </w:r>
      <w:r>
        <w:rPr>
          <w:bCs/>
          <w:kern w:val="0"/>
        </w:rPr>
        <w:t>的标准</w:t>
      </w:r>
      <w:r>
        <w:t>限值</w:t>
      </w:r>
      <w:r>
        <w:rPr>
          <w:rFonts w:hint="eastAsia"/>
        </w:rPr>
        <w:t>；拟建地土壤环境良好。</w:t>
      </w:r>
    </w:p>
    <w:p>
      <w:pPr>
        <w:pStyle w:val="6"/>
        <w:rPr>
          <w:rFonts w:cs="Times New Roman"/>
        </w:rPr>
      </w:pPr>
      <w:r>
        <w:rPr>
          <w:rFonts w:cs="Times New Roman"/>
        </w:rPr>
        <w:t>生态环境现状调查</w:t>
      </w:r>
    </w:p>
    <w:p>
      <w:pPr>
        <w:pStyle w:val="3"/>
        <w:ind w:firstLine="480"/>
        <w:rPr>
          <w:rFonts w:cs="Times New Roman"/>
        </w:rPr>
      </w:pPr>
      <w:r>
        <w:rPr>
          <w:rFonts w:cs="Times New Roman"/>
        </w:rPr>
        <w:t>项目用地面积</w:t>
      </w:r>
      <w:r>
        <w:rPr>
          <w:rFonts w:cs="Times New Roman"/>
          <w:szCs w:val="24"/>
          <w:shd w:val="clear" w:color="auto" w:fill="FFFFFF"/>
        </w:rPr>
        <w:t>126508.27</w:t>
      </w:r>
      <w:r>
        <w:rPr>
          <w:rFonts w:cs="Times New Roman"/>
        </w:rPr>
        <w:t>m</w:t>
      </w:r>
      <w:r>
        <w:rPr>
          <w:rFonts w:cs="Times New Roman"/>
          <w:vertAlign w:val="superscript"/>
        </w:rPr>
        <w:t>2</w:t>
      </w:r>
      <w:r>
        <w:rPr>
          <w:rFonts w:hint="eastAsia" w:cs="Times New Roman"/>
          <w:szCs w:val="24"/>
          <w:shd w:val="clear" w:color="auto" w:fill="FFFFFF"/>
        </w:rPr>
        <w:t>（约189.8亩）</w:t>
      </w:r>
      <w:r>
        <w:rPr>
          <w:rFonts w:cs="Times New Roman"/>
        </w:rPr>
        <w:t>；用地为</w:t>
      </w:r>
      <w:r>
        <w:rPr>
          <w:rFonts w:hint="eastAsia" w:cs="Times New Roman"/>
        </w:rPr>
        <w:t>衡阳县台</w:t>
      </w:r>
      <w:r>
        <w:rPr>
          <w:rFonts w:cs="Times New Roman"/>
        </w:rPr>
        <w:t>源镇前进村财冲组和东湖寺村近丝塘组，</w:t>
      </w:r>
      <w:r>
        <w:rPr>
          <w:rFonts w:hint="eastAsia" w:cs="Times New Roman"/>
        </w:rPr>
        <w:t>湖南安发</w:t>
      </w:r>
      <w:r>
        <w:rPr>
          <w:rFonts w:cs="Times New Roman"/>
        </w:rPr>
        <w:t>原生态农业旅游开发有限公司已经与当地村委会签订土地使用权租凭协议；土地利用现状主要为荒地及林地</w:t>
      </w:r>
      <w:r>
        <w:rPr>
          <w:rFonts w:hint="eastAsia" w:cs="Times New Roman"/>
        </w:rPr>
        <w:t>，</w:t>
      </w:r>
      <w:r>
        <w:rPr>
          <w:rFonts w:cs="Times New Roman"/>
        </w:rPr>
        <w:t>少量耕地。</w:t>
      </w:r>
    </w:p>
    <w:p>
      <w:pPr>
        <w:pStyle w:val="3"/>
        <w:ind w:firstLine="480"/>
        <w:rPr>
          <w:rFonts w:cs="Times New Roman"/>
        </w:rPr>
      </w:pPr>
      <w:r>
        <w:rPr>
          <w:rFonts w:cs="Times New Roman"/>
        </w:rPr>
        <w:t>建设过程中将影响项目区内动植物生存环境、农村生态环境，改变区域土地利用现状，引发水土流失等。</w:t>
      </w:r>
    </w:p>
    <w:p>
      <w:pPr>
        <w:pStyle w:val="3"/>
        <w:ind w:firstLine="480"/>
        <w:rPr>
          <w:rFonts w:cs="Times New Roman"/>
        </w:rPr>
      </w:pPr>
      <w:r>
        <w:rPr>
          <w:rFonts w:cs="Times New Roman"/>
        </w:rPr>
        <w:t>（1）评价区域土壤类型分布</w:t>
      </w:r>
    </w:p>
    <w:p>
      <w:pPr>
        <w:pStyle w:val="3"/>
        <w:ind w:firstLine="480"/>
        <w:rPr>
          <w:rFonts w:cs="Times New Roman"/>
        </w:rPr>
      </w:pPr>
      <w:r>
        <w:rPr>
          <w:rFonts w:cs="Times New Roman"/>
        </w:rPr>
        <w:t>评价区林地多由变质岩、沉积风化残积岩、花岗岩风化发育成的红壤。土层由于有植被，成土母岩的差异而厚不一，多在40～100cm之间。成土母岩以紫砂岩为主，多为水稻土和红壤。</w:t>
      </w:r>
    </w:p>
    <w:p>
      <w:pPr>
        <w:pStyle w:val="3"/>
        <w:ind w:firstLine="480"/>
        <w:rPr>
          <w:rFonts w:cs="Times New Roman"/>
        </w:rPr>
      </w:pPr>
      <w:r>
        <w:rPr>
          <w:rFonts w:cs="Times New Roman"/>
        </w:rPr>
        <w:t>（2）评价区域土地利用状况</w:t>
      </w:r>
    </w:p>
    <w:p>
      <w:pPr>
        <w:pStyle w:val="3"/>
        <w:ind w:firstLine="480"/>
        <w:rPr>
          <w:rFonts w:cs="Times New Roman"/>
        </w:rPr>
      </w:pPr>
      <w:r>
        <w:rPr>
          <w:rFonts w:cs="Times New Roman"/>
        </w:rPr>
        <w:t>本项目选址地区为丘陵山地，周围大部分为林地，林业用地为人工林地。</w:t>
      </w:r>
    </w:p>
    <w:p>
      <w:pPr>
        <w:pStyle w:val="3"/>
        <w:ind w:firstLine="480"/>
        <w:rPr>
          <w:rFonts w:cs="Times New Roman"/>
        </w:rPr>
      </w:pPr>
      <w:r>
        <w:rPr>
          <w:rFonts w:cs="Times New Roman"/>
        </w:rPr>
        <w:t>（3）评价区域植被现状</w:t>
      </w:r>
    </w:p>
    <w:p>
      <w:pPr>
        <w:pStyle w:val="3"/>
        <w:ind w:firstLine="480"/>
        <w:rPr>
          <w:rFonts w:cs="Times New Roman"/>
        </w:rPr>
      </w:pPr>
      <w:r>
        <w:rPr>
          <w:rFonts w:cs="Times New Roman"/>
        </w:rPr>
        <w:t>本项目评价区域内主要植被类型有：针叶林，灌木林。</w:t>
      </w:r>
    </w:p>
    <w:p>
      <w:pPr>
        <w:pStyle w:val="3"/>
        <w:ind w:firstLine="480"/>
        <w:rPr>
          <w:rFonts w:cs="Times New Roman"/>
        </w:rPr>
      </w:pPr>
      <w:r>
        <w:rPr>
          <w:rFonts w:hint="eastAsia" w:ascii="宋体" w:hAnsi="宋体" w:cs="宋体"/>
        </w:rPr>
        <w:t>①</w:t>
      </w:r>
      <w:r>
        <w:rPr>
          <w:rFonts w:cs="Times New Roman"/>
        </w:rPr>
        <w:t>针叶林：在项目区域可见的马尾松林，林下常有喜光灌木伴生，蕨类覆盖。</w:t>
      </w:r>
    </w:p>
    <w:p>
      <w:pPr>
        <w:pStyle w:val="3"/>
        <w:ind w:firstLine="480"/>
        <w:rPr>
          <w:rFonts w:cs="Times New Roman"/>
        </w:rPr>
      </w:pPr>
      <w:r>
        <w:rPr>
          <w:rFonts w:cs="Times New Roman"/>
        </w:rPr>
        <w:t>马尾松林多为天然飞籽成林，以中龄林为主，但长势多较差，郁闭度在0.6左右。林下灌木主要有白栎、野茉莉等，地被物以芒萁为主。</w:t>
      </w:r>
    </w:p>
    <w:p>
      <w:pPr>
        <w:pStyle w:val="3"/>
        <w:ind w:firstLine="480"/>
        <w:rPr>
          <w:rFonts w:cs="Times New Roman"/>
        </w:rPr>
      </w:pPr>
      <w:r>
        <w:rPr>
          <w:rFonts w:cs="Times New Roman"/>
        </w:rPr>
        <w:t>湿地松林皆为八十年代末、九十年代初造的人工林，成块状分布，其林下灌木较马尾松林下稀少，覆盖物多以芒萁或禾本科草丛为主。</w:t>
      </w:r>
    </w:p>
    <w:p>
      <w:pPr>
        <w:pStyle w:val="3"/>
        <w:ind w:firstLine="480"/>
        <w:rPr>
          <w:rFonts w:cs="Times New Roman"/>
        </w:rPr>
      </w:pPr>
      <w:r>
        <w:rPr>
          <w:rFonts w:hint="eastAsia" w:ascii="宋体" w:hAnsi="宋体" w:cs="宋体"/>
        </w:rPr>
        <w:t>②</w:t>
      </w:r>
      <w:r>
        <w:rPr>
          <w:rFonts w:cs="Times New Roman"/>
        </w:rPr>
        <w:t>灌木林：在评价区的山坡、岗地，由灌木树种和矮化为灌木的乔木树种组成，夹杂有胸径小于2cm的小杂竹丛，形成水竹与阔叶树种镶嵌群落。</w:t>
      </w:r>
    </w:p>
    <w:p>
      <w:pPr>
        <w:pStyle w:val="3"/>
        <w:ind w:firstLine="480"/>
        <w:rPr>
          <w:rFonts w:cs="Times New Roman"/>
        </w:rPr>
      </w:pPr>
      <w:r>
        <w:rPr>
          <w:rFonts w:cs="Times New Roman"/>
        </w:rPr>
        <w:t>（4）动植物资源</w:t>
      </w:r>
    </w:p>
    <w:p>
      <w:pPr>
        <w:pStyle w:val="3"/>
        <w:ind w:firstLine="480"/>
        <w:rPr>
          <w:rFonts w:cs="Times New Roman"/>
        </w:rPr>
      </w:pPr>
      <w:r>
        <w:rPr>
          <w:rFonts w:cs="Times New Roman"/>
        </w:rPr>
        <w:t>据调查，项目评价区域是以人工植被和退化的天然植被为主，动植物物种多为常见的广布种。</w:t>
      </w:r>
    </w:p>
    <w:p>
      <w:pPr>
        <w:pStyle w:val="3"/>
        <w:ind w:firstLine="480"/>
        <w:rPr>
          <w:rFonts w:cs="Times New Roman"/>
        </w:rPr>
      </w:pPr>
      <w:r>
        <w:rPr>
          <w:rFonts w:cs="Times New Roman"/>
        </w:rPr>
        <w:t>该区域脊椎动物资源状况主要是两栖类、鸟类为主。</w:t>
      </w:r>
    </w:p>
    <w:p>
      <w:pPr>
        <w:pStyle w:val="3"/>
        <w:ind w:firstLine="480"/>
        <w:rPr>
          <w:lang w:val="en-GB"/>
        </w:rPr>
      </w:pPr>
      <w:r>
        <w:rPr>
          <w:rFonts w:hint="eastAsia" w:ascii="宋体" w:hAnsi="宋体" w:cs="宋体"/>
        </w:rPr>
        <w:t>①</w:t>
      </w:r>
      <w:r>
        <w:rPr>
          <w:rFonts w:cs="Times New Roman"/>
        </w:rPr>
        <w:t>两栖类：本区域有大面积农作区、低山丘陵分布的两栖类以青蛙、田鸡等常见蛙类为主。</w:t>
      </w:r>
      <w:r>
        <w:rPr>
          <w:rFonts w:hint="eastAsia" w:ascii="宋体" w:hAnsi="宋体" w:cs="宋体"/>
        </w:rPr>
        <w:t>②</w:t>
      </w:r>
      <w:r>
        <w:rPr>
          <w:rFonts w:cs="Times New Roman"/>
        </w:rPr>
        <w:t>鸟类：鹊、莺、燕、鹧鸪、猫头鹰、斑鸠、雀、鹭等。</w:t>
      </w:r>
    </w:p>
    <w:p>
      <w:pPr>
        <w:pStyle w:val="3"/>
        <w:ind w:firstLine="480"/>
      </w:pPr>
      <w:r>
        <w:br w:type="page"/>
      </w:r>
    </w:p>
    <w:p>
      <w:pPr>
        <w:pStyle w:val="2"/>
      </w:pPr>
      <w:bookmarkStart w:id="34" w:name="_Toc80889083"/>
      <w:r>
        <w:rPr>
          <w:rFonts w:hint="eastAsia"/>
        </w:rPr>
        <w:t>环境</w:t>
      </w:r>
      <w:r>
        <w:t>影响预测与评价</w:t>
      </w:r>
      <w:bookmarkEnd w:id="34"/>
    </w:p>
    <w:p>
      <w:pPr>
        <w:pStyle w:val="5"/>
      </w:pPr>
      <w:bookmarkStart w:id="35" w:name="_Toc80889084"/>
      <w:r>
        <w:rPr>
          <w:rFonts w:hint="eastAsia"/>
        </w:rPr>
        <w:t>施工期</w:t>
      </w:r>
      <w:r>
        <w:t>环境影响</w:t>
      </w:r>
      <w:r>
        <w:rPr>
          <w:rFonts w:hint="eastAsia"/>
        </w:rPr>
        <w:t>预测</w:t>
      </w:r>
      <w:r>
        <w:t>与评价</w:t>
      </w:r>
      <w:bookmarkEnd w:id="35"/>
    </w:p>
    <w:p>
      <w:pPr>
        <w:pStyle w:val="6"/>
        <w:rPr>
          <w:rFonts w:cs="Times New Roman"/>
        </w:rPr>
      </w:pPr>
      <w:r>
        <w:rPr>
          <w:rFonts w:cs="Times New Roman"/>
        </w:rPr>
        <w:t>施工期地表水环境影响预测与评价</w:t>
      </w:r>
    </w:p>
    <w:p>
      <w:pPr>
        <w:pStyle w:val="3"/>
        <w:ind w:firstLine="480"/>
        <w:rPr>
          <w:rFonts w:cs="Times New Roman"/>
        </w:rPr>
      </w:pPr>
      <w:r>
        <w:rPr>
          <w:rFonts w:cs="Times New Roman"/>
        </w:rPr>
        <w:t>施工期产生的废水包括施工本身产生的施工废水和施工人员的生活污水，其中施工废水主要为基坑废水、混凝土养护废水及车辆冲洗废水。</w:t>
      </w:r>
    </w:p>
    <w:p>
      <w:pPr>
        <w:pStyle w:val="3"/>
        <w:ind w:firstLine="480"/>
        <w:rPr>
          <w:rFonts w:cs="Times New Roman"/>
        </w:rPr>
      </w:pPr>
      <w:r>
        <w:rPr>
          <w:rFonts w:cs="Times New Roman"/>
        </w:rPr>
        <w:t>（1）施工废水</w:t>
      </w:r>
    </w:p>
    <w:p>
      <w:pPr>
        <w:pStyle w:val="3"/>
        <w:ind w:firstLine="480"/>
        <w:rPr>
          <w:rFonts w:cs="Times New Roman"/>
        </w:rPr>
      </w:pPr>
      <w:r>
        <w:rPr>
          <w:rFonts w:hint="eastAsia" w:ascii="宋体" w:hAnsi="宋体" w:cs="宋体"/>
        </w:rPr>
        <w:t>①</w:t>
      </w:r>
      <w:r>
        <w:rPr>
          <w:rFonts w:cs="Times New Roman"/>
        </w:rPr>
        <w:t>混凝土养护废水：新浇筑的混凝土需要保证一定的湿度进行养护，养护时产生混凝土养护废水，混凝土养护废水由于产生量极少，评价建议建设单位在现场修建截污水沟及临时沉淀池，养护废水经沉淀处理后用于场地降尘洒水，难以形成地表径流，因此，混凝土养护废水对水环境无影响。</w:t>
      </w:r>
    </w:p>
    <w:p>
      <w:pPr>
        <w:pStyle w:val="3"/>
        <w:ind w:firstLine="480"/>
        <w:rPr>
          <w:rFonts w:cs="Times New Roman"/>
        </w:rPr>
      </w:pPr>
      <w:r>
        <w:rPr>
          <w:rFonts w:hint="eastAsia" w:ascii="宋体" w:hAnsi="宋体" w:cs="宋体"/>
        </w:rPr>
        <w:t>②</w:t>
      </w:r>
      <w:r>
        <w:rPr>
          <w:rFonts w:cs="Times New Roman"/>
        </w:rPr>
        <w:t>基坑废水：主要由大气降水在场地内的基坑形成，该废水为无毒无害废水，经厂区临时沉淀池沉淀处理后就回用于现场降尘洒水，不对周边地表水体产生污染影响。</w:t>
      </w:r>
    </w:p>
    <w:p>
      <w:pPr>
        <w:pStyle w:val="3"/>
        <w:ind w:firstLine="480"/>
        <w:rPr>
          <w:rFonts w:cs="Times New Roman"/>
        </w:rPr>
      </w:pPr>
      <w:r>
        <w:rPr>
          <w:rFonts w:hint="eastAsia" w:ascii="宋体" w:hAnsi="宋体" w:cs="宋体"/>
        </w:rPr>
        <w:t>③</w:t>
      </w:r>
      <w:r>
        <w:rPr>
          <w:rFonts w:cs="Times New Roman"/>
        </w:rPr>
        <w:t>车辆冲洗废水：主要来源于运输车辆冲洗水等，产生量约3.0m</w:t>
      </w:r>
      <w:r>
        <w:rPr>
          <w:rFonts w:cs="Times New Roman"/>
          <w:vertAlign w:val="superscript"/>
        </w:rPr>
        <w:t>3</w:t>
      </w:r>
      <w:r>
        <w:rPr>
          <w:rFonts w:cs="Times New Roman"/>
        </w:rPr>
        <w:t>/d，SS浓度高达2000~4000mg/L，在场地内修建2×2×1m</w:t>
      </w:r>
      <w:r>
        <w:rPr>
          <w:rFonts w:cs="Times New Roman"/>
          <w:vertAlign w:val="superscript"/>
        </w:rPr>
        <w:t>3</w:t>
      </w:r>
      <w:r>
        <w:rPr>
          <w:rFonts w:cs="Times New Roman"/>
        </w:rPr>
        <w:t>的隔油沉淀池，废水经沉淀处理后全部回用，不外排，对区域水环境影响小。</w:t>
      </w:r>
    </w:p>
    <w:p>
      <w:pPr>
        <w:pStyle w:val="3"/>
        <w:ind w:firstLine="480"/>
        <w:rPr>
          <w:rFonts w:cs="Times New Roman"/>
        </w:rPr>
      </w:pPr>
      <w:r>
        <w:rPr>
          <w:rFonts w:cs="Times New Roman"/>
        </w:rPr>
        <w:t>另外，施工场地需在开挖作业面周围设置雨水沟，将作业区地面雨水导至地面水体，减少雨水对施工地面造成冲刷，同时在施工地最低处设置雨水沉淀池，减少水土流失量。</w:t>
      </w:r>
    </w:p>
    <w:p>
      <w:pPr>
        <w:pStyle w:val="3"/>
        <w:ind w:firstLine="480"/>
        <w:rPr>
          <w:rFonts w:cs="Times New Roman"/>
        </w:rPr>
      </w:pPr>
      <w:r>
        <w:rPr>
          <w:rFonts w:cs="Times New Roman"/>
        </w:rPr>
        <w:t>（2）施工人员生活废水</w:t>
      </w:r>
    </w:p>
    <w:p>
      <w:pPr>
        <w:pStyle w:val="3"/>
        <w:ind w:firstLine="480"/>
        <w:rPr>
          <w:rFonts w:cs="Times New Roman"/>
        </w:rPr>
      </w:pPr>
      <w:r>
        <w:rPr>
          <w:rFonts w:cs="Times New Roman"/>
        </w:rPr>
        <w:t>施工人员从附近居民中招募，因此施工场地内不设施工生活营地，不设食堂，无含油生活污水排放。施工场地设临时</w:t>
      </w:r>
      <w:r>
        <w:rPr>
          <w:rFonts w:hint="eastAsia" w:cs="Times New Roman"/>
        </w:rPr>
        <w:t>公</w:t>
      </w:r>
      <w:r>
        <w:rPr>
          <w:rFonts w:cs="Times New Roman"/>
        </w:rPr>
        <w:t>厕，工人如厕废水经收集处理后，委托周边村民定期清掏运走作为周边农田肥料。施工人员洗手、洗脸产生少量的废水，经施工场地的临时沉淀池收集沉淀后用于施工场地内防尘洒水，不外排，不影响周边地表水。</w:t>
      </w:r>
    </w:p>
    <w:p>
      <w:pPr>
        <w:pStyle w:val="6"/>
        <w:rPr>
          <w:rFonts w:cs="Times New Roman"/>
        </w:rPr>
      </w:pPr>
      <w:r>
        <w:rPr>
          <w:rFonts w:cs="Times New Roman"/>
        </w:rPr>
        <w:t>施工期大气环境影响预测与评价</w:t>
      </w:r>
    </w:p>
    <w:p>
      <w:pPr>
        <w:pStyle w:val="3"/>
        <w:ind w:firstLine="480"/>
        <w:rPr>
          <w:rFonts w:cs="Times New Roman"/>
        </w:rPr>
      </w:pPr>
      <w:r>
        <w:rPr>
          <w:rFonts w:cs="Times New Roman"/>
        </w:rPr>
        <w:t>施工期大气污染主要是施工阶段产生的扬尘、汽车尾气等。</w:t>
      </w:r>
    </w:p>
    <w:p>
      <w:pPr>
        <w:pStyle w:val="3"/>
        <w:ind w:firstLine="480"/>
        <w:rPr>
          <w:rFonts w:cs="Times New Roman"/>
        </w:rPr>
      </w:pPr>
      <w:r>
        <w:rPr>
          <w:rFonts w:cs="Times New Roman"/>
        </w:rPr>
        <w:t>（1）施工期扬尘</w:t>
      </w:r>
    </w:p>
    <w:p>
      <w:pPr>
        <w:pStyle w:val="3"/>
        <w:ind w:firstLine="480"/>
        <w:rPr>
          <w:rFonts w:cs="Times New Roman"/>
        </w:rPr>
      </w:pPr>
      <w:r>
        <w:rPr>
          <w:rFonts w:cs="Times New Roman"/>
        </w:rPr>
        <w:t>对整个施工期而言，施工产生的扬尘主要集中在土建施工阶段，按起尘的原因可分为风力起尘和动力起尘，其中风力起尘主要是由于露天堆放的建材（如砂石、水泥等）及裸露的施工区表层浮尘由于天气干燥及大风，产生风力扬尘；而动力起尘，主要是在建材的装卸、堆放过程中，由于外力而产生的尘粒再悬浮而造成，其中施工及装卸车辆造成的扬尘最为严重。</w:t>
      </w:r>
    </w:p>
    <w:p>
      <w:pPr>
        <w:pStyle w:val="3"/>
        <w:ind w:firstLine="480"/>
        <w:rPr>
          <w:rFonts w:cs="Times New Roman"/>
        </w:rPr>
      </w:pPr>
      <w:r>
        <w:rPr>
          <w:rFonts w:hint="eastAsia" w:ascii="宋体" w:hAnsi="宋体" w:cs="宋体"/>
        </w:rPr>
        <w:t>①</w:t>
      </w:r>
      <w:r>
        <w:rPr>
          <w:rFonts w:cs="Times New Roman"/>
        </w:rPr>
        <w:t>施工期运输车辆扬尘影响分析</w:t>
      </w:r>
    </w:p>
    <w:p>
      <w:pPr>
        <w:pStyle w:val="3"/>
        <w:ind w:firstLine="480"/>
        <w:rPr>
          <w:rFonts w:cs="Times New Roman"/>
        </w:rPr>
      </w:pPr>
      <w:r>
        <w:rPr>
          <w:rFonts w:cs="Times New Roman"/>
        </w:rPr>
        <w:t>据有关文献资料介绍，车辆行驶产生的扬尘占总扬尘的60%以上，车辆行驶产生的扬尘，在完全干燥情况下，可按下列经验公式计算：</w:t>
      </w:r>
    </w:p>
    <w:p>
      <w:pPr>
        <w:pStyle w:val="3"/>
        <w:ind w:firstLine="480"/>
        <w:jc w:val="center"/>
        <w:rPr>
          <w:rFonts w:cs="Times New Roman"/>
        </w:rPr>
      </w:pPr>
      <w:r>
        <w:rPr>
          <w:rFonts w:cs="Times New Roman"/>
        </w:rPr>
        <w:object>
          <v:shape id="_x0000_i1029" o:spt="75" type="#_x0000_t75" style="height:21.3pt;width:180.3pt;" o:ole="t" filled="f" coordsize="21600,21600">
            <v:path/>
            <v:fill on="f" focussize="0,0"/>
            <v:stroke/>
            <v:imagedata r:id="rId23" embosscolor="#FFFFFF" o:title=""/>
            <o:lock v:ext="edit" aspectratio="t"/>
            <w10:wrap type="none"/>
            <w10:anchorlock/>
          </v:shape>
          <o:OLEObject Type="Embed" ProgID="Equation.3" ShapeID="_x0000_i1029" DrawAspect="Content" ObjectID="_1468075729" r:id="rId22">
            <o:LockedField>false</o:LockedField>
          </o:OLEObject>
        </w:object>
      </w:r>
    </w:p>
    <w:p>
      <w:pPr>
        <w:pStyle w:val="3"/>
        <w:ind w:firstLine="480"/>
        <w:rPr>
          <w:rFonts w:cs="Times New Roman"/>
        </w:rPr>
      </w:pPr>
      <w:r>
        <w:rPr>
          <w:rFonts w:cs="Times New Roman"/>
        </w:rPr>
        <w:t>式中：Q—汽车行驶的扬尘，kg/km·辆；</w:t>
      </w:r>
    </w:p>
    <w:p>
      <w:pPr>
        <w:pStyle w:val="3"/>
        <w:ind w:firstLine="1200" w:firstLineChars="500"/>
        <w:rPr>
          <w:rFonts w:cs="Times New Roman"/>
        </w:rPr>
      </w:pPr>
      <w:r>
        <w:rPr>
          <w:rFonts w:cs="Times New Roman"/>
        </w:rPr>
        <w:t>V—汽车速度，km/hr；</w:t>
      </w:r>
    </w:p>
    <w:p>
      <w:pPr>
        <w:pStyle w:val="3"/>
        <w:ind w:firstLine="1200" w:firstLineChars="500"/>
        <w:rPr>
          <w:rFonts w:cs="Times New Roman"/>
        </w:rPr>
      </w:pPr>
      <w:r>
        <w:rPr>
          <w:rFonts w:cs="Times New Roman"/>
        </w:rPr>
        <w:t xml:space="preserve">W—汽车载重量，吨；     </w:t>
      </w:r>
    </w:p>
    <w:p>
      <w:pPr>
        <w:pStyle w:val="3"/>
        <w:ind w:firstLine="1200" w:firstLineChars="500"/>
        <w:rPr>
          <w:rFonts w:cs="Times New Roman"/>
        </w:rPr>
      </w:pPr>
      <w:r>
        <w:rPr>
          <w:rFonts w:cs="Times New Roman"/>
        </w:rPr>
        <w:t>P—道路表面粉尘量，kg/m</w:t>
      </w:r>
      <w:r>
        <w:rPr>
          <w:rFonts w:cs="Times New Roman"/>
          <w:vertAlign w:val="superscript"/>
        </w:rPr>
        <w:t>2</w:t>
      </w:r>
      <w:r>
        <w:rPr>
          <w:rFonts w:cs="Times New Roman"/>
        </w:rPr>
        <w:t>。</w:t>
      </w:r>
    </w:p>
    <w:p>
      <w:pPr>
        <w:pStyle w:val="3"/>
        <w:ind w:firstLine="480"/>
        <w:rPr>
          <w:rFonts w:cs="Times New Roman"/>
        </w:rPr>
      </w:pPr>
      <w:r>
        <w:rPr>
          <w:rFonts w:cs="Times New Roman"/>
        </w:rPr>
        <w:t>表5.1-1为一辆载重5t的卡车，通过一段长度为500m的路面时，不同路面清洁程度，不同行驶速度情况下产生的扬尘量。由此可见，在同样路面清洁情况下，车速越快，扬尘量越大；而在同样车速情况下，路面清洁度越差，则扬尘量越大。</w:t>
      </w:r>
    </w:p>
    <w:p>
      <w:pPr>
        <w:pStyle w:val="15"/>
        <w:ind w:left="420" w:hanging="420"/>
        <w:rPr>
          <w:rFonts w:cs="Times New Roman"/>
        </w:rPr>
      </w:pPr>
      <w:r>
        <w:rPr>
          <w:rFonts w:cs="Times New Roman"/>
        </w:rPr>
        <w:t>表5.1-1  不同车速和地面清洁程度时的汽车扬尘  单位：kg/辆·km</w:t>
      </w:r>
    </w:p>
    <w:tbl>
      <w:tblPr>
        <w:tblStyle w:val="26"/>
        <w:tblW w:w="917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13"/>
        <w:gridCol w:w="1310"/>
        <w:gridCol w:w="1312"/>
        <w:gridCol w:w="1312"/>
        <w:gridCol w:w="1310"/>
        <w:gridCol w:w="1310"/>
        <w:gridCol w:w="13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313" w:type="dxa"/>
            <w:tcBorders>
              <w:top w:val="single" w:color="auto" w:sz="4" w:space="0"/>
              <w:left w:val="single" w:color="auto" w:sz="4" w:space="0"/>
              <w:bottom w:val="single" w:color="auto" w:sz="4" w:space="0"/>
              <w:right w:val="single" w:color="auto" w:sz="4" w:space="0"/>
              <w:tl2br w:val="single" w:color="auto" w:sz="4" w:space="0"/>
            </w:tcBorders>
            <w:vAlign w:val="center"/>
          </w:tcPr>
          <w:p>
            <w:pPr>
              <w:pStyle w:val="39"/>
              <w:rPr>
                <w:rFonts w:cs="Times New Roman"/>
              </w:rPr>
            </w:pPr>
            <w:r>
              <w:rPr>
                <w:rFonts w:cs="Times New Roman"/>
              </w:rPr>
              <w:t xml:space="preserve">       P</w:t>
            </w:r>
          </w:p>
          <w:p>
            <w:pPr>
              <w:pStyle w:val="39"/>
              <w:jc w:val="left"/>
              <w:rPr>
                <w:rFonts w:cs="Times New Roman"/>
              </w:rPr>
            </w:pPr>
            <w:r>
              <w:rPr>
                <w:rFonts w:cs="Times New Roman"/>
              </w:rPr>
              <w:t>车速</w:t>
            </w:r>
            <w:r>
              <w:rPr>
                <w:rFonts w:cs="Times New Roman"/>
                <w:sz w:val="18"/>
                <w:szCs w:val="18"/>
              </w:rPr>
              <w:t>(km/h)</w:t>
            </w:r>
          </w:p>
        </w:tc>
        <w:tc>
          <w:tcPr>
            <w:tcW w:w="1310" w:type="dxa"/>
            <w:tcBorders>
              <w:top w:val="single" w:color="auto" w:sz="4" w:space="0"/>
              <w:left w:val="single" w:color="auto" w:sz="4" w:space="0"/>
              <w:bottom w:val="single" w:color="auto" w:sz="4" w:space="0"/>
              <w:right w:val="single" w:color="auto" w:sz="4" w:space="0"/>
            </w:tcBorders>
            <w:vAlign w:val="center"/>
          </w:tcPr>
          <w:p>
            <w:pPr>
              <w:pStyle w:val="39"/>
              <w:rPr>
                <w:rFonts w:cs="Times New Roman"/>
              </w:rPr>
            </w:pPr>
            <w:r>
              <w:rPr>
                <w:rFonts w:cs="Times New Roman"/>
              </w:rPr>
              <w:t>0.1（kg/m</w:t>
            </w:r>
            <w:r>
              <w:rPr>
                <w:rFonts w:cs="Times New Roman"/>
                <w:vertAlign w:val="superscript"/>
              </w:rPr>
              <w:t>2</w:t>
            </w:r>
            <w:r>
              <w:rPr>
                <w:rFonts w:cs="Times New Roman"/>
              </w:rPr>
              <w:t>）</w:t>
            </w:r>
          </w:p>
        </w:tc>
        <w:tc>
          <w:tcPr>
            <w:tcW w:w="1312" w:type="dxa"/>
            <w:tcBorders>
              <w:top w:val="single" w:color="auto" w:sz="4" w:space="0"/>
              <w:left w:val="single" w:color="auto" w:sz="4" w:space="0"/>
              <w:bottom w:val="single" w:color="auto" w:sz="4" w:space="0"/>
              <w:right w:val="single" w:color="auto" w:sz="4" w:space="0"/>
            </w:tcBorders>
            <w:vAlign w:val="center"/>
          </w:tcPr>
          <w:p>
            <w:pPr>
              <w:pStyle w:val="39"/>
              <w:rPr>
                <w:rFonts w:cs="Times New Roman"/>
              </w:rPr>
            </w:pPr>
            <w:r>
              <w:rPr>
                <w:rFonts w:cs="Times New Roman"/>
              </w:rPr>
              <w:t>0.2（kg/m</w:t>
            </w:r>
            <w:r>
              <w:rPr>
                <w:rFonts w:cs="Times New Roman"/>
                <w:vertAlign w:val="superscript"/>
              </w:rPr>
              <w:t>2</w:t>
            </w:r>
            <w:r>
              <w:rPr>
                <w:rFonts w:cs="Times New Roman"/>
              </w:rPr>
              <w:t>）</w:t>
            </w:r>
          </w:p>
        </w:tc>
        <w:tc>
          <w:tcPr>
            <w:tcW w:w="1312" w:type="dxa"/>
            <w:tcBorders>
              <w:top w:val="single" w:color="auto" w:sz="4" w:space="0"/>
              <w:left w:val="single" w:color="auto" w:sz="4" w:space="0"/>
              <w:bottom w:val="single" w:color="auto" w:sz="4" w:space="0"/>
              <w:right w:val="single" w:color="auto" w:sz="4" w:space="0"/>
            </w:tcBorders>
            <w:vAlign w:val="center"/>
          </w:tcPr>
          <w:p>
            <w:pPr>
              <w:pStyle w:val="39"/>
              <w:rPr>
                <w:rFonts w:cs="Times New Roman"/>
              </w:rPr>
            </w:pPr>
            <w:r>
              <w:rPr>
                <w:rFonts w:cs="Times New Roman"/>
              </w:rPr>
              <w:t>0.3（kg/m</w:t>
            </w:r>
            <w:r>
              <w:rPr>
                <w:rFonts w:cs="Times New Roman"/>
                <w:vertAlign w:val="superscript"/>
              </w:rPr>
              <w:t>2</w:t>
            </w:r>
            <w:r>
              <w:rPr>
                <w:rFonts w:cs="Times New Roman"/>
              </w:rPr>
              <w:t>）</w:t>
            </w:r>
          </w:p>
        </w:tc>
        <w:tc>
          <w:tcPr>
            <w:tcW w:w="1310" w:type="dxa"/>
            <w:tcBorders>
              <w:top w:val="single" w:color="auto" w:sz="4" w:space="0"/>
              <w:left w:val="single" w:color="auto" w:sz="4" w:space="0"/>
              <w:bottom w:val="single" w:color="auto" w:sz="4" w:space="0"/>
              <w:right w:val="single" w:color="auto" w:sz="4" w:space="0"/>
            </w:tcBorders>
            <w:vAlign w:val="center"/>
          </w:tcPr>
          <w:p>
            <w:pPr>
              <w:pStyle w:val="39"/>
              <w:rPr>
                <w:rFonts w:cs="Times New Roman"/>
              </w:rPr>
            </w:pPr>
            <w:r>
              <w:rPr>
                <w:rFonts w:cs="Times New Roman"/>
              </w:rPr>
              <w:t>0.4（kg/m</w:t>
            </w:r>
            <w:r>
              <w:rPr>
                <w:rFonts w:cs="Times New Roman"/>
                <w:vertAlign w:val="superscript"/>
              </w:rPr>
              <w:t>2</w:t>
            </w:r>
            <w:r>
              <w:rPr>
                <w:rFonts w:cs="Times New Roman"/>
              </w:rPr>
              <w:t>）</w:t>
            </w:r>
          </w:p>
        </w:tc>
        <w:tc>
          <w:tcPr>
            <w:tcW w:w="1310" w:type="dxa"/>
            <w:tcBorders>
              <w:top w:val="single" w:color="auto" w:sz="4" w:space="0"/>
              <w:left w:val="single" w:color="auto" w:sz="4" w:space="0"/>
              <w:bottom w:val="single" w:color="auto" w:sz="4" w:space="0"/>
              <w:right w:val="single" w:color="auto" w:sz="4" w:space="0"/>
            </w:tcBorders>
            <w:vAlign w:val="center"/>
          </w:tcPr>
          <w:p>
            <w:pPr>
              <w:pStyle w:val="39"/>
              <w:rPr>
                <w:rFonts w:cs="Times New Roman"/>
              </w:rPr>
            </w:pPr>
            <w:r>
              <w:rPr>
                <w:rFonts w:cs="Times New Roman"/>
              </w:rPr>
              <w:t>0.5（kg/m</w:t>
            </w:r>
            <w:r>
              <w:rPr>
                <w:rFonts w:cs="Times New Roman"/>
                <w:vertAlign w:val="superscript"/>
              </w:rPr>
              <w:t>2</w:t>
            </w:r>
            <w:r>
              <w:rPr>
                <w:rFonts w:cs="Times New Roman"/>
              </w:rPr>
              <w:t>）</w:t>
            </w:r>
          </w:p>
        </w:tc>
        <w:tc>
          <w:tcPr>
            <w:tcW w:w="1306" w:type="dxa"/>
            <w:tcBorders>
              <w:top w:val="single" w:color="auto" w:sz="4" w:space="0"/>
              <w:left w:val="single" w:color="auto" w:sz="4" w:space="0"/>
              <w:bottom w:val="single" w:color="auto" w:sz="4" w:space="0"/>
              <w:right w:val="single" w:color="auto" w:sz="4" w:space="0"/>
            </w:tcBorders>
            <w:vAlign w:val="center"/>
          </w:tcPr>
          <w:p>
            <w:pPr>
              <w:pStyle w:val="39"/>
              <w:rPr>
                <w:rFonts w:cs="Times New Roman"/>
              </w:rPr>
            </w:pPr>
            <w:r>
              <w:rPr>
                <w:rFonts w:cs="Times New Roman"/>
              </w:rPr>
              <w:t>1.0（kg/m</w:t>
            </w:r>
            <w:r>
              <w:rPr>
                <w:rFonts w:cs="Times New Roman"/>
                <w:vertAlign w:val="superscript"/>
              </w:rPr>
              <w:t>2</w:t>
            </w:r>
            <w:r>
              <w:rPr>
                <w:rFonts w:cs="Times New Roma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313" w:type="dxa"/>
            <w:tcBorders>
              <w:top w:val="single" w:color="auto" w:sz="4" w:space="0"/>
              <w:left w:val="single" w:color="auto" w:sz="4" w:space="0"/>
              <w:bottom w:val="single" w:color="auto" w:sz="4" w:space="0"/>
              <w:right w:val="single" w:color="auto" w:sz="4" w:space="0"/>
            </w:tcBorders>
            <w:vAlign w:val="center"/>
          </w:tcPr>
          <w:p>
            <w:pPr>
              <w:pStyle w:val="39"/>
              <w:rPr>
                <w:rFonts w:cs="Times New Roman"/>
              </w:rPr>
            </w:pPr>
            <w:r>
              <w:rPr>
                <w:rFonts w:cs="Times New Roman"/>
              </w:rPr>
              <w:t>5</w:t>
            </w:r>
          </w:p>
        </w:tc>
        <w:tc>
          <w:tcPr>
            <w:tcW w:w="1310" w:type="dxa"/>
            <w:tcBorders>
              <w:top w:val="single" w:color="auto" w:sz="4" w:space="0"/>
              <w:left w:val="single" w:color="auto" w:sz="4" w:space="0"/>
              <w:bottom w:val="single" w:color="auto" w:sz="4" w:space="0"/>
              <w:right w:val="single" w:color="auto" w:sz="4" w:space="0"/>
            </w:tcBorders>
            <w:vAlign w:val="center"/>
          </w:tcPr>
          <w:p>
            <w:pPr>
              <w:pStyle w:val="39"/>
              <w:rPr>
                <w:rFonts w:cs="Times New Roman"/>
              </w:rPr>
            </w:pPr>
            <w:r>
              <w:rPr>
                <w:rFonts w:cs="Times New Roman"/>
              </w:rPr>
              <w:t>0.0283</w:t>
            </w:r>
          </w:p>
        </w:tc>
        <w:tc>
          <w:tcPr>
            <w:tcW w:w="1312" w:type="dxa"/>
            <w:tcBorders>
              <w:top w:val="single" w:color="auto" w:sz="4" w:space="0"/>
              <w:left w:val="single" w:color="auto" w:sz="4" w:space="0"/>
              <w:bottom w:val="single" w:color="auto" w:sz="4" w:space="0"/>
              <w:right w:val="single" w:color="auto" w:sz="4" w:space="0"/>
            </w:tcBorders>
            <w:vAlign w:val="center"/>
          </w:tcPr>
          <w:p>
            <w:pPr>
              <w:pStyle w:val="39"/>
              <w:rPr>
                <w:rFonts w:cs="Times New Roman"/>
              </w:rPr>
            </w:pPr>
            <w:r>
              <w:rPr>
                <w:rFonts w:cs="Times New Roman"/>
              </w:rPr>
              <w:t>0.0476</w:t>
            </w:r>
          </w:p>
        </w:tc>
        <w:tc>
          <w:tcPr>
            <w:tcW w:w="1312" w:type="dxa"/>
            <w:tcBorders>
              <w:top w:val="single" w:color="auto" w:sz="4" w:space="0"/>
              <w:left w:val="single" w:color="auto" w:sz="4" w:space="0"/>
              <w:bottom w:val="single" w:color="auto" w:sz="4" w:space="0"/>
              <w:right w:val="single" w:color="auto" w:sz="4" w:space="0"/>
            </w:tcBorders>
            <w:vAlign w:val="center"/>
          </w:tcPr>
          <w:p>
            <w:pPr>
              <w:pStyle w:val="39"/>
              <w:rPr>
                <w:rFonts w:cs="Times New Roman"/>
              </w:rPr>
            </w:pPr>
            <w:r>
              <w:rPr>
                <w:rFonts w:cs="Times New Roman"/>
              </w:rPr>
              <w:t>0.0646</w:t>
            </w:r>
          </w:p>
        </w:tc>
        <w:tc>
          <w:tcPr>
            <w:tcW w:w="1310" w:type="dxa"/>
            <w:tcBorders>
              <w:top w:val="single" w:color="auto" w:sz="4" w:space="0"/>
              <w:left w:val="single" w:color="auto" w:sz="4" w:space="0"/>
              <w:bottom w:val="single" w:color="auto" w:sz="4" w:space="0"/>
              <w:right w:val="single" w:color="auto" w:sz="4" w:space="0"/>
            </w:tcBorders>
            <w:vAlign w:val="center"/>
          </w:tcPr>
          <w:p>
            <w:pPr>
              <w:pStyle w:val="39"/>
              <w:rPr>
                <w:rFonts w:cs="Times New Roman"/>
              </w:rPr>
            </w:pPr>
            <w:r>
              <w:rPr>
                <w:rFonts w:cs="Times New Roman"/>
              </w:rPr>
              <w:t>0.0801</w:t>
            </w:r>
          </w:p>
        </w:tc>
        <w:tc>
          <w:tcPr>
            <w:tcW w:w="1310" w:type="dxa"/>
            <w:tcBorders>
              <w:top w:val="single" w:color="auto" w:sz="4" w:space="0"/>
              <w:left w:val="single" w:color="auto" w:sz="4" w:space="0"/>
              <w:bottom w:val="single" w:color="auto" w:sz="4" w:space="0"/>
              <w:right w:val="single" w:color="auto" w:sz="4" w:space="0"/>
            </w:tcBorders>
            <w:vAlign w:val="center"/>
          </w:tcPr>
          <w:p>
            <w:pPr>
              <w:pStyle w:val="39"/>
              <w:rPr>
                <w:rFonts w:cs="Times New Roman"/>
              </w:rPr>
            </w:pPr>
            <w:r>
              <w:rPr>
                <w:rFonts w:cs="Times New Roman"/>
              </w:rPr>
              <w:t>0.0947</w:t>
            </w:r>
          </w:p>
        </w:tc>
        <w:tc>
          <w:tcPr>
            <w:tcW w:w="1306" w:type="dxa"/>
            <w:tcBorders>
              <w:top w:val="single" w:color="auto" w:sz="4" w:space="0"/>
              <w:left w:val="single" w:color="auto" w:sz="4" w:space="0"/>
              <w:bottom w:val="single" w:color="auto" w:sz="4" w:space="0"/>
              <w:right w:val="single" w:color="auto" w:sz="4" w:space="0"/>
            </w:tcBorders>
            <w:vAlign w:val="center"/>
          </w:tcPr>
          <w:p>
            <w:pPr>
              <w:pStyle w:val="39"/>
              <w:rPr>
                <w:rFonts w:cs="Times New Roman"/>
              </w:rPr>
            </w:pPr>
            <w:r>
              <w:rPr>
                <w:rFonts w:cs="Times New Roman"/>
              </w:rPr>
              <w:t>0.1593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313" w:type="dxa"/>
            <w:tcBorders>
              <w:top w:val="single" w:color="auto" w:sz="4" w:space="0"/>
              <w:left w:val="single" w:color="auto" w:sz="4" w:space="0"/>
              <w:bottom w:val="single" w:color="auto" w:sz="4" w:space="0"/>
              <w:right w:val="single" w:color="auto" w:sz="4" w:space="0"/>
            </w:tcBorders>
            <w:vAlign w:val="center"/>
          </w:tcPr>
          <w:p>
            <w:pPr>
              <w:pStyle w:val="39"/>
              <w:rPr>
                <w:rFonts w:cs="Times New Roman"/>
              </w:rPr>
            </w:pPr>
            <w:r>
              <w:rPr>
                <w:rFonts w:cs="Times New Roman"/>
              </w:rPr>
              <w:t>10</w:t>
            </w:r>
          </w:p>
        </w:tc>
        <w:tc>
          <w:tcPr>
            <w:tcW w:w="1310" w:type="dxa"/>
            <w:tcBorders>
              <w:top w:val="single" w:color="auto" w:sz="4" w:space="0"/>
              <w:left w:val="single" w:color="auto" w:sz="4" w:space="0"/>
              <w:bottom w:val="single" w:color="auto" w:sz="4" w:space="0"/>
              <w:right w:val="single" w:color="auto" w:sz="4" w:space="0"/>
            </w:tcBorders>
            <w:vAlign w:val="center"/>
          </w:tcPr>
          <w:p>
            <w:pPr>
              <w:pStyle w:val="39"/>
              <w:rPr>
                <w:rFonts w:cs="Times New Roman"/>
              </w:rPr>
            </w:pPr>
            <w:r>
              <w:rPr>
                <w:rFonts w:cs="Times New Roman"/>
              </w:rPr>
              <w:t>0.0566</w:t>
            </w:r>
          </w:p>
        </w:tc>
        <w:tc>
          <w:tcPr>
            <w:tcW w:w="1312" w:type="dxa"/>
            <w:tcBorders>
              <w:top w:val="single" w:color="auto" w:sz="4" w:space="0"/>
              <w:left w:val="single" w:color="auto" w:sz="4" w:space="0"/>
              <w:bottom w:val="single" w:color="auto" w:sz="4" w:space="0"/>
              <w:right w:val="single" w:color="auto" w:sz="4" w:space="0"/>
            </w:tcBorders>
            <w:vAlign w:val="center"/>
          </w:tcPr>
          <w:p>
            <w:pPr>
              <w:pStyle w:val="39"/>
              <w:rPr>
                <w:rFonts w:cs="Times New Roman"/>
              </w:rPr>
            </w:pPr>
            <w:r>
              <w:rPr>
                <w:rFonts w:cs="Times New Roman"/>
              </w:rPr>
              <w:t>0.0953</w:t>
            </w:r>
          </w:p>
        </w:tc>
        <w:tc>
          <w:tcPr>
            <w:tcW w:w="1312" w:type="dxa"/>
            <w:tcBorders>
              <w:top w:val="single" w:color="auto" w:sz="4" w:space="0"/>
              <w:left w:val="single" w:color="auto" w:sz="4" w:space="0"/>
              <w:bottom w:val="single" w:color="auto" w:sz="4" w:space="0"/>
              <w:right w:val="single" w:color="auto" w:sz="4" w:space="0"/>
            </w:tcBorders>
            <w:vAlign w:val="center"/>
          </w:tcPr>
          <w:p>
            <w:pPr>
              <w:pStyle w:val="39"/>
              <w:rPr>
                <w:rFonts w:cs="Times New Roman"/>
              </w:rPr>
            </w:pPr>
            <w:r>
              <w:rPr>
                <w:rFonts w:cs="Times New Roman"/>
              </w:rPr>
              <w:t>0.1291</w:t>
            </w:r>
          </w:p>
        </w:tc>
        <w:tc>
          <w:tcPr>
            <w:tcW w:w="1310" w:type="dxa"/>
            <w:tcBorders>
              <w:top w:val="single" w:color="auto" w:sz="4" w:space="0"/>
              <w:left w:val="single" w:color="auto" w:sz="4" w:space="0"/>
              <w:bottom w:val="single" w:color="auto" w:sz="4" w:space="0"/>
              <w:right w:val="single" w:color="auto" w:sz="4" w:space="0"/>
            </w:tcBorders>
            <w:vAlign w:val="center"/>
          </w:tcPr>
          <w:p>
            <w:pPr>
              <w:pStyle w:val="39"/>
              <w:rPr>
                <w:rFonts w:cs="Times New Roman"/>
              </w:rPr>
            </w:pPr>
            <w:r>
              <w:rPr>
                <w:rFonts w:cs="Times New Roman"/>
              </w:rPr>
              <w:t>0.1602</w:t>
            </w:r>
          </w:p>
        </w:tc>
        <w:tc>
          <w:tcPr>
            <w:tcW w:w="1310" w:type="dxa"/>
            <w:tcBorders>
              <w:top w:val="single" w:color="auto" w:sz="4" w:space="0"/>
              <w:left w:val="single" w:color="auto" w:sz="4" w:space="0"/>
              <w:bottom w:val="single" w:color="auto" w:sz="4" w:space="0"/>
              <w:right w:val="single" w:color="auto" w:sz="4" w:space="0"/>
            </w:tcBorders>
            <w:vAlign w:val="center"/>
          </w:tcPr>
          <w:p>
            <w:pPr>
              <w:pStyle w:val="39"/>
              <w:rPr>
                <w:rFonts w:cs="Times New Roman"/>
              </w:rPr>
            </w:pPr>
            <w:r>
              <w:rPr>
                <w:rFonts w:cs="Times New Roman"/>
              </w:rPr>
              <w:t>0.1894</w:t>
            </w:r>
          </w:p>
        </w:tc>
        <w:tc>
          <w:tcPr>
            <w:tcW w:w="1306" w:type="dxa"/>
            <w:tcBorders>
              <w:top w:val="single" w:color="auto" w:sz="4" w:space="0"/>
              <w:left w:val="single" w:color="auto" w:sz="4" w:space="0"/>
              <w:bottom w:val="single" w:color="auto" w:sz="4" w:space="0"/>
              <w:right w:val="single" w:color="auto" w:sz="4" w:space="0"/>
            </w:tcBorders>
            <w:vAlign w:val="center"/>
          </w:tcPr>
          <w:p>
            <w:pPr>
              <w:pStyle w:val="39"/>
              <w:rPr>
                <w:rFonts w:cs="Times New Roman"/>
              </w:rPr>
            </w:pPr>
            <w:r>
              <w:rPr>
                <w:rFonts w:cs="Times New Roman"/>
              </w:rPr>
              <w:t>0.3186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313" w:type="dxa"/>
            <w:tcBorders>
              <w:top w:val="single" w:color="auto" w:sz="4" w:space="0"/>
              <w:left w:val="single" w:color="auto" w:sz="4" w:space="0"/>
              <w:bottom w:val="single" w:color="auto" w:sz="4" w:space="0"/>
              <w:right w:val="single" w:color="auto" w:sz="4" w:space="0"/>
            </w:tcBorders>
            <w:vAlign w:val="center"/>
          </w:tcPr>
          <w:p>
            <w:pPr>
              <w:pStyle w:val="39"/>
              <w:rPr>
                <w:rFonts w:cs="Times New Roman"/>
              </w:rPr>
            </w:pPr>
            <w:r>
              <w:rPr>
                <w:rFonts w:cs="Times New Roman"/>
              </w:rPr>
              <w:t>15</w:t>
            </w:r>
          </w:p>
        </w:tc>
        <w:tc>
          <w:tcPr>
            <w:tcW w:w="1310" w:type="dxa"/>
            <w:tcBorders>
              <w:top w:val="single" w:color="auto" w:sz="4" w:space="0"/>
              <w:left w:val="single" w:color="auto" w:sz="4" w:space="0"/>
              <w:bottom w:val="single" w:color="auto" w:sz="4" w:space="0"/>
              <w:right w:val="single" w:color="auto" w:sz="4" w:space="0"/>
            </w:tcBorders>
            <w:vAlign w:val="center"/>
          </w:tcPr>
          <w:p>
            <w:pPr>
              <w:pStyle w:val="39"/>
              <w:rPr>
                <w:rFonts w:cs="Times New Roman"/>
              </w:rPr>
            </w:pPr>
            <w:r>
              <w:rPr>
                <w:rFonts w:cs="Times New Roman"/>
              </w:rPr>
              <w:t>0.0850</w:t>
            </w:r>
          </w:p>
        </w:tc>
        <w:tc>
          <w:tcPr>
            <w:tcW w:w="1312" w:type="dxa"/>
            <w:tcBorders>
              <w:top w:val="single" w:color="auto" w:sz="4" w:space="0"/>
              <w:left w:val="single" w:color="auto" w:sz="4" w:space="0"/>
              <w:bottom w:val="single" w:color="auto" w:sz="4" w:space="0"/>
              <w:right w:val="single" w:color="auto" w:sz="4" w:space="0"/>
            </w:tcBorders>
            <w:vAlign w:val="center"/>
          </w:tcPr>
          <w:p>
            <w:pPr>
              <w:pStyle w:val="39"/>
              <w:rPr>
                <w:rFonts w:cs="Times New Roman"/>
              </w:rPr>
            </w:pPr>
            <w:r>
              <w:rPr>
                <w:rFonts w:cs="Times New Roman"/>
              </w:rPr>
              <w:t>0.1429</w:t>
            </w:r>
          </w:p>
        </w:tc>
        <w:tc>
          <w:tcPr>
            <w:tcW w:w="1312" w:type="dxa"/>
            <w:tcBorders>
              <w:top w:val="single" w:color="auto" w:sz="4" w:space="0"/>
              <w:left w:val="single" w:color="auto" w:sz="4" w:space="0"/>
              <w:bottom w:val="single" w:color="auto" w:sz="4" w:space="0"/>
              <w:right w:val="single" w:color="auto" w:sz="4" w:space="0"/>
            </w:tcBorders>
            <w:vAlign w:val="center"/>
          </w:tcPr>
          <w:p>
            <w:pPr>
              <w:pStyle w:val="39"/>
              <w:rPr>
                <w:rFonts w:cs="Times New Roman"/>
              </w:rPr>
            </w:pPr>
            <w:r>
              <w:rPr>
                <w:rFonts w:cs="Times New Roman"/>
              </w:rPr>
              <w:t>0.1937</w:t>
            </w:r>
          </w:p>
        </w:tc>
        <w:tc>
          <w:tcPr>
            <w:tcW w:w="1310" w:type="dxa"/>
            <w:tcBorders>
              <w:top w:val="single" w:color="auto" w:sz="4" w:space="0"/>
              <w:left w:val="single" w:color="auto" w:sz="4" w:space="0"/>
              <w:bottom w:val="single" w:color="auto" w:sz="4" w:space="0"/>
              <w:right w:val="single" w:color="auto" w:sz="4" w:space="0"/>
            </w:tcBorders>
            <w:vAlign w:val="center"/>
          </w:tcPr>
          <w:p>
            <w:pPr>
              <w:pStyle w:val="39"/>
              <w:rPr>
                <w:rFonts w:cs="Times New Roman"/>
              </w:rPr>
            </w:pPr>
            <w:r>
              <w:rPr>
                <w:rFonts w:cs="Times New Roman"/>
              </w:rPr>
              <w:t>0.2403</w:t>
            </w:r>
          </w:p>
        </w:tc>
        <w:tc>
          <w:tcPr>
            <w:tcW w:w="1310" w:type="dxa"/>
            <w:tcBorders>
              <w:top w:val="single" w:color="auto" w:sz="4" w:space="0"/>
              <w:left w:val="single" w:color="auto" w:sz="4" w:space="0"/>
              <w:bottom w:val="single" w:color="auto" w:sz="4" w:space="0"/>
              <w:right w:val="single" w:color="auto" w:sz="4" w:space="0"/>
            </w:tcBorders>
            <w:vAlign w:val="center"/>
          </w:tcPr>
          <w:p>
            <w:pPr>
              <w:pStyle w:val="39"/>
              <w:rPr>
                <w:rFonts w:cs="Times New Roman"/>
              </w:rPr>
            </w:pPr>
            <w:r>
              <w:rPr>
                <w:rFonts w:cs="Times New Roman"/>
              </w:rPr>
              <w:t>0.2841</w:t>
            </w:r>
          </w:p>
        </w:tc>
        <w:tc>
          <w:tcPr>
            <w:tcW w:w="1306" w:type="dxa"/>
            <w:tcBorders>
              <w:top w:val="single" w:color="auto" w:sz="4" w:space="0"/>
              <w:left w:val="single" w:color="auto" w:sz="4" w:space="0"/>
              <w:bottom w:val="single" w:color="auto" w:sz="4" w:space="0"/>
              <w:right w:val="single" w:color="auto" w:sz="4" w:space="0"/>
            </w:tcBorders>
            <w:vAlign w:val="center"/>
          </w:tcPr>
          <w:p>
            <w:pPr>
              <w:pStyle w:val="39"/>
              <w:rPr>
                <w:rFonts w:cs="Times New Roman"/>
              </w:rPr>
            </w:pPr>
            <w:r>
              <w:rPr>
                <w:rFonts w:cs="Times New Roman"/>
              </w:rPr>
              <w:t>0.4778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313" w:type="dxa"/>
            <w:tcBorders>
              <w:top w:val="single" w:color="auto" w:sz="4" w:space="0"/>
              <w:left w:val="single" w:color="auto" w:sz="4" w:space="0"/>
              <w:bottom w:val="single" w:color="auto" w:sz="4" w:space="0"/>
              <w:right w:val="single" w:color="auto" w:sz="4" w:space="0"/>
            </w:tcBorders>
            <w:vAlign w:val="center"/>
          </w:tcPr>
          <w:p>
            <w:pPr>
              <w:pStyle w:val="39"/>
              <w:rPr>
                <w:rFonts w:cs="Times New Roman"/>
              </w:rPr>
            </w:pPr>
            <w:r>
              <w:rPr>
                <w:rFonts w:cs="Times New Roman"/>
              </w:rPr>
              <w:t>20</w:t>
            </w:r>
          </w:p>
        </w:tc>
        <w:tc>
          <w:tcPr>
            <w:tcW w:w="1310" w:type="dxa"/>
            <w:tcBorders>
              <w:top w:val="single" w:color="auto" w:sz="4" w:space="0"/>
              <w:left w:val="single" w:color="auto" w:sz="4" w:space="0"/>
              <w:bottom w:val="single" w:color="auto" w:sz="4" w:space="0"/>
              <w:right w:val="single" w:color="auto" w:sz="4" w:space="0"/>
            </w:tcBorders>
            <w:vAlign w:val="center"/>
          </w:tcPr>
          <w:p>
            <w:pPr>
              <w:pStyle w:val="39"/>
              <w:rPr>
                <w:rFonts w:cs="Times New Roman"/>
              </w:rPr>
            </w:pPr>
            <w:r>
              <w:rPr>
                <w:rFonts w:cs="Times New Roman"/>
              </w:rPr>
              <w:t>0.1133</w:t>
            </w:r>
          </w:p>
        </w:tc>
        <w:tc>
          <w:tcPr>
            <w:tcW w:w="1312" w:type="dxa"/>
            <w:tcBorders>
              <w:top w:val="single" w:color="auto" w:sz="4" w:space="0"/>
              <w:left w:val="single" w:color="auto" w:sz="4" w:space="0"/>
              <w:bottom w:val="single" w:color="auto" w:sz="4" w:space="0"/>
              <w:right w:val="single" w:color="auto" w:sz="4" w:space="0"/>
            </w:tcBorders>
            <w:vAlign w:val="center"/>
          </w:tcPr>
          <w:p>
            <w:pPr>
              <w:pStyle w:val="39"/>
              <w:rPr>
                <w:rFonts w:cs="Times New Roman"/>
              </w:rPr>
            </w:pPr>
            <w:r>
              <w:rPr>
                <w:rFonts w:cs="Times New Roman"/>
              </w:rPr>
              <w:t>0.1905</w:t>
            </w:r>
          </w:p>
        </w:tc>
        <w:tc>
          <w:tcPr>
            <w:tcW w:w="1312" w:type="dxa"/>
            <w:tcBorders>
              <w:top w:val="single" w:color="auto" w:sz="4" w:space="0"/>
              <w:left w:val="single" w:color="auto" w:sz="4" w:space="0"/>
              <w:bottom w:val="single" w:color="auto" w:sz="4" w:space="0"/>
              <w:right w:val="single" w:color="auto" w:sz="4" w:space="0"/>
            </w:tcBorders>
            <w:vAlign w:val="center"/>
          </w:tcPr>
          <w:p>
            <w:pPr>
              <w:pStyle w:val="39"/>
              <w:rPr>
                <w:rFonts w:cs="Times New Roman"/>
              </w:rPr>
            </w:pPr>
            <w:r>
              <w:rPr>
                <w:rFonts w:cs="Times New Roman"/>
              </w:rPr>
              <w:t>0.2583</w:t>
            </w:r>
          </w:p>
        </w:tc>
        <w:tc>
          <w:tcPr>
            <w:tcW w:w="1310" w:type="dxa"/>
            <w:tcBorders>
              <w:top w:val="single" w:color="auto" w:sz="4" w:space="0"/>
              <w:left w:val="single" w:color="auto" w:sz="4" w:space="0"/>
              <w:bottom w:val="single" w:color="auto" w:sz="4" w:space="0"/>
              <w:right w:val="single" w:color="auto" w:sz="4" w:space="0"/>
            </w:tcBorders>
            <w:vAlign w:val="center"/>
          </w:tcPr>
          <w:p>
            <w:pPr>
              <w:pStyle w:val="39"/>
              <w:rPr>
                <w:rFonts w:cs="Times New Roman"/>
              </w:rPr>
            </w:pPr>
            <w:r>
              <w:rPr>
                <w:rFonts w:cs="Times New Roman"/>
              </w:rPr>
              <w:t>0.3204</w:t>
            </w:r>
          </w:p>
        </w:tc>
        <w:tc>
          <w:tcPr>
            <w:tcW w:w="1310" w:type="dxa"/>
            <w:tcBorders>
              <w:top w:val="single" w:color="auto" w:sz="4" w:space="0"/>
              <w:left w:val="single" w:color="auto" w:sz="4" w:space="0"/>
              <w:bottom w:val="single" w:color="auto" w:sz="4" w:space="0"/>
              <w:right w:val="single" w:color="auto" w:sz="4" w:space="0"/>
            </w:tcBorders>
            <w:vAlign w:val="center"/>
          </w:tcPr>
          <w:p>
            <w:pPr>
              <w:pStyle w:val="39"/>
              <w:rPr>
                <w:rFonts w:cs="Times New Roman"/>
              </w:rPr>
            </w:pPr>
            <w:r>
              <w:rPr>
                <w:rFonts w:cs="Times New Roman"/>
              </w:rPr>
              <w:t>0.3788</w:t>
            </w:r>
          </w:p>
        </w:tc>
        <w:tc>
          <w:tcPr>
            <w:tcW w:w="1306" w:type="dxa"/>
            <w:tcBorders>
              <w:top w:val="single" w:color="auto" w:sz="4" w:space="0"/>
              <w:left w:val="single" w:color="auto" w:sz="4" w:space="0"/>
              <w:bottom w:val="single" w:color="auto" w:sz="4" w:space="0"/>
              <w:right w:val="single" w:color="auto" w:sz="4" w:space="0"/>
            </w:tcBorders>
            <w:vAlign w:val="center"/>
          </w:tcPr>
          <w:p>
            <w:pPr>
              <w:pStyle w:val="39"/>
              <w:rPr>
                <w:rFonts w:cs="Times New Roman"/>
              </w:rPr>
            </w:pPr>
            <w:r>
              <w:rPr>
                <w:rFonts w:cs="Times New Roman"/>
              </w:rPr>
              <w:t>0.6371</w:t>
            </w:r>
          </w:p>
        </w:tc>
      </w:tr>
    </w:tbl>
    <w:p>
      <w:pPr>
        <w:pStyle w:val="3"/>
        <w:ind w:firstLine="480"/>
        <w:rPr>
          <w:rFonts w:cs="Times New Roman"/>
        </w:rPr>
      </w:pPr>
      <w:r>
        <w:rPr>
          <w:rFonts w:cs="Times New Roman"/>
        </w:rPr>
        <w:t>如果在施工期间对车辆行驶的路面实施洒水抑尘，每天洒水4～5次，可使扬尘减少70%左右。表5.1-2为施工场地洒水抑尘的试验结果，结果表明实施每天洒水4～5次进行抑尘，可有效地控制施工扬尘，可将TSP污染距离缩小到20～50m范围。</w:t>
      </w:r>
    </w:p>
    <w:p>
      <w:pPr>
        <w:pStyle w:val="15"/>
        <w:ind w:left="420" w:hanging="420"/>
        <w:rPr>
          <w:rFonts w:cs="Times New Roman"/>
        </w:rPr>
      </w:pPr>
      <w:r>
        <w:rPr>
          <w:rFonts w:cs="Times New Roman"/>
        </w:rPr>
        <w:t>表5.1-2  施工场地洒水抑尘试验结果</w:t>
      </w:r>
    </w:p>
    <w:tbl>
      <w:tblPr>
        <w:tblStyle w:val="26"/>
        <w:tblW w:w="9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6"/>
        <w:gridCol w:w="1435"/>
        <w:gridCol w:w="1394"/>
        <w:gridCol w:w="1392"/>
        <w:gridCol w:w="1394"/>
        <w:gridCol w:w="1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601" w:type="dxa"/>
            <w:gridSpan w:val="2"/>
            <w:vAlign w:val="center"/>
          </w:tcPr>
          <w:p>
            <w:pPr>
              <w:pStyle w:val="39"/>
              <w:rPr>
                <w:rFonts w:cs="Times New Roman"/>
              </w:rPr>
            </w:pPr>
            <w:r>
              <w:rPr>
                <w:rFonts w:cs="Times New Roman"/>
              </w:rPr>
              <w:t>距离（m）</w:t>
            </w:r>
          </w:p>
        </w:tc>
        <w:tc>
          <w:tcPr>
            <w:tcW w:w="1394" w:type="dxa"/>
            <w:vAlign w:val="center"/>
          </w:tcPr>
          <w:p>
            <w:pPr>
              <w:pStyle w:val="39"/>
              <w:rPr>
                <w:rFonts w:cs="Times New Roman"/>
              </w:rPr>
            </w:pPr>
            <w:r>
              <w:rPr>
                <w:rFonts w:cs="Times New Roman"/>
              </w:rPr>
              <w:t>5</w:t>
            </w:r>
          </w:p>
        </w:tc>
        <w:tc>
          <w:tcPr>
            <w:tcW w:w="1392" w:type="dxa"/>
            <w:vAlign w:val="center"/>
          </w:tcPr>
          <w:p>
            <w:pPr>
              <w:pStyle w:val="39"/>
              <w:rPr>
                <w:rFonts w:cs="Times New Roman"/>
              </w:rPr>
            </w:pPr>
            <w:r>
              <w:rPr>
                <w:rFonts w:cs="Times New Roman"/>
              </w:rPr>
              <w:t>20</w:t>
            </w:r>
          </w:p>
        </w:tc>
        <w:tc>
          <w:tcPr>
            <w:tcW w:w="1394" w:type="dxa"/>
            <w:vAlign w:val="center"/>
          </w:tcPr>
          <w:p>
            <w:pPr>
              <w:pStyle w:val="39"/>
              <w:rPr>
                <w:rFonts w:cs="Times New Roman"/>
              </w:rPr>
            </w:pPr>
            <w:r>
              <w:rPr>
                <w:rFonts w:cs="Times New Roman"/>
              </w:rPr>
              <w:t>50</w:t>
            </w:r>
          </w:p>
        </w:tc>
        <w:tc>
          <w:tcPr>
            <w:tcW w:w="1392" w:type="dxa"/>
            <w:vAlign w:val="center"/>
          </w:tcPr>
          <w:p>
            <w:pPr>
              <w:pStyle w:val="39"/>
              <w:rPr>
                <w:rFonts w:cs="Times New Roman"/>
              </w:rPr>
            </w:pPr>
            <w:r>
              <w:rPr>
                <w:rFonts w:cs="Times New Roma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66" w:type="dxa"/>
            <w:vMerge w:val="restart"/>
            <w:vAlign w:val="center"/>
          </w:tcPr>
          <w:p>
            <w:pPr>
              <w:pStyle w:val="39"/>
              <w:rPr>
                <w:rFonts w:cs="Times New Roman"/>
              </w:rPr>
            </w:pPr>
            <w:r>
              <w:rPr>
                <w:rFonts w:cs="Times New Roman"/>
              </w:rPr>
              <w:t>TSP小时平均浓度</w:t>
            </w:r>
          </w:p>
          <w:p>
            <w:pPr>
              <w:pStyle w:val="39"/>
              <w:rPr>
                <w:rFonts w:cs="Times New Roman"/>
              </w:rPr>
            </w:pPr>
            <w:r>
              <w:rPr>
                <w:rFonts w:cs="Times New Roman"/>
              </w:rPr>
              <w:t>（mg/m</w:t>
            </w:r>
            <w:r>
              <w:rPr>
                <w:rFonts w:cs="Times New Roman"/>
                <w:vertAlign w:val="superscript"/>
              </w:rPr>
              <w:t>3</w:t>
            </w:r>
            <w:r>
              <w:rPr>
                <w:rFonts w:cs="Times New Roman"/>
              </w:rPr>
              <w:t>）</w:t>
            </w:r>
          </w:p>
        </w:tc>
        <w:tc>
          <w:tcPr>
            <w:tcW w:w="1435" w:type="dxa"/>
            <w:vAlign w:val="center"/>
          </w:tcPr>
          <w:p>
            <w:pPr>
              <w:pStyle w:val="39"/>
              <w:rPr>
                <w:rFonts w:cs="Times New Roman"/>
              </w:rPr>
            </w:pPr>
            <w:r>
              <w:rPr>
                <w:rFonts w:cs="Times New Roman"/>
              </w:rPr>
              <w:t>不洒水</w:t>
            </w:r>
          </w:p>
        </w:tc>
        <w:tc>
          <w:tcPr>
            <w:tcW w:w="1394" w:type="dxa"/>
            <w:vAlign w:val="center"/>
          </w:tcPr>
          <w:p>
            <w:pPr>
              <w:pStyle w:val="39"/>
              <w:rPr>
                <w:rFonts w:cs="Times New Roman"/>
              </w:rPr>
            </w:pPr>
            <w:r>
              <w:rPr>
                <w:rFonts w:cs="Times New Roman"/>
              </w:rPr>
              <w:t>10.14</w:t>
            </w:r>
          </w:p>
        </w:tc>
        <w:tc>
          <w:tcPr>
            <w:tcW w:w="1392" w:type="dxa"/>
            <w:vAlign w:val="center"/>
          </w:tcPr>
          <w:p>
            <w:pPr>
              <w:pStyle w:val="39"/>
              <w:rPr>
                <w:rFonts w:cs="Times New Roman"/>
              </w:rPr>
            </w:pPr>
            <w:r>
              <w:rPr>
                <w:rFonts w:cs="Times New Roman"/>
              </w:rPr>
              <w:t>2.89</w:t>
            </w:r>
          </w:p>
        </w:tc>
        <w:tc>
          <w:tcPr>
            <w:tcW w:w="1394" w:type="dxa"/>
            <w:vAlign w:val="center"/>
          </w:tcPr>
          <w:p>
            <w:pPr>
              <w:pStyle w:val="39"/>
              <w:rPr>
                <w:rFonts w:cs="Times New Roman"/>
              </w:rPr>
            </w:pPr>
            <w:r>
              <w:rPr>
                <w:rFonts w:cs="Times New Roman"/>
              </w:rPr>
              <w:t>1.15</w:t>
            </w:r>
          </w:p>
        </w:tc>
        <w:tc>
          <w:tcPr>
            <w:tcW w:w="1392" w:type="dxa"/>
            <w:vAlign w:val="center"/>
          </w:tcPr>
          <w:p>
            <w:pPr>
              <w:pStyle w:val="39"/>
              <w:rPr>
                <w:rFonts w:cs="Times New Roman"/>
              </w:rPr>
            </w:pPr>
            <w:r>
              <w:rPr>
                <w:rFonts w:cs="Times New Roman"/>
              </w:rPr>
              <w:t>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66" w:type="dxa"/>
            <w:vMerge w:val="continue"/>
            <w:vAlign w:val="center"/>
          </w:tcPr>
          <w:p>
            <w:pPr>
              <w:pStyle w:val="39"/>
              <w:rPr>
                <w:rFonts w:cs="Times New Roman"/>
              </w:rPr>
            </w:pPr>
          </w:p>
        </w:tc>
        <w:tc>
          <w:tcPr>
            <w:tcW w:w="1435" w:type="dxa"/>
            <w:vAlign w:val="center"/>
          </w:tcPr>
          <w:p>
            <w:pPr>
              <w:pStyle w:val="39"/>
              <w:rPr>
                <w:rFonts w:cs="Times New Roman"/>
              </w:rPr>
            </w:pPr>
            <w:r>
              <w:rPr>
                <w:rFonts w:cs="Times New Roman"/>
              </w:rPr>
              <w:t>洒水</w:t>
            </w:r>
          </w:p>
        </w:tc>
        <w:tc>
          <w:tcPr>
            <w:tcW w:w="1394" w:type="dxa"/>
            <w:vAlign w:val="center"/>
          </w:tcPr>
          <w:p>
            <w:pPr>
              <w:pStyle w:val="39"/>
              <w:rPr>
                <w:rFonts w:cs="Times New Roman"/>
              </w:rPr>
            </w:pPr>
            <w:r>
              <w:rPr>
                <w:rFonts w:cs="Times New Roman"/>
              </w:rPr>
              <w:t>2.01</w:t>
            </w:r>
          </w:p>
        </w:tc>
        <w:tc>
          <w:tcPr>
            <w:tcW w:w="1392" w:type="dxa"/>
            <w:vAlign w:val="center"/>
          </w:tcPr>
          <w:p>
            <w:pPr>
              <w:pStyle w:val="39"/>
              <w:rPr>
                <w:rFonts w:cs="Times New Roman"/>
              </w:rPr>
            </w:pPr>
            <w:r>
              <w:rPr>
                <w:rFonts w:cs="Times New Roman"/>
              </w:rPr>
              <w:t>1.40</w:t>
            </w:r>
          </w:p>
        </w:tc>
        <w:tc>
          <w:tcPr>
            <w:tcW w:w="1394" w:type="dxa"/>
            <w:vAlign w:val="center"/>
          </w:tcPr>
          <w:p>
            <w:pPr>
              <w:pStyle w:val="39"/>
              <w:rPr>
                <w:rFonts w:cs="Times New Roman"/>
              </w:rPr>
            </w:pPr>
            <w:r>
              <w:rPr>
                <w:rFonts w:cs="Times New Roman"/>
              </w:rPr>
              <w:t>0.67</w:t>
            </w:r>
          </w:p>
        </w:tc>
        <w:tc>
          <w:tcPr>
            <w:tcW w:w="1392" w:type="dxa"/>
            <w:vAlign w:val="center"/>
          </w:tcPr>
          <w:p>
            <w:pPr>
              <w:pStyle w:val="39"/>
              <w:rPr>
                <w:rFonts w:cs="Times New Roman"/>
              </w:rPr>
            </w:pPr>
            <w:r>
              <w:rPr>
                <w:rFonts w:cs="Times New Roman"/>
              </w:rPr>
              <w:t>0.60</w:t>
            </w:r>
          </w:p>
        </w:tc>
      </w:tr>
    </w:tbl>
    <w:p>
      <w:pPr>
        <w:pStyle w:val="3"/>
        <w:ind w:firstLine="480"/>
        <w:rPr>
          <w:rFonts w:cs="Times New Roman"/>
        </w:rPr>
      </w:pPr>
      <w:r>
        <w:rPr>
          <w:rFonts w:cs="Times New Roman"/>
        </w:rPr>
        <w:t>因此，限速行驶及定时清扫道路、保持路面清洁，同时对车辆轮胎进行清洗，车辆加盖，并适当洒水是减少汽车扬尘的有效手段。</w:t>
      </w:r>
    </w:p>
    <w:p>
      <w:pPr>
        <w:pStyle w:val="3"/>
        <w:ind w:firstLine="480"/>
        <w:rPr>
          <w:rFonts w:cs="Times New Roman"/>
        </w:rPr>
      </w:pPr>
      <w:r>
        <w:rPr>
          <w:rFonts w:hint="eastAsia" w:ascii="宋体" w:hAnsi="宋体" w:cs="宋体"/>
        </w:rPr>
        <w:t>②</w:t>
      </w:r>
      <w:r>
        <w:rPr>
          <w:rFonts w:cs="Times New Roman"/>
        </w:rPr>
        <w:t>施工期场地风力扬尘的影响分析</w:t>
      </w:r>
    </w:p>
    <w:p>
      <w:pPr>
        <w:pStyle w:val="3"/>
        <w:ind w:firstLine="480"/>
        <w:rPr>
          <w:rFonts w:cs="Times New Roman"/>
        </w:rPr>
      </w:pPr>
      <w:r>
        <w:rPr>
          <w:rFonts w:cs="Times New Roman"/>
        </w:rPr>
        <w:t>施工期扬尘的另一个主要原因是露天堆场和裸露场地的风力扬尘。由于施工的需要，一些建材需露天堆放；一些施工点表层土壤需人工开挖、堆放，在气候干燥又有风的情况下，会产生扬尘，其扬尘量可按堆场起尘的经验公式计算：</w:t>
      </w:r>
    </w:p>
    <w:p>
      <w:pPr>
        <w:pStyle w:val="3"/>
        <w:ind w:firstLine="480"/>
        <w:jc w:val="center"/>
        <w:rPr>
          <w:rFonts w:cs="Times New Roman"/>
        </w:rPr>
      </w:pPr>
      <w:r>
        <w:rPr>
          <w:rFonts w:cs="Times New Roman"/>
        </w:rPr>
        <w:object>
          <v:shape id="_x0000_i1030" o:spt="75" type="#_x0000_t75" style="height:21.3pt;width:122.7pt;" o:ole="t" filled="f" coordsize="21600,21600">
            <v:path/>
            <v:fill on="f" focussize="0,0"/>
            <v:stroke/>
            <v:imagedata r:id="rId25" embosscolor="#FFFFFF" o:title=""/>
            <o:lock v:ext="edit" aspectratio="t"/>
            <w10:wrap type="none"/>
            <w10:anchorlock/>
          </v:shape>
          <o:OLEObject Type="Embed" ProgID="Equation.3" ShapeID="_x0000_i1030" DrawAspect="Content" ObjectID="_1468075730" r:id="rId24">
            <o:LockedField>false</o:LockedField>
          </o:OLEObject>
        </w:object>
      </w:r>
    </w:p>
    <w:p>
      <w:pPr>
        <w:pStyle w:val="3"/>
        <w:ind w:firstLine="480"/>
        <w:rPr>
          <w:rFonts w:cs="Times New Roman"/>
        </w:rPr>
      </w:pPr>
      <w:r>
        <w:rPr>
          <w:rFonts w:cs="Times New Roman"/>
        </w:rPr>
        <w:t>其中：Q—起尘量，kg/t·a；</w:t>
      </w:r>
    </w:p>
    <w:p>
      <w:pPr>
        <w:pStyle w:val="3"/>
        <w:ind w:firstLine="1200" w:firstLineChars="500"/>
        <w:rPr>
          <w:rFonts w:cs="Times New Roman"/>
        </w:rPr>
      </w:pPr>
      <w:r>
        <w:rPr>
          <w:rFonts w:cs="Times New Roman"/>
        </w:rPr>
        <w:t>V</w:t>
      </w:r>
      <w:r>
        <w:rPr>
          <w:rFonts w:cs="Times New Roman"/>
          <w:vertAlign w:val="subscript"/>
        </w:rPr>
        <w:t>50</w:t>
      </w:r>
      <w:r>
        <w:rPr>
          <w:rFonts w:cs="Times New Roman"/>
        </w:rPr>
        <w:t>—距地面50m处风速，m/s；</w:t>
      </w:r>
    </w:p>
    <w:p>
      <w:pPr>
        <w:pStyle w:val="3"/>
        <w:ind w:firstLine="1200" w:firstLineChars="500"/>
        <w:rPr>
          <w:rFonts w:cs="Times New Roman"/>
        </w:rPr>
      </w:pPr>
      <w:r>
        <w:rPr>
          <w:rFonts w:cs="Times New Roman"/>
        </w:rPr>
        <w:t>V</w:t>
      </w:r>
      <w:r>
        <w:rPr>
          <w:rFonts w:cs="Times New Roman"/>
          <w:vertAlign w:val="subscript"/>
        </w:rPr>
        <w:t>0</w:t>
      </w:r>
      <w:r>
        <w:rPr>
          <w:rFonts w:cs="Times New Roman"/>
        </w:rPr>
        <w:t>——起尘风速，m/s；</w:t>
      </w:r>
    </w:p>
    <w:p>
      <w:pPr>
        <w:pStyle w:val="3"/>
        <w:ind w:firstLine="1200" w:firstLineChars="500"/>
        <w:rPr>
          <w:rFonts w:cs="Times New Roman"/>
        </w:rPr>
      </w:pPr>
      <w:r>
        <w:rPr>
          <w:rFonts w:cs="Times New Roman"/>
        </w:rPr>
        <w:t>W——尘粒的含水率，%。</w:t>
      </w:r>
    </w:p>
    <w:p>
      <w:pPr>
        <w:pStyle w:val="3"/>
        <w:ind w:firstLine="480"/>
        <w:rPr>
          <w:rFonts w:cs="Times New Roman"/>
        </w:rPr>
      </w:pPr>
      <w:r>
        <w:rPr>
          <w:rFonts w:cs="Times New Roman"/>
        </w:rPr>
        <w:t>V</w:t>
      </w:r>
      <w:r>
        <w:rPr>
          <w:rFonts w:cs="Times New Roman"/>
          <w:vertAlign w:val="subscript"/>
        </w:rPr>
        <w:t>0</w:t>
      </w:r>
      <w:r>
        <w:rPr>
          <w:rFonts w:cs="Times New Roman"/>
        </w:rPr>
        <w:t>与粒径和含水率有关，因此，减少露天堆放和保证一定的含水率及减少裸露地面是减少风力起尘的有效手段。</w:t>
      </w:r>
    </w:p>
    <w:p>
      <w:pPr>
        <w:pStyle w:val="3"/>
        <w:ind w:firstLine="480"/>
        <w:rPr>
          <w:rFonts w:cs="Times New Roman"/>
        </w:rPr>
      </w:pPr>
      <w:r>
        <w:rPr>
          <w:rFonts w:cs="Times New Roman"/>
        </w:rPr>
        <w:t>尘粒在空气中的传播扩散情况与风速等气象条件有关，也与尘粒本身的沉降速度有关。不同粒径的尘粒的沉降速度见表5.1-3。</w:t>
      </w:r>
    </w:p>
    <w:p>
      <w:pPr>
        <w:pStyle w:val="15"/>
        <w:ind w:left="420" w:hanging="420"/>
        <w:rPr>
          <w:rFonts w:cs="Times New Roman"/>
        </w:rPr>
      </w:pPr>
      <w:r>
        <w:rPr>
          <w:rFonts w:cs="Times New Roman"/>
        </w:rPr>
        <w:t>表5.1-3  不同粒径尘粒的沉降速度</w:t>
      </w:r>
    </w:p>
    <w:tbl>
      <w:tblPr>
        <w:tblStyle w:val="26"/>
        <w:tblW w:w="9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4"/>
        <w:gridCol w:w="1007"/>
        <w:gridCol w:w="1009"/>
        <w:gridCol w:w="1007"/>
        <w:gridCol w:w="1007"/>
        <w:gridCol w:w="1007"/>
        <w:gridCol w:w="864"/>
        <w:gridCol w:w="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424" w:type="dxa"/>
            <w:vAlign w:val="center"/>
          </w:tcPr>
          <w:p>
            <w:pPr>
              <w:pStyle w:val="39"/>
              <w:rPr>
                <w:rFonts w:cs="Times New Roman"/>
              </w:rPr>
            </w:pPr>
            <w:r>
              <w:rPr>
                <w:rFonts w:cs="Times New Roman"/>
              </w:rPr>
              <w:t>粒    径 (</w:t>
            </w:r>
            <w:r>
              <w:rPr>
                <w:rFonts w:cs="Times New Roman"/>
              </w:rPr>
              <w:sym w:font="Symbol" w:char="F06D"/>
            </w:r>
            <w:r>
              <w:rPr>
                <w:rFonts w:cs="Times New Roman"/>
              </w:rPr>
              <w:t>m)</w:t>
            </w:r>
          </w:p>
        </w:tc>
        <w:tc>
          <w:tcPr>
            <w:tcW w:w="1007" w:type="dxa"/>
            <w:vAlign w:val="center"/>
          </w:tcPr>
          <w:p>
            <w:pPr>
              <w:pStyle w:val="39"/>
              <w:rPr>
                <w:rFonts w:cs="Times New Roman"/>
              </w:rPr>
            </w:pPr>
            <w:r>
              <w:rPr>
                <w:rFonts w:cs="Times New Roman"/>
              </w:rPr>
              <w:t>10</w:t>
            </w:r>
          </w:p>
        </w:tc>
        <w:tc>
          <w:tcPr>
            <w:tcW w:w="1009" w:type="dxa"/>
            <w:vAlign w:val="center"/>
          </w:tcPr>
          <w:p>
            <w:pPr>
              <w:pStyle w:val="39"/>
              <w:rPr>
                <w:rFonts w:cs="Times New Roman"/>
              </w:rPr>
            </w:pPr>
            <w:r>
              <w:rPr>
                <w:rFonts w:cs="Times New Roman"/>
              </w:rPr>
              <w:t>20</w:t>
            </w:r>
          </w:p>
        </w:tc>
        <w:tc>
          <w:tcPr>
            <w:tcW w:w="1007" w:type="dxa"/>
            <w:vAlign w:val="center"/>
          </w:tcPr>
          <w:p>
            <w:pPr>
              <w:pStyle w:val="39"/>
              <w:rPr>
                <w:rFonts w:cs="Times New Roman"/>
              </w:rPr>
            </w:pPr>
            <w:r>
              <w:rPr>
                <w:rFonts w:cs="Times New Roman"/>
              </w:rPr>
              <w:t>30</w:t>
            </w:r>
          </w:p>
        </w:tc>
        <w:tc>
          <w:tcPr>
            <w:tcW w:w="1007" w:type="dxa"/>
            <w:vAlign w:val="center"/>
          </w:tcPr>
          <w:p>
            <w:pPr>
              <w:pStyle w:val="39"/>
              <w:rPr>
                <w:rFonts w:cs="Times New Roman"/>
              </w:rPr>
            </w:pPr>
            <w:r>
              <w:rPr>
                <w:rFonts w:cs="Times New Roman"/>
              </w:rPr>
              <w:t>40</w:t>
            </w:r>
          </w:p>
        </w:tc>
        <w:tc>
          <w:tcPr>
            <w:tcW w:w="1007" w:type="dxa"/>
            <w:vAlign w:val="center"/>
          </w:tcPr>
          <w:p>
            <w:pPr>
              <w:pStyle w:val="39"/>
              <w:rPr>
                <w:rFonts w:cs="Times New Roman"/>
              </w:rPr>
            </w:pPr>
            <w:r>
              <w:rPr>
                <w:rFonts w:cs="Times New Roman"/>
              </w:rPr>
              <w:t>50</w:t>
            </w:r>
          </w:p>
        </w:tc>
        <w:tc>
          <w:tcPr>
            <w:tcW w:w="864" w:type="dxa"/>
            <w:vAlign w:val="center"/>
          </w:tcPr>
          <w:p>
            <w:pPr>
              <w:pStyle w:val="39"/>
              <w:rPr>
                <w:rFonts w:cs="Times New Roman"/>
              </w:rPr>
            </w:pPr>
            <w:r>
              <w:rPr>
                <w:rFonts w:cs="Times New Roman"/>
              </w:rPr>
              <w:t>60</w:t>
            </w:r>
          </w:p>
        </w:tc>
        <w:tc>
          <w:tcPr>
            <w:tcW w:w="848" w:type="dxa"/>
            <w:vAlign w:val="center"/>
          </w:tcPr>
          <w:p>
            <w:pPr>
              <w:pStyle w:val="39"/>
              <w:rPr>
                <w:rFonts w:cs="Times New Roman"/>
              </w:rPr>
            </w:pPr>
            <w:r>
              <w:rPr>
                <w:rFonts w:cs="Times New Roma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424" w:type="dxa"/>
            <w:vAlign w:val="center"/>
          </w:tcPr>
          <w:p>
            <w:pPr>
              <w:pStyle w:val="39"/>
              <w:rPr>
                <w:rFonts w:cs="Times New Roman"/>
              </w:rPr>
            </w:pPr>
            <w:r>
              <w:rPr>
                <w:rFonts w:cs="Times New Roman"/>
              </w:rPr>
              <w:t>沉降速度 (m/s)</w:t>
            </w:r>
          </w:p>
        </w:tc>
        <w:tc>
          <w:tcPr>
            <w:tcW w:w="1007" w:type="dxa"/>
            <w:vAlign w:val="center"/>
          </w:tcPr>
          <w:p>
            <w:pPr>
              <w:pStyle w:val="39"/>
              <w:rPr>
                <w:rFonts w:cs="Times New Roman"/>
              </w:rPr>
            </w:pPr>
            <w:r>
              <w:rPr>
                <w:rFonts w:cs="Times New Roman"/>
              </w:rPr>
              <w:t>0.003</w:t>
            </w:r>
          </w:p>
        </w:tc>
        <w:tc>
          <w:tcPr>
            <w:tcW w:w="1009" w:type="dxa"/>
            <w:vAlign w:val="center"/>
          </w:tcPr>
          <w:p>
            <w:pPr>
              <w:pStyle w:val="39"/>
              <w:rPr>
                <w:rFonts w:cs="Times New Roman"/>
              </w:rPr>
            </w:pPr>
            <w:r>
              <w:rPr>
                <w:rFonts w:cs="Times New Roman"/>
              </w:rPr>
              <w:t>0.012</w:t>
            </w:r>
          </w:p>
        </w:tc>
        <w:tc>
          <w:tcPr>
            <w:tcW w:w="1007" w:type="dxa"/>
            <w:vAlign w:val="center"/>
          </w:tcPr>
          <w:p>
            <w:pPr>
              <w:pStyle w:val="39"/>
              <w:rPr>
                <w:rFonts w:cs="Times New Roman"/>
              </w:rPr>
            </w:pPr>
            <w:r>
              <w:rPr>
                <w:rFonts w:cs="Times New Roman"/>
              </w:rPr>
              <w:t>0.027</w:t>
            </w:r>
          </w:p>
        </w:tc>
        <w:tc>
          <w:tcPr>
            <w:tcW w:w="1007" w:type="dxa"/>
            <w:vAlign w:val="center"/>
          </w:tcPr>
          <w:p>
            <w:pPr>
              <w:pStyle w:val="39"/>
              <w:rPr>
                <w:rFonts w:cs="Times New Roman"/>
              </w:rPr>
            </w:pPr>
            <w:r>
              <w:rPr>
                <w:rFonts w:cs="Times New Roman"/>
              </w:rPr>
              <w:t>0.048</w:t>
            </w:r>
          </w:p>
        </w:tc>
        <w:tc>
          <w:tcPr>
            <w:tcW w:w="1007" w:type="dxa"/>
            <w:vAlign w:val="center"/>
          </w:tcPr>
          <w:p>
            <w:pPr>
              <w:pStyle w:val="39"/>
              <w:rPr>
                <w:rFonts w:cs="Times New Roman"/>
              </w:rPr>
            </w:pPr>
            <w:r>
              <w:rPr>
                <w:rFonts w:cs="Times New Roman"/>
              </w:rPr>
              <w:t>0.075</w:t>
            </w:r>
          </w:p>
        </w:tc>
        <w:tc>
          <w:tcPr>
            <w:tcW w:w="864" w:type="dxa"/>
            <w:vAlign w:val="center"/>
          </w:tcPr>
          <w:p>
            <w:pPr>
              <w:pStyle w:val="39"/>
              <w:rPr>
                <w:rFonts w:cs="Times New Roman"/>
              </w:rPr>
            </w:pPr>
            <w:r>
              <w:rPr>
                <w:rFonts w:cs="Times New Roman"/>
              </w:rPr>
              <w:t>0.108</w:t>
            </w:r>
          </w:p>
        </w:tc>
        <w:tc>
          <w:tcPr>
            <w:tcW w:w="848" w:type="dxa"/>
            <w:vAlign w:val="center"/>
          </w:tcPr>
          <w:p>
            <w:pPr>
              <w:pStyle w:val="39"/>
              <w:rPr>
                <w:rFonts w:cs="Times New Roman"/>
              </w:rPr>
            </w:pPr>
            <w:r>
              <w:rPr>
                <w:rFonts w:cs="Times New Roman"/>
              </w:rPr>
              <w:t>0.147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424" w:type="dxa"/>
            <w:vAlign w:val="center"/>
          </w:tcPr>
          <w:p>
            <w:pPr>
              <w:pStyle w:val="39"/>
              <w:rPr>
                <w:rFonts w:cs="Times New Roman"/>
              </w:rPr>
            </w:pPr>
            <w:r>
              <w:rPr>
                <w:rFonts w:cs="Times New Roman"/>
              </w:rPr>
              <w:t>粒    径 (</w:t>
            </w:r>
            <w:r>
              <w:rPr>
                <w:rFonts w:cs="Times New Roman"/>
              </w:rPr>
              <w:sym w:font="Symbol" w:char="F06D"/>
            </w:r>
            <w:r>
              <w:rPr>
                <w:rFonts w:cs="Times New Roman"/>
              </w:rPr>
              <w:t>m)</w:t>
            </w:r>
          </w:p>
        </w:tc>
        <w:tc>
          <w:tcPr>
            <w:tcW w:w="1007" w:type="dxa"/>
            <w:vAlign w:val="center"/>
          </w:tcPr>
          <w:p>
            <w:pPr>
              <w:pStyle w:val="39"/>
              <w:rPr>
                <w:rFonts w:cs="Times New Roman"/>
              </w:rPr>
            </w:pPr>
            <w:r>
              <w:rPr>
                <w:rFonts w:cs="Times New Roman"/>
              </w:rPr>
              <w:t>80</w:t>
            </w:r>
          </w:p>
        </w:tc>
        <w:tc>
          <w:tcPr>
            <w:tcW w:w="1009" w:type="dxa"/>
            <w:vAlign w:val="center"/>
          </w:tcPr>
          <w:p>
            <w:pPr>
              <w:pStyle w:val="39"/>
              <w:rPr>
                <w:rFonts w:cs="Times New Roman"/>
              </w:rPr>
            </w:pPr>
            <w:r>
              <w:rPr>
                <w:rFonts w:cs="Times New Roman"/>
              </w:rPr>
              <w:t>90</w:t>
            </w:r>
          </w:p>
        </w:tc>
        <w:tc>
          <w:tcPr>
            <w:tcW w:w="1007" w:type="dxa"/>
            <w:vAlign w:val="center"/>
          </w:tcPr>
          <w:p>
            <w:pPr>
              <w:pStyle w:val="39"/>
              <w:rPr>
                <w:rFonts w:cs="Times New Roman"/>
              </w:rPr>
            </w:pPr>
            <w:r>
              <w:rPr>
                <w:rFonts w:cs="Times New Roman"/>
              </w:rPr>
              <w:t>100</w:t>
            </w:r>
          </w:p>
        </w:tc>
        <w:tc>
          <w:tcPr>
            <w:tcW w:w="1007" w:type="dxa"/>
            <w:vAlign w:val="center"/>
          </w:tcPr>
          <w:p>
            <w:pPr>
              <w:pStyle w:val="39"/>
              <w:rPr>
                <w:rFonts w:cs="Times New Roman"/>
              </w:rPr>
            </w:pPr>
            <w:r>
              <w:rPr>
                <w:rFonts w:cs="Times New Roman"/>
              </w:rPr>
              <w:t>150</w:t>
            </w:r>
          </w:p>
        </w:tc>
        <w:tc>
          <w:tcPr>
            <w:tcW w:w="1007" w:type="dxa"/>
            <w:vAlign w:val="center"/>
          </w:tcPr>
          <w:p>
            <w:pPr>
              <w:pStyle w:val="39"/>
              <w:rPr>
                <w:rFonts w:cs="Times New Roman"/>
              </w:rPr>
            </w:pPr>
            <w:r>
              <w:rPr>
                <w:rFonts w:cs="Times New Roman"/>
              </w:rPr>
              <w:t>200</w:t>
            </w:r>
          </w:p>
        </w:tc>
        <w:tc>
          <w:tcPr>
            <w:tcW w:w="864" w:type="dxa"/>
            <w:vAlign w:val="center"/>
          </w:tcPr>
          <w:p>
            <w:pPr>
              <w:pStyle w:val="39"/>
              <w:rPr>
                <w:rFonts w:cs="Times New Roman"/>
              </w:rPr>
            </w:pPr>
            <w:r>
              <w:rPr>
                <w:rFonts w:cs="Times New Roman"/>
              </w:rPr>
              <w:t>250</w:t>
            </w:r>
          </w:p>
        </w:tc>
        <w:tc>
          <w:tcPr>
            <w:tcW w:w="848" w:type="dxa"/>
            <w:vAlign w:val="center"/>
          </w:tcPr>
          <w:p>
            <w:pPr>
              <w:pStyle w:val="39"/>
              <w:rPr>
                <w:rFonts w:cs="Times New Roman"/>
              </w:rPr>
            </w:pPr>
            <w:r>
              <w:rPr>
                <w:rFonts w:cs="Times New Roman"/>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424" w:type="dxa"/>
            <w:vAlign w:val="center"/>
          </w:tcPr>
          <w:p>
            <w:pPr>
              <w:pStyle w:val="39"/>
              <w:rPr>
                <w:rFonts w:cs="Times New Roman"/>
              </w:rPr>
            </w:pPr>
            <w:r>
              <w:rPr>
                <w:rFonts w:cs="Times New Roman"/>
              </w:rPr>
              <w:t>沉降速度 (m/s)</w:t>
            </w:r>
          </w:p>
        </w:tc>
        <w:tc>
          <w:tcPr>
            <w:tcW w:w="1007" w:type="dxa"/>
            <w:vAlign w:val="center"/>
          </w:tcPr>
          <w:p>
            <w:pPr>
              <w:pStyle w:val="39"/>
              <w:rPr>
                <w:rFonts w:cs="Times New Roman"/>
              </w:rPr>
            </w:pPr>
            <w:r>
              <w:rPr>
                <w:rFonts w:cs="Times New Roman"/>
              </w:rPr>
              <w:t>0.158</w:t>
            </w:r>
          </w:p>
        </w:tc>
        <w:tc>
          <w:tcPr>
            <w:tcW w:w="1009" w:type="dxa"/>
            <w:vAlign w:val="center"/>
          </w:tcPr>
          <w:p>
            <w:pPr>
              <w:pStyle w:val="39"/>
              <w:rPr>
                <w:rFonts w:cs="Times New Roman"/>
              </w:rPr>
            </w:pPr>
            <w:r>
              <w:rPr>
                <w:rFonts w:cs="Times New Roman"/>
              </w:rPr>
              <w:t>0.170</w:t>
            </w:r>
          </w:p>
        </w:tc>
        <w:tc>
          <w:tcPr>
            <w:tcW w:w="1007" w:type="dxa"/>
            <w:vAlign w:val="center"/>
          </w:tcPr>
          <w:p>
            <w:pPr>
              <w:pStyle w:val="39"/>
              <w:rPr>
                <w:rFonts w:cs="Times New Roman"/>
              </w:rPr>
            </w:pPr>
            <w:r>
              <w:rPr>
                <w:rFonts w:cs="Times New Roman"/>
              </w:rPr>
              <w:t>0.182</w:t>
            </w:r>
          </w:p>
        </w:tc>
        <w:tc>
          <w:tcPr>
            <w:tcW w:w="1007" w:type="dxa"/>
            <w:vAlign w:val="center"/>
          </w:tcPr>
          <w:p>
            <w:pPr>
              <w:pStyle w:val="39"/>
              <w:rPr>
                <w:rFonts w:cs="Times New Roman"/>
              </w:rPr>
            </w:pPr>
            <w:r>
              <w:rPr>
                <w:rFonts w:cs="Times New Roman"/>
              </w:rPr>
              <w:t>0.239</w:t>
            </w:r>
          </w:p>
        </w:tc>
        <w:tc>
          <w:tcPr>
            <w:tcW w:w="1007" w:type="dxa"/>
            <w:vAlign w:val="center"/>
          </w:tcPr>
          <w:p>
            <w:pPr>
              <w:pStyle w:val="39"/>
              <w:rPr>
                <w:rFonts w:cs="Times New Roman"/>
              </w:rPr>
            </w:pPr>
            <w:r>
              <w:rPr>
                <w:rFonts w:cs="Times New Roman"/>
              </w:rPr>
              <w:t>0.804</w:t>
            </w:r>
          </w:p>
        </w:tc>
        <w:tc>
          <w:tcPr>
            <w:tcW w:w="864" w:type="dxa"/>
            <w:vAlign w:val="center"/>
          </w:tcPr>
          <w:p>
            <w:pPr>
              <w:pStyle w:val="39"/>
              <w:rPr>
                <w:rFonts w:cs="Times New Roman"/>
              </w:rPr>
            </w:pPr>
            <w:r>
              <w:rPr>
                <w:rFonts w:cs="Times New Roman"/>
              </w:rPr>
              <w:t>1.005</w:t>
            </w:r>
          </w:p>
        </w:tc>
        <w:tc>
          <w:tcPr>
            <w:tcW w:w="848" w:type="dxa"/>
            <w:vAlign w:val="center"/>
          </w:tcPr>
          <w:p>
            <w:pPr>
              <w:pStyle w:val="39"/>
              <w:rPr>
                <w:rFonts w:cs="Times New Roman"/>
              </w:rPr>
            </w:pPr>
            <w:r>
              <w:rPr>
                <w:rFonts w:cs="Times New Roman"/>
              </w:rPr>
              <w:t>1.829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424" w:type="dxa"/>
            <w:vAlign w:val="center"/>
          </w:tcPr>
          <w:p>
            <w:pPr>
              <w:pStyle w:val="39"/>
              <w:rPr>
                <w:rFonts w:cs="Times New Roman"/>
              </w:rPr>
            </w:pPr>
            <w:r>
              <w:rPr>
                <w:rFonts w:cs="Times New Roman"/>
              </w:rPr>
              <w:t>粒    径 (</w:t>
            </w:r>
            <w:r>
              <w:rPr>
                <w:rFonts w:cs="Times New Roman"/>
              </w:rPr>
              <w:sym w:font="Symbol" w:char="F06D"/>
            </w:r>
            <w:r>
              <w:rPr>
                <w:rFonts w:cs="Times New Roman"/>
              </w:rPr>
              <w:t>m)</w:t>
            </w:r>
          </w:p>
        </w:tc>
        <w:tc>
          <w:tcPr>
            <w:tcW w:w="1007" w:type="dxa"/>
            <w:vAlign w:val="center"/>
          </w:tcPr>
          <w:p>
            <w:pPr>
              <w:pStyle w:val="39"/>
              <w:rPr>
                <w:rFonts w:cs="Times New Roman"/>
              </w:rPr>
            </w:pPr>
            <w:r>
              <w:rPr>
                <w:rFonts w:cs="Times New Roman"/>
              </w:rPr>
              <w:t>450</w:t>
            </w:r>
          </w:p>
        </w:tc>
        <w:tc>
          <w:tcPr>
            <w:tcW w:w="1009" w:type="dxa"/>
            <w:vAlign w:val="center"/>
          </w:tcPr>
          <w:p>
            <w:pPr>
              <w:pStyle w:val="39"/>
              <w:rPr>
                <w:rFonts w:cs="Times New Roman"/>
              </w:rPr>
            </w:pPr>
            <w:r>
              <w:rPr>
                <w:rFonts w:cs="Times New Roman"/>
              </w:rPr>
              <w:t>550</w:t>
            </w:r>
          </w:p>
        </w:tc>
        <w:tc>
          <w:tcPr>
            <w:tcW w:w="1007" w:type="dxa"/>
            <w:vAlign w:val="center"/>
          </w:tcPr>
          <w:p>
            <w:pPr>
              <w:pStyle w:val="39"/>
              <w:rPr>
                <w:rFonts w:cs="Times New Roman"/>
              </w:rPr>
            </w:pPr>
            <w:r>
              <w:rPr>
                <w:rFonts w:cs="Times New Roman"/>
              </w:rPr>
              <w:t>650</w:t>
            </w:r>
          </w:p>
        </w:tc>
        <w:tc>
          <w:tcPr>
            <w:tcW w:w="1007" w:type="dxa"/>
            <w:vAlign w:val="center"/>
          </w:tcPr>
          <w:p>
            <w:pPr>
              <w:pStyle w:val="39"/>
              <w:rPr>
                <w:rFonts w:cs="Times New Roman"/>
              </w:rPr>
            </w:pPr>
            <w:r>
              <w:rPr>
                <w:rFonts w:cs="Times New Roman"/>
              </w:rPr>
              <w:t>750</w:t>
            </w:r>
          </w:p>
        </w:tc>
        <w:tc>
          <w:tcPr>
            <w:tcW w:w="1007" w:type="dxa"/>
            <w:vAlign w:val="center"/>
          </w:tcPr>
          <w:p>
            <w:pPr>
              <w:pStyle w:val="39"/>
              <w:rPr>
                <w:rFonts w:cs="Times New Roman"/>
              </w:rPr>
            </w:pPr>
            <w:r>
              <w:rPr>
                <w:rFonts w:cs="Times New Roman"/>
              </w:rPr>
              <w:t>850</w:t>
            </w:r>
          </w:p>
        </w:tc>
        <w:tc>
          <w:tcPr>
            <w:tcW w:w="864" w:type="dxa"/>
            <w:vAlign w:val="center"/>
          </w:tcPr>
          <w:p>
            <w:pPr>
              <w:pStyle w:val="39"/>
              <w:rPr>
                <w:rFonts w:cs="Times New Roman"/>
              </w:rPr>
            </w:pPr>
            <w:r>
              <w:rPr>
                <w:rFonts w:cs="Times New Roman"/>
              </w:rPr>
              <w:t>950</w:t>
            </w:r>
          </w:p>
        </w:tc>
        <w:tc>
          <w:tcPr>
            <w:tcW w:w="848" w:type="dxa"/>
            <w:vAlign w:val="center"/>
          </w:tcPr>
          <w:p>
            <w:pPr>
              <w:pStyle w:val="39"/>
              <w:rPr>
                <w:rFonts w:cs="Times New Roman"/>
              </w:rPr>
            </w:pPr>
            <w:r>
              <w:rPr>
                <w:rFonts w:cs="Times New Roman"/>
              </w:rPr>
              <w:t>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424" w:type="dxa"/>
            <w:vAlign w:val="center"/>
          </w:tcPr>
          <w:p>
            <w:pPr>
              <w:pStyle w:val="39"/>
              <w:rPr>
                <w:rFonts w:cs="Times New Roman"/>
              </w:rPr>
            </w:pPr>
            <w:r>
              <w:rPr>
                <w:rFonts w:cs="Times New Roman"/>
              </w:rPr>
              <w:t>沉降速度 (m/s)</w:t>
            </w:r>
          </w:p>
        </w:tc>
        <w:tc>
          <w:tcPr>
            <w:tcW w:w="1007" w:type="dxa"/>
            <w:vAlign w:val="center"/>
          </w:tcPr>
          <w:p>
            <w:pPr>
              <w:pStyle w:val="39"/>
              <w:rPr>
                <w:rFonts w:cs="Times New Roman"/>
              </w:rPr>
            </w:pPr>
            <w:r>
              <w:rPr>
                <w:rFonts w:cs="Times New Roman"/>
              </w:rPr>
              <w:t>2.211</w:t>
            </w:r>
          </w:p>
        </w:tc>
        <w:tc>
          <w:tcPr>
            <w:tcW w:w="1009" w:type="dxa"/>
            <w:vAlign w:val="center"/>
          </w:tcPr>
          <w:p>
            <w:pPr>
              <w:pStyle w:val="39"/>
              <w:rPr>
                <w:rFonts w:cs="Times New Roman"/>
              </w:rPr>
            </w:pPr>
            <w:r>
              <w:rPr>
                <w:rFonts w:cs="Times New Roman"/>
              </w:rPr>
              <w:t>2.614</w:t>
            </w:r>
          </w:p>
        </w:tc>
        <w:tc>
          <w:tcPr>
            <w:tcW w:w="1007" w:type="dxa"/>
            <w:vAlign w:val="center"/>
          </w:tcPr>
          <w:p>
            <w:pPr>
              <w:pStyle w:val="39"/>
              <w:rPr>
                <w:rFonts w:cs="Times New Roman"/>
              </w:rPr>
            </w:pPr>
            <w:r>
              <w:rPr>
                <w:rFonts w:cs="Times New Roman"/>
              </w:rPr>
              <w:t>3.016</w:t>
            </w:r>
          </w:p>
        </w:tc>
        <w:tc>
          <w:tcPr>
            <w:tcW w:w="1007" w:type="dxa"/>
            <w:vAlign w:val="center"/>
          </w:tcPr>
          <w:p>
            <w:pPr>
              <w:pStyle w:val="39"/>
              <w:rPr>
                <w:rFonts w:cs="Times New Roman"/>
              </w:rPr>
            </w:pPr>
            <w:r>
              <w:rPr>
                <w:rFonts w:cs="Times New Roman"/>
              </w:rPr>
              <w:t>3.418</w:t>
            </w:r>
          </w:p>
        </w:tc>
        <w:tc>
          <w:tcPr>
            <w:tcW w:w="1007" w:type="dxa"/>
            <w:vAlign w:val="center"/>
          </w:tcPr>
          <w:p>
            <w:pPr>
              <w:pStyle w:val="39"/>
              <w:rPr>
                <w:rFonts w:cs="Times New Roman"/>
              </w:rPr>
            </w:pPr>
            <w:r>
              <w:rPr>
                <w:rFonts w:cs="Times New Roman"/>
              </w:rPr>
              <w:t>3.820</w:t>
            </w:r>
          </w:p>
        </w:tc>
        <w:tc>
          <w:tcPr>
            <w:tcW w:w="864" w:type="dxa"/>
            <w:vAlign w:val="center"/>
          </w:tcPr>
          <w:p>
            <w:pPr>
              <w:pStyle w:val="39"/>
              <w:rPr>
                <w:rFonts w:cs="Times New Roman"/>
              </w:rPr>
            </w:pPr>
            <w:r>
              <w:rPr>
                <w:rFonts w:cs="Times New Roman"/>
              </w:rPr>
              <w:t>4.222</w:t>
            </w:r>
          </w:p>
        </w:tc>
        <w:tc>
          <w:tcPr>
            <w:tcW w:w="848" w:type="dxa"/>
            <w:vAlign w:val="center"/>
          </w:tcPr>
          <w:p>
            <w:pPr>
              <w:pStyle w:val="39"/>
              <w:rPr>
                <w:rFonts w:cs="Times New Roman"/>
              </w:rPr>
            </w:pPr>
            <w:r>
              <w:rPr>
                <w:rFonts w:cs="Times New Roman"/>
              </w:rPr>
              <w:t>4.624</w:t>
            </w:r>
          </w:p>
        </w:tc>
      </w:tr>
    </w:tbl>
    <w:p>
      <w:pPr>
        <w:pStyle w:val="3"/>
        <w:ind w:firstLine="480"/>
        <w:rPr>
          <w:rFonts w:cs="Times New Roman"/>
        </w:rPr>
      </w:pPr>
    </w:p>
    <w:p>
      <w:pPr>
        <w:pStyle w:val="3"/>
        <w:ind w:firstLine="480"/>
        <w:rPr>
          <w:rFonts w:cs="Times New Roman"/>
        </w:rPr>
      </w:pPr>
      <w:r>
        <w:rPr>
          <w:rFonts w:cs="Times New Roman"/>
        </w:rPr>
        <w:t>由表5.1-3可知，尘粒的沉降速度随粒径的增大而迅速增大。当粒径为250</w:t>
      </w:r>
      <w:r>
        <w:rPr>
          <w:rFonts w:cs="Times New Roman"/>
        </w:rPr>
        <w:sym w:font="Symbol" w:char="F06D"/>
      </w:r>
      <w:r>
        <w:rPr>
          <w:rFonts w:cs="Times New Roman"/>
        </w:rPr>
        <w:t>m时，沉降速度为1.005m/s，因此可以认为当尘粒大于250</w:t>
      </w:r>
      <w:r>
        <w:rPr>
          <w:rFonts w:cs="Times New Roman"/>
        </w:rPr>
        <w:sym w:font="Symbol" w:char="F06D"/>
      </w:r>
      <w:r>
        <w:rPr>
          <w:rFonts w:cs="Times New Roman"/>
        </w:rPr>
        <w:t>m时，主要影响范围在扬尘点下风向近距离范围内，而真正对外环境产生影响的是一些微小尘粒。根据现场的气候情况不同，其影响范围也有所不同。根据</w:t>
      </w:r>
      <w:r>
        <w:rPr>
          <w:rFonts w:hint="eastAsia" w:cs="Times New Roman"/>
        </w:rPr>
        <w:t>衡阳</w:t>
      </w:r>
      <w:r>
        <w:rPr>
          <w:rFonts w:cs="Times New Roman"/>
        </w:rPr>
        <w:t>市长期气象资料，全年主导风向为东北风，因此施工扬尘主要影响区域为西南偏南区域有一定的影响，由于项目与西南区域居民点有山体阻隔，且西南偏南居民较少，因此施工期扬尘对西南区域环境空气质量影响较小。</w:t>
      </w:r>
    </w:p>
    <w:p>
      <w:pPr>
        <w:pStyle w:val="3"/>
        <w:ind w:firstLine="480"/>
        <w:rPr>
          <w:rFonts w:cs="Times New Roman"/>
        </w:rPr>
      </w:pPr>
      <w:r>
        <w:rPr>
          <w:rFonts w:cs="Times New Roman"/>
        </w:rPr>
        <w:t>（3）汽车尾气</w:t>
      </w:r>
    </w:p>
    <w:p>
      <w:pPr>
        <w:pStyle w:val="3"/>
        <w:ind w:firstLine="480"/>
        <w:rPr>
          <w:rFonts w:cs="Times New Roman"/>
        </w:rPr>
      </w:pPr>
      <w:r>
        <w:rPr>
          <w:rFonts w:cs="Times New Roman"/>
        </w:rPr>
        <w:t>施工过程中各种工程机械和运输车辆在燃烧汽油、柴油，燃油机械尾气排放属低点源无序排放，这些机械运行过程中排放NO</w:t>
      </w:r>
      <w:r>
        <w:rPr>
          <w:rFonts w:cs="Times New Roman"/>
          <w:vertAlign w:val="subscript"/>
        </w:rPr>
        <w:t>2</w:t>
      </w:r>
      <w:r>
        <w:rPr>
          <w:rFonts w:cs="Times New Roman"/>
        </w:rPr>
        <w:t>、CO及烃类等废气，导致施工场地局部范围内空气质量下降，这些气体扩散后其浓度迅速降低，影响范围小，其尾气污染物最大浓度落点距边界的距离不超过150m，且浓度值均在《环境空气质量标准》（GB3095-2012）之内。由于项目施工所使用的工程机械和施工车辆数量较少，因而尾气排放量有限，因此，工程施工产生的大气污染物对施工区及周围居民区的空气环境影响较小。</w:t>
      </w:r>
    </w:p>
    <w:p>
      <w:pPr>
        <w:pStyle w:val="6"/>
        <w:rPr>
          <w:rFonts w:cs="Times New Roman"/>
        </w:rPr>
      </w:pPr>
      <w:r>
        <w:rPr>
          <w:rFonts w:cs="Times New Roman"/>
        </w:rPr>
        <w:t>施工期声环境影响预测与评价</w:t>
      </w:r>
    </w:p>
    <w:p>
      <w:pPr>
        <w:pStyle w:val="3"/>
        <w:ind w:firstLine="480"/>
        <w:rPr>
          <w:rFonts w:cs="Times New Roman"/>
        </w:rPr>
      </w:pPr>
      <w:r>
        <w:rPr>
          <w:rFonts w:cs="Times New Roman"/>
        </w:rPr>
        <w:t>建筑施工期的噪声源主要为施工机械和运输车辆，其特点是间歇或阵发性的，并具备流动性，噪声较高。各种施工机械的噪声源强分布情况见表5.1-1。本项目在考虑噪声源对环境的影响时，仅考虑点声源到不同距离处经距离衰减后的噪声。</w:t>
      </w:r>
    </w:p>
    <w:p>
      <w:pPr>
        <w:pStyle w:val="3"/>
        <w:ind w:firstLine="480"/>
        <w:rPr>
          <w:rFonts w:cs="Times New Roman"/>
        </w:rPr>
      </w:pPr>
      <w:r>
        <w:rPr>
          <w:rFonts w:cs="Times New Roman"/>
        </w:rPr>
        <w:t>施工期施工区噪声预测采用点源衰减模式进行预测，预测计算声源至受声点的几何发散衰减，计算中不考虑声屏障、空气吸收等衰减。</w:t>
      </w:r>
    </w:p>
    <w:p>
      <w:pPr>
        <w:pStyle w:val="3"/>
        <w:ind w:firstLine="480"/>
        <w:rPr>
          <w:rFonts w:cs="Times New Roman"/>
        </w:rPr>
      </w:pPr>
      <w:r>
        <w:rPr>
          <w:rFonts w:cs="Times New Roman"/>
        </w:rPr>
        <w:t>预测公式噪声传播衰减模式为：</w:t>
      </w:r>
    </w:p>
    <w:p>
      <w:pPr>
        <w:pStyle w:val="3"/>
        <w:ind w:firstLine="480"/>
        <w:jc w:val="center"/>
        <w:rPr>
          <w:rFonts w:cs="Times New Roman"/>
        </w:rPr>
      </w:pPr>
      <w:r>
        <w:rPr>
          <w:rFonts w:cs="Times New Roman"/>
        </w:rPr>
        <w:t>L</w:t>
      </w:r>
      <w:r>
        <w:rPr>
          <w:rFonts w:cs="Times New Roman"/>
          <w:vertAlign w:val="subscript"/>
        </w:rPr>
        <w:t>A</w:t>
      </w:r>
      <w:r>
        <w:rPr>
          <w:rFonts w:cs="Times New Roman"/>
        </w:rPr>
        <w:t>( r ) = L</w:t>
      </w:r>
      <w:r>
        <w:rPr>
          <w:rFonts w:cs="Times New Roman"/>
          <w:vertAlign w:val="subscript"/>
        </w:rPr>
        <w:t>A</w:t>
      </w:r>
      <w:r>
        <w:rPr>
          <w:rFonts w:cs="Times New Roman"/>
        </w:rPr>
        <w:t>( r</w:t>
      </w:r>
      <w:r>
        <w:rPr>
          <w:rFonts w:cs="Times New Roman"/>
          <w:vertAlign w:val="subscript"/>
        </w:rPr>
        <w:t>0</w:t>
      </w:r>
      <w:r>
        <w:rPr>
          <w:rFonts w:cs="Times New Roman"/>
        </w:rPr>
        <w:t xml:space="preserve"> )－20lg( r/ r</w:t>
      </w:r>
      <w:r>
        <w:rPr>
          <w:rFonts w:cs="Times New Roman"/>
          <w:vertAlign w:val="subscript"/>
        </w:rPr>
        <w:t>0</w:t>
      </w:r>
      <w:r>
        <w:rPr>
          <w:rFonts w:cs="Times New Roman"/>
        </w:rPr>
        <w:t xml:space="preserve"> )</w:t>
      </w:r>
    </w:p>
    <w:p>
      <w:pPr>
        <w:pStyle w:val="3"/>
        <w:ind w:firstLine="480"/>
        <w:rPr>
          <w:rFonts w:cs="Times New Roman"/>
        </w:rPr>
      </w:pPr>
      <w:r>
        <w:rPr>
          <w:rFonts w:cs="Times New Roman"/>
        </w:rPr>
        <w:t>式中：L</w:t>
      </w:r>
      <w:r>
        <w:rPr>
          <w:rFonts w:cs="Times New Roman"/>
          <w:vertAlign w:val="subscript"/>
        </w:rPr>
        <w:t>A</w:t>
      </w:r>
      <w:r>
        <w:rPr>
          <w:rFonts w:cs="Times New Roman"/>
        </w:rPr>
        <w:t>( r ) — 距声源r处的A声级，dB(A)；</w:t>
      </w:r>
    </w:p>
    <w:p>
      <w:pPr>
        <w:pStyle w:val="3"/>
        <w:ind w:firstLine="1200" w:firstLineChars="500"/>
        <w:rPr>
          <w:rFonts w:cs="Times New Roman"/>
        </w:rPr>
      </w:pPr>
      <w:r>
        <w:rPr>
          <w:rFonts w:cs="Times New Roman"/>
        </w:rPr>
        <w:t>L</w:t>
      </w:r>
      <w:r>
        <w:rPr>
          <w:rFonts w:cs="Times New Roman"/>
          <w:vertAlign w:val="subscript"/>
        </w:rPr>
        <w:t>A</w:t>
      </w:r>
      <w:r>
        <w:rPr>
          <w:rFonts w:cs="Times New Roman"/>
        </w:rPr>
        <w:t>( r</w:t>
      </w:r>
      <w:r>
        <w:rPr>
          <w:rFonts w:cs="Times New Roman"/>
          <w:vertAlign w:val="subscript"/>
        </w:rPr>
        <w:t>0</w:t>
      </w:r>
      <w:r>
        <w:rPr>
          <w:rFonts w:cs="Times New Roman"/>
        </w:rPr>
        <w:t xml:space="preserve"> ) — 距声源r</w:t>
      </w:r>
      <w:r>
        <w:rPr>
          <w:rFonts w:cs="Times New Roman"/>
          <w:vertAlign w:val="subscript"/>
        </w:rPr>
        <w:t>0</w:t>
      </w:r>
      <w:r>
        <w:rPr>
          <w:rFonts w:cs="Times New Roman"/>
        </w:rPr>
        <w:t>处的A声级，dB(A)；</w:t>
      </w:r>
    </w:p>
    <w:p>
      <w:pPr>
        <w:pStyle w:val="3"/>
        <w:ind w:firstLine="1200" w:firstLineChars="500"/>
        <w:rPr>
          <w:rFonts w:cs="Times New Roman"/>
        </w:rPr>
      </w:pPr>
      <w:r>
        <w:rPr>
          <w:rFonts w:cs="Times New Roman"/>
        </w:rPr>
        <w:t>r — 预测点距声源的距离，m；</w:t>
      </w:r>
    </w:p>
    <w:p>
      <w:pPr>
        <w:pStyle w:val="3"/>
        <w:ind w:firstLine="1200" w:firstLineChars="500"/>
        <w:rPr>
          <w:rFonts w:cs="Times New Roman"/>
        </w:rPr>
      </w:pPr>
      <w:r>
        <w:rPr>
          <w:rFonts w:cs="Times New Roman"/>
        </w:rPr>
        <w:t>r</w:t>
      </w:r>
      <w:r>
        <w:rPr>
          <w:rFonts w:cs="Times New Roman"/>
          <w:vertAlign w:val="subscript"/>
        </w:rPr>
        <w:t xml:space="preserve">0 </w:t>
      </w:r>
      <w:r>
        <w:rPr>
          <w:rFonts w:cs="Times New Roman"/>
        </w:rPr>
        <w:t>— 距声源的参照距离，m，r</w:t>
      </w:r>
      <w:r>
        <w:rPr>
          <w:rFonts w:cs="Times New Roman"/>
          <w:vertAlign w:val="subscript"/>
        </w:rPr>
        <w:t>0</w:t>
      </w:r>
      <w:r>
        <w:rPr>
          <w:rFonts w:cs="Times New Roman"/>
        </w:rPr>
        <w:t>=1m；</w:t>
      </w:r>
    </w:p>
    <w:p>
      <w:pPr>
        <w:pStyle w:val="3"/>
        <w:ind w:firstLine="480"/>
        <w:rPr>
          <w:rFonts w:cs="Times New Roman"/>
        </w:rPr>
      </w:pPr>
      <w:r>
        <w:rPr>
          <w:rFonts w:cs="Times New Roman"/>
        </w:rPr>
        <w:t>噪声合成公式：</w:t>
      </w:r>
      <w:r>
        <w:rPr>
          <w:rFonts w:cs="Times New Roman"/>
        </w:rPr>
        <w:tab/>
      </w:r>
    </w:p>
    <w:p>
      <w:pPr>
        <w:pStyle w:val="3"/>
        <w:ind w:firstLine="480"/>
        <w:jc w:val="center"/>
        <w:rPr>
          <w:rFonts w:cs="Times New Roman"/>
        </w:rPr>
      </w:pPr>
      <w:r>
        <w:rPr>
          <w:rFonts w:cs="Times New Roman"/>
        </w:rPr>
        <w:t>L</w:t>
      </w:r>
      <w:r>
        <w:rPr>
          <w:rFonts w:cs="Times New Roman"/>
          <w:vertAlign w:val="subscript"/>
        </w:rPr>
        <w:t>n</w:t>
      </w:r>
      <w:r>
        <w:rPr>
          <w:rFonts w:cs="Times New Roman"/>
        </w:rPr>
        <w:t xml:space="preserve"> =10lg∑10</w:t>
      </w:r>
      <w:r>
        <w:rPr>
          <w:rFonts w:cs="Times New Roman"/>
          <w:vertAlign w:val="superscript"/>
        </w:rPr>
        <w:t>L</w:t>
      </w:r>
      <w:r>
        <w:rPr>
          <w:rFonts w:cs="Times New Roman"/>
        </w:rPr>
        <w:t>i</w:t>
      </w:r>
      <w:r>
        <w:rPr>
          <w:rFonts w:cs="Times New Roman"/>
          <w:vertAlign w:val="superscript"/>
        </w:rPr>
        <w:t>/10</w:t>
      </w:r>
    </w:p>
    <w:p>
      <w:pPr>
        <w:pStyle w:val="3"/>
        <w:ind w:firstLine="480"/>
        <w:rPr>
          <w:rFonts w:cs="Times New Roman"/>
        </w:rPr>
      </w:pPr>
      <w:r>
        <w:rPr>
          <w:rFonts w:cs="Times New Roman"/>
        </w:rPr>
        <w:t>式中：L</w:t>
      </w:r>
      <w:r>
        <w:rPr>
          <w:rFonts w:cs="Times New Roman"/>
          <w:vertAlign w:val="subscript"/>
        </w:rPr>
        <w:t>n</w:t>
      </w:r>
      <w:r>
        <w:rPr>
          <w:rFonts w:cs="Times New Roman"/>
        </w:rPr>
        <w:t xml:space="preserve"> —n个声压级的合成声压级，dB(A)；</w:t>
      </w:r>
    </w:p>
    <w:p>
      <w:pPr>
        <w:pStyle w:val="3"/>
        <w:ind w:firstLine="1200" w:firstLineChars="500"/>
        <w:rPr>
          <w:rFonts w:cs="Times New Roman"/>
        </w:rPr>
      </w:pPr>
      <w:r>
        <w:rPr>
          <w:rFonts w:cs="Times New Roman"/>
        </w:rPr>
        <w:t>L</w:t>
      </w:r>
      <w:r>
        <w:rPr>
          <w:rFonts w:cs="Times New Roman"/>
          <w:vertAlign w:val="subscript"/>
        </w:rPr>
        <w:t>i</w:t>
      </w:r>
      <w:r>
        <w:rPr>
          <w:rFonts w:cs="Times New Roman"/>
        </w:rPr>
        <w:t xml:space="preserve"> — 各声源的A声级，dB(A)。</w:t>
      </w:r>
    </w:p>
    <w:p>
      <w:pPr>
        <w:pStyle w:val="3"/>
        <w:ind w:firstLine="480"/>
        <w:rPr>
          <w:rFonts w:cs="Times New Roman"/>
        </w:rPr>
      </w:pPr>
      <w:r>
        <w:rPr>
          <w:rFonts w:cs="Times New Roman"/>
        </w:rPr>
        <w:t>具体预测值见表5.1-4、5.1-5。</w:t>
      </w:r>
    </w:p>
    <w:p>
      <w:pPr>
        <w:pStyle w:val="15"/>
        <w:ind w:left="420" w:hanging="420"/>
        <w:rPr>
          <w:rFonts w:cs="Times New Roman"/>
        </w:rPr>
      </w:pPr>
      <w:r>
        <w:rPr>
          <w:rFonts w:cs="Times New Roman"/>
        </w:rPr>
        <w:t>表5.1-4    单台机械设备噪声距离衰减预测值  单位：dB(A)</w:t>
      </w:r>
    </w:p>
    <w:tbl>
      <w:tblPr>
        <w:tblStyle w:val="26"/>
        <w:tblW w:w="9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1190"/>
        <w:gridCol w:w="495"/>
        <w:gridCol w:w="604"/>
        <w:gridCol w:w="604"/>
        <w:gridCol w:w="604"/>
        <w:gridCol w:w="604"/>
        <w:gridCol w:w="712"/>
        <w:gridCol w:w="712"/>
        <w:gridCol w:w="712"/>
        <w:gridCol w:w="712"/>
        <w:gridCol w:w="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509" w:type="dxa"/>
            <w:vMerge w:val="restart"/>
            <w:vAlign w:val="center"/>
          </w:tcPr>
          <w:p>
            <w:pPr>
              <w:pStyle w:val="39"/>
              <w:rPr>
                <w:rFonts w:cs="Times New Roman"/>
              </w:rPr>
            </w:pPr>
            <w:r>
              <w:rPr>
                <w:rFonts w:cs="Times New Roman"/>
              </w:rPr>
              <w:t>机械类型</w:t>
            </w:r>
          </w:p>
        </w:tc>
        <w:tc>
          <w:tcPr>
            <w:tcW w:w="1190" w:type="dxa"/>
            <w:vMerge w:val="restart"/>
            <w:vAlign w:val="center"/>
          </w:tcPr>
          <w:p>
            <w:pPr>
              <w:pStyle w:val="39"/>
              <w:rPr>
                <w:rFonts w:cs="Times New Roman"/>
              </w:rPr>
            </w:pPr>
            <w:r>
              <w:rPr>
                <w:rFonts w:cs="Times New Roman"/>
              </w:rPr>
              <w:t>源强</w:t>
            </w:r>
          </w:p>
          <w:p>
            <w:pPr>
              <w:pStyle w:val="39"/>
              <w:rPr>
                <w:rFonts w:cs="Times New Roman"/>
              </w:rPr>
            </w:pPr>
            <w:r>
              <w:rPr>
                <w:rFonts w:cs="Times New Roman"/>
              </w:rPr>
              <w:t>（1m处）</w:t>
            </w:r>
          </w:p>
        </w:tc>
        <w:tc>
          <w:tcPr>
            <w:tcW w:w="6474" w:type="dxa"/>
            <w:gridSpan w:val="10"/>
            <w:vAlign w:val="center"/>
          </w:tcPr>
          <w:p>
            <w:pPr>
              <w:pStyle w:val="39"/>
              <w:rPr>
                <w:rFonts w:cs="Times New Roman"/>
              </w:rPr>
            </w:pPr>
            <w:r>
              <w:rPr>
                <w:rFonts w:cs="Times New Roman"/>
              </w:rPr>
              <w:t>噪声预测值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509" w:type="dxa"/>
            <w:vMerge w:val="continue"/>
            <w:vAlign w:val="center"/>
          </w:tcPr>
          <w:p>
            <w:pPr>
              <w:pStyle w:val="39"/>
              <w:rPr>
                <w:rFonts w:cs="Times New Roman"/>
              </w:rPr>
            </w:pPr>
          </w:p>
        </w:tc>
        <w:tc>
          <w:tcPr>
            <w:tcW w:w="1190" w:type="dxa"/>
            <w:vMerge w:val="continue"/>
            <w:vAlign w:val="center"/>
          </w:tcPr>
          <w:p>
            <w:pPr>
              <w:pStyle w:val="39"/>
              <w:rPr>
                <w:rFonts w:cs="Times New Roman"/>
              </w:rPr>
            </w:pPr>
          </w:p>
        </w:tc>
        <w:tc>
          <w:tcPr>
            <w:tcW w:w="495" w:type="dxa"/>
            <w:vAlign w:val="center"/>
          </w:tcPr>
          <w:p>
            <w:pPr>
              <w:pStyle w:val="39"/>
              <w:rPr>
                <w:rFonts w:cs="Times New Roman"/>
              </w:rPr>
            </w:pPr>
            <w:r>
              <w:rPr>
                <w:rFonts w:cs="Times New Roman"/>
              </w:rPr>
              <w:t>5m</w:t>
            </w:r>
          </w:p>
        </w:tc>
        <w:tc>
          <w:tcPr>
            <w:tcW w:w="604" w:type="dxa"/>
            <w:vAlign w:val="center"/>
          </w:tcPr>
          <w:p>
            <w:pPr>
              <w:pStyle w:val="39"/>
              <w:rPr>
                <w:rFonts w:cs="Times New Roman"/>
              </w:rPr>
            </w:pPr>
            <w:r>
              <w:rPr>
                <w:rFonts w:cs="Times New Roman"/>
              </w:rPr>
              <w:t>10m</w:t>
            </w:r>
          </w:p>
        </w:tc>
        <w:tc>
          <w:tcPr>
            <w:tcW w:w="604" w:type="dxa"/>
            <w:vAlign w:val="center"/>
          </w:tcPr>
          <w:p>
            <w:pPr>
              <w:pStyle w:val="39"/>
              <w:rPr>
                <w:rFonts w:cs="Times New Roman"/>
              </w:rPr>
            </w:pPr>
            <w:r>
              <w:rPr>
                <w:rFonts w:cs="Times New Roman"/>
              </w:rPr>
              <w:t>20m</w:t>
            </w:r>
          </w:p>
        </w:tc>
        <w:tc>
          <w:tcPr>
            <w:tcW w:w="604" w:type="dxa"/>
            <w:vAlign w:val="center"/>
          </w:tcPr>
          <w:p>
            <w:pPr>
              <w:pStyle w:val="39"/>
              <w:rPr>
                <w:rFonts w:cs="Times New Roman"/>
              </w:rPr>
            </w:pPr>
            <w:r>
              <w:rPr>
                <w:rFonts w:cs="Times New Roman"/>
              </w:rPr>
              <w:t>40m</w:t>
            </w:r>
          </w:p>
        </w:tc>
        <w:tc>
          <w:tcPr>
            <w:tcW w:w="604" w:type="dxa"/>
            <w:vAlign w:val="center"/>
          </w:tcPr>
          <w:p>
            <w:pPr>
              <w:pStyle w:val="39"/>
              <w:rPr>
                <w:rFonts w:cs="Times New Roman"/>
              </w:rPr>
            </w:pPr>
            <w:r>
              <w:rPr>
                <w:rFonts w:cs="Times New Roman"/>
              </w:rPr>
              <w:t>50m</w:t>
            </w:r>
          </w:p>
        </w:tc>
        <w:tc>
          <w:tcPr>
            <w:tcW w:w="712" w:type="dxa"/>
            <w:vAlign w:val="center"/>
          </w:tcPr>
          <w:p>
            <w:pPr>
              <w:pStyle w:val="39"/>
              <w:rPr>
                <w:rFonts w:cs="Times New Roman"/>
              </w:rPr>
            </w:pPr>
            <w:r>
              <w:rPr>
                <w:rFonts w:cs="Times New Roman"/>
              </w:rPr>
              <w:t>100m</w:t>
            </w:r>
          </w:p>
        </w:tc>
        <w:tc>
          <w:tcPr>
            <w:tcW w:w="712" w:type="dxa"/>
            <w:vAlign w:val="center"/>
          </w:tcPr>
          <w:p>
            <w:pPr>
              <w:pStyle w:val="39"/>
              <w:rPr>
                <w:rFonts w:cs="Times New Roman"/>
              </w:rPr>
            </w:pPr>
            <w:r>
              <w:rPr>
                <w:rFonts w:cs="Times New Roman"/>
              </w:rPr>
              <w:t>150m</w:t>
            </w:r>
          </w:p>
        </w:tc>
        <w:tc>
          <w:tcPr>
            <w:tcW w:w="712" w:type="dxa"/>
            <w:vAlign w:val="center"/>
          </w:tcPr>
          <w:p>
            <w:pPr>
              <w:pStyle w:val="39"/>
              <w:rPr>
                <w:rFonts w:cs="Times New Roman"/>
              </w:rPr>
            </w:pPr>
            <w:r>
              <w:rPr>
                <w:rFonts w:cs="Times New Roman"/>
              </w:rPr>
              <w:t>200m</w:t>
            </w:r>
          </w:p>
        </w:tc>
        <w:tc>
          <w:tcPr>
            <w:tcW w:w="712" w:type="dxa"/>
            <w:vAlign w:val="center"/>
          </w:tcPr>
          <w:p>
            <w:pPr>
              <w:pStyle w:val="39"/>
              <w:rPr>
                <w:rFonts w:cs="Times New Roman"/>
              </w:rPr>
            </w:pPr>
            <w:r>
              <w:rPr>
                <w:rFonts w:cs="Times New Roman"/>
              </w:rPr>
              <w:t>300m</w:t>
            </w:r>
          </w:p>
        </w:tc>
        <w:tc>
          <w:tcPr>
            <w:tcW w:w="715" w:type="dxa"/>
            <w:vAlign w:val="center"/>
          </w:tcPr>
          <w:p>
            <w:pPr>
              <w:pStyle w:val="39"/>
              <w:rPr>
                <w:rFonts w:cs="Times New Roman"/>
              </w:rPr>
            </w:pPr>
            <w:r>
              <w:rPr>
                <w:rFonts w:cs="Times New Roman"/>
              </w:rPr>
              <w:t>400m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509" w:type="dxa"/>
            <w:vAlign w:val="center"/>
          </w:tcPr>
          <w:p>
            <w:pPr>
              <w:pStyle w:val="39"/>
              <w:rPr>
                <w:rFonts w:cs="Times New Roman"/>
              </w:rPr>
            </w:pPr>
            <w:r>
              <w:rPr>
                <w:rFonts w:cs="Times New Roman"/>
                <w:kern w:val="0"/>
              </w:rPr>
              <w:t>振捣器</w:t>
            </w:r>
          </w:p>
        </w:tc>
        <w:tc>
          <w:tcPr>
            <w:tcW w:w="1190" w:type="dxa"/>
            <w:vAlign w:val="center"/>
          </w:tcPr>
          <w:p>
            <w:pPr>
              <w:pStyle w:val="39"/>
              <w:rPr>
                <w:rFonts w:cs="Times New Roman"/>
              </w:rPr>
            </w:pPr>
            <w:r>
              <w:rPr>
                <w:rFonts w:cs="Times New Roman"/>
              </w:rPr>
              <w:t>105</w:t>
            </w:r>
          </w:p>
        </w:tc>
        <w:tc>
          <w:tcPr>
            <w:tcW w:w="495" w:type="dxa"/>
            <w:vAlign w:val="center"/>
          </w:tcPr>
          <w:p>
            <w:pPr>
              <w:pStyle w:val="39"/>
              <w:rPr>
                <w:rFonts w:cs="Times New Roman"/>
              </w:rPr>
            </w:pPr>
            <w:r>
              <w:rPr>
                <w:rFonts w:cs="Times New Roman"/>
              </w:rPr>
              <w:t>91</w:t>
            </w:r>
          </w:p>
        </w:tc>
        <w:tc>
          <w:tcPr>
            <w:tcW w:w="604" w:type="dxa"/>
            <w:vAlign w:val="center"/>
          </w:tcPr>
          <w:p>
            <w:pPr>
              <w:pStyle w:val="39"/>
              <w:rPr>
                <w:rFonts w:cs="Times New Roman"/>
              </w:rPr>
            </w:pPr>
            <w:r>
              <w:rPr>
                <w:rFonts w:cs="Times New Roman"/>
              </w:rPr>
              <w:t>85</w:t>
            </w:r>
          </w:p>
        </w:tc>
        <w:tc>
          <w:tcPr>
            <w:tcW w:w="604" w:type="dxa"/>
            <w:vAlign w:val="center"/>
          </w:tcPr>
          <w:p>
            <w:pPr>
              <w:pStyle w:val="39"/>
              <w:rPr>
                <w:rFonts w:cs="Times New Roman"/>
              </w:rPr>
            </w:pPr>
            <w:r>
              <w:rPr>
                <w:rFonts w:cs="Times New Roman"/>
              </w:rPr>
              <w:t>79</w:t>
            </w:r>
          </w:p>
        </w:tc>
        <w:tc>
          <w:tcPr>
            <w:tcW w:w="604" w:type="dxa"/>
            <w:vAlign w:val="center"/>
          </w:tcPr>
          <w:p>
            <w:pPr>
              <w:pStyle w:val="39"/>
              <w:rPr>
                <w:rFonts w:cs="Times New Roman"/>
              </w:rPr>
            </w:pPr>
            <w:r>
              <w:rPr>
                <w:rFonts w:cs="Times New Roman"/>
              </w:rPr>
              <w:t>73</w:t>
            </w:r>
          </w:p>
        </w:tc>
        <w:tc>
          <w:tcPr>
            <w:tcW w:w="604" w:type="dxa"/>
            <w:vAlign w:val="center"/>
          </w:tcPr>
          <w:p>
            <w:pPr>
              <w:pStyle w:val="39"/>
              <w:rPr>
                <w:rFonts w:cs="Times New Roman"/>
              </w:rPr>
            </w:pPr>
            <w:r>
              <w:rPr>
                <w:rFonts w:cs="Times New Roman"/>
              </w:rPr>
              <w:t>71</w:t>
            </w:r>
          </w:p>
        </w:tc>
        <w:tc>
          <w:tcPr>
            <w:tcW w:w="712" w:type="dxa"/>
            <w:vAlign w:val="center"/>
          </w:tcPr>
          <w:p>
            <w:pPr>
              <w:pStyle w:val="39"/>
              <w:rPr>
                <w:rFonts w:cs="Times New Roman"/>
              </w:rPr>
            </w:pPr>
            <w:r>
              <w:rPr>
                <w:rFonts w:cs="Times New Roman"/>
              </w:rPr>
              <w:t>65</w:t>
            </w:r>
          </w:p>
        </w:tc>
        <w:tc>
          <w:tcPr>
            <w:tcW w:w="712" w:type="dxa"/>
            <w:vAlign w:val="center"/>
          </w:tcPr>
          <w:p>
            <w:pPr>
              <w:pStyle w:val="39"/>
              <w:rPr>
                <w:rFonts w:cs="Times New Roman"/>
              </w:rPr>
            </w:pPr>
            <w:r>
              <w:rPr>
                <w:rFonts w:cs="Times New Roman"/>
              </w:rPr>
              <w:t>61</w:t>
            </w:r>
          </w:p>
        </w:tc>
        <w:tc>
          <w:tcPr>
            <w:tcW w:w="712" w:type="dxa"/>
            <w:vAlign w:val="center"/>
          </w:tcPr>
          <w:p>
            <w:pPr>
              <w:pStyle w:val="39"/>
              <w:rPr>
                <w:rFonts w:cs="Times New Roman"/>
              </w:rPr>
            </w:pPr>
            <w:r>
              <w:rPr>
                <w:rFonts w:cs="Times New Roman"/>
              </w:rPr>
              <w:t>59</w:t>
            </w:r>
          </w:p>
        </w:tc>
        <w:tc>
          <w:tcPr>
            <w:tcW w:w="712" w:type="dxa"/>
            <w:vAlign w:val="center"/>
          </w:tcPr>
          <w:p>
            <w:pPr>
              <w:pStyle w:val="39"/>
              <w:rPr>
                <w:rFonts w:cs="Times New Roman"/>
              </w:rPr>
            </w:pPr>
            <w:r>
              <w:rPr>
                <w:rFonts w:cs="Times New Roman"/>
              </w:rPr>
              <w:t>55</w:t>
            </w:r>
          </w:p>
        </w:tc>
        <w:tc>
          <w:tcPr>
            <w:tcW w:w="715" w:type="dxa"/>
            <w:vAlign w:val="center"/>
          </w:tcPr>
          <w:p>
            <w:pPr>
              <w:pStyle w:val="39"/>
              <w:rPr>
                <w:rFonts w:cs="Times New Roman"/>
              </w:rPr>
            </w:pPr>
            <w:r>
              <w:rPr>
                <w:rFonts w:cs="Times New Roman"/>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509" w:type="dxa"/>
            <w:vAlign w:val="center"/>
          </w:tcPr>
          <w:p>
            <w:pPr>
              <w:pStyle w:val="39"/>
              <w:rPr>
                <w:rFonts w:cs="Times New Roman"/>
              </w:rPr>
            </w:pPr>
            <w:r>
              <w:rPr>
                <w:rFonts w:cs="Times New Roman"/>
              </w:rPr>
              <w:t>电锯</w:t>
            </w:r>
          </w:p>
        </w:tc>
        <w:tc>
          <w:tcPr>
            <w:tcW w:w="1190" w:type="dxa"/>
            <w:vAlign w:val="center"/>
          </w:tcPr>
          <w:p>
            <w:pPr>
              <w:pStyle w:val="39"/>
              <w:rPr>
                <w:rFonts w:cs="Times New Roman"/>
              </w:rPr>
            </w:pPr>
            <w:r>
              <w:rPr>
                <w:rFonts w:cs="Times New Roman"/>
              </w:rPr>
              <w:t>100</w:t>
            </w:r>
          </w:p>
        </w:tc>
        <w:tc>
          <w:tcPr>
            <w:tcW w:w="495" w:type="dxa"/>
            <w:vAlign w:val="center"/>
          </w:tcPr>
          <w:p>
            <w:pPr>
              <w:pStyle w:val="39"/>
              <w:rPr>
                <w:rFonts w:cs="Times New Roman"/>
              </w:rPr>
            </w:pPr>
            <w:r>
              <w:rPr>
                <w:rFonts w:cs="Times New Roman"/>
              </w:rPr>
              <w:t>86</w:t>
            </w:r>
          </w:p>
        </w:tc>
        <w:tc>
          <w:tcPr>
            <w:tcW w:w="604" w:type="dxa"/>
            <w:vAlign w:val="center"/>
          </w:tcPr>
          <w:p>
            <w:pPr>
              <w:pStyle w:val="39"/>
              <w:rPr>
                <w:rFonts w:cs="Times New Roman"/>
              </w:rPr>
            </w:pPr>
            <w:r>
              <w:rPr>
                <w:rFonts w:cs="Times New Roman"/>
              </w:rPr>
              <w:t>80</w:t>
            </w:r>
          </w:p>
        </w:tc>
        <w:tc>
          <w:tcPr>
            <w:tcW w:w="604" w:type="dxa"/>
            <w:vAlign w:val="center"/>
          </w:tcPr>
          <w:p>
            <w:pPr>
              <w:pStyle w:val="39"/>
              <w:rPr>
                <w:rFonts w:cs="Times New Roman"/>
              </w:rPr>
            </w:pPr>
            <w:r>
              <w:rPr>
                <w:rFonts w:cs="Times New Roman"/>
              </w:rPr>
              <w:t>74</w:t>
            </w:r>
          </w:p>
        </w:tc>
        <w:tc>
          <w:tcPr>
            <w:tcW w:w="604" w:type="dxa"/>
            <w:vAlign w:val="center"/>
          </w:tcPr>
          <w:p>
            <w:pPr>
              <w:pStyle w:val="39"/>
              <w:rPr>
                <w:rFonts w:cs="Times New Roman"/>
              </w:rPr>
            </w:pPr>
            <w:r>
              <w:rPr>
                <w:rFonts w:cs="Times New Roman"/>
              </w:rPr>
              <w:t>68</w:t>
            </w:r>
          </w:p>
        </w:tc>
        <w:tc>
          <w:tcPr>
            <w:tcW w:w="604" w:type="dxa"/>
            <w:vAlign w:val="center"/>
          </w:tcPr>
          <w:p>
            <w:pPr>
              <w:pStyle w:val="39"/>
              <w:rPr>
                <w:rFonts w:cs="Times New Roman"/>
              </w:rPr>
            </w:pPr>
            <w:r>
              <w:rPr>
                <w:rFonts w:cs="Times New Roman"/>
              </w:rPr>
              <w:t>66</w:t>
            </w:r>
          </w:p>
        </w:tc>
        <w:tc>
          <w:tcPr>
            <w:tcW w:w="712" w:type="dxa"/>
            <w:vAlign w:val="center"/>
          </w:tcPr>
          <w:p>
            <w:pPr>
              <w:pStyle w:val="39"/>
              <w:rPr>
                <w:rFonts w:cs="Times New Roman"/>
              </w:rPr>
            </w:pPr>
            <w:r>
              <w:rPr>
                <w:rFonts w:cs="Times New Roman"/>
              </w:rPr>
              <w:t>60</w:t>
            </w:r>
          </w:p>
        </w:tc>
        <w:tc>
          <w:tcPr>
            <w:tcW w:w="712" w:type="dxa"/>
            <w:vAlign w:val="center"/>
          </w:tcPr>
          <w:p>
            <w:pPr>
              <w:pStyle w:val="39"/>
              <w:rPr>
                <w:rFonts w:cs="Times New Roman"/>
              </w:rPr>
            </w:pPr>
            <w:r>
              <w:rPr>
                <w:rFonts w:cs="Times New Roman"/>
              </w:rPr>
              <w:t>56</w:t>
            </w:r>
          </w:p>
        </w:tc>
        <w:tc>
          <w:tcPr>
            <w:tcW w:w="712" w:type="dxa"/>
            <w:vAlign w:val="center"/>
          </w:tcPr>
          <w:p>
            <w:pPr>
              <w:pStyle w:val="39"/>
              <w:rPr>
                <w:rFonts w:cs="Times New Roman"/>
              </w:rPr>
            </w:pPr>
            <w:r>
              <w:rPr>
                <w:rFonts w:cs="Times New Roman"/>
              </w:rPr>
              <w:t>54</w:t>
            </w:r>
          </w:p>
        </w:tc>
        <w:tc>
          <w:tcPr>
            <w:tcW w:w="712" w:type="dxa"/>
            <w:vAlign w:val="center"/>
          </w:tcPr>
          <w:p>
            <w:pPr>
              <w:pStyle w:val="39"/>
              <w:rPr>
                <w:rFonts w:cs="Times New Roman"/>
              </w:rPr>
            </w:pPr>
            <w:r>
              <w:rPr>
                <w:rFonts w:cs="Times New Roman"/>
              </w:rPr>
              <w:t>50</w:t>
            </w:r>
          </w:p>
        </w:tc>
        <w:tc>
          <w:tcPr>
            <w:tcW w:w="715" w:type="dxa"/>
            <w:vAlign w:val="center"/>
          </w:tcPr>
          <w:p>
            <w:pPr>
              <w:pStyle w:val="39"/>
              <w:rPr>
                <w:rFonts w:cs="Times New Roman"/>
              </w:rPr>
            </w:pPr>
            <w:r>
              <w:rPr>
                <w:rFonts w:cs="Times New Roma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09" w:type="dxa"/>
            <w:vAlign w:val="center"/>
          </w:tcPr>
          <w:p>
            <w:pPr>
              <w:pStyle w:val="39"/>
              <w:rPr>
                <w:rFonts w:cs="Times New Roman"/>
              </w:rPr>
            </w:pPr>
            <w:r>
              <w:rPr>
                <w:rFonts w:cs="Times New Roman"/>
              </w:rPr>
              <w:t>挖土机</w:t>
            </w:r>
          </w:p>
        </w:tc>
        <w:tc>
          <w:tcPr>
            <w:tcW w:w="1190" w:type="dxa"/>
            <w:vAlign w:val="center"/>
          </w:tcPr>
          <w:p>
            <w:pPr>
              <w:pStyle w:val="39"/>
              <w:rPr>
                <w:rFonts w:cs="Times New Roman"/>
              </w:rPr>
            </w:pPr>
            <w:r>
              <w:rPr>
                <w:rFonts w:cs="Times New Roman"/>
              </w:rPr>
              <w:t>96</w:t>
            </w:r>
          </w:p>
        </w:tc>
        <w:tc>
          <w:tcPr>
            <w:tcW w:w="495" w:type="dxa"/>
            <w:vAlign w:val="center"/>
          </w:tcPr>
          <w:p>
            <w:pPr>
              <w:pStyle w:val="39"/>
              <w:rPr>
                <w:rFonts w:cs="Times New Roman"/>
              </w:rPr>
            </w:pPr>
            <w:r>
              <w:rPr>
                <w:rFonts w:cs="Times New Roman"/>
              </w:rPr>
              <w:t>82</w:t>
            </w:r>
          </w:p>
        </w:tc>
        <w:tc>
          <w:tcPr>
            <w:tcW w:w="604" w:type="dxa"/>
            <w:vAlign w:val="center"/>
          </w:tcPr>
          <w:p>
            <w:pPr>
              <w:pStyle w:val="39"/>
              <w:rPr>
                <w:rFonts w:cs="Times New Roman"/>
              </w:rPr>
            </w:pPr>
            <w:r>
              <w:rPr>
                <w:rFonts w:cs="Times New Roman"/>
              </w:rPr>
              <w:t>76</w:t>
            </w:r>
          </w:p>
        </w:tc>
        <w:tc>
          <w:tcPr>
            <w:tcW w:w="604" w:type="dxa"/>
            <w:vAlign w:val="center"/>
          </w:tcPr>
          <w:p>
            <w:pPr>
              <w:pStyle w:val="39"/>
              <w:rPr>
                <w:rFonts w:cs="Times New Roman"/>
              </w:rPr>
            </w:pPr>
            <w:r>
              <w:rPr>
                <w:rFonts w:cs="Times New Roman"/>
              </w:rPr>
              <w:t>70</w:t>
            </w:r>
          </w:p>
        </w:tc>
        <w:tc>
          <w:tcPr>
            <w:tcW w:w="604" w:type="dxa"/>
            <w:vAlign w:val="center"/>
          </w:tcPr>
          <w:p>
            <w:pPr>
              <w:pStyle w:val="39"/>
              <w:rPr>
                <w:rFonts w:cs="Times New Roman"/>
              </w:rPr>
            </w:pPr>
            <w:r>
              <w:rPr>
                <w:rFonts w:cs="Times New Roman"/>
              </w:rPr>
              <w:t>64</w:t>
            </w:r>
          </w:p>
        </w:tc>
        <w:tc>
          <w:tcPr>
            <w:tcW w:w="604" w:type="dxa"/>
            <w:vAlign w:val="center"/>
          </w:tcPr>
          <w:p>
            <w:pPr>
              <w:pStyle w:val="39"/>
              <w:rPr>
                <w:rFonts w:cs="Times New Roman"/>
              </w:rPr>
            </w:pPr>
            <w:r>
              <w:rPr>
                <w:rFonts w:cs="Times New Roman"/>
              </w:rPr>
              <w:t>62</w:t>
            </w:r>
          </w:p>
        </w:tc>
        <w:tc>
          <w:tcPr>
            <w:tcW w:w="712" w:type="dxa"/>
            <w:vAlign w:val="center"/>
          </w:tcPr>
          <w:p>
            <w:pPr>
              <w:pStyle w:val="39"/>
              <w:rPr>
                <w:rFonts w:cs="Times New Roman"/>
              </w:rPr>
            </w:pPr>
            <w:r>
              <w:rPr>
                <w:rFonts w:cs="Times New Roman"/>
              </w:rPr>
              <w:t>56</w:t>
            </w:r>
          </w:p>
        </w:tc>
        <w:tc>
          <w:tcPr>
            <w:tcW w:w="712" w:type="dxa"/>
            <w:vAlign w:val="center"/>
          </w:tcPr>
          <w:p>
            <w:pPr>
              <w:pStyle w:val="39"/>
              <w:rPr>
                <w:rFonts w:cs="Times New Roman"/>
              </w:rPr>
            </w:pPr>
            <w:r>
              <w:rPr>
                <w:rFonts w:cs="Times New Roman"/>
              </w:rPr>
              <w:t>52</w:t>
            </w:r>
          </w:p>
        </w:tc>
        <w:tc>
          <w:tcPr>
            <w:tcW w:w="712" w:type="dxa"/>
            <w:vAlign w:val="center"/>
          </w:tcPr>
          <w:p>
            <w:pPr>
              <w:pStyle w:val="39"/>
              <w:rPr>
                <w:rFonts w:cs="Times New Roman"/>
              </w:rPr>
            </w:pPr>
            <w:r>
              <w:rPr>
                <w:rFonts w:cs="Times New Roman"/>
              </w:rPr>
              <w:t>50</w:t>
            </w:r>
          </w:p>
        </w:tc>
        <w:tc>
          <w:tcPr>
            <w:tcW w:w="712" w:type="dxa"/>
            <w:vAlign w:val="center"/>
          </w:tcPr>
          <w:p>
            <w:pPr>
              <w:pStyle w:val="39"/>
              <w:rPr>
                <w:rFonts w:cs="Times New Roman"/>
              </w:rPr>
            </w:pPr>
            <w:r>
              <w:rPr>
                <w:rFonts w:cs="Times New Roman"/>
              </w:rPr>
              <w:t>46</w:t>
            </w:r>
          </w:p>
        </w:tc>
        <w:tc>
          <w:tcPr>
            <w:tcW w:w="715" w:type="dxa"/>
            <w:vAlign w:val="center"/>
          </w:tcPr>
          <w:p>
            <w:pPr>
              <w:pStyle w:val="39"/>
              <w:rPr>
                <w:rFonts w:cs="Times New Roman"/>
              </w:rPr>
            </w:pPr>
            <w:r>
              <w:rPr>
                <w:rFonts w:cs="Times New Roman"/>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09" w:type="dxa"/>
            <w:vAlign w:val="center"/>
          </w:tcPr>
          <w:p>
            <w:pPr>
              <w:pStyle w:val="39"/>
              <w:rPr>
                <w:rFonts w:cs="Times New Roman"/>
              </w:rPr>
            </w:pPr>
            <w:r>
              <w:rPr>
                <w:rFonts w:cs="Times New Roman"/>
              </w:rPr>
              <w:t>电焊机</w:t>
            </w:r>
          </w:p>
        </w:tc>
        <w:tc>
          <w:tcPr>
            <w:tcW w:w="1190" w:type="dxa"/>
            <w:vAlign w:val="center"/>
          </w:tcPr>
          <w:p>
            <w:pPr>
              <w:pStyle w:val="39"/>
              <w:rPr>
                <w:rFonts w:cs="Times New Roman"/>
              </w:rPr>
            </w:pPr>
            <w:r>
              <w:rPr>
                <w:rFonts w:cs="Times New Roman"/>
              </w:rPr>
              <w:t>95</w:t>
            </w:r>
          </w:p>
        </w:tc>
        <w:tc>
          <w:tcPr>
            <w:tcW w:w="495" w:type="dxa"/>
            <w:vAlign w:val="center"/>
          </w:tcPr>
          <w:p>
            <w:pPr>
              <w:pStyle w:val="39"/>
              <w:rPr>
                <w:rFonts w:cs="Times New Roman"/>
              </w:rPr>
            </w:pPr>
            <w:r>
              <w:rPr>
                <w:rFonts w:cs="Times New Roman"/>
              </w:rPr>
              <w:t>81</w:t>
            </w:r>
          </w:p>
        </w:tc>
        <w:tc>
          <w:tcPr>
            <w:tcW w:w="604" w:type="dxa"/>
            <w:vAlign w:val="center"/>
          </w:tcPr>
          <w:p>
            <w:pPr>
              <w:pStyle w:val="39"/>
              <w:rPr>
                <w:rFonts w:cs="Times New Roman"/>
              </w:rPr>
            </w:pPr>
            <w:r>
              <w:rPr>
                <w:rFonts w:cs="Times New Roman"/>
              </w:rPr>
              <w:t>75</w:t>
            </w:r>
          </w:p>
        </w:tc>
        <w:tc>
          <w:tcPr>
            <w:tcW w:w="604" w:type="dxa"/>
            <w:vAlign w:val="center"/>
          </w:tcPr>
          <w:p>
            <w:pPr>
              <w:pStyle w:val="39"/>
              <w:rPr>
                <w:rFonts w:cs="Times New Roman"/>
              </w:rPr>
            </w:pPr>
            <w:r>
              <w:rPr>
                <w:rFonts w:cs="Times New Roman"/>
              </w:rPr>
              <w:t>69</w:t>
            </w:r>
          </w:p>
        </w:tc>
        <w:tc>
          <w:tcPr>
            <w:tcW w:w="604" w:type="dxa"/>
            <w:vAlign w:val="center"/>
          </w:tcPr>
          <w:p>
            <w:pPr>
              <w:pStyle w:val="39"/>
              <w:rPr>
                <w:rFonts w:cs="Times New Roman"/>
              </w:rPr>
            </w:pPr>
            <w:r>
              <w:rPr>
                <w:rFonts w:cs="Times New Roman"/>
              </w:rPr>
              <w:t>63</w:t>
            </w:r>
          </w:p>
        </w:tc>
        <w:tc>
          <w:tcPr>
            <w:tcW w:w="604" w:type="dxa"/>
            <w:vAlign w:val="center"/>
          </w:tcPr>
          <w:p>
            <w:pPr>
              <w:pStyle w:val="39"/>
              <w:rPr>
                <w:rFonts w:cs="Times New Roman"/>
              </w:rPr>
            </w:pPr>
            <w:r>
              <w:rPr>
                <w:rFonts w:cs="Times New Roman"/>
              </w:rPr>
              <w:t>61</w:t>
            </w:r>
          </w:p>
        </w:tc>
        <w:tc>
          <w:tcPr>
            <w:tcW w:w="712" w:type="dxa"/>
            <w:vAlign w:val="center"/>
          </w:tcPr>
          <w:p>
            <w:pPr>
              <w:pStyle w:val="39"/>
              <w:rPr>
                <w:rFonts w:cs="Times New Roman"/>
              </w:rPr>
            </w:pPr>
            <w:r>
              <w:rPr>
                <w:rFonts w:cs="Times New Roman"/>
              </w:rPr>
              <w:t>55</w:t>
            </w:r>
          </w:p>
        </w:tc>
        <w:tc>
          <w:tcPr>
            <w:tcW w:w="712" w:type="dxa"/>
            <w:vAlign w:val="center"/>
          </w:tcPr>
          <w:p>
            <w:pPr>
              <w:pStyle w:val="39"/>
              <w:rPr>
                <w:rFonts w:cs="Times New Roman"/>
              </w:rPr>
            </w:pPr>
            <w:r>
              <w:rPr>
                <w:rFonts w:cs="Times New Roman"/>
              </w:rPr>
              <w:t>51</w:t>
            </w:r>
          </w:p>
        </w:tc>
        <w:tc>
          <w:tcPr>
            <w:tcW w:w="712" w:type="dxa"/>
            <w:vAlign w:val="center"/>
          </w:tcPr>
          <w:p>
            <w:pPr>
              <w:pStyle w:val="39"/>
              <w:rPr>
                <w:rFonts w:cs="Times New Roman"/>
              </w:rPr>
            </w:pPr>
            <w:r>
              <w:rPr>
                <w:rFonts w:cs="Times New Roman"/>
              </w:rPr>
              <w:t>49</w:t>
            </w:r>
          </w:p>
        </w:tc>
        <w:tc>
          <w:tcPr>
            <w:tcW w:w="712" w:type="dxa"/>
            <w:vAlign w:val="center"/>
          </w:tcPr>
          <w:p>
            <w:pPr>
              <w:pStyle w:val="39"/>
              <w:rPr>
                <w:rFonts w:cs="Times New Roman"/>
              </w:rPr>
            </w:pPr>
            <w:r>
              <w:rPr>
                <w:rFonts w:cs="Times New Roman"/>
              </w:rPr>
              <w:t>45</w:t>
            </w:r>
          </w:p>
        </w:tc>
        <w:tc>
          <w:tcPr>
            <w:tcW w:w="715" w:type="dxa"/>
            <w:vAlign w:val="center"/>
          </w:tcPr>
          <w:p>
            <w:pPr>
              <w:pStyle w:val="39"/>
              <w:rPr>
                <w:rFonts w:cs="Times New Roman"/>
              </w:rPr>
            </w:pPr>
            <w:r>
              <w:rPr>
                <w:rFonts w:cs="Times New Roman"/>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09" w:type="dxa"/>
            <w:vAlign w:val="center"/>
          </w:tcPr>
          <w:p>
            <w:pPr>
              <w:pStyle w:val="39"/>
              <w:rPr>
                <w:rFonts w:cs="Times New Roman"/>
              </w:rPr>
            </w:pPr>
            <w:r>
              <w:rPr>
                <w:rFonts w:cs="Times New Roman"/>
              </w:rPr>
              <w:t>空压机</w:t>
            </w:r>
          </w:p>
        </w:tc>
        <w:tc>
          <w:tcPr>
            <w:tcW w:w="1190" w:type="dxa"/>
            <w:vAlign w:val="center"/>
          </w:tcPr>
          <w:p>
            <w:pPr>
              <w:pStyle w:val="39"/>
              <w:rPr>
                <w:rFonts w:cs="Times New Roman"/>
              </w:rPr>
            </w:pPr>
            <w:r>
              <w:rPr>
                <w:rFonts w:cs="Times New Roman"/>
              </w:rPr>
              <w:t>85</w:t>
            </w:r>
          </w:p>
        </w:tc>
        <w:tc>
          <w:tcPr>
            <w:tcW w:w="495" w:type="dxa"/>
            <w:vAlign w:val="center"/>
          </w:tcPr>
          <w:p>
            <w:pPr>
              <w:pStyle w:val="39"/>
              <w:rPr>
                <w:rFonts w:cs="Times New Roman"/>
              </w:rPr>
            </w:pPr>
            <w:r>
              <w:rPr>
                <w:rFonts w:cs="Times New Roman"/>
              </w:rPr>
              <w:t>71</w:t>
            </w:r>
          </w:p>
        </w:tc>
        <w:tc>
          <w:tcPr>
            <w:tcW w:w="604" w:type="dxa"/>
            <w:vAlign w:val="center"/>
          </w:tcPr>
          <w:p>
            <w:pPr>
              <w:pStyle w:val="39"/>
              <w:rPr>
                <w:rFonts w:cs="Times New Roman"/>
              </w:rPr>
            </w:pPr>
            <w:r>
              <w:rPr>
                <w:rFonts w:cs="Times New Roman"/>
              </w:rPr>
              <w:t>65</w:t>
            </w:r>
          </w:p>
        </w:tc>
        <w:tc>
          <w:tcPr>
            <w:tcW w:w="604" w:type="dxa"/>
            <w:vAlign w:val="center"/>
          </w:tcPr>
          <w:p>
            <w:pPr>
              <w:pStyle w:val="39"/>
              <w:rPr>
                <w:rFonts w:cs="Times New Roman"/>
              </w:rPr>
            </w:pPr>
            <w:r>
              <w:rPr>
                <w:rFonts w:cs="Times New Roman"/>
              </w:rPr>
              <w:t>59</w:t>
            </w:r>
          </w:p>
        </w:tc>
        <w:tc>
          <w:tcPr>
            <w:tcW w:w="604" w:type="dxa"/>
            <w:vAlign w:val="center"/>
          </w:tcPr>
          <w:p>
            <w:pPr>
              <w:pStyle w:val="39"/>
              <w:rPr>
                <w:rFonts w:cs="Times New Roman"/>
              </w:rPr>
            </w:pPr>
            <w:r>
              <w:rPr>
                <w:rFonts w:cs="Times New Roman"/>
              </w:rPr>
              <w:t>53</w:t>
            </w:r>
          </w:p>
        </w:tc>
        <w:tc>
          <w:tcPr>
            <w:tcW w:w="604" w:type="dxa"/>
            <w:vAlign w:val="center"/>
          </w:tcPr>
          <w:p>
            <w:pPr>
              <w:pStyle w:val="39"/>
              <w:rPr>
                <w:rFonts w:cs="Times New Roman"/>
              </w:rPr>
            </w:pPr>
            <w:r>
              <w:rPr>
                <w:rFonts w:cs="Times New Roman"/>
              </w:rPr>
              <w:t>51</w:t>
            </w:r>
          </w:p>
        </w:tc>
        <w:tc>
          <w:tcPr>
            <w:tcW w:w="712" w:type="dxa"/>
            <w:vAlign w:val="center"/>
          </w:tcPr>
          <w:p>
            <w:pPr>
              <w:pStyle w:val="39"/>
              <w:rPr>
                <w:rFonts w:cs="Times New Roman"/>
              </w:rPr>
            </w:pPr>
            <w:r>
              <w:rPr>
                <w:rFonts w:cs="Times New Roman"/>
              </w:rPr>
              <w:t>45</w:t>
            </w:r>
          </w:p>
        </w:tc>
        <w:tc>
          <w:tcPr>
            <w:tcW w:w="712" w:type="dxa"/>
            <w:vAlign w:val="center"/>
          </w:tcPr>
          <w:p>
            <w:pPr>
              <w:pStyle w:val="39"/>
              <w:rPr>
                <w:rFonts w:cs="Times New Roman"/>
              </w:rPr>
            </w:pPr>
            <w:r>
              <w:rPr>
                <w:rFonts w:cs="Times New Roman"/>
              </w:rPr>
              <w:t>41</w:t>
            </w:r>
          </w:p>
        </w:tc>
        <w:tc>
          <w:tcPr>
            <w:tcW w:w="712" w:type="dxa"/>
            <w:vAlign w:val="center"/>
          </w:tcPr>
          <w:p>
            <w:pPr>
              <w:pStyle w:val="39"/>
              <w:rPr>
                <w:rFonts w:cs="Times New Roman"/>
              </w:rPr>
            </w:pPr>
            <w:r>
              <w:rPr>
                <w:rFonts w:cs="Times New Roman"/>
              </w:rPr>
              <w:t>39</w:t>
            </w:r>
          </w:p>
        </w:tc>
        <w:tc>
          <w:tcPr>
            <w:tcW w:w="712" w:type="dxa"/>
            <w:vAlign w:val="center"/>
          </w:tcPr>
          <w:p>
            <w:pPr>
              <w:pStyle w:val="39"/>
              <w:rPr>
                <w:rFonts w:cs="Times New Roman"/>
              </w:rPr>
            </w:pPr>
            <w:r>
              <w:rPr>
                <w:rFonts w:cs="Times New Roman"/>
              </w:rPr>
              <w:t>35</w:t>
            </w:r>
          </w:p>
        </w:tc>
        <w:tc>
          <w:tcPr>
            <w:tcW w:w="715" w:type="dxa"/>
            <w:vAlign w:val="center"/>
          </w:tcPr>
          <w:p>
            <w:pPr>
              <w:pStyle w:val="39"/>
              <w:rPr>
                <w:rFonts w:cs="Times New Roman"/>
              </w:rPr>
            </w:pPr>
            <w:r>
              <w:rPr>
                <w:rFonts w:cs="Times New Roma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09" w:type="dxa"/>
            <w:vAlign w:val="center"/>
          </w:tcPr>
          <w:p>
            <w:pPr>
              <w:pStyle w:val="39"/>
              <w:rPr>
                <w:rFonts w:cs="Times New Roman"/>
              </w:rPr>
            </w:pPr>
            <w:r>
              <w:rPr>
                <w:rFonts w:cs="Times New Roman"/>
              </w:rPr>
              <w:t>混凝土装罐车</w:t>
            </w:r>
          </w:p>
        </w:tc>
        <w:tc>
          <w:tcPr>
            <w:tcW w:w="1190" w:type="dxa"/>
            <w:vAlign w:val="center"/>
          </w:tcPr>
          <w:p>
            <w:pPr>
              <w:pStyle w:val="39"/>
              <w:rPr>
                <w:rFonts w:cs="Times New Roman"/>
              </w:rPr>
            </w:pPr>
            <w:r>
              <w:rPr>
                <w:rFonts w:cs="Times New Roman"/>
              </w:rPr>
              <w:t>80</w:t>
            </w:r>
          </w:p>
        </w:tc>
        <w:tc>
          <w:tcPr>
            <w:tcW w:w="495" w:type="dxa"/>
            <w:vAlign w:val="center"/>
          </w:tcPr>
          <w:p>
            <w:pPr>
              <w:pStyle w:val="39"/>
              <w:rPr>
                <w:rFonts w:cs="Times New Roman"/>
              </w:rPr>
            </w:pPr>
            <w:r>
              <w:rPr>
                <w:rFonts w:cs="Times New Roman"/>
              </w:rPr>
              <w:t>66</w:t>
            </w:r>
          </w:p>
        </w:tc>
        <w:tc>
          <w:tcPr>
            <w:tcW w:w="604" w:type="dxa"/>
            <w:vAlign w:val="center"/>
          </w:tcPr>
          <w:p>
            <w:pPr>
              <w:pStyle w:val="39"/>
              <w:rPr>
                <w:rFonts w:cs="Times New Roman"/>
              </w:rPr>
            </w:pPr>
            <w:r>
              <w:rPr>
                <w:rFonts w:cs="Times New Roman"/>
              </w:rPr>
              <w:t>60</w:t>
            </w:r>
          </w:p>
        </w:tc>
        <w:tc>
          <w:tcPr>
            <w:tcW w:w="604" w:type="dxa"/>
            <w:vAlign w:val="center"/>
          </w:tcPr>
          <w:p>
            <w:pPr>
              <w:pStyle w:val="39"/>
              <w:rPr>
                <w:rFonts w:cs="Times New Roman"/>
              </w:rPr>
            </w:pPr>
            <w:r>
              <w:rPr>
                <w:rFonts w:cs="Times New Roman"/>
              </w:rPr>
              <w:t>54</w:t>
            </w:r>
          </w:p>
        </w:tc>
        <w:tc>
          <w:tcPr>
            <w:tcW w:w="604" w:type="dxa"/>
            <w:vAlign w:val="center"/>
          </w:tcPr>
          <w:p>
            <w:pPr>
              <w:pStyle w:val="39"/>
              <w:rPr>
                <w:rFonts w:cs="Times New Roman"/>
              </w:rPr>
            </w:pPr>
            <w:r>
              <w:rPr>
                <w:rFonts w:cs="Times New Roman"/>
              </w:rPr>
              <w:t>48</w:t>
            </w:r>
          </w:p>
        </w:tc>
        <w:tc>
          <w:tcPr>
            <w:tcW w:w="604" w:type="dxa"/>
            <w:vAlign w:val="center"/>
          </w:tcPr>
          <w:p>
            <w:pPr>
              <w:pStyle w:val="39"/>
              <w:rPr>
                <w:rFonts w:cs="Times New Roman"/>
              </w:rPr>
            </w:pPr>
            <w:r>
              <w:rPr>
                <w:rFonts w:cs="Times New Roman"/>
              </w:rPr>
              <w:t>46</w:t>
            </w:r>
          </w:p>
        </w:tc>
        <w:tc>
          <w:tcPr>
            <w:tcW w:w="712" w:type="dxa"/>
            <w:vAlign w:val="center"/>
          </w:tcPr>
          <w:p>
            <w:pPr>
              <w:pStyle w:val="39"/>
              <w:rPr>
                <w:rFonts w:cs="Times New Roman"/>
              </w:rPr>
            </w:pPr>
            <w:r>
              <w:rPr>
                <w:rFonts w:cs="Times New Roman"/>
              </w:rPr>
              <w:t>40</w:t>
            </w:r>
          </w:p>
        </w:tc>
        <w:tc>
          <w:tcPr>
            <w:tcW w:w="712" w:type="dxa"/>
            <w:vAlign w:val="center"/>
          </w:tcPr>
          <w:p>
            <w:pPr>
              <w:pStyle w:val="39"/>
              <w:rPr>
                <w:rFonts w:cs="Times New Roman"/>
              </w:rPr>
            </w:pPr>
            <w:r>
              <w:rPr>
                <w:rFonts w:cs="Times New Roman"/>
              </w:rPr>
              <w:t>36</w:t>
            </w:r>
          </w:p>
        </w:tc>
        <w:tc>
          <w:tcPr>
            <w:tcW w:w="712" w:type="dxa"/>
            <w:vAlign w:val="center"/>
          </w:tcPr>
          <w:p>
            <w:pPr>
              <w:pStyle w:val="39"/>
              <w:rPr>
                <w:rFonts w:cs="Times New Roman"/>
              </w:rPr>
            </w:pPr>
            <w:r>
              <w:rPr>
                <w:rFonts w:cs="Times New Roman"/>
              </w:rPr>
              <w:t>34</w:t>
            </w:r>
          </w:p>
        </w:tc>
        <w:tc>
          <w:tcPr>
            <w:tcW w:w="712" w:type="dxa"/>
            <w:vAlign w:val="center"/>
          </w:tcPr>
          <w:p>
            <w:pPr>
              <w:pStyle w:val="39"/>
              <w:rPr>
                <w:rFonts w:cs="Times New Roman"/>
              </w:rPr>
            </w:pPr>
            <w:r>
              <w:rPr>
                <w:rFonts w:cs="Times New Roman"/>
              </w:rPr>
              <w:t>30</w:t>
            </w:r>
          </w:p>
        </w:tc>
        <w:tc>
          <w:tcPr>
            <w:tcW w:w="715" w:type="dxa"/>
            <w:vAlign w:val="center"/>
          </w:tcPr>
          <w:p>
            <w:pPr>
              <w:pStyle w:val="39"/>
              <w:rPr>
                <w:rFonts w:cs="Times New Roman"/>
              </w:rPr>
            </w:pPr>
            <w:r>
              <w:rPr>
                <w:rFonts w:cs="Times New Roman"/>
              </w:rPr>
              <w:t>28</w:t>
            </w:r>
          </w:p>
        </w:tc>
      </w:tr>
    </w:tbl>
    <w:p>
      <w:pPr>
        <w:pStyle w:val="3"/>
        <w:ind w:firstLine="480"/>
        <w:rPr>
          <w:rFonts w:cs="Times New Roman"/>
        </w:rPr>
      </w:pPr>
    </w:p>
    <w:p>
      <w:pPr>
        <w:pStyle w:val="15"/>
        <w:ind w:left="420" w:hanging="420"/>
        <w:rPr>
          <w:rFonts w:cs="Times New Roman"/>
        </w:rPr>
      </w:pPr>
      <w:r>
        <w:rPr>
          <w:rFonts w:cs="Times New Roman"/>
        </w:rPr>
        <w:t>表5.1-5     多台机械设备同时运转的噪声预测值  单位：dB(A)</w:t>
      </w:r>
    </w:p>
    <w:tbl>
      <w:tblPr>
        <w:tblStyle w:val="26"/>
        <w:tblW w:w="9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2"/>
        <w:gridCol w:w="727"/>
        <w:gridCol w:w="727"/>
        <w:gridCol w:w="727"/>
        <w:gridCol w:w="727"/>
        <w:gridCol w:w="727"/>
        <w:gridCol w:w="727"/>
        <w:gridCol w:w="727"/>
        <w:gridCol w:w="727"/>
        <w:gridCol w:w="727"/>
        <w:gridCol w:w="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02" w:type="dxa"/>
            <w:vAlign w:val="center"/>
          </w:tcPr>
          <w:p>
            <w:pPr>
              <w:pStyle w:val="39"/>
              <w:rPr>
                <w:rFonts w:cs="Times New Roman"/>
              </w:rPr>
            </w:pPr>
            <w:r>
              <w:rPr>
                <w:rFonts w:cs="Times New Roman"/>
              </w:rPr>
              <w:t>距离（m）</w:t>
            </w:r>
          </w:p>
        </w:tc>
        <w:tc>
          <w:tcPr>
            <w:tcW w:w="727" w:type="dxa"/>
            <w:vAlign w:val="center"/>
          </w:tcPr>
          <w:p>
            <w:pPr>
              <w:pStyle w:val="39"/>
              <w:rPr>
                <w:rFonts w:cs="Times New Roman"/>
              </w:rPr>
            </w:pPr>
            <w:r>
              <w:rPr>
                <w:rFonts w:cs="Times New Roman"/>
              </w:rPr>
              <w:t>5</w:t>
            </w:r>
          </w:p>
        </w:tc>
        <w:tc>
          <w:tcPr>
            <w:tcW w:w="727" w:type="dxa"/>
            <w:vAlign w:val="center"/>
          </w:tcPr>
          <w:p>
            <w:pPr>
              <w:pStyle w:val="39"/>
              <w:rPr>
                <w:rFonts w:cs="Times New Roman"/>
              </w:rPr>
            </w:pPr>
            <w:r>
              <w:rPr>
                <w:rFonts w:cs="Times New Roman"/>
              </w:rPr>
              <w:t>10</w:t>
            </w:r>
          </w:p>
        </w:tc>
        <w:tc>
          <w:tcPr>
            <w:tcW w:w="727" w:type="dxa"/>
            <w:vAlign w:val="center"/>
          </w:tcPr>
          <w:p>
            <w:pPr>
              <w:pStyle w:val="39"/>
              <w:rPr>
                <w:rFonts w:cs="Times New Roman"/>
              </w:rPr>
            </w:pPr>
            <w:r>
              <w:rPr>
                <w:rFonts w:cs="Times New Roman"/>
              </w:rPr>
              <w:t>20</w:t>
            </w:r>
          </w:p>
        </w:tc>
        <w:tc>
          <w:tcPr>
            <w:tcW w:w="727" w:type="dxa"/>
            <w:vAlign w:val="center"/>
          </w:tcPr>
          <w:p>
            <w:pPr>
              <w:pStyle w:val="39"/>
              <w:rPr>
                <w:rFonts w:cs="Times New Roman"/>
              </w:rPr>
            </w:pPr>
            <w:r>
              <w:rPr>
                <w:rFonts w:cs="Times New Roman"/>
              </w:rPr>
              <w:t>40</w:t>
            </w:r>
          </w:p>
        </w:tc>
        <w:tc>
          <w:tcPr>
            <w:tcW w:w="727" w:type="dxa"/>
            <w:vAlign w:val="center"/>
          </w:tcPr>
          <w:p>
            <w:pPr>
              <w:pStyle w:val="39"/>
              <w:rPr>
                <w:rFonts w:cs="Times New Roman"/>
              </w:rPr>
            </w:pPr>
            <w:r>
              <w:rPr>
                <w:rFonts w:cs="Times New Roman"/>
              </w:rPr>
              <w:t>50</w:t>
            </w:r>
          </w:p>
        </w:tc>
        <w:tc>
          <w:tcPr>
            <w:tcW w:w="727" w:type="dxa"/>
            <w:vAlign w:val="center"/>
          </w:tcPr>
          <w:p>
            <w:pPr>
              <w:pStyle w:val="39"/>
              <w:rPr>
                <w:rFonts w:cs="Times New Roman"/>
              </w:rPr>
            </w:pPr>
            <w:r>
              <w:rPr>
                <w:rFonts w:cs="Times New Roman"/>
              </w:rPr>
              <w:t>100</w:t>
            </w:r>
          </w:p>
        </w:tc>
        <w:tc>
          <w:tcPr>
            <w:tcW w:w="727" w:type="dxa"/>
            <w:vAlign w:val="center"/>
          </w:tcPr>
          <w:p>
            <w:pPr>
              <w:pStyle w:val="39"/>
              <w:rPr>
                <w:rFonts w:cs="Times New Roman"/>
              </w:rPr>
            </w:pPr>
            <w:r>
              <w:rPr>
                <w:rFonts w:cs="Times New Roman"/>
              </w:rPr>
              <w:t>150</w:t>
            </w:r>
          </w:p>
        </w:tc>
        <w:tc>
          <w:tcPr>
            <w:tcW w:w="727" w:type="dxa"/>
            <w:vAlign w:val="center"/>
          </w:tcPr>
          <w:p>
            <w:pPr>
              <w:pStyle w:val="39"/>
              <w:rPr>
                <w:rFonts w:cs="Times New Roman"/>
              </w:rPr>
            </w:pPr>
            <w:r>
              <w:rPr>
                <w:rFonts w:cs="Times New Roman"/>
              </w:rPr>
              <w:t>200</w:t>
            </w:r>
          </w:p>
        </w:tc>
        <w:tc>
          <w:tcPr>
            <w:tcW w:w="727" w:type="dxa"/>
            <w:vAlign w:val="center"/>
          </w:tcPr>
          <w:p>
            <w:pPr>
              <w:pStyle w:val="39"/>
              <w:rPr>
                <w:rFonts w:cs="Times New Roman"/>
              </w:rPr>
            </w:pPr>
            <w:r>
              <w:rPr>
                <w:rFonts w:cs="Times New Roman"/>
              </w:rPr>
              <w:t>300</w:t>
            </w:r>
          </w:p>
        </w:tc>
        <w:tc>
          <w:tcPr>
            <w:tcW w:w="728" w:type="dxa"/>
            <w:vAlign w:val="center"/>
          </w:tcPr>
          <w:p>
            <w:pPr>
              <w:pStyle w:val="39"/>
              <w:rPr>
                <w:rFonts w:cs="Times New Roman"/>
              </w:rPr>
            </w:pPr>
            <w:r>
              <w:rPr>
                <w:rFonts w:cs="Times New Roma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02" w:type="dxa"/>
            <w:vAlign w:val="center"/>
          </w:tcPr>
          <w:p>
            <w:pPr>
              <w:pStyle w:val="39"/>
              <w:rPr>
                <w:rFonts w:cs="Times New Roman"/>
              </w:rPr>
            </w:pPr>
            <w:r>
              <w:rPr>
                <w:rFonts w:cs="Times New Roman"/>
              </w:rPr>
              <w:t>噪声预测值</w:t>
            </w:r>
          </w:p>
        </w:tc>
        <w:tc>
          <w:tcPr>
            <w:tcW w:w="727" w:type="dxa"/>
            <w:vAlign w:val="center"/>
          </w:tcPr>
          <w:p>
            <w:pPr>
              <w:pStyle w:val="39"/>
              <w:rPr>
                <w:rFonts w:cs="Times New Roman"/>
              </w:rPr>
            </w:pPr>
            <w:r>
              <w:rPr>
                <w:rFonts w:cs="Times New Roman"/>
              </w:rPr>
              <w:t>93</w:t>
            </w:r>
          </w:p>
        </w:tc>
        <w:tc>
          <w:tcPr>
            <w:tcW w:w="727" w:type="dxa"/>
            <w:vAlign w:val="center"/>
          </w:tcPr>
          <w:p>
            <w:pPr>
              <w:pStyle w:val="39"/>
              <w:rPr>
                <w:rFonts w:cs="Times New Roman"/>
              </w:rPr>
            </w:pPr>
            <w:r>
              <w:rPr>
                <w:rFonts w:cs="Times New Roman"/>
              </w:rPr>
              <w:t>87</w:t>
            </w:r>
          </w:p>
        </w:tc>
        <w:tc>
          <w:tcPr>
            <w:tcW w:w="727" w:type="dxa"/>
            <w:vAlign w:val="center"/>
          </w:tcPr>
          <w:p>
            <w:pPr>
              <w:pStyle w:val="39"/>
              <w:rPr>
                <w:rFonts w:cs="Times New Roman"/>
              </w:rPr>
            </w:pPr>
            <w:r>
              <w:rPr>
                <w:rFonts w:cs="Times New Roman"/>
              </w:rPr>
              <w:t>81</w:t>
            </w:r>
          </w:p>
        </w:tc>
        <w:tc>
          <w:tcPr>
            <w:tcW w:w="727" w:type="dxa"/>
            <w:vAlign w:val="center"/>
          </w:tcPr>
          <w:p>
            <w:pPr>
              <w:pStyle w:val="39"/>
              <w:rPr>
                <w:rFonts w:cs="Times New Roman"/>
              </w:rPr>
            </w:pPr>
            <w:r>
              <w:rPr>
                <w:rFonts w:cs="Times New Roman"/>
              </w:rPr>
              <w:t>75</w:t>
            </w:r>
          </w:p>
        </w:tc>
        <w:tc>
          <w:tcPr>
            <w:tcW w:w="727" w:type="dxa"/>
            <w:vAlign w:val="center"/>
          </w:tcPr>
          <w:p>
            <w:pPr>
              <w:pStyle w:val="39"/>
              <w:rPr>
                <w:rFonts w:cs="Times New Roman"/>
              </w:rPr>
            </w:pPr>
            <w:r>
              <w:rPr>
                <w:rFonts w:cs="Times New Roman"/>
              </w:rPr>
              <w:t>73</w:t>
            </w:r>
          </w:p>
        </w:tc>
        <w:tc>
          <w:tcPr>
            <w:tcW w:w="727" w:type="dxa"/>
            <w:vAlign w:val="center"/>
          </w:tcPr>
          <w:p>
            <w:pPr>
              <w:pStyle w:val="39"/>
              <w:rPr>
                <w:rFonts w:cs="Times New Roman"/>
              </w:rPr>
            </w:pPr>
            <w:r>
              <w:rPr>
                <w:rFonts w:cs="Times New Roman"/>
              </w:rPr>
              <w:t>67</w:t>
            </w:r>
          </w:p>
        </w:tc>
        <w:tc>
          <w:tcPr>
            <w:tcW w:w="727" w:type="dxa"/>
            <w:vAlign w:val="center"/>
          </w:tcPr>
          <w:p>
            <w:pPr>
              <w:pStyle w:val="39"/>
              <w:rPr>
                <w:rFonts w:cs="Times New Roman"/>
              </w:rPr>
            </w:pPr>
            <w:r>
              <w:rPr>
                <w:rFonts w:cs="Times New Roman"/>
              </w:rPr>
              <w:t>63</w:t>
            </w:r>
          </w:p>
        </w:tc>
        <w:tc>
          <w:tcPr>
            <w:tcW w:w="727" w:type="dxa"/>
            <w:vAlign w:val="center"/>
          </w:tcPr>
          <w:p>
            <w:pPr>
              <w:pStyle w:val="39"/>
              <w:rPr>
                <w:rFonts w:cs="Times New Roman"/>
              </w:rPr>
            </w:pPr>
            <w:r>
              <w:rPr>
                <w:rFonts w:cs="Times New Roman"/>
              </w:rPr>
              <w:t>61</w:t>
            </w:r>
          </w:p>
        </w:tc>
        <w:tc>
          <w:tcPr>
            <w:tcW w:w="727" w:type="dxa"/>
            <w:vAlign w:val="center"/>
          </w:tcPr>
          <w:p>
            <w:pPr>
              <w:pStyle w:val="39"/>
              <w:rPr>
                <w:rFonts w:cs="Times New Roman"/>
              </w:rPr>
            </w:pPr>
            <w:r>
              <w:rPr>
                <w:rFonts w:cs="Times New Roman"/>
              </w:rPr>
              <w:t>57</w:t>
            </w:r>
          </w:p>
        </w:tc>
        <w:tc>
          <w:tcPr>
            <w:tcW w:w="728" w:type="dxa"/>
            <w:vAlign w:val="center"/>
          </w:tcPr>
          <w:p>
            <w:pPr>
              <w:pStyle w:val="39"/>
              <w:rPr>
                <w:rFonts w:cs="Times New Roman"/>
              </w:rPr>
            </w:pPr>
            <w:r>
              <w:rPr>
                <w:rFonts w:cs="Times New Roman"/>
              </w:rPr>
              <w:t>55</w:t>
            </w:r>
          </w:p>
        </w:tc>
      </w:tr>
    </w:tbl>
    <w:p>
      <w:pPr>
        <w:pStyle w:val="3"/>
        <w:ind w:firstLine="480"/>
        <w:rPr>
          <w:rFonts w:cs="Times New Roman"/>
        </w:rPr>
      </w:pPr>
    </w:p>
    <w:p>
      <w:pPr>
        <w:pStyle w:val="3"/>
        <w:ind w:firstLine="480"/>
        <w:rPr>
          <w:rFonts w:cs="Times New Roman"/>
        </w:rPr>
      </w:pPr>
      <w:r>
        <w:rPr>
          <w:rFonts w:cs="Times New Roman"/>
        </w:rPr>
        <w:t>由表5.1-4及表5.1-5表明，施工噪声随传播距离衰减。一般施工机械噪声在场区中心施工时对场界外影响很小，但在场界边附近施工时将对项目边界外200m范围内的敏感点声环境产生一定的不利影响。</w:t>
      </w:r>
    </w:p>
    <w:p>
      <w:pPr>
        <w:pStyle w:val="3"/>
        <w:ind w:firstLine="480"/>
        <w:rPr>
          <w:rFonts w:cs="Times New Roman"/>
        </w:rPr>
      </w:pPr>
      <w:r>
        <w:rPr>
          <w:rFonts w:cs="Times New Roman"/>
        </w:rPr>
        <w:t>根据现状调查，目前本项目边界外200m范围内</w:t>
      </w:r>
      <w:r>
        <w:rPr>
          <w:rFonts w:hint="eastAsia" w:cs="Times New Roman"/>
        </w:rPr>
        <w:t>有</w:t>
      </w:r>
      <w:r>
        <w:rPr>
          <w:rFonts w:cs="Times New Roman"/>
        </w:rPr>
        <w:t>5</w:t>
      </w:r>
      <w:r>
        <w:rPr>
          <w:rFonts w:hint="eastAsia" w:cs="Times New Roman"/>
        </w:rPr>
        <w:t>户</w:t>
      </w:r>
      <w:r>
        <w:rPr>
          <w:rFonts w:cs="Times New Roman"/>
        </w:rPr>
        <w:t>居民，</w:t>
      </w:r>
      <w:r>
        <w:rPr>
          <w:rFonts w:hint="eastAsia" w:cs="Times New Roman"/>
        </w:rPr>
        <w:t>建设</w:t>
      </w:r>
      <w:r>
        <w:rPr>
          <w:rFonts w:cs="Times New Roman"/>
        </w:rPr>
        <w:t>单位拟将</w:t>
      </w:r>
      <w:r>
        <w:rPr>
          <w:rFonts w:hint="eastAsia" w:cs="Times New Roman"/>
        </w:rPr>
        <w:t>其</w:t>
      </w:r>
      <w:r>
        <w:rPr>
          <w:rFonts w:cs="Times New Roman"/>
        </w:rPr>
        <w:t>租赁为项目的劳保用房，届时</w:t>
      </w:r>
      <w:r>
        <w:rPr>
          <w:rFonts w:hint="eastAsia" w:cs="Times New Roman"/>
        </w:rPr>
        <w:t>200</w:t>
      </w:r>
      <w:r>
        <w:rPr>
          <w:rFonts w:cs="Times New Roman"/>
        </w:rPr>
        <w:t>m</w:t>
      </w:r>
      <w:r>
        <w:rPr>
          <w:rFonts w:hint="eastAsia" w:cs="Times New Roman"/>
        </w:rPr>
        <w:t>范围</w:t>
      </w:r>
      <w:r>
        <w:rPr>
          <w:rFonts w:cs="Times New Roman"/>
        </w:rPr>
        <w:t>内无居民点，因此本项目施工期噪声对区域声环境质量影响较小，同时施工噪声具有阶段性、临时性和不固定性，随着施工阶段的不同，施工噪声影响也不同。施工结束时，施工噪声也自行结束。</w:t>
      </w:r>
    </w:p>
    <w:p>
      <w:pPr>
        <w:pStyle w:val="6"/>
        <w:rPr>
          <w:rFonts w:cs="Times New Roman"/>
        </w:rPr>
      </w:pPr>
      <w:r>
        <w:rPr>
          <w:rFonts w:cs="Times New Roman"/>
        </w:rPr>
        <w:t>施工期固体废物影响分析</w:t>
      </w:r>
    </w:p>
    <w:p>
      <w:pPr>
        <w:pStyle w:val="3"/>
        <w:ind w:firstLine="480"/>
        <w:rPr>
          <w:rFonts w:cs="Times New Roman"/>
        </w:rPr>
      </w:pPr>
      <w:r>
        <w:rPr>
          <w:rFonts w:cs="Times New Roman"/>
        </w:rPr>
        <w:t>项目施工期固体废物主要是场地开挖产生的土石方、建筑材料废弃物、施工人员生活垃圾。</w:t>
      </w:r>
    </w:p>
    <w:p>
      <w:pPr>
        <w:pStyle w:val="3"/>
        <w:ind w:firstLine="480"/>
        <w:rPr>
          <w:rFonts w:cs="Times New Roman"/>
        </w:rPr>
      </w:pPr>
      <w:r>
        <w:rPr>
          <w:rFonts w:cs="Times New Roman"/>
        </w:rPr>
        <w:t>（1）开挖土石方</w:t>
      </w:r>
    </w:p>
    <w:p>
      <w:pPr>
        <w:pStyle w:val="3"/>
        <w:ind w:firstLine="480"/>
        <w:rPr>
          <w:rFonts w:cs="Times New Roman"/>
        </w:rPr>
      </w:pPr>
      <w:r>
        <w:rPr>
          <w:rFonts w:cs="Times New Roman"/>
        </w:rPr>
        <w:t>本项目场区</w:t>
      </w:r>
      <w:r>
        <w:rPr>
          <w:rFonts w:hint="eastAsia" w:cs="Times New Roman"/>
        </w:rPr>
        <w:t>东北</w:t>
      </w:r>
      <w:r>
        <w:rPr>
          <w:rFonts w:cs="Times New Roman"/>
        </w:rPr>
        <w:t>相对</w:t>
      </w:r>
      <w:r>
        <w:rPr>
          <w:rFonts w:hint="eastAsia" w:cs="Times New Roman"/>
        </w:rPr>
        <w:t>较</w:t>
      </w:r>
      <w:r>
        <w:rPr>
          <w:rFonts w:cs="Times New Roman"/>
        </w:rPr>
        <w:t>低，</w:t>
      </w:r>
      <w:r>
        <w:rPr>
          <w:rFonts w:hint="eastAsia" w:cs="Times New Roman"/>
        </w:rPr>
        <w:t>其他方位相对较高</w:t>
      </w:r>
      <w:r>
        <w:rPr>
          <w:rFonts w:cs="Times New Roman"/>
        </w:rPr>
        <w:t>，需要平整，项目土石方全部用于厂区土坑回填和环境绿植土壤，不外排。建设单位设置规范临时土石方堆场，合理的将土石方用于厂区土坑回填、低洼地填平，并进行压实处理。表土剥离产生的表土和妥善堆存，用于建设后期环境绿化，不外排。</w:t>
      </w:r>
    </w:p>
    <w:p>
      <w:pPr>
        <w:pStyle w:val="3"/>
        <w:ind w:firstLine="480"/>
        <w:rPr>
          <w:rFonts w:cs="Times New Roman"/>
        </w:rPr>
      </w:pPr>
      <w:r>
        <w:rPr>
          <w:rFonts w:cs="Times New Roman"/>
        </w:rPr>
        <w:t>（2）建筑垃圾</w:t>
      </w:r>
    </w:p>
    <w:p>
      <w:pPr>
        <w:pStyle w:val="3"/>
        <w:ind w:firstLine="480"/>
        <w:rPr>
          <w:rFonts w:cs="Times New Roman"/>
        </w:rPr>
      </w:pPr>
      <w:r>
        <w:rPr>
          <w:rFonts w:cs="Times New Roman"/>
        </w:rPr>
        <w:t>建筑垃圾包括混凝土碎块、废弃钢筋、废弃瓷砖、废弃建筑包装材料等房屋主体施工产生建筑垃圾。施工完成后集中收集，包装材料、木材边角料、金属类等可回收利用废物回收利用，碎砖、碎瓷片、混凝土块等不可回收废物定期清运至当地管理部门指定的建筑垃圾堆放场集中堆存。</w:t>
      </w:r>
    </w:p>
    <w:p>
      <w:pPr>
        <w:pStyle w:val="3"/>
        <w:ind w:firstLine="480"/>
        <w:rPr>
          <w:rFonts w:cs="Times New Roman"/>
        </w:rPr>
      </w:pPr>
      <w:r>
        <w:rPr>
          <w:rFonts w:cs="Times New Roman"/>
        </w:rPr>
        <w:t>此外，装修期间产生一定量的装修垃圾，其中的油漆、涂料容器等固体废物属于危险固废，不得随意抛弃，需单独集中收集后交由具有相关资质的单位进行处置，不得随意丢弃，避免对环境造成较大影响。</w:t>
      </w:r>
    </w:p>
    <w:p>
      <w:pPr>
        <w:pStyle w:val="3"/>
        <w:ind w:firstLine="480"/>
        <w:rPr>
          <w:rFonts w:cs="Times New Roman"/>
        </w:rPr>
      </w:pPr>
      <w:r>
        <w:rPr>
          <w:rFonts w:cs="Times New Roman"/>
        </w:rPr>
        <w:t>（3）生活垃圾</w:t>
      </w:r>
    </w:p>
    <w:p>
      <w:pPr>
        <w:pStyle w:val="3"/>
        <w:ind w:firstLine="480"/>
        <w:rPr>
          <w:rFonts w:cs="Times New Roman"/>
        </w:rPr>
      </w:pPr>
      <w:r>
        <w:rPr>
          <w:rFonts w:cs="Times New Roman"/>
        </w:rPr>
        <w:t>本项目施工高峰期施工人员50人，均为当地民工，不集中安排食宿，生活垃圾产生量约25kg/d。由于这些垃圾含有大量有机物和病毒、寄生虫和肠道病原体，如不及时收集处理，垃圾中的有机部分就会腐烂发臭，成为细菌繁殖的场所。对施工人员产生的生活垃圾应设置专门的垃圾收集点，并采取密闭措施，定期交环卫部门统一处置，不会对周边环境产生污染影响。</w:t>
      </w:r>
    </w:p>
    <w:p>
      <w:pPr>
        <w:pStyle w:val="6"/>
        <w:rPr>
          <w:rFonts w:cs="Times New Roman"/>
        </w:rPr>
      </w:pPr>
      <w:r>
        <w:rPr>
          <w:rFonts w:cs="Times New Roman"/>
        </w:rPr>
        <w:t>施工期生态环境影响分析</w:t>
      </w:r>
    </w:p>
    <w:p>
      <w:pPr>
        <w:pStyle w:val="3"/>
        <w:ind w:firstLine="480"/>
        <w:rPr>
          <w:rFonts w:cs="Times New Roman"/>
        </w:rPr>
      </w:pPr>
      <w:r>
        <w:rPr>
          <w:rFonts w:cs="Times New Roman"/>
        </w:rPr>
        <w:t>施工期生态影响主要是占地影响，植被破坏影响，现场水土流失影响，景观影响。</w:t>
      </w:r>
    </w:p>
    <w:p>
      <w:pPr>
        <w:pStyle w:val="3"/>
        <w:ind w:firstLine="480"/>
        <w:rPr>
          <w:rFonts w:cs="Times New Roman"/>
        </w:rPr>
      </w:pPr>
      <w:r>
        <w:rPr>
          <w:rFonts w:cs="Times New Roman"/>
        </w:rPr>
        <w:t>（1）占地影响</w:t>
      </w:r>
    </w:p>
    <w:p>
      <w:pPr>
        <w:pStyle w:val="3"/>
        <w:ind w:firstLine="480"/>
        <w:rPr>
          <w:rFonts w:cs="Times New Roman"/>
        </w:rPr>
      </w:pPr>
      <w:r>
        <w:rPr>
          <w:rFonts w:cs="Times New Roman"/>
        </w:rPr>
        <w:t>建设项目总占地面积</w:t>
      </w:r>
      <w:r>
        <w:rPr>
          <w:rFonts w:cs="Times New Roman"/>
          <w:szCs w:val="24"/>
          <w:shd w:val="clear" w:color="auto" w:fill="FFFFFF"/>
        </w:rPr>
        <w:t>126508.27</w:t>
      </w:r>
      <w:r>
        <w:rPr>
          <w:rFonts w:cs="Times New Roman"/>
        </w:rPr>
        <w:t>m</w:t>
      </w:r>
      <w:r>
        <w:rPr>
          <w:rFonts w:cs="Times New Roman"/>
          <w:vertAlign w:val="superscript"/>
        </w:rPr>
        <w:t>2</w:t>
      </w:r>
      <w:r>
        <w:rPr>
          <w:rFonts w:hint="eastAsia" w:cs="Times New Roman"/>
          <w:szCs w:val="24"/>
          <w:shd w:val="clear" w:color="auto" w:fill="FFFFFF"/>
        </w:rPr>
        <w:t>（约189.8亩）</w:t>
      </w:r>
      <w:r>
        <w:rPr>
          <w:rFonts w:cs="Times New Roman"/>
        </w:rPr>
        <w:t>，占用土地类型为有荒草地、有林地</w:t>
      </w:r>
      <w:r>
        <w:rPr>
          <w:rFonts w:hint="eastAsia" w:cs="Times New Roman"/>
        </w:rPr>
        <w:t>及</w:t>
      </w:r>
      <w:r>
        <w:rPr>
          <w:rFonts w:cs="Times New Roman"/>
        </w:rPr>
        <w:t>少量耕地，项目建设将会改变土地的利用性质。</w:t>
      </w:r>
    </w:p>
    <w:p>
      <w:pPr>
        <w:pStyle w:val="3"/>
        <w:ind w:firstLine="480"/>
        <w:rPr>
          <w:rFonts w:cs="Times New Roman"/>
        </w:rPr>
      </w:pPr>
      <w:r>
        <w:rPr>
          <w:rFonts w:cs="Times New Roman"/>
        </w:rPr>
        <w:t>为保降低项目建设对场地产生产干扰影响，本环评要求建设单位做到如下几点：</w:t>
      </w:r>
    </w:p>
    <w:p>
      <w:pPr>
        <w:pStyle w:val="3"/>
        <w:ind w:firstLine="480"/>
        <w:rPr>
          <w:rFonts w:cs="Times New Roman"/>
        </w:rPr>
      </w:pPr>
      <w:r>
        <w:rPr>
          <w:rFonts w:cs="Times New Roman"/>
        </w:rPr>
        <w:fldChar w:fldCharType="begin"/>
      </w:r>
      <w:r>
        <w:rPr>
          <w:rFonts w:cs="Times New Roman"/>
        </w:rPr>
        <w:instrText xml:space="preserve"> = 1 \* GB3 \* MERGEFORMAT </w:instrText>
      </w:r>
      <w:r>
        <w:rPr>
          <w:rFonts w:cs="Times New Roman"/>
        </w:rPr>
        <w:fldChar w:fldCharType="separate"/>
      </w:r>
      <w:r>
        <w:rPr>
          <w:rFonts w:hint="eastAsia" w:ascii="宋体" w:hAnsi="宋体" w:cs="宋体"/>
        </w:rPr>
        <w:t>①</w:t>
      </w:r>
      <w:r>
        <w:rPr>
          <w:rFonts w:cs="Times New Roman"/>
        </w:rPr>
        <w:fldChar w:fldCharType="end"/>
      </w:r>
      <w:r>
        <w:rPr>
          <w:rFonts w:cs="Times New Roman"/>
        </w:rPr>
        <w:t>避免高填深埋，做到少取土，少弃土，少占地，搞好挖填土方平衡，最大限度的减少临时用地。</w:t>
      </w:r>
      <w:r>
        <w:rPr>
          <w:rFonts w:cs="Times New Roman"/>
        </w:rPr>
        <w:fldChar w:fldCharType="begin"/>
      </w:r>
      <w:r>
        <w:rPr>
          <w:rFonts w:cs="Times New Roman"/>
        </w:rPr>
        <w:instrText xml:space="preserve"> = 2 \* GB3 \* MERGEFORMAT </w:instrText>
      </w:r>
      <w:r>
        <w:rPr>
          <w:rFonts w:cs="Times New Roman"/>
        </w:rPr>
        <w:fldChar w:fldCharType="separate"/>
      </w:r>
      <w:r>
        <w:rPr>
          <w:rFonts w:hint="eastAsia" w:ascii="宋体" w:hAnsi="宋体" w:cs="宋体"/>
        </w:rPr>
        <w:t>②</w:t>
      </w:r>
      <w:r>
        <w:rPr>
          <w:rFonts w:cs="Times New Roman"/>
        </w:rPr>
        <w:fldChar w:fldCharType="end"/>
      </w:r>
      <w:r>
        <w:rPr>
          <w:rFonts w:cs="Times New Roman"/>
        </w:rPr>
        <w:t>在项目建设充分利用地块内原有的地形地貌，依山就势进行规划设计，在尽量少破坏原有生态的基础上营造优美的厂区环境。</w:t>
      </w:r>
    </w:p>
    <w:p>
      <w:pPr>
        <w:pStyle w:val="3"/>
        <w:ind w:firstLine="480"/>
        <w:rPr>
          <w:rFonts w:cs="Times New Roman"/>
        </w:rPr>
      </w:pPr>
      <w:r>
        <w:rPr>
          <w:rFonts w:cs="Times New Roman"/>
        </w:rPr>
        <w:t>（2）植被破坏</w:t>
      </w:r>
    </w:p>
    <w:p>
      <w:pPr>
        <w:pStyle w:val="3"/>
        <w:ind w:firstLine="480"/>
        <w:rPr>
          <w:rFonts w:cs="Times New Roman"/>
        </w:rPr>
      </w:pPr>
      <w:r>
        <w:rPr>
          <w:rFonts w:cs="Times New Roman"/>
        </w:rPr>
        <w:t>项目在此建设，会使场地植被覆盖率降低，动物栖息地受到破坏，在被占土地上生长的陆生生物也将受到不可逆影响。由于该区域内受影响的植被中无珍稀濒危种类，受影响的植被为评价区域内常见的植被，因此，本项目工程占地对植被的影响较小。</w:t>
      </w:r>
    </w:p>
    <w:p>
      <w:pPr>
        <w:pStyle w:val="3"/>
        <w:ind w:firstLine="480"/>
        <w:rPr>
          <w:rFonts w:cs="Times New Roman"/>
        </w:rPr>
      </w:pPr>
      <w:r>
        <w:rPr>
          <w:rFonts w:cs="Times New Roman"/>
        </w:rPr>
        <w:t>（3）对水土流失的影响</w:t>
      </w:r>
    </w:p>
    <w:p>
      <w:pPr>
        <w:pStyle w:val="3"/>
        <w:ind w:firstLine="480"/>
      </w:pPr>
      <w:r>
        <w:rPr>
          <w:rFonts w:cs="Times New Roman"/>
        </w:rPr>
        <w:t>本工程的建设对项目涉及区域水土保持的影响主要发生在施工期，由于表土的开挖、植被的破坏，使抵抗流失力强的表层土壤受到影响；遇到下雨天，将造成严重的水土流失。</w:t>
      </w:r>
    </w:p>
    <w:p>
      <w:pPr>
        <w:pStyle w:val="5"/>
      </w:pPr>
      <w:bookmarkStart w:id="36" w:name="_Toc80889085"/>
      <w:r>
        <w:rPr>
          <w:rFonts w:hint="eastAsia"/>
        </w:rPr>
        <w:t>营运期</w:t>
      </w:r>
      <w:r>
        <w:t>环境影响预测与评价</w:t>
      </w:r>
      <w:bookmarkEnd w:id="36"/>
    </w:p>
    <w:p>
      <w:pPr>
        <w:pStyle w:val="6"/>
        <w:rPr>
          <w:rFonts w:cs="Times New Roman"/>
        </w:rPr>
      </w:pPr>
      <w:r>
        <w:rPr>
          <w:rFonts w:cs="Times New Roman"/>
        </w:rPr>
        <w:t>环境空气影响预测与评价</w:t>
      </w:r>
    </w:p>
    <w:p>
      <w:pPr>
        <w:pStyle w:val="3"/>
        <w:ind w:firstLine="480"/>
        <w:rPr>
          <w:rFonts w:cs="Times New Roman"/>
        </w:rPr>
      </w:pPr>
      <w:r>
        <w:rPr>
          <w:rFonts w:cs="Times New Roman"/>
        </w:rPr>
        <w:t>本项目大气污染源包括恶臭（</w:t>
      </w:r>
      <w:r>
        <w:rPr>
          <w:rFonts w:hint="eastAsia" w:cs="Times New Roman"/>
        </w:rPr>
        <w:t>主要</w:t>
      </w:r>
      <w:r>
        <w:rPr>
          <w:rFonts w:cs="Times New Roman"/>
        </w:rPr>
        <w:t>为鸡舍</w:t>
      </w:r>
      <w:r>
        <w:rPr>
          <w:rFonts w:hint="eastAsia" w:cs="Times New Roman"/>
        </w:rPr>
        <w:t>及</w:t>
      </w:r>
      <w:r>
        <w:rPr>
          <w:rFonts w:cs="Times New Roman"/>
        </w:rPr>
        <w:t>鸡粪处理区）、</w:t>
      </w:r>
      <w:r>
        <w:rPr>
          <w:rFonts w:hint="eastAsia" w:cs="Times New Roman"/>
        </w:rPr>
        <w:t>锅炉废气</w:t>
      </w:r>
      <w:r>
        <w:rPr>
          <w:rFonts w:cs="Times New Roman"/>
        </w:rPr>
        <w:t>、备用发电机废气、食堂油烟废气。</w:t>
      </w:r>
    </w:p>
    <w:p>
      <w:pPr>
        <w:pStyle w:val="3"/>
        <w:ind w:firstLine="480"/>
        <w:rPr>
          <w:rFonts w:cs="Times New Roman"/>
        </w:rPr>
      </w:pPr>
      <w:r>
        <w:rPr>
          <w:rFonts w:cs="Times New Roman"/>
        </w:rPr>
        <w:t>根据前章2.6.1节内容可知：本项目评价等级为二级评价，根据《环境影响评价技术导则大气环境》（HJ2.2-2018）中“8.1.2二级评价不进行进一步预测与评价，只对污染物排放量进行核算”。本次采用《环境影响评价技术导则——大气环境》（HJ2.2-2018）中推荐的估算模式AERSCREEN估算结果对环境空气影响进行评价，具体各污染源参数见表5.2-1及5.2-2。</w:t>
      </w:r>
    </w:p>
    <w:p>
      <w:pPr>
        <w:pStyle w:val="3"/>
        <w:ind w:firstLine="480"/>
        <w:rPr>
          <w:rFonts w:cs="Times New Roman"/>
        </w:rPr>
      </w:pPr>
    </w:p>
    <w:p>
      <w:pPr>
        <w:pStyle w:val="15"/>
        <w:rPr>
          <w:rFonts w:cs="Times New Roman"/>
        </w:rPr>
      </w:pPr>
      <w:r>
        <w:rPr>
          <w:rFonts w:cs="Times New Roman"/>
        </w:rPr>
        <w:t xml:space="preserve">表5.2-1   </w:t>
      </w:r>
      <w:r>
        <w:rPr>
          <w:rFonts w:cs="Times New Roman"/>
          <w:lang w:val="zh-CN"/>
        </w:rPr>
        <w:t>主要废气污染源（点源）参数一览表</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1009"/>
        <w:gridCol w:w="1547"/>
        <w:gridCol w:w="1440"/>
        <w:gridCol w:w="704"/>
        <w:gridCol w:w="842"/>
        <w:gridCol w:w="875"/>
        <w:gridCol w:w="679"/>
        <w:gridCol w:w="620"/>
        <w:gridCol w:w="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05" w:type="pct"/>
            <w:vMerge w:val="restart"/>
            <w:shd w:val="clear" w:color="auto" w:fill="auto"/>
            <w:vAlign w:val="center"/>
          </w:tcPr>
          <w:p>
            <w:pPr>
              <w:pStyle w:val="39"/>
              <w:rPr>
                <w:rFonts w:cs="Times New Roman"/>
              </w:rPr>
            </w:pPr>
            <w:r>
              <w:rPr>
                <w:rFonts w:cs="Times New Roman"/>
              </w:rPr>
              <w:t>编号</w:t>
            </w:r>
          </w:p>
        </w:tc>
        <w:tc>
          <w:tcPr>
            <w:tcW w:w="550" w:type="pct"/>
            <w:vMerge w:val="restart"/>
            <w:shd w:val="clear" w:color="auto" w:fill="auto"/>
            <w:vAlign w:val="center"/>
          </w:tcPr>
          <w:p>
            <w:pPr>
              <w:pStyle w:val="39"/>
              <w:rPr>
                <w:rFonts w:cs="Times New Roman"/>
              </w:rPr>
            </w:pPr>
            <w:r>
              <w:rPr>
                <w:rFonts w:cs="Times New Roman"/>
              </w:rPr>
              <w:t>名称</w:t>
            </w:r>
          </w:p>
        </w:tc>
        <w:tc>
          <w:tcPr>
            <w:tcW w:w="1628" w:type="pct"/>
            <w:gridSpan w:val="2"/>
            <w:vAlign w:val="center"/>
          </w:tcPr>
          <w:p>
            <w:pPr>
              <w:pStyle w:val="39"/>
              <w:rPr>
                <w:rFonts w:cs="Times New Roman"/>
              </w:rPr>
            </w:pPr>
            <w:r>
              <w:rPr>
                <w:rFonts w:cs="Times New Roman"/>
              </w:rPr>
              <w:t>底部中心坐标</w:t>
            </w:r>
          </w:p>
        </w:tc>
        <w:tc>
          <w:tcPr>
            <w:tcW w:w="384" w:type="pct"/>
            <w:vMerge w:val="restart"/>
            <w:shd w:val="clear" w:color="auto" w:fill="auto"/>
            <w:vAlign w:val="center"/>
          </w:tcPr>
          <w:p>
            <w:pPr>
              <w:pStyle w:val="39"/>
              <w:rPr>
                <w:rFonts w:cs="Times New Roman"/>
              </w:rPr>
            </w:pPr>
            <w:r>
              <w:rPr>
                <w:rFonts w:cs="Times New Roman"/>
              </w:rPr>
              <w:t>排气筒高度/m</w:t>
            </w:r>
          </w:p>
        </w:tc>
        <w:tc>
          <w:tcPr>
            <w:tcW w:w="459" w:type="pct"/>
            <w:vMerge w:val="restart"/>
            <w:shd w:val="clear" w:color="auto" w:fill="auto"/>
            <w:vAlign w:val="center"/>
          </w:tcPr>
          <w:p>
            <w:pPr>
              <w:pStyle w:val="39"/>
              <w:rPr>
                <w:rFonts w:cs="Times New Roman"/>
              </w:rPr>
            </w:pPr>
            <w:r>
              <w:rPr>
                <w:rFonts w:cs="Times New Roman"/>
              </w:rPr>
              <w:t>排气筒出口内径/m</w:t>
            </w:r>
          </w:p>
        </w:tc>
        <w:tc>
          <w:tcPr>
            <w:tcW w:w="477" w:type="pct"/>
            <w:vMerge w:val="restart"/>
            <w:shd w:val="clear" w:color="auto" w:fill="auto"/>
            <w:vAlign w:val="center"/>
          </w:tcPr>
          <w:p>
            <w:pPr>
              <w:pStyle w:val="39"/>
              <w:rPr>
                <w:rFonts w:cs="Times New Roman"/>
              </w:rPr>
            </w:pPr>
            <w:r>
              <w:rPr>
                <w:rFonts w:cs="Times New Roman"/>
              </w:rPr>
              <w:t>烟气</w:t>
            </w:r>
          </w:p>
          <w:p>
            <w:pPr>
              <w:pStyle w:val="39"/>
              <w:rPr>
                <w:rFonts w:cs="Times New Roman"/>
              </w:rPr>
            </w:pPr>
            <w:r>
              <w:rPr>
                <w:rFonts w:cs="Times New Roman"/>
              </w:rPr>
              <w:t>流量</w:t>
            </w:r>
          </w:p>
          <w:p>
            <w:pPr>
              <w:pStyle w:val="39"/>
              <w:rPr>
                <w:rFonts w:cs="Times New Roman"/>
              </w:rPr>
            </w:pPr>
            <w:r>
              <w:rPr>
                <w:rFonts w:cs="Times New Roman"/>
              </w:rPr>
              <w:t>万m</w:t>
            </w:r>
            <w:r>
              <w:rPr>
                <w:rFonts w:cs="Times New Roman"/>
                <w:vertAlign w:val="superscript"/>
              </w:rPr>
              <w:t>3</w:t>
            </w:r>
            <w:r>
              <w:rPr>
                <w:rFonts w:cs="Times New Roman"/>
              </w:rPr>
              <w:t>/a</w:t>
            </w:r>
          </w:p>
        </w:tc>
        <w:tc>
          <w:tcPr>
            <w:tcW w:w="370" w:type="pct"/>
            <w:vMerge w:val="restart"/>
            <w:shd w:val="clear" w:color="auto" w:fill="auto"/>
            <w:vAlign w:val="center"/>
          </w:tcPr>
          <w:p>
            <w:pPr>
              <w:pStyle w:val="39"/>
              <w:rPr>
                <w:rFonts w:cs="Times New Roman"/>
              </w:rPr>
            </w:pPr>
            <w:r>
              <w:rPr>
                <w:rFonts w:cs="Times New Roman"/>
              </w:rPr>
              <w:t>烟气温度/</w:t>
            </w:r>
            <w:r>
              <w:rPr>
                <w:rFonts w:hint="eastAsia" w:ascii="宋体" w:hAnsi="宋体" w:cs="宋体"/>
              </w:rPr>
              <w:t>℃</w:t>
            </w:r>
          </w:p>
        </w:tc>
        <w:tc>
          <w:tcPr>
            <w:tcW w:w="827" w:type="pct"/>
            <w:gridSpan w:val="2"/>
            <w:vMerge w:val="restart"/>
            <w:shd w:val="clear" w:color="auto" w:fill="auto"/>
            <w:vAlign w:val="center"/>
          </w:tcPr>
          <w:p>
            <w:pPr>
              <w:pStyle w:val="39"/>
              <w:rPr>
                <w:rFonts w:cs="Times New Roman"/>
              </w:rPr>
            </w:pPr>
            <w:r>
              <w:rPr>
                <w:rFonts w:cs="Times New Roman"/>
              </w:rPr>
              <w:t>排放速率</w:t>
            </w:r>
          </w:p>
          <w:p>
            <w:pPr>
              <w:pStyle w:val="39"/>
              <w:rPr>
                <w:rFonts w:cs="Times New Roman"/>
              </w:rPr>
            </w:pPr>
            <w:r>
              <w:rPr>
                <w:rFonts w:cs="Times New Roman"/>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05" w:type="pct"/>
            <w:vMerge w:val="continue"/>
            <w:shd w:val="clear" w:color="auto" w:fill="auto"/>
            <w:vAlign w:val="center"/>
          </w:tcPr>
          <w:p>
            <w:pPr>
              <w:pStyle w:val="39"/>
              <w:rPr>
                <w:rFonts w:cs="Times New Roman"/>
              </w:rPr>
            </w:pPr>
          </w:p>
        </w:tc>
        <w:tc>
          <w:tcPr>
            <w:tcW w:w="550" w:type="pct"/>
            <w:vMerge w:val="continue"/>
            <w:shd w:val="clear" w:color="auto" w:fill="auto"/>
            <w:vAlign w:val="center"/>
          </w:tcPr>
          <w:p>
            <w:pPr>
              <w:pStyle w:val="39"/>
              <w:rPr>
                <w:rFonts w:cs="Times New Roman"/>
              </w:rPr>
            </w:pPr>
          </w:p>
        </w:tc>
        <w:tc>
          <w:tcPr>
            <w:tcW w:w="843" w:type="pct"/>
            <w:vAlign w:val="center"/>
          </w:tcPr>
          <w:p>
            <w:pPr>
              <w:pStyle w:val="39"/>
              <w:rPr>
                <w:rFonts w:cs="Times New Roman"/>
              </w:rPr>
            </w:pPr>
            <w:r>
              <w:rPr>
                <w:rFonts w:cs="Times New Roman"/>
              </w:rPr>
              <w:t>X（E）</w:t>
            </w:r>
          </w:p>
        </w:tc>
        <w:tc>
          <w:tcPr>
            <w:tcW w:w="785" w:type="pct"/>
            <w:vAlign w:val="center"/>
          </w:tcPr>
          <w:p>
            <w:pPr>
              <w:pStyle w:val="39"/>
              <w:rPr>
                <w:rFonts w:cs="Times New Roman"/>
              </w:rPr>
            </w:pPr>
            <w:r>
              <w:rPr>
                <w:rFonts w:cs="Times New Roman"/>
              </w:rPr>
              <w:t>Y（N）</w:t>
            </w:r>
          </w:p>
        </w:tc>
        <w:tc>
          <w:tcPr>
            <w:tcW w:w="384" w:type="pct"/>
            <w:vMerge w:val="continue"/>
            <w:shd w:val="clear" w:color="auto" w:fill="auto"/>
            <w:vAlign w:val="center"/>
          </w:tcPr>
          <w:p>
            <w:pPr>
              <w:pStyle w:val="39"/>
              <w:rPr>
                <w:rFonts w:cs="Times New Roman"/>
              </w:rPr>
            </w:pPr>
          </w:p>
        </w:tc>
        <w:tc>
          <w:tcPr>
            <w:tcW w:w="459" w:type="pct"/>
            <w:vMerge w:val="continue"/>
            <w:shd w:val="clear" w:color="auto" w:fill="auto"/>
            <w:vAlign w:val="center"/>
          </w:tcPr>
          <w:p>
            <w:pPr>
              <w:pStyle w:val="39"/>
              <w:rPr>
                <w:rFonts w:cs="Times New Roman"/>
              </w:rPr>
            </w:pPr>
          </w:p>
        </w:tc>
        <w:tc>
          <w:tcPr>
            <w:tcW w:w="477" w:type="pct"/>
            <w:vMerge w:val="continue"/>
            <w:shd w:val="clear" w:color="auto" w:fill="auto"/>
            <w:vAlign w:val="center"/>
          </w:tcPr>
          <w:p>
            <w:pPr>
              <w:pStyle w:val="39"/>
              <w:rPr>
                <w:rFonts w:cs="Times New Roman"/>
              </w:rPr>
            </w:pPr>
          </w:p>
        </w:tc>
        <w:tc>
          <w:tcPr>
            <w:tcW w:w="370" w:type="pct"/>
            <w:vMerge w:val="continue"/>
            <w:shd w:val="clear" w:color="auto" w:fill="auto"/>
            <w:vAlign w:val="center"/>
          </w:tcPr>
          <w:p>
            <w:pPr>
              <w:pStyle w:val="39"/>
              <w:rPr>
                <w:rFonts w:cs="Times New Roman"/>
              </w:rPr>
            </w:pPr>
          </w:p>
        </w:tc>
        <w:tc>
          <w:tcPr>
            <w:tcW w:w="827" w:type="pct"/>
            <w:gridSpan w:val="2"/>
            <w:vMerge w:val="continue"/>
            <w:shd w:val="clear" w:color="auto" w:fill="auto"/>
            <w:vAlign w:val="center"/>
          </w:tcPr>
          <w:p>
            <w:pPr>
              <w:pStyle w:val="3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05" w:type="pct"/>
            <w:vMerge w:val="restart"/>
            <w:shd w:val="clear" w:color="auto" w:fill="auto"/>
            <w:vAlign w:val="center"/>
          </w:tcPr>
          <w:p>
            <w:pPr>
              <w:pStyle w:val="39"/>
              <w:rPr>
                <w:rFonts w:cs="Times New Roman"/>
              </w:rPr>
            </w:pPr>
            <w:r>
              <w:rPr>
                <w:rFonts w:cs="Times New Roman"/>
              </w:rPr>
              <w:t>1#</w:t>
            </w:r>
          </w:p>
        </w:tc>
        <w:tc>
          <w:tcPr>
            <w:tcW w:w="550" w:type="pct"/>
            <w:vMerge w:val="restart"/>
            <w:shd w:val="clear" w:color="auto" w:fill="auto"/>
            <w:vAlign w:val="center"/>
          </w:tcPr>
          <w:p>
            <w:pPr>
              <w:pStyle w:val="39"/>
              <w:rPr>
                <w:rFonts w:cs="Times New Roman"/>
              </w:rPr>
            </w:pPr>
            <w:r>
              <w:rPr>
                <w:rFonts w:cs="Times New Roman"/>
              </w:rPr>
              <w:t>锅炉废气排气筒</w:t>
            </w:r>
            <w:r>
              <w:rPr>
                <w:rFonts w:hint="eastAsia" w:cs="Times New Roman"/>
              </w:rPr>
              <w:t>（1</w:t>
            </w:r>
            <w:r>
              <w:rPr>
                <w:rFonts w:cs="Times New Roman"/>
              </w:rPr>
              <w:t>#、</w:t>
            </w:r>
            <w:r>
              <w:rPr>
                <w:rFonts w:hint="eastAsia" w:cs="Times New Roman"/>
              </w:rPr>
              <w:t>2</w:t>
            </w:r>
            <w:r>
              <w:rPr>
                <w:rFonts w:cs="Times New Roman"/>
              </w:rPr>
              <w:t>#</w:t>
            </w:r>
            <w:r>
              <w:rPr>
                <w:rFonts w:hint="eastAsia" w:cs="Times New Roman"/>
              </w:rPr>
              <w:t>、3</w:t>
            </w:r>
            <w:r>
              <w:rPr>
                <w:rFonts w:cs="Times New Roman"/>
              </w:rPr>
              <w:t>#</w:t>
            </w:r>
            <w:r>
              <w:rPr>
                <w:rFonts w:hint="eastAsia" w:cs="Times New Roman"/>
              </w:rPr>
              <w:t>）</w:t>
            </w:r>
          </w:p>
        </w:tc>
        <w:tc>
          <w:tcPr>
            <w:tcW w:w="843" w:type="pct"/>
            <w:vMerge w:val="restart"/>
            <w:vAlign w:val="center"/>
          </w:tcPr>
          <w:p>
            <w:pPr>
              <w:jc w:val="center"/>
              <w:rPr>
                <w:rFonts w:ascii="Times New Roman" w:hAnsi="Times New Roman" w:cs="Times New Roman"/>
              </w:rPr>
            </w:pPr>
            <w:r>
              <w:rPr>
                <w:rFonts w:ascii="Times New Roman" w:hAnsi="Times New Roman" w:cs="Times New Roman"/>
              </w:rPr>
              <w:t>112.3964</w:t>
            </w:r>
          </w:p>
          <w:p>
            <w:pPr>
              <w:jc w:val="center"/>
              <w:rPr>
                <w:rFonts w:ascii="Times New Roman" w:hAnsi="Times New Roman" w:cs="Times New Roman"/>
              </w:rPr>
            </w:pPr>
            <w:r>
              <w:rPr>
                <w:rFonts w:ascii="Times New Roman" w:hAnsi="Times New Roman" w:cs="Times New Roman"/>
              </w:rPr>
              <w:t>09054</w:t>
            </w:r>
          </w:p>
        </w:tc>
        <w:tc>
          <w:tcPr>
            <w:tcW w:w="785" w:type="pct"/>
            <w:vMerge w:val="restart"/>
            <w:vAlign w:val="center"/>
          </w:tcPr>
          <w:p>
            <w:pPr>
              <w:jc w:val="center"/>
              <w:rPr>
                <w:rFonts w:ascii="Times New Roman" w:hAnsi="Times New Roman" w:cs="Times New Roman"/>
              </w:rPr>
            </w:pPr>
            <w:r>
              <w:rPr>
                <w:rFonts w:ascii="Times New Roman" w:hAnsi="Times New Roman" w:cs="Times New Roman"/>
              </w:rPr>
              <w:t>27.07880</w:t>
            </w:r>
          </w:p>
          <w:p>
            <w:pPr>
              <w:jc w:val="center"/>
              <w:rPr>
                <w:rFonts w:ascii="Times New Roman" w:hAnsi="Times New Roman" w:cs="Times New Roman"/>
              </w:rPr>
            </w:pPr>
            <w:r>
              <w:rPr>
                <w:rFonts w:ascii="Times New Roman" w:hAnsi="Times New Roman" w:cs="Times New Roman"/>
              </w:rPr>
              <w:t>4477</w:t>
            </w:r>
          </w:p>
        </w:tc>
        <w:tc>
          <w:tcPr>
            <w:tcW w:w="384" w:type="pct"/>
            <w:vMerge w:val="restart"/>
            <w:shd w:val="clear" w:color="auto" w:fill="auto"/>
            <w:vAlign w:val="center"/>
          </w:tcPr>
          <w:p>
            <w:pPr>
              <w:pStyle w:val="39"/>
              <w:rPr>
                <w:rFonts w:cs="Times New Roman"/>
              </w:rPr>
            </w:pPr>
            <w:r>
              <w:rPr>
                <w:rFonts w:cs="Times New Roman"/>
              </w:rPr>
              <w:t>20</w:t>
            </w:r>
          </w:p>
        </w:tc>
        <w:tc>
          <w:tcPr>
            <w:tcW w:w="459" w:type="pct"/>
            <w:vMerge w:val="restart"/>
            <w:shd w:val="clear" w:color="auto" w:fill="auto"/>
            <w:vAlign w:val="center"/>
          </w:tcPr>
          <w:p>
            <w:pPr>
              <w:pStyle w:val="39"/>
              <w:rPr>
                <w:rFonts w:cs="Times New Roman"/>
              </w:rPr>
            </w:pPr>
            <w:r>
              <w:rPr>
                <w:rFonts w:cs="Times New Roman"/>
              </w:rPr>
              <w:t>0.5</w:t>
            </w:r>
          </w:p>
        </w:tc>
        <w:tc>
          <w:tcPr>
            <w:tcW w:w="477" w:type="pct"/>
            <w:vMerge w:val="restart"/>
            <w:shd w:val="clear" w:color="auto" w:fill="auto"/>
            <w:vAlign w:val="center"/>
          </w:tcPr>
          <w:p>
            <w:pPr>
              <w:pStyle w:val="39"/>
              <w:rPr>
                <w:rFonts w:cs="Times New Roman"/>
              </w:rPr>
            </w:pPr>
            <w:r>
              <w:rPr>
                <w:rFonts w:cs="Times New Roman"/>
              </w:rPr>
              <w:t>2160</w:t>
            </w:r>
          </w:p>
        </w:tc>
        <w:tc>
          <w:tcPr>
            <w:tcW w:w="370" w:type="pct"/>
            <w:vMerge w:val="restart"/>
            <w:shd w:val="clear" w:color="auto" w:fill="auto"/>
            <w:vAlign w:val="center"/>
          </w:tcPr>
          <w:p>
            <w:pPr>
              <w:pStyle w:val="39"/>
              <w:rPr>
                <w:rFonts w:cs="Times New Roman"/>
              </w:rPr>
            </w:pPr>
            <w:r>
              <w:rPr>
                <w:rFonts w:cs="Times New Roman"/>
              </w:rPr>
              <w:t>50</w:t>
            </w:r>
          </w:p>
        </w:tc>
        <w:tc>
          <w:tcPr>
            <w:tcW w:w="338" w:type="pct"/>
            <w:shd w:val="clear" w:color="auto" w:fill="auto"/>
            <w:vAlign w:val="center"/>
          </w:tcPr>
          <w:p>
            <w:pPr>
              <w:pStyle w:val="39"/>
              <w:rPr>
                <w:rFonts w:cs="Times New Roman"/>
              </w:rPr>
            </w:pPr>
            <w:r>
              <w:rPr>
                <w:rFonts w:cs="Times New Roman"/>
              </w:rPr>
              <w:t>SO</w:t>
            </w:r>
            <w:r>
              <w:rPr>
                <w:rFonts w:cs="Times New Roman"/>
                <w:vertAlign w:val="subscript"/>
              </w:rPr>
              <w:t>2</w:t>
            </w:r>
          </w:p>
        </w:tc>
        <w:tc>
          <w:tcPr>
            <w:tcW w:w="489" w:type="pct"/>
            <w:shd w:val="clear" w:color="auto" w:fill="auto"/>
            <w:vAlign w:val="center"/>
          </w:tcPr>
          <w:p>
            <w:pPr>
              <w:jc w:val="center"/>
              <w:rPr>
                <w:rFonts w:ascii="Times New Roman" w:hAnsi="Times New Roman" w:cs="Times New Roman"/>
              </w:rPr>
            </w:pPr>
            <w:r>
              <w:rPr>
                <w:rFonts w:ascii="Times New Roman" w:hAnsi="Times New Roman" w:cs="Times New Roma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05" w:type="pct"/>
            <w:vMerge w:val="continue"/>
            <w:shd w:val="clear" w:color="auto" w:fill="auto"/>
            <w:vAlign w:val="center"/>
          </w:tcPr>
          <w:p>
            <w:pPr>
              <w:pStyle w:val="39"/>
              <w:rPr>
                <w:rFonts w:cs="Times New Roman"/>
              </w:rPr>
            </w:pPr>
          </w:p>
        </w:tc>
        <w:tc>
          <w:tcPr>
            <w:tcW w:w="550" w:type="pct"/>
            <w:vMerge w:val="continue"/>
            <w:shd w:val="clear" w:color="auto" w:fill="auto"/>
            <w:vAlign w:val="center"/>
          </w:tcPr>
          <w:p>
            <w:pPr>
              <w:pStyle w:val="39"/>
              <w:rPr>
                <w:rFonts w:cs="Times New Roman"/>
              </w:rPr>
            </w:pPr>
          </w:p>
        </w:tc>
        <w:tc>
          <w:tcPr>
            <w:tcW w:w="843" w:type="pct"/>
            <w:vMerge w:val="continue"/>
            <w:vAlign w:val="center"/>
          </w:tcPr>
          <w:p>
            <w:pPr>
              <w:pStyle w:val="39"/>
              <w:rPr>
                <w:rFonts w:cs="Times New Roman"/>
              </w:rPr>
            </w:pPr>
          </w:p>
        </w:tc>
        <w:tc>
          <w:tcPr>
            <w:tcW w:w="785" w:type="pct"/>
            <w:vMerge w:val="continue"/>
            <w:vAlign w:val="center"/>
          </w:tcPr>
          <w:p>
            <w:pPr>
              <w:pStyle w:val="39"/>
              <w:rPr>
                <w:rFonts w:cs="Times New Roman"/>
              </w:rPr>
            </w:pPr>
          </w:p>
        </w:tc>
        <w:tc>
          <w:tcPr>
            <w:tcW w:w="384" w:type="pct"/>
            <w:vMerge w:val="continue"/>
            <w:shd w:val="clear" w:color="auto" w:fill="auto"/>
            <w:vAlign w:val="center"/>
          </w:tcPr>
          <w:p>
            <w:pPr>
              <w:pStyle w:val="39"/>
              <w:rPr>
                <w:rFonts w:cs="Times New Roman"/>
              </w:rPr>
            </w:pPr>
          </w:p>
        </w:tc>
        <w:tc>
          <w:tcPr>
            <w:tcW w:w="459" w:type="pct"/>
            <w:vMerge w:val="continue"/>
            <w:shd w:val="clear" w:color="auto" w:fill="auto"/>
            <w:vAlign w:val="center"/>
          </w:tcPr>
          <w:p>
            <w:pPr>
              <w:pStyle w:val="39"/>
              <w:rPr>
                <w:rFonts w:cs="Times New Roman"/>
              </w:rPr>
            </w:pPr>
          </w:p>
        </w:tc>
        <w:tc>
          <w:tcPr>
            <w:tcW w:w="477" w:type="pct"/>
            <w:vMerge w:val="continue"/>
            <w:shd w:val="clear" w:color="auto" w:fill="auto"/>
            <w:vAlign w:val="center"/>
          </w:tcPr>
          <w:p>
            <w:pPr>
              <w:pStyle w:val="39"/>
              <w:rPr>
                <w:rFonts w:cs="Times New Roman"/>
              </w:rPr>
            </w:pPr>
          </w:p>
        </w:tc>
        <w:tc>
          <w:tcPr>
            <w:tcW w:w="370" w:type="pct"/>
            <w:vMerge w:val="continue"/>
            <w:shd w:val="clear" w:color="auto" w:fill="auto"/>
            <w:vAlign w:val="center"/>
          </w:tcPr>
          <w:p>
            <w:pPr>
              <w:pStyle w:val="39"/>
              <w:rPr>
                <w:rFonts w:cs="Times New Roman"/>
              </w:rPr>
            </w:pPr>
          </w:p>
        </w:tc>
        <w:tc>
          <w:tcPr>
            <w:tcW w:w="338" w:type="pct"/>
            <w:shd w:val="clear" w:color="auto" w:fill="auto"/>
            <w:vAlign w:val="center"/>
          </w:tcPr>
          <w:p>
            <w:pPr>
              <w:pStyle w:val="39"/>
              <w:rPr>
                <w:rFonts w:cs="Times New Roman"/>
              </w:rPr>
            </w:pPr>
            <w:r>
              <w:rPr>
                <w:rFonts w:cs="Times New Roman"/>
              </w:rPr>
              <w:t>NO</w:t>
            </w:r>
            <w:r>
              <w:rPr>
                <w:rFonts w:cs="Times New Roman"/>
                <w:vertAlign w:val="subscript"/>
              </w:rPr>
              <w:t>X</w:t>
            </w:r>
          </w:p>
        </w:tc>
        <w:tc>
          <w:tcPr>
            <w:tcW w:w="489" w:type="pct"/>
            <w:shd w:val="clear" w:color="auto" w:fill="auto"/>
            <w:vAlign w:val="center"/>
          </w:tcPr>
          <w:p>
            <w:pPr>
              <w:jc w:val="center"/>
              <w:rPr>
                <w:rFonts w:ascii="Times New Roman" w:hAnsi="Times New Roman" w:cs="Times New Roman"/>
              </w:rPr>
            </w:pPr>
            <w:r>
              <w:rPr>
                <w:rFonts w:ascii="Times New Roman" w:hAnsi="Times New Roman" w:cs="Times New Roman"/>
              </w:rPr>
              <w:t>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05" w:type="pct"/>
            <w:vMerge w:val="continue"/>
            <w:shd w:val="clear" w:color="auto" w:fill="auto"/>
            <w:vAlign w:val="center"/>
          </w:tcPr>
          <w:p>
            <w:pPr>
              <w:pStyle w:val="39"/>
              <w:rPr>
                <w:rFonts w:cs="Times New Roman"/>
              </w:rPr>
            </w:pPr>
          </w:p>
        </w:tc>
        <w:tc>
          <w:tcPr>
            <w:tcW w:w="550" w:type="pct"/>
            <w:vMerge w:val="continue"/>
            <w:shd w:val="clear" w:color="auto" w:fill="auto"/>
            <w:vAlign w:val="center"/>
          </w:tcPr>
          <w:p>
            <w:pPr>
              <w:pStyle w:val="39"/>
              <w:rPr>
                <w:rFonts w:cs="Times New Roman"/>
              </w:rPr>
            </w:pPr>
          </w:p>
        </w:tc>
        <w:tc>
          <w:tcPr>
            <w:tcW w:w="843" w:type="pct"/>
            <w:vMerge w:val="continue"/>
            <w:vAlign w:val="center"/>
          </w:tcPr>
          <w:p>
            <w:pPr>
              <w:pStyle w:val="39"/>
              <w:rPr>
                <w:rFonts w:cs="Times New Roman"/>
              </w:rPr>
            </w:pPr>
          </w:p>
        </w:tc>
        <w:tc>
          <w:tcPr>
            <w:tcW w:w="785" w:type="pct"/>
            <w:vMerge w:val="continue"/>
            <w:vAlign w:val="center"/>
          </w:tcPr>
          <w:p>
            <w:pPr>
              <w:pStyle w:val="39"/>
              <w:rPr>
                <w:rFonts w:cs="Times New Roman"/>
              </w:rPr>
            </w:pPr>
          </w:p>
        </w:tc>
        <w:tc>
          <w:tcPr>
            <w:tcW w:w="384" w:type="pct"/>
            <w:vMerge w:val="continue"/>
            <w:shd w:val="clear" w:color="auto" w:fill="auto"/>
            <w:vAlign w:val="center"/>
          </w:tcPr>
          <w:p>
            <w:pPr>
              <w:pStyle w:val="39"/>
              <w:rPr>
                <w:rFonts w:cs="Times New Roman"/>
              </w:rPr>
            </w:pPr>
          </w:p>
        </w:tc>
        <w:tc>
          <w:tcPr>
            <w:tcW w:w="459" w:type="pct"/>
            <w:vMerge w:val="continue"/>
            <w:shd w:val="clear" w:color="auto" w:fill="auto"/>
            <w:vAlign w:val="center"/>
          </w:tcPr>
          <w:p>
            <w:pPr>
              <w:pStyle w:val="39"/>
              <w:rPr>
                <w:rFonts w:cs="Times New Roman"/>
              </w:rPr>
            </w:pPr>
          </w:p>
        </w:tc>
        <w:tc>
          <w:tcPr>
            <w:tcW w:w="477" w:type="pct"/>
            <w:vMerge w:val="continue"/>
            <w:shd w:val="clear" w:color="auto" w:fill="auto"/>
            <w:vAlign w:val="center"/>
          </w:tcPr>
          <w:p>
            <w:pPr>
              <w:pStyle w:val="39"/>
              <w:rPr>
                <w:rFonts w:cs="Times New Roman"/>
              </w:rPr>
            </w:pPr>
          </w:p>
        </w:tc>
        <w:tc>
          <w:tcPr>
            <w:tcW w:w="370" w:type="pct"/>
            <w:vMerge w:val="continue"/>
            <w:shd w:val="clear" w:color="auto" w:fill="auto"/>
            <w:vAlign w:val="center"/>
          </w:tcPr>
          <w:p>
            <w:pPr>
              <w:pStyle w:val="39"/>
              <w:rPr>
                <w:rFonts w:cs="Times New Roman"/>
              </w:rPr>
            </w:pPr>
          </w:p>
        </w:tc>
        <w:tc>
          <w:tcPr>
            <w:tcW w:w="338" w:type="pct"/>
            <w:shd w:val="clear" w:color="auto" w:fill="auto"/>
            <w:vAlign w:val="center"/>
          </w:tcPr>
          <w:p>
            <w:pPr>
              <w:pStyle w:val="39"/>
              <w:rPr>
                <w:rFonts w:cs="Times New Roman"/>
              </w:rPr>
            </w:pPr>
            <w:r>
              <w:rPr>
                <w:rFonts w:hint="eastAsia" w:cs="Times New Roman"/>
              </w:rPr>
              <w:t>TSP</w:t>
            </w:r>
          </w:p>
        </w:tc>
        <w:tc>
          <w:tcPr>
            <w:tcW w:w="489" w:type="pct"/>
            <w:shd w:val="clear" w:color="auto" w:fill="auto"/>
            <w:vAlign w:val="center"/>
          </w:tcPr>
          <w:p>
            <w:pPr>
              <w:jc w:val="center"/>
              <w:rPr>
                <w:rFonts w:ascii="Times New Roman" w:hAnsi="Times New Roman" w:cs="Times New Roman"/>
              </w:rPr>
            </w:pPr>
            <w:r>
              <w:rPr>
                <w:rFonts w:hint="eastAsia" w:ascii="Times New Roman" w:hAnsi="Times New Roman" w:cs="Times New Roman"/>
              </w:rPr>
              <w:t>0.</w:t>
            </w:r>
            <w:r>
              <w:rPr>
                <w:rFonts w:ascii="Times New Roman" w:hAnsi="Times New Roman" w:cs="Times New Roman"/>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00" w:type="pct"/>
            <w:gridSpan w:val="10"/>
            <w:shd w:val="clear" w:color="auto" w:fill="auto"/>
            <w:vAlign w:val="center"/>
          </w:tcPr>
          <w:p>
            <w:pPr>
              <w:rPr>
                <w:rFonts w:ascii="Times New Roman" w:hAnsi="Times New Roman" w:cs="Times New Roman"/>
              </w:rPr>
            </w:pPr>
            <w:r>
              <w:rPr>
                <w:rFonts w:ascii="Times New Roman" w:hAnsi="Times New Roman" w:cs="Times New Roman"/>
              </w:rPr>
              <w:t>备注：</w:t>
            </w:r>
            <w:r>
              <w:rPr>
                <w:rFonts w:ascii="Times New Roman" w:hAnsi="Times New Roman" w:cs="Times New Roman"/>
                <w:color w:val="000000"/>
                <w:u w:val="single"/>
              </w:rPr>
              <w:t>由于三个锅炉均设置在育雏鸡舍的南端，排气筒之间的距离最远为30m小于两两排气筒高度和40m，因此三根排气筒等效为一根排气筒</w:t>
            </w:r>
          </w:p>
        </w:tc>
      </w:tr>
    </w:tbl>
    <w:p>
      <w:pPr>
        <w:pStyle w:val="15"/>
        <w:rPr>
          <w:rFonts w:cs="Times New Roman"/>
          <w:highlight w:val="yellow"/>
        </w:rPr>
      </w:pPr>
    </w:p>
    <w:p>
      <w:pPr>
        <w:pStyle w:val="15"/>
        <w:rPr>
          <w:rFonts w:cs="Times New Roman"/>
        </w:rPr>
      </w:pPr>
      <w:r>
        <w:rPr>
          <w:rFonts w:cs="Times New Roman"/>
        </w:rPr>
        <w:t>表5.2-</w:t>
      </w:r>
      <w:r>
        <w:rPr>
          <w:rFonts w:hint="eastAsia" w:cs="Times New Roman"/>
        </w:rPr>
        <w:t>2</w:t>
      </w:r>
      <w:r>
        <w:rPr>
          <w:rFonts w:cs="Times New Roman"/>
        </w:rPr>
        <w:t xml:space="preserve">    主要废气污染源参数一览表（面源）</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2"/>
        <w:gridCol w:w="1521"/>
        <w:gridCol w:w="1424"/>
        <w:gridCol w:w="798"/>
        <w:gridCol w:w="941"/>
        <w:gridCol w:w="1321"/>
        <w:gridCol w:w="1077"/>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50" w:type="pct"/>
            <w:vMerge w:val="restart"/>
            <w:vAlign w:val="center"/>
          </w:tcPr>
          <w:p>
            <w:pPr>
              <w:pStyle w:val="39"/>
              <w:rPr>
                <w:rFonts w:cs="Times New Roman"/>
              </w:rPr>
            </w:pPr>
            <w:r>
              <w:rPr>
                <w:rFonts w:cs="Times New Roman"/>
              </w:rPr>
              <w:t>名称</w:t>
            </w:r>
          </w:p>
        </w:tc>
        <w:tc>
          <w:tcPr>
            <w:tcW w:w="1605" w:type="pct"/>
            <w:gridSpan w:val="2"/>
            <w:vAlign w:val="center"/>
          </w:tcPr>
          <w:p>
            <w:pPr>
              <w:pStyle w:val="39"/>
              <w:rPr>
                <w:rFonts w:cs="Times New Roman"/>
              </w:rPr>
            </w:pPr>
            <w:r>
              <w:rPr>
                <w:rFonts w:cs="Times New Roman"/>
              </w:rPr>
              <w:t>面源起点坐标</w:t>
            </w:r>
          </w:p>
        </w:tc>
        <w:tc>
          <w:tcPr>
            <w:tcW w:w="435" w:type="pct"/>
            <w:vMerge w:val="restart"/>
            <w:vAlign w:val="center"/>
          </w:tcPr>
          <w:p>
            <w:pPr>
              <w:pStyle w:val="39"/>
              <w:rPr>
                <w:rFonts w:cs="Times New Roman"/>
              </w:rPr>
            </w:pPr>
            <w:r>
              <w:rPr>
                <w:rFonts w:cs="Times New Roman"/>
              </w:rPr>
              <w:t>面源长度/m</w:t>
            </w:r>
          </w:p>
        </w:tc>
        <w:tc>
          <w:tcPr>
            <w:tcW w:w="513" w:type="pct"/>
            <w:vMerge w:val="restart"/>
            <w:vAlign w:val="center"/>
          </w:tcPr>
          <w:p>
            <w:pPr>
              <w:pStyle w:val="39"/>
              <w:rPr>
                <w:rFonts w:cs="Times New Roman"/>
              </w:rPr>
            </w:pPr>
            <w:r>
              <w:rPr>
                <w:rFonts w:cs="Times New Roman"/>
              </w:rPr>
              <w:t>面源宽度/m</w:t>
            </w:r>
          </w:p>
        </w:tc>
        <w:tc>
          <w:tcPr>
            <w:tcW w:w="720" w:type="pct"/>
            <w:vMerge w:val="restart"/>
            <w:vAlign w:val="center"/>
          </w:tcPr>
          <w:p>
            <w:pPr>
              <w:pStyle w:val="39"/>
              <w:rPr>
                <w:rFonts w:cs="Times New Roman"/>
              </w:rPr>
            </w:pPr>
            <w:r>
              <w:rPr>
                <w:rFonts w:cs="Times New Roman"/>
              </w:rPr>
              <w:t>面源有效排放高度/m</w:t>
            </w:r>
          </w:p>
        </w:tc>
        <w:tc>
          <w:tcPr>
            <w:tcW w:w="1077" w:type="pct"/>
            <w:gridSpan w:val="2"/>
            <w:vMerge w:val="restart"/>
            <w:vAlign w:val="center"/>
          </w:tcPr>
          <w:p>
            <w:pPr>
              <w:pStyle w:val="39"/>
              <w:rPr>
                <w:rFonts w:cs="Times New Roman"/>
              </w:rPr>
            </w:pPr>
            <w:r>
              <w:rPr>
                <w:rFonts w:cs="Times New Roman"/>
              </w:rPr>
              <w:t>排放速率/（t/a）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50" w:type="pct"/>
            <w:vMerge w:val="continue"/>
            <w:vAlign w:val="center"/>
          </w:tcPr>
          <w:p>
            <w:pPr>
              <w:pStyle w:val="39"/>
              <w:rPr>
                <w:rFonts w:cs="Times New Roman"/>
              </w:rPr>
            </w:pPr>
          </w:p>
        </w:tc>
        <w:tc>
          <w:tcPr>
            <w:tcW w:w="829" w:type="pct"/>
            <w:vAlign w:val="center"/>
          </w:tcPr>
          <w:p>
            <w:pPr>
              <w:pStyle w:val="39"/>
              <w:rPr>
                <w:rFonts w:cs="Times New Roman"/>
              </w:rPr>
            </w:pPr>
            <w:r>
              <w:rPr>
                <w:rFonts w:cs="Times New Roman"/>
              </w:rPr>
              <w:t>X（E）</w:t>
            </w:r>
          </w:p>
        </w:tc>
        <w:tc>
          <w:tcPr>
            <w:tcW w:w="776" w:type="pct"/>
            <w:vAlign w:val="center"/>
          </w:tcPr>
          <w:p>
            <w:pPr>
              <w:pStyle w:val="39"/>
              <w:rPr>
                <w:rFonts w:cs="Times New Roman"/>
              </w:rPr>
            </w:pPr>
            <w:r>
              <w:rPr>
                <w:rFonts w:cs="Times New Roman"/>
              </w:rPr>
              <w:t>Y（N）</w:t>
            </w:r>
          </w:p>
        </w:tc>
        <w:tc>
          <w:tcPr>
            <w:tcW w:w="435" w:type="pct"/>
            <w:vMerge w:val="continue"/>
            <w:vAlign w:val="center"/>
          </w:tcPr>
          <w:p>
            <w:pPr>
              <w:pStyle w:val="39"/>
              <w:rPr>
                <w:rFonts w:cs="Times New Roman"/>
              </w:rPr>
            </w:pPr>
          </w:p>
        </w:tc>
        <w:tc>
          <w:tcPr>
            <w:tcW w:w="513" w:type="pct"/>
            <w:vMerge w:val="continue"/>
            <w:vAlign w:val="center"/>
          </w:tcPr>
          <w:p>
            <w:pPr>
              <w:pStyle w:val="39"/>
              <w:rPr>
                <w:rFonts w:cs="Times New Roman"/>
              </w:rPr>
            </w:pPr>
          </w:p>
        </w:tc>
        <w:tc>
          <w:tcPr>
            <w:tcW w:w="720" w:type="pct"/>
            <w:vMerge w:val="continue"/>
            <w:vAlign w:val="center"/>
          </w:tcPr>
          <w:p>
            <w:pPr>
              <w:pStyle w:val="39"/>
              <w:rPr>
                <w:rFonts w:cs="Times New Roman"/>
              </w:rPr>
            </w:pPr>
          </w:p>
        </w:tc>
        <w:tc>
          <w:tcPr>
            <w:tcW w:w="1077" w:type="pct"/>
            <w:gridSpan w:val="2"/>
            <w:vMerge w:val="continue"/>
            <w:vAlign w:val="center"/>
          </w:tcPr>
          <w:p>
            <w:pPr>
              <w:pStyle w:val="3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50" w:type="pct"/>
            <w:vMerge w:val="restart"/>
            <w:vAlign w:val="center"/>
          </w:tcPr>
          <w:p>
            <w:pPr>
              <w:pStyle w:val="39"/>
              <w:rPr>
                <w:rFonts w:cs="Times New Roman"/>
              </w:rPr>
            </w:pPr>
            <w:r>
              <w:rPr>
                <w:rFonts w:cs="Times New Roman"/>
              </w:rPr>
              <w:t>鸡舍及鸡粪处理区</w:t>
            </w:r>
          </w:p>
        </w:tc>
        <w:tc>
          <w:tcPr>
            <w:tcW w:w="829" w:type="pct"/>
            <w:vMerge w:val="restart"/>
            <w:vAlign w:val="center"/>
          </w:tcPr>
          <w:p>
            <w:pPr>
              <w:jc w:val="center"/>
              <w:rPr>
                <w:rFonts w:ascii="Times New Roman" w:hAnsi="Times New Roman" w:cs="Times New Roman"/>
              </w:rPr>
            </w:pPr>
            <w:r>
              <w:rPr>
                <w:rFonts w:ascii="Times New Roman" w:hAnsi="Times New Roman" w:cs="Times New Roman"/>
              </w:rPr>
              <w:t>112.3946</w:t>
            </w:r>
          </w:p>
          <w:p>
            <w:pPr>
              <w:jc w:val="center"/>
              <w:rPr>
                <w:rFonts w:ascii="Times New Roman" w:hAnsi="Times New Roman" w:cs="Times New Roman"/>
              </w:rPr>
            </w:pPr>
            <w:r>
              <w:rPr>
                <w:rFonts w:ascii="Times New Roman" w:hAnsi="Times New Roman" w:cs="Times New Roman"/>
              </w:rPr>
              <w:t>28067</w:t>
            </w:r>
          </w:p>
        </w:tc>
        <w:tc>
          <w:tcPr>
            <w:tcW w:w="776" w:type="pct"/>
            <w:vMerge w:val="restart"/>
            <w:vAlign w:val="center"/>
          </w:tcPr>
          <w:p>
            <w:pPr>
              <w:jc w:val="center"/>
              <w:rPr>
                <w:rFonts w:ascii="Times New Roman" w:hAnsi="Times New Roman" w:cs="Times New Roman"/>
              </w:rPr>
            </w:pPr>
            <w:r>
              <w:rPr>
                <w:rFonts w:ascii="Times New Roman" w:hAnsi="Times New Roman" w:cs="Times New Roman"/>
              </w:rPr>
              <w:t>27.07782</w:t>
            </w:r>
          </w:p>
          <w:p>
            <w:pPr>
              <w:jc w:val="center"/>
              <w:rPr>
                <w:rFonts w:ascii="Times New Roman" w:hAnsi="Times New Roman" w:cs="Times New Roman"/>
              </w:rPr>
            </w:pPr>
            <w:r>
              <w:rPr>
                <w:rFonts w:ascii="Times New Roman" w:hAnsi="Times New Roman" w:cs="Times New Roman"/>
              </w:rPr>
              <w:t>8153</w:t>
            </w:r>
          </w:p>
        </w:tc>
        <w:tc>
          <w:tcPr>
            <w:tcW w:w="435" w:type="pct"/>
            <w:vMerge w:val="restart"/>
            <w:vAlign w:val="center"/>
          </w:tcPr>
          <w:p>
            <w:pPr>
              <w:pStyle w:val="39"/>
              <w:rPr>
                <w:rFonts w:cs="Times New Roman"/>
              </w:rPr>
            </w:pPr>
            <w:r>
              <w:rPr>
                <w:rFonts w:cs="Times New Roman"/>
              </w:rPr>
              <w:t>300</w:t>
            </w:r>
          </w:p>
        </w:tc>
        <w:tc>
          <w:tcPr>
            <w:tcW w:w="513" w:type="pct"/>
            <w:vMerge w:val="restart"/>
            <w:vAlign w:val="center"/>
          </w:tcPr>
          <w:p>
            <w:pPr>
              <w:pStyle w:val="39"/>
              <w:rPr>
                <w:rFonts w:cs="Times New Roman"/>
              </w:rPr>
            </w:pPr>
            <w:r>
              <w:rPr>
                <w:rFonts w:cs="Times New Roman"/>
              </w:rPr>
              <w:t>120</w:t>
            </w:r>
          </w:p>
        </w:tc>
        <w:tc>
          <w:tcPr>
            <w:tcW w:w="720" w:type="pct"/>
            <w:vMerge w:val="restart"/>
            <w:vAlign w:val="center"/>
          </w:tcPr>
          <w:p>
            <w:pPr>
              <w:pStyle w:val="39"/>
              <w:rPr>
                <w:rFonts w:cs="Times New Roman"/>
              </w:rPr>
            </w:pPr>
            <w:r>
              <w:rPr>
                <w:rFonts w:cs="Times New Roman"/>
              </w:rPr>
              <w:t>8</w:t>
            </w:r>
          </w:p>
        </w:tc>
        <w:tc>
          <w:tcPr>
            <w:tcW w:w="587" w:type="pct"/>
            <w:vAlign w:val="center"/>
          </w:tcPr>
          <w:p>
            <w:pPr>
              <w:pStyle w:val="39"/>
              <w:rPr>
                <w:rFonts w:cs="Times New Roman"/>
              </w:rPr>
            </w:pPr>
            <w:r>
              <w:rPr>
                <w:rFonts w:cs="Times New Roman"/>
              </w:rPr>
              <w:t>H</w:t>
            </w:r>
            <w:r>
              <w:rPr>
                <w:rFonts w:cs="Times New Roman"/>
                <w:vertAlign w:val="subscript"/>
              </w:rPr>
              <w:t>2</w:t>
            </w:r>
            <w:r>
              <w:rPr>
                <w:rFonts w:cs="Times New Roman"/>
              </w:rPr>
              <w:t>S</w:t>
            </w:r>
          </w:p>
        </w:tc>
        <w:tc>
          <w:tcPr>
            <w:tcW w:w="490" w:type="pct"/>
            <w:vAlign w:val="center"/>
          </w:tcPr>
          <w:p>
            <w:pPr>
              <w:jc w:val="center"/>
              <w:rPr>
                <w:rFonts w:ascii="Times New Roman" w:hAnsi="Times New Roman" w:eastAsia="等线" w:cs="Times New Roman"/>
                <w:color w:val="000000"/>
              </w:rPr>
            </w:pPr>
            <w:r>
              <w:rPr>
                <w:rFonts w:ascii="Times New Roman" w:hAnsi="Times New Roman" w:eastAsia="等线" w:cs="Times New Roman"/>
                <w:color w:val="000000"/>
              </w:rPr>
              <w:t>0.019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50" w:type="pct"/>
            <w:vMerge w:val="continue"/>
            <w:vAlign w:val="center"/>
          </w:tcPr>
          <w:p>
            <w:pPr>
              <w:pStyle w:val="39"/>
              <w:rPr>
                <w:rFonts w:cs="Times New Roman"/>
              </w:rPr>
            </w:pPr>
          </w:p>
        </w:tc>
        <w:tc>
          <w:tcPr>
            <w:tcW w:w="829" w:type="pct"/>
            <w:vMerge w:val="continue"/>
            <w:vAlign w:val="center"/>
          </w:tcPr>
          <w:p>
            <w:pPr>
              <w:pStyle w:val="39"/>
              <w:rPr>
                <w:rFonts w:cs="Times New Roman"/>
                <w:highlight w:val="yellow"/>
              </w:rPr>
            </w:pPr>
          </w:p>
        </w:tc>
        <w:tc>
          <w:tcPr>
            <w:tcW w:w="776" w:type="pct"/>
            <w:vMerge w:val="continue"/>
            <w:vAlign w:val="center"/>
          </w:tcPr>
          <w:p>
            <w:pPr>
              <w:pStyle w:val="39"/>
              <w:rPr>
                <w:rFonts w:cs="Times New Roman"/>
                <w:highlight w:val="yellow"/>
              </w:rPr>
            </w:pPr>
          </w:p>
        </w:tc>
        <w:tc>
          <w:tcPr>
            <w:tcW w:w="435" w:type="pct"/>
            <w:vMerge w:val="continue"/>
            <w:vAlign w:val="center"/>
          </w:tcPr>
          <w:p>
            <w:pPr>
              <w:pStyle w:val="39"/>
              <w:rPr>
                <w:rFonts w:cs="Times New Roman"/>
              </w:rPr>
            </w:pPr>
          </w:p>
        </w:tc>
        <w:tc>
          <w:tcPr>
            <w:tcW w:w="513" w:type="pct"/>
            <w:vMerge w:val="continue"/>
            <w:vAlign w:val="center"/>
          </w:tcPr>
          <w:p>
            <w:pPr>
              <w:pStyle w:val="39"/>
              <w:rPr>
                <w:rFonts w:cs="Times New Roman"/>
              </w:rPr>
            </w:pPr>
          </w:p>
        </w:tc>
        <w:tc>
          <w:tcPr>
            <w:tcW w:w="720" w:type="pct"/>
            <w:vMerge w:val="continue"/>
            <w:vAlign w:val="center"/>
          </w:tcPr>
          <w:p>
            <w:pPr>
              <w:pStyle w:val="39"/>
              <w:rPr>
                <w:rFonts w:cs="Times New Roman"/>
              </w:rPr>
            </w:pPr>
          </w:p>
        </w:tc>
        <w:tc>
          <w:tcPr>
            <w:tcW w:w="587" w:type="pct"/>
            <w:vAlign w:val="center"/>
          </w:tcPr>
          <w:p>
            <w:pPr>
              <w:pStyle w:val="39"/>
              <w:rPr>
                <w:rFonts w:cs="Times New Roman"/>
              </w:rPr>
            </w:pPr>
            <w:r>
              <w:rPr>
                <w:rFonts w:cs="Times New Roman"/>
              </w:rPr>
              <w:t>NH</w:t>
            </w:r>
            <w:r>
              <w:rPr>
                <w:rFonts w:cs="Times New Roman"/>
                <w:vertAlign w:val="subscript"/>
              </w:rPr>
              <w:t>3</w:t>
            </w:r>
          </w:p>
        </w:tc>
        <w:tc>
          <w:tcPr>
            <w:tcW w:w="490" w:type="pct"/>
            <w:vAlign w:val="center"/>
          </w:tcPr>
          <w:p>
            <w:pPr>
              <w:jc w:val="center"/>
              <w:rPr>
                <w:rFonts w:ascii="Times New Roman" w:hAnsi="Times New Roman" w:eastAsia="等线" w:cs="Times New Roman"/>
                <w:color w:val="000000"/>
              </w:rPr>
            </w:pPr>
            <w:r>
              <w:rPr>
                <w:rFonts w:ascii="Times New Roman" w:hAnsi="Times New Roman" w:eastAsia="等线" w:cs="Times New Roman"/>
                <w:color w:val="000000"/>
              </w:rPr>
              <w:t>0.475</w:t>
            </w:r>
          </w:p>
        </w:tc>
      </w:tr>
    </w:tbl>
    <w:p>
      <w:pPr>
        <w:pStyle w:val="3"/>
        <w:ind w:firstLine="480"/>
        <w:rPr>
          <w:rFonts w:cs="Times New Roman"/>
        </w:rPr>
      </w:pPr>
    </w:p>
    <w:p>
      <w:pPr>
        <w:pStyle w:val="7"/>
        <w:rPr>
          <w:rFonts w:cs="Times New Roman"/>
        </w:rPr>
      </w:pPr>
      <w:r>
        <w:rPr>
          <w:rFonts w:cs="Times New Roman"/>
        </w:rPr>
        <w:t>恶臭对环境影响分析</w:t>
      </w:r>
    </w:p>
    <w:p>
      <w:pPr>
        <w:pStyle w:val="3"/>
        <w:ind w:firstLine="480"/>
        <w:rPr>
          <w:rFonts w:cs="Times New Roman"/>
        </w:rPr>
      </w:pPr>
      <w:r>
        <w:rPr>
          <w:rFonts w:cs="Times New Roman"/>
        </w:rPr>
        <w:t>（1）估算结果</w:t>
      </w:r>
    </w:p>
    <w:p>
      <w:pPr>
        <w:pStyle w:val="3"/>
        <w:ind w:firstLine="480"/>
        <w:rPr>
          <w:rFonts w:cs="Times New Roman"/>
        </w:rPr>
      </w:pPr>
      <w:r>
        <w:rPr>
          <w:rFonts w:cs="Times New Roman"/>
        </w:rPr>
        <w:t>根据上表污染源参数情况，估算本项目恶臭污染情况见下表。</w:t>
      </w:r>
    </w:p>
    <w:p>
      <w:pPr>
        <w:pStyle w:val="15"/>
        <w:rPr>
          <w:rFonts w:cs="Times New Roman"/>
        </w:rPr>
      </w:pPr>
      <w:r>
        <w:rPr>
          <w:rFonts w:cs="Times New Roman"/>
        </w:rPr>
        <w:t>表5.2-</w:t>
      </w:r>
      <w:r>
        <w:rPr>
          <w:rFonts w:hint="eastAsia" w:cs="Times New Roman"/>
        </w:rPr>
        <w:t>3</w:t>
      </w:r>
      <w:r>
        <w:rPr>
          <w:rFonts w:cs="Times New Roman"/>
        </w:rPr>
        <w:t xml:space="preserve">   恶臭（面源）气体预测结果一览表</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2"/>
        <w:gridCol w:w="2269"/>
        <w:gridCol w:w="1627"/>
        <w:gridCol w:w="2202"/>
        <w:gridCol w:w="1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3" w:type="pct"/>
            <w:vMerge w:val="restart"/>
            <w:shd w:val="clear" w:color="auto" w:fill="auto"/>
            <w:noWrap/>
            <w:vAlign w:val="center"/>
          </w:tcPr>
          <w:p>
            <w:pPr>
              <w:pStyle w:val="39"/>
            </w:pPr>
            <w:r>
              <w:t>距源中心下风向距离</w:t>
            </w:r>
          </w:p>
          <w:p>
            <w:pPr>
              <w:pStyle w:val="39"/>
            </w:pPr>
            <w:r>
              <w:t>D（m）</w:t>
            </w:r>
          </w:p>
        </w:tc>
        <w:tc>
          <w:tcPr>
            <w:tcW w:w="2124" w:type="pct"/>
            <w:gridSpan w:val="2"/>
            <w:shd w:val="clear" w:color="auto" w:fill="auto"/>
            <w:noWrap/>
            <w:vAlign w:val="center"/>
          </w:tcPr>
          <w:p>
            <w:pPr>
              <w:pStyle w:val="39"/>
            </w:pPr>
            <w:r>
              <w:t>H</w:t>
            </w:r>
            <w:r>
              <w:rPr>
                <w:vertAlign w:val="subscript"/>
              </w:rPr>
              <w:t>2</w:t>
            </w:r>
            <w:r>
              <w:t>S</w:t>
            </w:r>
          </w:p>
        </w:tc>
        <w:tc>
          <w:tcPr>
            <w:tcW w:w="2123" w:type="pct"/>
            <w:gridSpan w:val="2"/>
            <w:shd w:val="clear" w:color="auto" w:fill="auto"/>
            <w:noWrap/>
            <w:vAlign w:val="center"/>
          </w:tcPr>
          <w:p>
            <w:pPr>
              <w:pStyle w:val="39"/>
            </w:pPr>
            <w:r>
              <w:t>NH</w:t>
            </w:r>
            <w:r>
              <w:rPr>
                <w:vertAlign w:val="sub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3" w:type="pct"/>
            <w:vMerge w:val="continue"/>
            <w:shd w:val="clear" w:color="auto" w:fill="auto"/>
            <w:noWrap/>
            <w:vAlign w:val="center"/>
          </w:tcPr>
          <w:p>
            <w:pPr>
              <w:pStyle w:val="39"/>
            </w:pPr>
          </w:p>
        </w:tc>
        <w:tc>
          <w:tcPr>
            <w:tcW w:w="1237" w:type="pct"/>
            <w:shd w:val="clear" w:color="auto" w:fill="auto"/>
            <w:noWrap/>
            <w:vAlign w:val="center"/>
          </w:tcPr>
          <w:p>
            <w:pPr>
              <w:pStyle w:val="39"/>
            </w:pPr>
            <w:r>
              <w:t>预测浓度Ci（mg/m</w:t>
            </w:r>
            <w:r>
              <w:rPr>
                <w:vertAlign w:val="superscript"/>
              </w:rPr>
              <w:t>3</w:t>
            </w:r>
            <w:r>
              <w:t>）</w:t>
            </w:r>
          </w:p>
        </w:tc>
        <w:tc>
          <w:tcPr>
            <w:tcW w:w="887" w:type="pct"/>
            <w:shd w:val="clear" w:color="auto" w:fill="auto"/>
            <w:noWrap/>
            <w:vAlign w:val="center"/>
          </w:tcPr>
          <w:p>
            <w:pPr>
              <w:pStyle w:val="39"/>
            </w:pPr>
            <w:r>
              <w:t>占标率Pi（%）</w:t>
            </w:r>
          </w:p>
        </w:tc>
        <w:tc>
          <w:tcPr>
            <w:tcW w:w="1200" w:type="pct"/>
            <w:shd w:val="clear" w:color="auto" w:fill="auto"/>
            <w:noWrap/>
            <w:vAlign w:val="center"/>
          </w:tcPr>
          <w:p>
            <w:pPr>
              <w:pStyle w:val="39"/>
            </w:pPr>
            <w:r>
              <w:t>预测浓度Ci（mg/m</w:t>
            </w:r>
            <w:r>
              <w:rPr>
                <w:vertAlign w:val="superscript"/>
              </w:rPr>
              <w:t>3</w:t>
            </w:r>
            <w:r>
              <w:t>）</w:t>
            </w:r>
          </w:p>
        </w:tc>
        <w:tc>
          <w:tcPr>
            <w:tcW w:w="923" w:type="pct"/>
            <w:shd w:val="clear" w:color="auto" w:fill="auto"/>
            <w:noWrap/>
            <w:vAlign w:val="center"/>
          </w:tcPr>
          <w:p>
            <w:pPr>
              <w:pStyle w:val="39"/>
            </w:pPr>
            <w:r>
              <w:t>占标率Pi（%）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3" w:type="pct"/>
            <w:shd w:val="clear" w:color="auto" w:fill="auto"/>
            <w:noWrap/>
            <w:vAlign w:val="center"/>
          </w:tcPr>
          <w:p>
            <w:pPr>
              <w:pStyle w:val="39"/>
            </w:pPr>
            <w:r>
              <w:rPr>
                <w:rFonts w:hint="eastAsia"/>
              </w:rPr>
              <w:t>10</w:t>
            </w:r>
          </w:p>
        </w:tc>
        <w:tc>
          <w:tcPr>
            <w:tcW w:w="1237" w:type="pct"/>
            <w:shd w:val="clear" w:color="auto" w:fill="auto"/>
            <w:noWrap/>
            <w:vAlign w:val="center"/>
          </w:tcPr>
          <w:p>
            <w:pPr>
              <w:pStyle w:val="39"/>
            </w:pPr>
            <w:r>
              <w:rPr>
                <w:rFonts w:hint="eastAsia"/>
              </w:rPr>
              <w:t>0.0003</w:t>
            </w:r>
          </w:p>
        </w:tc>
        <w:tc>
          <w:tcPr>
            <w:tcW w:w="887" w:type="pct"/>
            <w:shd w:val="clear" w:color="auto" w:fill="auto"/>
            <w:noWrap/>
            <w:vAlign w:val="center"/>
          </w:tcPr>
          <w:p>
            <w:pPr>
              <w:pStyle w:val="39"/>
            </w:pPr>
            <w:r>
              <w:rPr>
                <w:rFonts w:hint="eastAsia"/>
              </w:rPr>
              <w:t>2.77</w:t>
            </w:r>
          </w:p>
        </w:tc>
        <w:tc>
          <w:tcPr>
            <w:tcW w:w="1200" w:type="pct"/>
            <w:shd w:val="clear" w:color="auto" w:fill="auto"/>
            <w:noWrap/>
            <w:vAlign w:val="center"/>
          </w:tcPr>
          <w:p>
            <w:pPr>
              <w:pStyle w:val="39"/>
            </w:pPr>
            <w:r>
              <w:rPr>
                <w:rFonts w:hint="eastAsia"/>
              </w:rPr>
              <w:t>0.0069</w:t>
            </w:r>
          </w:p>
        </w:tc>
        <w:tc>
          <w:tcPr>
            <w:tcW w:w="923" w:type="pct"/>
            <w:shd w:val="clear" w:color="auto" w:fill="auto"/>
            <w:noWrap/>
            <w:vAlign w:val="center"/>
          </w:tcPr>
          <w:p>
            <w:pPr>
              <w:pStyle w:val="39"/>
            </w:pPr>
            <w:r>
              <w:rPr>
                <w:rFonts w:hint="eastAsia"/>
              </w:rPr>
              <w:t>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3" w:type="pct"/>
            <w:shd w:val="clear" w:color="auto" w:fill="auto"/>
            <w:noWrap/>
            <w:vAlign w:val="center"/>
          </w:tcPr>
          <w:p>
            <w:pPr>
              <w:pStyle w:val="39"/>
            </w:pPr>
            <w:r>
              <w:rPr>
                <w:rFonts w:hint="eastAsia"/>
              </w:rPr>
              <w:t>100</w:t>
            </w:r>
          </w:p>
        </w:tc>
        <w:tc>
          <w:tcPr>
            <w:tcW w:w="1237" w:type="pct"/>
            <w:shd w:val="clear" w:color="auto" w:fill="auto"/>
            <w:noWrap/>
            <w:vAlign w:val="center"/>
          </w:tcPr>
          <w:p>
            <w:pPr>
              <w:pStyle w:val="39"/>
            </w:pPr>
            <w:r>
              <w:rPr>
                <w:rFonts w:hint="eastAsia"/>
              </w:rPr>
              <w:t>0.0004</w:t>
            </w:r>
          </w:p>
        </w:tc>
        <w:tc>
          <w:tcPr>
            <w:tcW w:w="887" w:type="pct"/>
            <w:shd w:val="clear" w:color="auto" w:fill="auto"/>
            <w:noWrap/>
            <w:vAlign w:val="center"/>
          </w:tcPr>
          <w:p>
            <w:pPr>
              <w:pStyle w:val="39"/>
            </w:pPr>
            <w:r>
              <w:rPr>
                <w:rFonts w:hint="eastAsia"/>
              </w:rPr>
              <w:t>4.29</w:t>
            </w:r>
          </w:p>
        </w:tc>
        <w:tc>
          <w:tcPr>
            <w:tcW w:w="1200" w:type="pct"/>
            <w:shd w:val="clear" w:color="auto" w:fill="auto"/>
            <w:noWrap/>
            <w:vAlign w:val="center"/>
          </w:tcPr>
          <w:p>
            <w:pPr>
              <w:pStyle w:val="39"/>
            </w:pPr>
            <w:r>
              <w:rPr>
                <w:rFonts w:hint="eastAsia"/>
              </w:rPr>
              <w:t>0.0107</w:t>
            </w:r>
          </w:p>
        </w:tc>
        <w:tc>
          <w:tcPr>
            <w:tcW w:w="923" w:type="pct"/>
            <w:shd w:val="clear" w:color="auto" w:fill="auto"/>
            <w:noWrap/>
            <w:vAlign w:val="center"/>
          </w:tcPr>
          <w:p>
            <w:pPr>
              <w:pStyle w:val="39"/>
            </w:pPr>
            <w:r>
              <w:rPr>
                <w:rFonts w:hint="eastAsia"/>
              </w:rPr>
              <w:t>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3" w:type="pct"/>
            <w:shd w:val="clear" w:color="auto" w:fill="auto"/>
            <w:noWrap/>
            <w:vAlign w:val="center"/>
          </w:tcPr>
          <w:p>
            <w:pPr>
              <w:pStyle w:val="39"/>
            </w:pPr>
            <w:r>
              <w:rPr>
                <w:rFonts w:hint="eastAsia"/>
              </w:rPr>
              <w:t>200</w:t>
            </w:r>
          </w:p>
        </w:tc>
        <w:tc>
          <w:tcPr>
            <w:tcW w:w="1237" w:type="pct"/>
            <w:shd w:val="clear" w:color="auto" w:fill="auto"/>
            <w:noWrap/>
            <w:vAlign w:val="center"/>
          </w:tcPr>
          <w:p>
            <w:pPr>
              <w:pStyle w:val="39"/>
            </w:pPr>
            <w:r>
              <w:rPr>
                <w:rFonts w:hint="eastAsia"/>
              </w:rPr>
              <w:t>0.0005</w:t>
            </w:r>
          </w:p>
        </w:tc>
        <w:tc>
          <w:tcPr>
            <w:tcW w:w="887" w:type="pct"/>
            <w:shd w:val="clear" w:color="auto" w:fill="auto"/>
            <w:noWrap/>
            <w:vAlign w:val="center"/>
          </w:tcPr>
          <w:p>
            <w:pPr>
              <w:pStyle w:val="39"/>
            </w:pPr>
            <w:r>
              <w:rPr>
                <w:rFonts w:hint="eastAsia"/>
              </w:rPr>
              <w:t>5.45</w:t>
            </w:r>
          </w:p>
        </w:tc>
        <w:tc>
          <w:tcPr>
            <w:tcW w:w="1200" w:type="pct"/>
            <w:shd w:val="clear" w:color="auto" w:fill="auto"/>
            <w:noWrap/>
            <w:vAlign w:val="center"/>
          </w:tcPr>
          <w:p>
            <w:pPr>
              <w:pStyle w:val="39"/>
            </w:pPr>
            <w:r>
              <w:rPr>
                <w:rFonts w:hint="eastAsia"/>
              </w:rPr>
              <w:t>0.0136</w:t>
            </w:r>
          </w:p>
        </w:tc>
        <w:tc>
          <w:tcPr>
            <w:tcW w:w="923" w:type="pct"/>
            <w:shd w:val="clear" w:color="auto" w:fill="auto"/>
            <w:noWrap/>
            <w:vAlign w:val="center"/>
          </w:tcPr>
          <w:p>
            <w:pPr>
              <w:pStyle w:val="39"/>
            </w:pPr>
            <w:r>
              <w:rPr>
                <w:rFonts w:hint="eastAsia"/>
              </w:rPr>
              <w:t>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3" w:type="pct"/>
            <w:shd w:val="clear" w:color="auto" w:fill="auto"/>
            <w:noWrap/>
            <w:vAlign w:val="center"/>
          </w:tcPr>
          <w:p>
            <w:pPr>
              <w:pStyle w:val="39"/>
            </w:pPr>
            <w:r>
              <w:rPr>
                <w:rFonts w:hint="eastAsia"/>
              </w:rPr>
              <w:t>225</w:t>
            </w:r>
          </w:p>
        </w:tc>
        <w:tc>
          <w:tcPr>
            <w:tcW w:w="1237" w:type="pct"/>
            <w:shd w:val="clear" w:color="auto" w:fill="auto"/>
            <w:noWrap/>
            <w:vAlign w:val="center"/>
          </w:tcPr>
          <w:p>
            <w:pPr>
              <w:pStyle w:val="39"/>
            </w:pPr>
            <w:r>
              <w:rPr>
                <w:rFonts w:hint="eastAsia"/>
              </w:rPr>
              <w:t>0.0005</w:t>
            </w:r>
          </w:p>
        </w:tc>
        <w:tc>
          <w:tcPr>
            <w:tcW w:w="887" w:type="pct"/>
            <w:shd w:val="clear" w:color="auto" w:fill="auto"/>
            <w:noWrap/>
            <w:vAlign w:val="center"/>
          </w:tcPr>
          <w:p>
            <w:pPr>
              <w:pStyle w:val="39"/>
            </w:pPr>
            <w:r>
              <w:rPr>
                <w:rFonts w:hint="eastAsia"/>
              </w:rPr>
              <w:t>5.49</w:t>
            </w:r>
          </w:p>
        </w:tc>
        <w:tc>
          <w:tcPr>
            <w:tcW w:w="1200" w:type="pct"/>
            <w:shd w:val="clear" w:color="auto" w:fill="auto"/>
            <w:noWrap/>
            <w:vAlign w:val="center"/>
          </w:tcPr>
          <w:p>
            <w:pPr>
              <w:pStyle w:val="39"/>
            </w:pPr>
            <w:r>
              <w:rPr>
                <w:rFonts w:hint="eastAsia"/>
              </w:rPr>
              <w:t>0.0137</w:t>
            </w:r>
          </w:p>
        </w:tc>
        <w:tc>
          <w:tcPr>
            <w:tcW w:w="923" w:type="pct"/>
            <w:shd w:val="clear" w:color="auto" w:fill="auto"/>
            <w:noWrap/>
            <w:vAlign w:val="center"/>
          </w:tcPr>
          <w:p>
            <w:pPr>
              <w:pStyle w:val="39"/>
            </w:pPr>
            <w:r>
              <w:rPr>
                <w:rFonts w:hint="eastAsia"/>
              </w:rPr>
              <w:t>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3" w:type="pct"/>
            <w:shd w:val="clear" w:color="auto" w:fill="auto"/>
            <w:noWrap/>
            <w:vAlign w:val="center"/>
          </w:tcPr>
          <w:p>
            <w:pPr>
              <w:pStyle w:val="39"/>
              <w:rPr>
                <w:b/>
              </w:rPr>
            </w:pPr>
            <w:r>
              <w:rPr>
                <w:rFonts w:hint="eastAsia"/>
                <w:b/>
              </w:rPr>
              <w:t>229</w:t>
            </w:r>
          </w:p>
        </w:tc>
        <w:tc>
          <w:tcPr>
            <w:tcW w:w="1237" w:type="pct"/>
            <w:shd w:val="clear" w:color="auto" w:fill="auto"/>
            <w:noWrap/>
            <w:vAlign w:val="center"/>
          </w:tcPr>
          <w:p>
            <w:pPr>
              <w:pStyle w:val="39"/>
              <w:rPr>
                <w:b/>
              </w:rPr>
            </w:pPr>
            <w:r>
              <w:rPr>
                <w:rFonts w:hint="eastAsia"/>
                <w:b/>
              </w:rPr>
              <w:t>0.0005</w:t>
            </w:r>
          </w:p>
        </w:tc>
        <w:tc>
          <w:tcPr>
            <w:tcW w:w="887" w:type="pct"/>
            <w:shd w:val="clear" w:color="auto" w:fill="auto"/>
            <w:noWrap/>
            <w:vAlign w:val="center"/>
          </w:tcPr>
          <w:p>
            <w:pPr>
              <w:pStyle w:val="39"/>
              <w:rPr>
                <w:b/>
              </w:rPr>
            </w:pPr>
            <w:r>
              <w:rPr>
                <w:rFonts w:hint="eastAsia"/>
                <w:b/>
              </w:rPr>
              <w:t>5.49</w:t>
            </w:r>
          </w:p>
        </w:tc>
        <w:tc>
          <w:tcPr>
            <w:tcW w:w="1200" w:type="pct"/>
            <w:shd w:val="clear" w:color="auto" w:fill="auto"/>
            <w:noWrap/>
            <w:vAlign w:val="center"/>
          </w:tcPr>
          <w:p>
            <w:pPr>
              <w:pStyle w:val="39"/>
              <w:rPr>
                <w:b/>
              </w:rPr>
            </w:pPr>
            <w:r>
              <w:rPr>
                <w:rFonts w:hint="eastAsia"/>
                <w:b/>
              </w:rPr>
              <w:t>0.0137</w:t>
            </w:r>
          </w:p>
        </w:tc>
        <w:tc>
          <w:tcPr>
            <w:tcW w:w="923" w:type="pct"/>
            <w:shd w:val="clear" w:color="auto" w:fill="auto"/>
            <w:noWrap/>
            <w:vAlign w:val="center"/>
          </w:tcPr>
          <w:p>
            <w:pPr>
              <w:pStyle w:val="39"/>
              <w:rPr>
                <w:b/>
              </w:rPr>
            </w:pPr>
            <w:r>
              <w:rPr>
                <w:rFonts w:hint="eastAsia"/>
                <w:b/>
              </w:rPr>
              <w:t>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3" w:type="pct"/>
            <w:shd w:val="clear" w:color="auto" w:fill="auto"/>
            <w:noWrap/>
            <w:vAlign w:val="center"/>
          </w:tcPr>
          <w:p>
            <w:pPr>
              <w:pStyle w:val="39"/>
            </w:pPr>
            <w:r>
              <w:rPr>
                <w:rFonts w:hint="eastAsia"/>
              </w:rPr>
              <w:t>250</w:t>
            </w:r>
          </w:p>
        </w:tc>
        <w:tc>
          <w:tcPr>
            <w:tcW w:w="1237" w:type="pct"/>
            <w:shd w:val="clear" w:color="auto" w:fill="auto"/>
            <w:noWrap/>
            <w:vAlign w:val="center"/>
          </w:tcPr>
          <w:p>
            <w:pPr>
              <w:pStyle w:val="39"/>
            </w:pPr>
            <w:r>
              <w:rPr>
                <w:rFonts w:hint="eastAsia"/>
              </w:rPr>
              <w:t>0.0005</w:t>
            </w:r>
          </w:p>
        </w:tc>
        <w:tc>
          <w:tcPr>
            <w:tcW w:w="887" w:type="pct"/>
            <w:shd w:val="clear" w:color="auto" w:fill="auto"/>
            <w:noWrap/>
            <w:vAlign w:val="center"/>
          </w:tcPr>
          <w:p>
            <w:pPr>
              <w:pStyle w:val="39"/>
            </w:pPr>
            <w:r>
              <w:rPr>
                <w:rFonts w:hint="eastAsia"/>
              </w:rPr>
              <w:t>5.47</w:t>
            </w:r>
          </w:p>
        </w:tc>
        <w:tc>
          <w:tcPr>
            <w:tcW w:w="1200" w:type="pct"/>
            <w:shd w:val="clear" w:color="auto" w:fill="auto"/>
            <w:noWrap/>
            <w:vAlign w:val="center"/>
          </w:tcPr>
          <w:p>
            <w:pPr>
              <w:pStyle w:val="39"/>
            </w:pPr>
            <w:r>
              <w:rPr>
                <w:rFonts w:hint="eastAsia"/>
              </w:rPr>
              <w:t>0.0137</w:t>
            </w:r>
          </w:p>
        </w:tc>
        <w:tc>
          <w:tcPr>
            <w:tcW w:w="923" w:type="pct"/>
            <w:shd w:val="clear" w:color="auto" w:fill="auto"/>
            <w:noWrap/>
            <w:vAlign w:val="center"/>
          </w:tcPr>
          <w:p>
            <w:pPr>
              <w:pStyle w:val="39"/>
            </w:pPr>
            <w:r>
              <w:rPr>
                <w:rFonts w:hint="eastAsia"/>
              </w:rPr>
              <w:t>6.83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3" w:type="pct"/>
            <w:shd w:val="clear" w:color="auto" w:fill="auto"/>
            <w:noWrap/>
            <w:vAlign w:val="center"/>
          </w:tcPr>
          <w:p>
            <w:pPr>
              <w:pStyle w:val="39"/>
            </w:pPr>
            <w:r>
              <w:rPr>
                <w:rFonts w:hint="eastAsia"/>
              </w:rPr>
              <w:t>275</w:t>
            </w:r>
          </w:p>
        </w:tc>
        <w:tc>
          <w:tcPr>
            <w:tcW w:w="1237" w:type="pct"/>
            <w:shd w:val="clear" w:color="auto" w:fill="auto"/>
            <w:noWrap/>
            <w:vAlign w:val="center"/>
          </w:tcPr>
          <w:p>
            <w:pPr>
              <w:pStyle w:val="39"/>
            </w:pPr>
            <w:r>
              <w:rPr>
                <w:rFonts w:hint="eastAsia"/>
              </w:rPr>
              <w:t>0.0005</w:t>
            </w:r>
          </w:p>
        </w:tc>
        <w:tc>
          <w:tcPr>
            <w:tcW w:w="887" w:type="pct"/>
            <w:shd w:val="clear" w:color="auto" w:fill="auto"/>
            <w:noWrap/>
            <w:vAlign w:val="center"/>
          </w:tcPr>
          <w:p>
            <w:pPr>
              <w:pStyle w:val="39"/>
            </w:pPr>
            <w:r>
              <w:rPr>
                <w:rFonts w:hint="eastAsia"/>
              </w:rPr>
              <w:t>5.41</w:t>
            </w:r>
          </w:p>
        </w:tc>
        <w:tc>
          <w:tcPr>
            <w:tcW w:w="1200" w:type="pct"/>
            <w:shd w:val="clear" w:color="auto" w:fill="auto"/>
            <w:noWrap/>
            <w:vAlign w:val="center"/>
          </w:tcPr>
          <w:p>
            <w:pPr>
              <w:pStyle w:val="39"/>
            </w:pPr>
            <w:r>
              <w:rPr>
                <w:rFonts w:hint="eastAsia"/>
              </w:rPr>
              <w:t>0.0135</w:t>
            </w:r>
          </w:p>
        </w:tc>
        <w:tc>
          <w:tcPr>
            <w:tcW w:w="923" w:type="pct"/>
            <w:shd w:val="clear" w:color="auto" w:fill="auto"/>
            <w:noWrap/>
            <w:vAlign w:val="center"/>
          </w:tcPr>
          <w:p>
            <w:pPr>
              <w:pStyle w:val="39"/>
            </w:pPr>
            <w:r>
              <w:rPr>
                <w:rFonts w:hint="eastAsia"/>
              </w:rPr>
              <w:t>6.76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3" w:type="pct"/>
            <w:shd w:val="clear" w:color="auto" w:fill="auto"/>
            <w:noWrap/>
            <w:vAlign w:val="center"/>
          </w:tcPr>
          <w:p>
            <w:pPr>
              <w:pStyle w:val="39"/>
            </w:pPr>
            <w:r>
              <w:rPr>
                <w:rFonts w:hint="eastAsia"/>
              </w:rPr>
              <w:t>300</w:t>
            </w:r>
          </w:p>
        </w:tc>
        <w:tc>
          <w:tcPr>
            <w:tcW w:w="1237" w:type="pct"/>
            <w:shd w:val="clear" w:color="auto" w:fill="auto"/>
            <w:noWrap/>
            <w:vAlign w:val="center"/>
          </w:tcPr>
          <w:p>
            <w:pPr>
              <w:pStyle w:val="39"/>
            </w:pPr>
            <w:r>
              <w:rPr>
                <w:rFonts w:hint="eastAsia"/>
              </w:rPr>
              <w:t>0.0005</w:t>
            </w:r>
          </w:p>
        </w:tc>
        <w:tc>
          <w:tcPr>
            <w:tcW w:w="887" w:type="pct"/>
            <w:shd w:val="clear" w:color="auto" w:fill="auto"/>
            <w:noWrap/>
            <w:vAlign w:val="center"/>
          </w:tcPr>
          <w:p>
            <w:pPr>
              <w:pStyle w:val="39"/>
            </w:pPr>
            <w:r>
              <w:rPr>
                <w:rFonts w:hint="eastAsia"/>
              </w:rPr>
              <w:t>5.39</w:t>
            </w:r>
          </w:p>
        </w:tc>
        <w:tc>
          <w:tcPr>
            <w:tcW w:w="1200" w:type="pct"/>
            <w:shd w:val="clear" w:color="auto" w:fill="auto"/>
            <w:noWrap/>
            <w:vAlign w:val="center"/>
          </w:tcPr>
          <w:p>
            <w:pPr>
              <w:pStyle w:val="39"/>
            </w:pPr>
            <w:r>
              <w:rPr>
                <w:rFonts w:hint="eastAsia"/>
              </w:rPr>
              <w:t>0.0135</w:t>
            </w:r>
          </w:p>
        </w:tc>
        <w:tc>
          <w:tcPr>
            <w:tcW w:w="923" w:type="pct"/>
            <w:shd w:val="clear" w:color="auto" w:fill="auto"/>
            <w:noWrap/>
            <w:vAlign w:val="center"/>
          </w:tcPr>
          <w:p>
            <w:pPr>
              <w:pStyle w:val="39"/>
            </w:pPr>
            <w:r>
              <w:rPr>
                <w:rFonts w:hint="eastAsia"/>
              </w:rPr>
              <w:t>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3" w:type="pct"/>
            <w:shd w:val="clear" w:color="auto" w:fill="auto"/>
            <w:noWrap/>
            <w:vAlign w:val="center"/>
          </w:tcPr>
          <w:p>
            <w:pPr>
              <w:pStyle w:val="39"/>
            </w:pPr>
            <w:r>
              <w:rPr>
                <w:rFonts w:hint="eastAsia"/>
              </w:rPr>
              <w:t>400</w:t>
            </w:r>
          </w:p>
        </w:tc>
        <w:tc>
          <w:tcPr>
            <w:tcW w:w="1237" w:type="pct"/>
            <w:shd w:val="clear" w:color="auto" w:fill="auto"/>
            <w:noWrap/>
            <w:vAlign w:val="center"/>
          </w:tcPr>
          <w:p>
            <w:pPr>
              <w:pStyle w:val="39"/>
            </w:pPr>
            <w:r>
              <w:rPr>
                <w:rFonts w:hint="eastAsia"/>
              </w:rPr>
              <w:t>0.0005</w:t>
            </w:r>
          </w:p>
        </w:tc>
        <w:tc>
          <w:tcPr>
            <w:tcW w:w="887" w:type="pct"/>
            <w:shd w:val="clear" w:color="auto" w:fill="auto"/>
            <w:noWrap/>
            <w:vAlign w:val="center"/>
          </w:tcPr>
          <w:p>
            <w:pPr>
              <w:pStyle w:val="39"/>
            </w:pPr>
            <w:r>
              <w:rPr>
                <w:rFonts w:hint="eastAsia"/>
              </w:rPr>
              <w:t>5.35</w:t>
            </w:r>
          </w:p>
        </w:tc>
        <w:tc>
          <w:tcPr>
            <w:tcW w:w="1200" w:type="pct"/>
            <w:shd w:val="clear" w:color="auto" w:fill="auto"/>
            <w:noWrap/>
            <w:vAlign w:val="center"/>
          </w:tcPr>
          <w:p>
            <w:pPr>
              <w:pStyle w:val="39"/>
            </w:pPr>
            <w:r>
              <w:rPr>
                <w:rFonts w:hint="eastAsia"/>
              </w:rPr>
              <w:t>0.0134</w:t>
            </w:r>
          </w:p>
        </w:tc>
        <w:tc>
          <w:tcPr>
            <w:tcW w:w="923" w:type="pct"/>
            <w:shd w:val="clear" w:color="auto" w:fill="auto"/>
            <w:noWrap/>
            <w:vAlign w:val="center"/>
          </w:tcPr>
          <w:p>
            <w:pPr>
              <w:pStyle w:val="39"/>
            </w:pPr>
            <w:r>
              <w:rPr>
                <w:rFonts w:hint="eastAsia"/>
              </w:rPr>
              <w:t>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3" w:type="pct"/>
            <w:shd w:val="clear" w:color="auto" w:fill="auto"/>
            <w:noWrap/>
            <w:vAlign w:val="center"/>
          </w:tcPr>
          <w:p>
            <w:pPr>
              <w:pStyle w:val="39"/>
            </w:pPr>
            <w:r>
              <w:rPr>
                <w:rFonts w:hint="eastAsia"/>
              </w:rPr>
              <w:t>500</w:t>
            </w:r>
          </w:p>
        </w:tc>
        <w:tc>
          <w:tcPr>
            <w:tcW w:w="1237" w:type="pct"/>
            <w:shd w:val="clear" w:color="auto" w:fill="auto"/>
            <w:noWrap/>
            <w:vAlign w:val="center"/>
          </w:tcPr>
          <w:p>
            <w:pPr>
              <w:pStyle w:val="39"/>
            </w:pPr>
            <w:r>
              <w:rPr>
                <w:rFonts w:hint="eastAsia"/>
              </w:rPr>
              <w:t>0.0005</w:t>
            </w:r>
          </w:p>
        </w:tc>
        <w:tc>
          <w:tcPr>
            <w:tcW w:w="887" w:type="pct"/>
            <w:shd w:val="clear" w:color="auto" w:fill="auto"/>
            <w:noWrap/>
            <w:vAlign w:val="center"/>
          </w:tcPr>
          <w:p>
            <w:pPr>
              <w:pStyle w:val="39"/>
            </w:pPr>
            <w:r>
              <w:rPr>
                <w:rFonts w:hint="eastAsia"/>
              </w:rPr>
              <w:t>5.18</w:t>
            </w:r>
          </w:p>
        </w:tc>
        <w:tc>
          <w:tcPr>
            <w:tcW w:w="1200" w:type="pct"/>
            <w:shd w:val="clear" w:color="auto" w:fill="auto"/>
            <w:noWrap/>
            <w:vAlign w:val="center"/>
          </w:tcPr>
          <w:p>
            <w:pPr>
              <w:pStyle w:val="39"/>
            </w:pPr>
            <w:r>
              <w:rPr>
                <w:rFonts w:hint="eastAsia"/>
              </w:rPr>
              <w:t>0.0129</w:t>
            </w:r>
          </w:p>
        </w:tc>
        <w:tc>
          <w:tcPr>
            <w:tcW w:w="923" w:type="pct"/>
            <w:shd w:val="clear" w:color="auto" w:fill="auto"/>
            <w:noWrap/>
            <w:vAlign w:val="center"/>
          </w:tcPr>
          <w:p>
            <w:pPr>
              <w:pStyle w:val="39"/>
            </w:pPr>
            <w:r>
              <w:rPr>
                <w:rFonts w:hint="eastAsia"/>
              </w:rPr>
              <w:t>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3" w:type="pct"/>
            <w:shd w:val="clear" w:color="auto" w:fill="auto"/>
            <w:noWrap/>
            <w:vAlign w:val="center"/>
          </w:tcPr>
          <w:p>
            <w:pPr>
              <w:pStyle w:val="39"/>
            </w:pPr>
            <w:r>
              <w:rPr>
                <w:rFonts w:hint="eastAsia"/>
              </w:rPr>
              <w:t>600</w:t>
            </w:r>
          </w:p>
        </w:tc>
        <w:tc>
          <w:tcPr>
            <w:tcW w:w="1237" w:type="pct"/>
            <w:shd w:val="clear" w:color="auto" w:fill="auto"/>
            <w:noWrap/>
            <w:vAlign w:val="center"/>
          </w:tcPr>
          <w:p>
            <w:pPr>
              <w:pStyle w:val="39"/>
            </w:pPr>
            <w:r>
              <w:rPr>
                <w:rFonts w:hint="eastAsia"/>
              </w:rPr>
              <w:t>0.0005</w:t>
            </w:r>
          </w:p>
        </w:tc>
        <w:tc>
          <w:tcPr>
            <w:tcW w:w="887" w:type="pct"/>
            <w:shd w:val="clear" w:color="auto" w:fill="auto"/>
            <w:noWrap/>
            <w:vAlign w:val="center"/>
          </w:tcPr>
          <w:p>
            <w:pPr>
              <w:pStyle w:val="39"/>
            </w:pPr>
            <w:r>
              <w:rPr>
                <w:rFonts w:hint="eastAsia"/>
              </w:rPr>
              <w:t>4.95</w:t>
            </w:r>
          </w:p>
        </w:tc>
        <w:tc>
          <w:tcPr>
            <w:tcW w:w="1200" w:type="pct"/>
            <w:shd w:val="clear" w:color="auto" w:fill="auto"/>
            <w:noWrap/>
            <w:vAlign w:val="center"/>
          </w:tcPr>
          <w:p>
            <w:pPr>
              <w:pStyle w:val="39"/>
            </w:pPr>
            <w:r>
              <w:rPr>
                <w:rFonts w:hint="eastAsia"/>
              </w:rPr>
              <w:t>0.0124</w:t>
            </w:r>
          </w:p>
        </w:tc>
        <w:tc>
          <w:tcPr>
            <w:tcW w:w="923" w:type="pct"/>
            <w:shd w:val="clear" w:color="auto" w:fill="auto"/>
            <w:noWrap/>
            <w:vAlign w:val="center"/>
          </w:tcPr>
          <w:p>
            <w:pPr>
              <w:pStyle w:val="39"/>
            </w:pPr>
            <w:r>
              <w:rPr>
                <w:rFonts w:hint="eastAsia"/>
              </w:rPr>
              <w:t>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3" w:type="pct"/>
            <w:shd w:val="clear" w:color="auto" w:fill="auto"/>
            <w:noWrap/>
            <w:vAlign w:val="center"/>
          </w:tcPr>
          <w:p>
            <w:pPr>
              <w:pStyle w:val="39"/>
            </w:pPr>
            <w:r>
              <w:rPr>
                <w:rFonts w:hint="eastAsia"/>
              </w:rPr>
              <w:t>700</w:t>
            </w:r>
          </w:p>
        </w:tc>
        <w:tc>
          <w:tcPr>
            <w:tcW w:w="1237" w:type="pct"/>
            <w:shd w:val="clear" w:color="auto" w:fill="auto"/>
            <w:noWrap/>
            <w:vAlign w:val="center"/>
          </w:tcPr>
          <w:p>
            <w:pPr>
              <w:pStyle w:val="39"/>
            </w:pPr>
            <w:r>
              <w:rPr>
                <w:rFonts w:hint="eastAsia"/>
              </w:rPr>
              <w:t>0.0005</w:t>
            </w:r>
          </w:p>
        </w:tc>
        <w:tc>
          <w:tcPr>
            <w:tcW w:w="887" w:type="pct"/>
            <w:shd w:val="clear" w:color="auto" w:fill="auto"/>
            <w:noWrap/>
            <w:vAlign w:val="center"/>
          </w:tcPr>
          <w:p>
            <w:pPr>
              <w:pStyle w:val="39"/>
            </w:pPr>
            <w:r>
              <w:rPr>
                <w:rFonts w:hint="eastAsia"/>
              </w:rPr>
              <w:t>4.72</w:t>
            </w:r>
          </w:p>
        </w:tc>
        <w:tc>
          <w:tcPr>
            <w:tcW w:w="1200" w:type="pct"/>
            <w:shd w:val="clear" w:color="auto" w:fill="auto"/>
            <w:noWrap/>
            <w:vAlign w:val="center"/>
          </w:tcPr>
          <w:p>
            <w:pPr>
              <w:pStyle w:val="39"/>
            </w:pPr>
            <w:r>
              <w:rPr>
                <w:rFonts w:hint="eastAsia"/>
              </w:rPr>
              <w:t>0.0118</w:t>
            </w:r>
          </w:p>
        </w:tc>
        <w:tc>
          <w:tcPr>
            <w:tcW w:w="923" w:type="pct"/>
            <w:shd w:val="clear" w:color="auto" w:fill="auto"/>
            <w:noWrap/>
            <w:vAlign w:val="center"/>
          </w:tcPr>
          <w:p>
            <w:pPr>
              <w:pStyle w:val="39"/>
            </w:pPr>
            <w:r>
              <w:rPr>
                <w:rFonts w:hint="eastAsia"/>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3" w:type="pct"/>
            <w:shd w:val="clear" w:color="auto" w:fill="auto"/>
            <w:noWrap/>
            <w:vAlign w:val="center"/>
          </w:tcPr>
          <w:p>
            <w:pPr>
              <w:pStyle w:val="39"/>
            </w:pPr>
            <w:r>
              <w:rPr>
                <w:rFonts w:hint="eastAsia"/>
              </w:rPr>
              <w:t>800</w:t>
            </w:r>
          </w:p>
        </w:tc>
        <w:tc>
          <w:tcPr>
            <w:tcW w:w="1237" w:type="pct"/>
            <w:shd w:val="clear" w:color="auto" w:fill="auto"/>
            <w:noWrap/>
            <w:vAlign w:val="center"/>
          </w:tcPr>
          <w:p>
            <w:pPr>
              <w:pStyle w:val="39"/>
            </w:pPr>
            <w:r>
              <w:rPr>
                <w:rFonts w:hint="eastAsia"/>
              </w:rPr>
              <w:t>0.0004</w:t>
            </w:r>
          </w:p>
        </w:tc>
        <w:tc>
          <w:tcPr>
            <w:tcW w:w="887" w:type="pct"/>
            <w:shd w:val="clear" w:color="auto" w:fill="auto"/>
            <w:noWrap/>
            <w:vAlign w:val="center"/>
          </w:tcPr>
          <w:p>
            <w:pPr>
              <w:pStyle w:val="39"/>
            </w:pPr>
            <w:r>
              <w:rPr>
                <w:rFonts w:hint="eastAsia"/>
              </w:rPr>
              <w:t>4.48</w:t>
            </w:r>
          </w:p>
        </w:tc>
        <w:tc>
          <w:tcPr>
            <w:tcW w:w="1200" w:type="pct"/>
            <w:shd w:val="clear" w:color="auto" w:fill="auto"/>
            <w:noWrap/>
            <w:vAlign w:val="center"/>
          </w:tcPr>
          <w:p>
            <w:pPr>
              <w:pStyle w:val="39"/>
            </w:pPr>
            <w:r>
              <w:rPr>
                <w:rFonts w:hint="eastAsia"/>
              </w:rPr>
              <w:t>0.0112</w:t>
            </w:r>
          </w:p>
        </w:tc>
        <w:tc>
          <w:tcPr>
            <w:tcW w:w="923" w:type="pct"/>
            <w:shd w:val="clear" w:color="auto" w:fill="auto"/>
            <w:noWrap/>
            <w:vAlign w:val="center"/>
          </w:tcPr>
          <w:p>
            <w:pPr>
              <w:pStyle w:val="39"/>
            </w:pPr>
            <w:r>
              <w:rPr>
                <w:rFonts w:hint="eastAsia"/>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3" w:type="pct"/>
            <w:shd w:val="clear" w:color="auto" w:fill="auto"/>
            <w:noWrap/>
            <w:vAlign w:val="center"/>
          </w:tcPr>
          <w:p>
            <w:pPr>
              <w:pStyle w:val="39"/>
            </w:pPr>
            <w:r>
              <w:rPr>
                <w:rFonts w:hint="eastAsia"/>
              </w:rPr>
              <w:t>900</w:t>
            </w:r>
          </w:p>
        </w:tc>
        <w:tc>
          <w:tcPr>
            <w:tcW w:w="1237" w:type="pct"/>
            <w:shd w:val="clear" w:color="auto" w:fill="auto"/>
            <w:noWrap/>
            <w:vAlign w:val="center"/>
          </w:tcPr>
          <w:p>
            <w:pPr>
              <w:pStyle w:val="39"/>
            </w:pPr>
            <w:r>
              <w:rPr>
                <w:rFonts w:hint="eastAsia"/>
              </w:rPr>
              <w:t>0.0004</w:t>
            </w:r>
          </w:p>
        </w:tc>
        <w:tc>
          <w:tcPr>
            <w:tcW w:w="887" w:type="pct"/>
            <w:shd w:val="clear" w:color="auto" w:fill="auto"/>
            <w:noWrap/>
            <w:vAlign w:val="center"/>
          </w:tcPr>
          <w:p>
            <w:pPr>
              <w:pStyle w:val="39"/>
            </w:pPr>
            <w:r>
              <w:rPr>
                <w:rFonts w:hint="eastAsia"/>
              </w:rPr>
              <w:t>4.26</w:t>
            </w:r>
          </w:p>
        </w:tc>
        <w:tc>
          <w:tcPr>
            <w:tcW w:w="1200" w:type="pct"/>
            <w:shd w:val="clear" w:color="auto" w:fill="auto"/>
            <w:noWrap/>
            <w:vAlign w:val="center"/>
          </w:tcPr>
          <w:p>
            <w:pPr>
              <w:pStyle w:val="39"/>
            </w:pPr>
            <w:r>
              <w:rPr>
                <w:rFonts w:hint="eastAsia"/>
              </w:rPr>
              <w:t>0.0107</w:t>
            </w:r>
          </w:p>
        </w:tc>
        <w:tc>
          <w:tcPr>
            <w:tcW w:w="923" w:type="pct"/>
            <w:shd w:val="clear" w:color="auto" w:fill="auto"/>
            <w:noWrap/>
            <w:vAlign w:val="center"/>
          </w:tcPr>
          <w:p>
            <w:pPr>
              <w:pStyle w:val="39"/>
            </w:pPr>
            <w:r>
              <w:rPr>
                <w:rFonts w:hint="eastAsia"/>
              </w:rPr>
              <w:t>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3" w:type="pct"/>
            <w:shd w:val="clear" w:color="auto" w:fill="auto"/>
            <w:noWrap/>
            <w:vAlign w:val="center"/>
          </w:tcPr>
          <w:p>
            <w:pPr>
              <w:pStyle w:val="39"/>
            </w:pPr>
            <w:r>
              <w:rPr>
                <w:rFonts w:hint="eastAsia"/>
              </w:rPr>
              <w:t>1000</w:t>
            </w:r>
          </w:p>
        </w:tc>
        <w:tc>
          <w:tcPr>
            <w:tcW w:w="1237" w:type="pct"/>
            <w:shd w:val="clear" w:color="auto" w:fill="auto"/>
            <w:noWrap/>
            <w:vAlign w:val="center"/>
          </w:tcPr>
          <w:p>
            <w:pPr>
              <w:pStyle w:val="39"/>
            </w:pPr>
            <w:r>
              <w:rPr>
                <w:rFonts w:hint="eastAsia"/>
              </w:rPr>
              <w:t>0.0004</w:t>
            </w:r>
          </w:p>
        </w:tc>
        <w:tc>
          <w:tcPr>
            <w:tcW w:w="887" w:type="pct"/>
            <w:shd w:val="clear" w:color="auto" w:fill="auto"/>
            <w:noWrap/>
            <w:vAlign w:val="center"/>
          </w:tcPr>
          <w:p>
            <w:pPr>
              <w:pStyle w:val="39"/>
            </w:pPr>
            <w:r>
              <w:rPr>
                <w:rFonts w:hint="eastAsia"/>
              </w:rPr>
              <w:t>4.05</w:t>
            </w:r>
          </w:p>
        </w:tc>
        <w:tc>
          <w:tcPr>
            <w:tcW w:w="1200" w:type="pct"/>
            <w:shd w:val="clear" w:color="auto" w:fill="auto"/>
            <w:noWrap/>
            <w:vAlign w:val="center"/>
          </w:tcPr>
          <w:p>
            <w:pPr>
              <w:pStyle w:val="39"/>
            </w:pPr>
            <w:r>
              <w:rPr>
                <w:rFonts w:hint="eastAsia"/>
              </w:rPr>
              <w:t>0.0101</w:t>
            </w:r>
          </w:p>
        </w:tc>
        <w:tc>
          <w:tcPr>
            <w:tcW w:w="923" w:type="pct"/>
            <w:shd w:val="clear" w:color="auto" w:fill="auto"/>
            <w:noWrap/>
            <w:vAlign w:val="center"/>
          </w:tcPr>
          <w:p>
            <w:pPr>
              <w:pStyle w:val="39"/>
            </w:pPr>
            <w:r>
              <w:rPr>
                <w:rFonts w:hint="eastAsia"/>
              </w:rPr>
              <w:t>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3" w:type="pct"/>
            <w:shd w:val="clear" w:color="auto" w:fill="auto"/>
            <w:noWrap/>
            <w:vAlign w:val="center"/>
          </w:tcPr>
          <w:p>
            <w:pPr>
              <w:pStyle w:val="39"/>
            </w:pPr>
            <w:r>
              <w:t>最大落地浓度及占标率</w:t>
            </w:r>
          </w:p>
        </w:tc>
        <w:tc>
          <w:tcPr>
            <w:tcW w:w="1237" w:type="pct"/>
            <w:shd w:val="clear" w:color="auto" w:fill="auto"/>
            <w:noWrap/>
            <w:vAlign w:val="center"/>
          </w:tcPr>
          <w:p>
            <w:pPr>
              <w:pStyle w:val="39"/>
              <w:rPr>
                <w:b/>
              </w:rPr>
            </w:pPr>
            <w:r>
              <w:rPr>
                <w:rFonts w:hint="eastAsia"/>
                <w:b/>
              </w:rPr>
              <w:t>0.0005</w:t>
            </w:r>
          </w:p>
        </w:tc>
        <w:tc>
          <w:tcPr>
            <w:tcW w:w="887" w:type="pct"/>
            <w:shd w:val="clear" w:color="auto" w:fill="auto"/>
            <w:noWrap/>
            <w:vAlign w:val="center"/>
          </w:tcPr>
          <w:p>
            <w:pPr>
              <w:pStyle w:val="39"/>
              <w:rPr>
                <w:b/>
              </w:rPr>
            </w:pPr>
            <w:r>
              <w:rPr>
                <w:rFonts w:hint="eastAsia"/>
                <w:b/>
              </w:rPr>
              <w:t>5.49</w:t>
            </w:r>
          </w:p>
        </w:tc>
        <w:tc>
          <w:tcPr>
            <w:tcW w:w="1200" w:type="pct"/>
            <w:shd w:val="clear" w:color="auto" w:fill="auto"/>
            <w:noWrap/>
            <w:vAlign w:val="center"/>
          </w:tcPr>
          <w:p>
            <w:pPr>
              <w:pStyle w:val="39"/>
              <w:rPr>
                <w:b/>
              </w:rPr>
            </w:pPr>
            <w:r>
              <w:rPr>
                <w:rFonts w:hint="eastAsia"/>
                <w:b/>
              </w:rPr>
              <w:t>0.0137</w:t>
            </w:r>
          </w:p>
        </w:tc>
        <w:tc>
          <w:tcPr>
            <w:tcW w:w="923" w:type="pct"/>
            <w:shd w:val="clear" w:color="auto" w:fill="auto"/>
            <w:noWrap/>
            <w:vAlign w:val="center"/>
          </w:tcPr>
          <w:p>
            <w:pPr>
              <w:pStyle w:val="39"/>
              <w:rPr>
                <w:b/>
              </w:rPr>
            </w:pPr>
            <w:r>
              <w:rPr>
                <w:rFonts w:hint="eastAsia"/>
                <w:b/>
              </w:rPr>
              <w:t>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3" w:type="pct"/>
            <w:shd w:val="clear" w:color="auto" w:fill="auto"/>
            <w:noWrap/>
            <w:vAlign w:val="center"/>
          </w:tcPr>
          <w:p>
            <w:pPr>
              <w:pStyle w:val="39"/>
            </w:pPr>
            <w:r>
              <w:t>最大浓度出现距离（m）</w:t>
            </w:r>
          </w:p>
        </w:tc>
        <w:tc>
          <w:tcPr>
            <w:tcW w:w="2124" w:type="pct"/>
            <w:gridSpan w:val="2"/>
            <w:shd w:val="clear" w:color="auto" w:fill="auto"/>
            <w:noWrap/>
            <w:vAlign w:val="center"/>
          </w:tcPr>
          <w:p>
            <w:pPr>
              <w:pStyle w:val="39"/>
            </w:pPr>
            <w:r>
              <w:t>229</w:t>
            </w:r>
          </w:p>
        </w:tc>
        <w:tc>
          <w:tcPr>
            <w:tcW w:w="2123" w:type="pct"/>
            <w:gridSpan w:val="2"/>
            <w:shd w:val="clear" w:color="auto" w:fill="auto"/>
            <w:noWrap/>
            <w:vAlign w:val="center"/>
          </w:tcPr>
          <w:p>
            <w:pPr>
              <w:pStyle w:val="39"/>
            </w:pPr>
            <w:r>
              <w:t>229</w:t>
            </w:r>
          </w:p>
        </w:tc>
      </w:tr>
    </w:tbl>
    <w:p>
      <w:pPr>
        <w:pStyle w:val="3"/>
        <w:ind w:firstLine="480"/>
        <w:rPr>
          <w:rFonts w:cs="Times New Roman"/>
        </w:rPr>
      </w:pPr>
    </w:p>
    <w:p>
      <w:pPr>
        <w:pStyle w:val="3"/>
        <w:ind w:firstLine="480"/>
        <w:rPr>
          <w:rFonts w:cs="Times New Roman"/>
        </w:rPr>
      </w:pPr>
      <w:r>
        <w:rPr>
          <w:rFonts w:cs="Times New Roman"/>
        </w:rPr>
        <w:t>（2）影响分析</w:t>
      </w:r>
    </w:p>
    <w:p>
      <w:pPr>
        <w:pStyle w:val="3"/>
        <w:ind w:firstLine="480"/>
        <w:rPr>
          <w:rFonts w:cs="Times New Roman"/>
        </w:rPr>
      </w:pPr>
      <w:r>
        <w:rPr>
          <w:rFonts w:cs="Times New Roman"/>
        </w:rPr>
        <w:t>经预测计算，在正常排放情况下，无组织排放的H</w:t>
      </w:r>
      <w:r>
        <w:rPr>
          <w:rFonts w:cs="Times New Roman"/>
          <w:vertAlign w:val="subscript"/>
        </w:rPr>
        <w:t>2</w:t>
      </w:r>
      <w:r>
        <w:rPr>
          <w:rFonts w:cs="Times New Roman"/>
        </w:rPr>
        <w:t>S、NH</w:t>
      </w:r>
      <w:r>
        <w:rPr>
          <w:rFonts w:cs="Times New Roman"/>
          <w:vertAlign w:val="subscript"/>
        </w:rPr>
        <w:t>3</w:t>
      </w:r>
      <w:r>
        <w:rPr>
          <w:rFonts w:cs="Times New Roman"/>
        </w:rPr>
        <w:t>排放最大落地浓度分别为0.0005mg/m</w:t>
      </w:r>
      <w:r>
        <w:rPr>
          <w:rFonts w:cs="Times New Roman"/>
          <w:vertAlign w:val="superscript"/>
        </w:rPr>
        <w:t>3</w:t>
      </w:r>
      <w:r>
        <w:rPr>
          <w:rFonts w:cs="Times New Roman"/>
        </w:rPr>
        <w:t>＜0.06mg/m</w:t>
      </w:r>
      <w:r>
        <w:rPr>
          <w:rFonts w:cs="Times New Roman"/>
          <w:vertAlign w:val="superscript"/>
        </w:rPr>
        <w:t>3</w:t>
      </w:r>
      <w:r>
        <w:rPr>
          <w:rFonts w:cs="Times New Roman"/>
        </w:rPr>
        <w:t>、0.0137mg/m</w:t>
      </w:r>
      <w:r>
        <w:rPr>
          <w:rFonts w:cs="Times New Roman"/>
          <w:vertAlign w:val="superscript"/>
        </w:rPr>
        <w:t>3</w:t>
      </w:r>
      <w:r>
        <w:rPr>
          <w:rFonts w:cs="Times New Roman"/>
        </w:rPr>
        <w:t>＜1.5mg/m</w:t>
      </w:r>
      <w:r>
        <w:rPr>
          <w:rFonts w:cs="Times New Roman"/>
          <w:vertAlign w:val="superscript"/>
        </w:rPr>
        <w:t>3</w:t>
      </w:r>
      <w:r>
        <w:rPr>
          <w:rFonts w:cs="Times New Roman"/>
        </w:rPr>
        <w:t>，浓度占标率为5.49%、6.86%，最大落地浓度距离污染源229m；最大落地浓度可以达到《恶臭污染物排放标准》（GB14554-93）要求（H</w:t>
      </w:r>
      <w:r>
        <w:rPr>
          <w:rFonts w:cs="Times New Roman"/>
          <w:vertAlign w:val="subscript"/>
        </w:rPr>
        <w:t>2</w:t>
      </w:r>
      <w:r>
        <w:rPr>
          <w:rFonts w:cs="Times New Roman"/>
        </w:rPr>
        <w:t>S＜0.06mg/m</w:t>
      </w:r>
      <w:r>
        <w:rPr>
          <w:rFonts w:cs="Times New Roman"/>
          <w:vertAlign w:val="superscript"/>
        </w:rPr>
        <w:t>3</w:t>
      </w:r>
      <w:r>
        <w:rPr>
          <w:rFonts w:cs="Times New Roman"/>
        </w:rPr>
        <w:t>、NH</w:t>
      </w:r>
      <w:r>
        <w:rPr>
          <w:rFonts w:cs="Times New Roman"/>
          <w:vertAlign w:val="subscript"/>
        </w:rPr>
        <w:t>3</w:t>
      </w:r>
      <w:r>
        <w:rPr>
          <w:rFonts w:cs="Times New Roman"/>
        </w:rPr>
        <w:t>＜1.5mg/m</w:t>
      </w:r>
      <w:r>
        <w:rPr>
          <w:rFonts w:cs="Times New Roman"/>
          <w:vertAlign w:val="superscript"/>
        </w:rPr>
        <w:t>3</w:t>
      </w:r>
      <w:r>
        <w:rPr>
          <w:rFonts w:cs="Times New Roman"/>
        </w:rPr>
        <w:t>），且同时满足《环境影响评价技术导则—大气环境》（HJ2.2-2018）附录D对H</w:t>
      </w:r>
      <w:r>
        <w:rPr>
          <w:rFonts w:cs="Times New Roman"/>
          <w:vertAlign w:val="subscript"/>
        </w:rPr>
        <w:t>2</w:t>
      </w:r>
      <w:r>
        <w:rPr>
          <w:rFonts w:cs="Times New Roman"/>
        </w:rPr>
        <w:t>S＜0.01mg/m</w:t>
      </w:r>
      <w:r>
        <w:rPr>
          <w:rFonts w:cs="Times New Roman"/>
          <w:vertAlign w:val="superscript"/>
        </w:rPr>
        <w:t>3</w:t>
      </w:r>
      <w:r>
        <w:rPr>
          <w:rFonts w:cs="Times New Roman"/>
        </w:rPr>
        <w:t>、NH</w:t>
      </w:r>
      <w:r>
        <w:rPr>
          <w:rFonts w:cs="Times New Roman"/>
          <w:vertAlign w:val="subscript"/>
        </w:rPr>
        <w:t>3</w:t>
      </w:r>
      <w:r>
        <w:rPr>
          <w:rFonts w:cs="Times New Roman"/>
        </w:rPr>
        <w:t>＜0.2mg/m</w:t>
      </w:r>
      <w:r>
        <w:rPr>
          <w:rFonts w:cs="Times New Roman"/>
          <w:vertAlign w:val="superscript"/>
        </w:rPr>
        <w:t>3</w:t>
      </w:r>
      <w:r>
        <w:rPr>
          <w:rFonts w:cs="Times New Roman"/>
        </w:rPr>
        <w:t>的空气质量要求；因此，本项目废气通过处理后排放对区域环境空气影响较小。</w:t>
      </w:r>
    </w:p>
    <w:p>
      <w:pPr>
        <w:pStyle w:val="3"/>
        <w:ind w:firstLine="480"/>
        <w:rPr>
          <w:rFonts w:cs="Times New Roman"/>
        </w:rPr>
      </w:pPr>
      <w:r>
        <w:rPr>
          <w:rFonts w:cs="Times New Roman"/>
        </w:rPr>
        <w:t>本项目污染物最大落地浓度出现在229m处，且由于贡献值较小，叠加本底值后，预测值与目前区域环境空气质量监测结果基本一致，不会增加区域环境质量的负荷。</w:t>
      </w:r>
    </w:p>
    <w:p>
      <w:pPr>
        <w:pStyle w:val="7"/>
      </w:pPr>
      <w:r>
        <w:rPr>
          <w:rFonts w:hint="eastAsia"/>
        </w:rPr>
        <w:t>锅炉</w:t>
      </w:r>
      <w:r>
        <w:t>废气对环境影响分析</w:t>
      </w:r>
    </w:p>
    <w:p>
      <w:pPr>
        <w:pStyle w:val="3"/>
        <w:ind w:firstLine="480"/>
        <w:rPr>
          <w:rFonts w:cs="Times New Roman"/>
        </w:rPr>
      </w:pPr>
      <w:r>
        <w:rPr>
          <w:rFonts w:hint="eastAsia"/>
        </w:rPr>
        <w:t>项目</w:t>
      </w:r>
      <w:r>
        <w:t>育雏过程</w:t>
      </w:r>
      <w:r>
        <w:rPr>
          <w:rFonts w:hint="eastAsia"/>
        </w:rPr>
        <w:t>中冬季需要供暖，拟采用生物质颗粒锅炉供暖，锅炉使用过程中燃烧废气通过布袋除尘器除尘后经</w:t>
      </w:r>
      <w:r>
        <w:t>20</w:t>
      </w:r>
      <w:r>
        <w:rPr>
          <w:rFonts w:hint="eastAsia"/>
        </w:rPr>
        <w:t>m排气筒排放。</w:t>
      </w:r>
      <w:r>
        <w:rPr>
          <w:rFonts w:cs="Times New Roman"/>
        </w:rPr>
        <w:t>根据表5.2-1锅炉燃烧废气的参数情况，估算本项目锅炉燃烧废气污染情况，见</w:t>
      </w:r>
      <w:r>
        <w:rPr>
          <w:rFonts w:hint="eastAsia" w:cs="Times New Roman"/>
        </w:rPr>
        <w:t>下表</w:t>
      </w:r>
      <w:r>
        <w:rPr>
          <w:rFonts w:cs="Times New Roman"/>
        </w:rPr>
        <w:t>。</w:t>
      </w:r>
    </w:p>
    <w:p>
      <w:pPr>
        <w:pStyle w:val="15"/>
        <w:rPr>
          <w:rFonts w:cs="Times New Roman"/>
        </w:rPr>
      </w:pPr>
      <w:r>
        <w:rPr>
          <w:rFonts w:cs="Times New Roman"/>
        </w:rPr>
        <w:t>表5.2-</w:t>
      </w:r>
      <w:r>
        <w:rPr>
          <w:rFonts w:hint="eastAsia" w:cs="Times New Roman"/>
        </w:rPr>
        <w:t>4</w:t>
      </w:r>
      <w:r>
        <w:rPr>
          <w:rFonts w:cs="Times New Roman"/>
        </w:rPr>
        <w:t xml:space="preserve">   锅炉燃烧废气预测结果一览表</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7"/>
        <w:gridCol w:w="1416"/>
        <w:gridCol w:w="1134"/>
        <w:gridCol w:w="1422"/>
        <w:gridCol w:w="1137"/>
        <w:gridCol w:w="1418"/>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blHeader/>
        </w:trPr>
        <w:tc>
          <w:tcPr>
            <w:tcW w:w="832" w:type="pct"/>
            <w:vMerge w:val="restart"/>
            <w:shd w:val="clear" w:color="auto" w:fill="auto"/>
            <w:noWrap/>
            <w:vAlign w:val="center"/>
          </w:tcPr>
          <w:p>
            <w:pPr>
              <w:pStyle w:val="39"/>
              <w:rPr>
                <w:rFonts w:cs="Times New Roman"/>
              </w:rPr>
            </w:pPr>
            <w:r>
              <w:rPr>
                <w:rFonts w:cs="Times New Roman"/>
              </w:rPr>
              <w:t>距源中心下风向距离</w:t>
            </w:r>
          </w:p>
          <w:p>
            <w:pPr>
              <w:pStyle w:val="39"/>
              <w:rPr>
                <w:rFonts w:cs="Times New Roman"/>
              </w:rPr>
            </w:pPr>
            <w:r>
              <w:rPr>
                <w:rFonts w:cs="Times New Roman"/>
              </w:rPr>
              <w:t>D（m）</w:t>
            </w:r>
          </w:p>
        </w:tc>
        <w:tc>
          <w:tcPr>
            <w:tcW w:w="1390" w:type="pct"/>
            <w:gridSpan w:val="2"/>
            <w:shd w:val="clear" w:color="auto" w:fill="auto"/>
            <w:noWrap/>
            <w:vAlign w:val="center"/>
          </w:tcPr>
          <w:p>
            <w:pPr>
              <w:pStyle w:val="39"/>
              <w:rPr>
                <w:rFonts w:cs="Times New Roman"/>
              </w:rPr>
            </w:pPr>
            <w:r>
              <w:rPr>
                <w:rFonts w:cs="Times New Roman"/>
              </w:rPr>
              <w:t>SO</w:t>
            </w:r>
            <w:r>
              <w:rPr>
                <w:rFonts w:cs="Times New Roman"/>
                <w:vertAlign w:val="subscript"/>
              </w:rPr>
              <w:t>2</w:t>
            </w:r>
          </w:p>
        </w:tc>
        <w:tc>
          <w:tcPr>
            <w:tcW w:w="1395" w:type="pct"/>
            <w:gridSpan w:val="2"/>
            <w:shd w:val="clear" w:color="auto" w:fill="auto"/>
            <w:noWrap/>
            <w:vAlign w:val="center"/>
          </w:tcPr>
          <w:p>
            <w:pPr>
              <w:pStyle w:val="39"/>
              <w:rPr>
                <w:rFonts w:cs="Times New Roman"/>
              </w:rPr>
            </w:pPr>
            <w:r>
              <w:rPr>
                <w:rFonts w:cs="Times New Roman"/>
              </w:rPr>
              <w:t>NO</w:t>
            </w:r>
            <w:r>
              <w:rPr>
                <w:rFonts w:cs="Times New Roman"/>
                <w:vertAlign w:val="subscript"/>
              </w:rPr>
              <w:t>X</w:t>
            </w:r>
          </w:p>
        </w:tc>
        <w:tc>
          <w:tcPr>
            <w:tcW w:w="1383" w:type="pct"/>
            <w:gridSpan w:val="2"/>
            <w:vAlign w:val="center"/>
          </w:tcPr>
          <w:p>
            <w:pPr>
              <w:pStyle w:val="39"/>
              <w:rPr>
                <w:rFonts w:cs="Times New Roman"/>
              </w:rPr>
            </w:pPr>
            <w:r>
              <w:rPr>
                <w:rFonts w:cs="Times New Roman"/>
              </w:rPr>
              <w:t>TSP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blHeader/>
        </w:trPr>
        <w:tc>
          <w:tcPr>
            <w:tcW w:w="832" w:type="pct"/>
            <w:vMerge w:val="continue"/>
            <w:shd w:val="clear" w:color="auto" w:fill="auto"/>
            <w:noWrap/>
            <w:vAlign w:val="center"/>
          </w:tcPr>
          <w:p>
            <w:pPr>
              <w:pStyle w:val="39"/>
              <w:rPr>
                <w:rFonts w:cs="Times New Roman"/>
              </w:rPr>
            </w:pPr>
          </w:p>
        </w:tc>
        <w:tc>
          <w:tcPr>
            <w:tcW w:w="772" w:type="pct"/>
            <w:shd w:val="clear" w:color="auto" w:fill="auto"/>
            <w:noWrap/>
            <w:vAlign w:val="center"/>
          </w:tcPr>
          <w:p>
            <w:pPr>
              <w:pStyle w:val="39"/>
              <w:rPr>
                <w:rFonts w:cs="Times New Roman"/>
              </w:rPr>
            </w:pPr>
            <w:r>
              <w:rPr>
                <w:rFonts w:cs="Times New Roman"/>
              </w:rPr>
              <w:t>预测浓度Ci</w:t>
            </w:r>
          </w:p>
          <w:p>
            <w:pPr>
              <w:pStyle w:val="39"/>
              <w:rPr>
                <w:rFonts w:cs="Times New Roman"/>
              </w:rPr>
            </w:pPr>
            <w:r>
              <w:rPr>
                <w:rFonts w:cs="Times New Roman"/>
              </w:rPr>
              <w:t>（mg/m</w:t>
            </w:r>
            <w:r>
              <w:rPr>
                <w:rFonts w:cs="Times New Roman"/>
                <w:vertAlign w:val="superscript"/>
              </w:rPr>
              <w:t>3</w:t>
            </w:r>
            <w:r>
              <w:rPr>
                <w:rFonts w:cs="Times New Roman"/>
              </w:rPr>
              <w:t>）</w:t>
            </w:r>
          </w:p>
        </w:tc>
        <w:tc>
          <w:tcPr>
            <w:tcW w:w="618" w:type="pct"/>
            <w:shd w:val="clear" w:color="auto" w:fill="auto"/>
            <w:noWrap/>
            <w:vAlign w:val="center"/>
          </w:tcPr>
          <w:p>
            <w:pPr>
              <w:pStyle w:val="39"/>
              <w:rPr>
                <w:rFonts w:cs="Times New Roman"/>
              </w:rPr>
            </w:pPr>
            <w:r>
              <w:rPr>
                <w:rFonts w:cs="Times New Roman"/>
              </w:rPr>
              <w:t>占标率Pi</w:t>
            </w:r>
          </w:p>
          <w:p>
            <w:pPr>
              <w:pStyle w:val="39"/>
              <w:rPr>
                <w:rFonts w:cs="Times New Roman"/>
              </w:rPr>
            </w:pPr>
            <w:r>
              <w:rPr>
                <w:rFonts w:cs="Times New Roman"/>
              </w:rPr>
              <w:t>（%）</w:t>
            </w:r>
          </w:p>
        </w:tc>
        <w:tc>
          <w:tcPr>
            <w:tcW w:w="775" w:type="pct"/>
            <w:shd w:val="clear" w:color="auto" w:fill="auto"/>
            <w:noWrap/>
            <w:vAlign w:val="center"/>
          </w:tcPr>
          <w:p>
            <w:pPr>
              <w:pStyle w:val="39"/>
              <w:rPr>
                <w:rFonts w:cs="Times New Roman"/>
              </w:rPr>
            </w:pPr>
            <w:r>
              <w:rPr>
                <w:rFonts w:cs="Times New Roman"/>
              </w:rPr>
              <w:t>预测浓度Ci</w:t>
            </w:r>
          </w:p>
          <w:p>
            <w:pPr>
              <w:pStyle w:val="39"/>
              <w:rPr>
                <w:rFonts w:cs="Times New Roman"/>
              </w:rPr>
            </w:pPr>
            <w:r>
              <w:rPr>
                <w:rFonts w:cs="Times New Roman"/>
              </w:rPr>
              <w:t>（mg/m</w:t>
            </w:r>
            <w:r>
              <w:rPr>
                <w:rFonts w:cs="Times New Roman"/>
                <w:vertAlign w:val="superscript"/>
              </w:rPr>
              <w:t>3</w:t>
            </w:r>
            <w:r>
              <w:rPr>
                <w:rFonts w:cs="Times New Roman"/>
              </w:rPr>
              <w:t>）</w:t>
            </w:r>
          </w:p>
        </w:tc>
        <w:tc>
          <w:tcPr>
            <w:tcW w:w="620" w:type="pct"/>
            <w:shd w:val="clear" w:color="auto" w:fill="auto"/>
            <w:noWrap/>
            <w:vAlign w:val="center"/>
          </w:tcPr>
          <w:p>
            <w:pPr>
              <w:pStyle w:val="39"/>
              <w:rPr>
                <w:rFonts w:cs="Times New Roman"/>
              </w:rPr>
            </w:pPr>
            <w:r>
              <w:rPr>
                <w:rFonts w:cs="Times New Roman"/>
              </w:rPr>
              <w:t>占标率Pi</w:t>
            </w:r>
          </w:p>
          <w:p>
            <w:pPr>
              <w:pStyle w:val="39"/>
              <w:rPr>
                <w:rFonts w:cs="Times New Roman"/>
              </w:rPr>
            </w:pPr>
            <w:r>
              <w:rPr>
                <w:rFonts w:cs="Times New Roman"/>
              </w:rPr>
              <w:t>（%）</w:t>
            </w:r>
          </w:p>
        </w:tc>
        <w:tc>
          <w:tcPr>
            <w:tcW w:w="773" w:type="pct"/>
            <w:vAlign w:val="center"/>
          </w:tcPr>
          <w:p>
            <w:pPr>
              <w:pStyle w:val="39"/>
              <w:rPr>
                <w:rFonts w:cs="Times New Roman"/>
              </w:rPr>
            </w:pPr>
            <w:r>
              <w:rPr>
                <w:rFonts w:cs="Times New Roman"/>
              </w:rPr>
              <w:t>预测浓度Ci</w:t>
            </w:r>
          </w:p>
          <w:p>
            <w:pPr>
              <w:pStyle w:val="39"/>
              <w:rPr>
                <w:rFonts w:cs="Times New Roman"/>
              </w:rPr>
            </w:pPr>
            <w:r>
              <w:rPr>
                <w:rFonts w:cs="Times New Roman"/>
              </w:rPr>
              <w:t>（mg/m</w:t>
            </w:r>
            <w:r>
              <w:rPr>
                <w:rFonts w:cs="Times New Roman"/>
                <w:vertAlign w:val="superscript"/>
              </w:rPr>
              <w:t>3</w:t>
            </w:r>
            <w:r>
              <w:rPr>
                <w:rFonts w:cs="Times New Roman"/>
              </w:rPr>
              <w:t>）</w:t>
            </w:r>
          </w:p>
        </w:tc>
        <w:tc>
          <w:tcPr>
            <w:tcW w:w="610" w:type="pct"/>
            <w:vAlign w:val="center"/>
          </w:tcPr>
          <w:p>
            <w:pPr>
              <w:pStyle w:val="39"/>
              <w:rPr>
                <w:rFonts w:cs="Times New Roman"/>
              </w:rPr>
            </w:pPr>
            <w:r>
              <w:rPr>
                <w:rFonts w:cs="Times New Roman"/>
              </w:rPr>
              <w:t>占标率Pi</w:t>
            </w:r>
          </w:p>
          <w:p>
            <w:pPr>
              <w:pStyle w:val="39"/>
              <w:rPr>
                <w:rFonts w:cs="Times New Roman"/>
              </w:rPr>
            </w:pPr>
            <w:r>
              <w:rPr>
                <w:rFonts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832" w:type="pct"/>
            <w:shd w:val="clear" w:color="auto" w:fill="auto"/>
            <w:noWrap/>
            <w:vAlign w:val="center"/>
          </w:tcPr>
          <w:p>
            <w:pPr>
              <w:pStyle w:val="39"/>
              <w:rPr>
                <w:rFonts w:cs="Times New Roman"/>
              </w:rPr>
            </w:pPr>
            <w:r>
              <w:rPr>
                <w:rFonts w:cs="Times New Roman"/>
              </w:rPr>
              <w:t>10</w:t>
            </w:r>
          </w:p>
        </w:tc>
        <w:tc>
          <w:tcPr>
            <w:tcW w:w="772" w:type="pct"/>
            <w:shd w:val="clear" w:color="auto" w:fill="auto"/>
            <w:noWrap/>
            <w:vAlign w:val="center"/>
          </w:tcPr>
          <w:p>
            <w:pPr>
              <w:pStyle w:val="39"/>
              <w:rPr>
                <w:rFonts w:eastAsia="等线" w:cs="Times New Roman"/>
                <w:color w:val="000000"/>
                <w:sz w:val="22"/>
                <w:szCs w:val="22"/>
              </w:rPr>
            </w:pPr>
            <w:r>
              <w:rPr>
                <w:rFonts w:eastAsia="等线" w:cs="Times New Roman"/>
                <w:color w:val="000000"/>
                <w:sz w:val="22"/>
                <w:szCs w:val="22"/>
              </w:rPr>
              <w:t>0</w:t>
            </w:r>
          </w:p>
        </w:tc>
        <w:tc>
          <w:tcPr>
            <w:tcW w:w="618" w:type="pct"/>
            <w:shd w:val="clear" w:color="auto" w:fill="auto"/>
            <w:noWrap/>
            <w:vAlign w:val="center"/>
          </w:tcPr>
          <w:p>
            <w:pPr>
              <w:pStyle w:val="39"/>
              <w:rPr>
                <w:rFonts w:eastAsia="等线" w:cs="Times New Roman"/>
                <w:color w:val="000000"/>
                <w:sz w:val="22"/>
                <w:szCs w:val="22"/>
              </w:rPr>
            </w:pPr>
            <w:r>
              <w:rPr>
                <w:rFonts w:eastAsia="等线" w:cs="Times New Roman"/>
                <w:color w:val="000000"/>
                <w:sz w:val="22"/>
                <w:szCs w:val="22"/>
              </w:rPr>
              <w:t>0.01</w:t>
            </w:r>
          </w:p>
        </w:tc>
        <w:tc>
          <w:tcPr>
            <w:tcW w:w="775" w:type="pct"/>
            <w:shd w:val="clear" w:color="auto" w:fill="auto"/>
            <w:noWrap/>
            <w:vAlign w:val="center"/>
          </w:tcPr>
          <w:p>
            <w:pPr>
              <w:pStyle w:val="39"/>
              <w:rPr>
                <w:rFonts w:eastAsia="等线" w:cs="Times New Roman"/>
                <w:color w:val="000000"/>
                <w:sz w:val="22"/>
                <w:szCs w:val="22"/>
              </w:rPr>
            </w:pPr>
            <w:r>
              <w:rPr>
                <w:rFonts w:eastAsia="等线" w:cs="Times New Roman"/>
                <w:color w:val="000000"/>
                <w:sz w:val="22"/>
                <w:szCs w:val="22"/>
              </w:rPr>
              <w:t>0.0001</w:t>
            </w:r>
          </w:p>
        </w:tc>
        <w:tc>
          <w:tcPr>
            <w:tcW w:w="620" w:type="pct"/>
            <w:shd w:val="clear" w:color="auto" w:fill="auto"/>
            <w:noWrap/>
            <w:vAlign w:val="center"/>
          </w:tcPr>
          <w:p>
            <w:pPr>
              <w:pStyle w:val="39"/>
              <w:rPr>
                <w:rFonts w:eastAsia="等线" w:cs="Times New Roman"/>
                <w:color w:val="000000"/>
                <w:sz w:val="22"/>
                <w:szCs w:val="22"/>
              </w:rPr>
            </w:pPr>
            <w:r>
              <w:rPr>
                <w:rFonts w:eastAsia="等线" w:cs="Times New Roman"/>
                <w:color w:val="000000"/>
                <w:sz w:val="22"/>
                <w:szCs w:val="22"/>
              </w:rPr>
              <w:t>0.04</w:t>
            </w:r>
          </w:p>
        </w:tc>
        <w:tc>
          <w:tcPr>
            <w:tcW w:w="773" w:type="pct"/>
            <w:vAlign w:val="center"/>
          </w:tcPr>
          <w:p>
            <w:pPr>
              <w:pStyle w:val="39"/>
              <w:rPr>
                <w:rFonts w:eastAsia="等线" w:cs="Times New Roman"/>
                <w:color w:val="000000"/>
                <w:sz w:val="22"/>
                <w:szCs w:val="22"/>
              </w:rPr>
            </w:pPr>
            <w:r>
              <w:rPr>
                <w:rFonts w:eastAsia="等线" w:cs="Times New Roman"/>
                <w:color w:val="000000"/>
                <w:sz w:val="22"/>
                <w:szCs w:val="22"/>
              </w:rPr>
              <w:t>0</w:t>
            </w:r>
          </w:p>
        </w:tc>
        <w:tc>
          <w:tcPr>
            <w:tcW w:w="610" w:type="pct"/>
            <w:vAlign w:val="center"/>
          </w:tcPr>
          <w:p>
            <w:pPr>
              <w:pStyle w:val="39"/>
              <w:rPr>
                <w:rFonts w:eastAsia="等线" w:cs="Times New Roman"/>
                <w:color w:val="000000"/>
                <w:sz w:val="22"/>
                <w:szCs w:val="22"/>
              </w:rPr>
            </w:pPr>
            <w:r>
              <w:rPr>
                <w:rFonts w:eastAsia="等线" w:cs="Times New Roman"/>
                <w:color w:val="000000"/>
                <w:sz w:val="22"/>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832" w:type="pct"/>
            <w:shd w:val="clear" w:color="auto" w:fill="auto"/>
            <w:noWrap/>
            <w:vAlign w:val="center"/>
          </w:tcPr>
          <w:p>
            <w:pPr>
              <w:pStyle w:val="39"/>
              <w:rPr>
                <w:rFonts w:cs="Times New Roman"/>
              </w:rPr>
            </w:pPr>
            <w:r>
              <w:rPr>
                <w:rFonts w:cs="Times New Roman"/>
              </w:rPr>
              <w:t>25</w:t>
            </w:r>
          </w:p>
        </w:tc>
        <w:tc>
          <w:tcPr>
            <w:tcW w:w="772" w:type="pct"/>
            <w:shd w:val="clear" w:color="auto" w:fill="auto"/>
            <w:noWrap/>
            <w:vAlign w:val="center"/>
          </w:tcPr>
          <w:p>
            <w:pPr>
              <w:pStyle w:val="39"/>
              <w:rPr>
                <w:rFonts w:eastAsia="等线" w:cs="Times New Roman"/>
                <w:color w:val="000000"/>
                <w:sz w:val="22"/>
                <w:szCs w:val="22"/>
              </w:rPr>
            </w:pPr>
            <w:r>
              <w:rPr>
                <w:rFonts w:eastAsia="等线" w:cs="Times New Roman"/>
                <w:color w:val="000000"/>
                <w:sz w:val="22"/>
                <w:szCs w:val="22"/>
              </w:rPr>
              <w:t>0.001</w:t>
            </w:r>
          </w:p>
        </w:tc>
        <w:tc>
          <w:tcPr>
            <w:tcW w:w="618" w:type="pct"/>
            <w:shd w:val="clear" w:color="auto" w:fill="auto"/>
            <w:noWrap/>
            <w:vAlign w:val="center"/>
          </w:tcPr>
          <w:p>
            <w:pPr>
              <w:pStyle w:val="39"/>
              <w:rPr>
                <w:rFonts w:eastAsia="等线" w:cs="Times New Roman"/>
                <w:color w:val="000000"/>
                <w:sz w:val="22"/>
                <w:szCs w:val="22"/>
              </w:rPr>
            </w:pPr>
            <w:r>
              <w:rPr>
                <w:rFonts w:eastAsia="等线" w:cs="Times New Roman"/>
                <w:color w:val="000000"/>
                <w:sz w:val="22"/>
                <w:szCs w:val="22"/>
              </w:rPr>
              <w:t>0.2</w:t>
            </w:r>
          </w:p>
        </w:tc>
        <w:tc>
          <w:tcPr>
            <w:tcW w:w="775" w:type="pct"/>
            <w:shd w:val="clear" w:color="auto" w:fill="auto"/>
            <w:noWrap/>
            <w:vAlign w:val="center"/>
          </w:tcPr>
          <w:p>
            <w:pPr>
              <w:pStyle w:val="39"/>
              <w:rPr>
                <w:rFonts w:eastAsia="等线" w:cs="Times New Roman"/>
                <w:color w:val="000000"/>
                <w:sz w:val="22"/>
                <w:szCs w:val="22"/>
              </w:rPr>
            </w:pPr>
            <w:r>
              <w:rPr>
                <w:rFonts w:eastAsia="等线" w:cs="Times New Roman"/>
                <w:color w:val="000000"/>
                <w:sz w:val="22"/>
                <w:szCs w:val="22"/>
              </w:rPr>
              <w:t>0.003</w:t>
            </w:r>
          </w:p>
        </w:tc>
        <w:tc>
          <w:tcPr>
            <w:tcW w:w="620" w:type="pct"/>
            <w:shd w:val="clear" w:color="auto" w:fill="auto"/>
            <w:noWrap/>
            <w:vAlign w:val="center"/>
          </w:tcPr>
          <w:p>
            <w:pPr>
              <w:pStyle w:val="39"/>
              <w:rPr>
                <w:rFonts w:eastAsia="等线" w:cs="Times New Roman"/>
                <w:color w:val="000000"/>
                <w:sz w:val="22"/>
                <w:szCs w:val="22"/>
              </w:rPr>
            </w:pPr>
            <w:r>
              <w:rPr>
                <w:rFonts w:eastAsia="等线" w:cs="Times New Roman"/>
                <w:color w:val="000000"/>
                <w:sz w:val="22"/>
                <w:szCs w:val="22"/>
              </w:rPr>
              <w:t>1.21</w:t>
            </w:r>
          </w:p>
        </w:tc>
        <w:tc>
          <w:tcPr>
            <w:tcW w:w="773" w:type="pct"/>
            <w:vAlign w:val="center"/>
          </w:tcPr>
          <w:p>
            <w:pPr>
              <w:pStyle w:val="39"/>
              <w:rPr>
                <w:rFonts w:eastAsia="等线" w:cs="Times New Roman"/>
                <w:color w:val="000000"/>
                <w:sz w:val="22"/>
                <w:szCs w:val="22"/>
              </w:rPr>
            </w:pPr>
            <w:r>
              <w:rPr>
                <w:rFonts w:eastAsia="等线" w:cs="Times New Roman"/>
                <w:color w:val="000000"/>
                <w:sz w:val="22"/>
                <w:szCs w:val="22"/>
              </w:rPr>
              <w:t>0</w:t>
            </w:r>
          </w:p>
        </w:tc>
        <w:tc>
          <w:tcPr>
            <w:tcW w:w="610" w:type="pct"/>
            <w:vAlign w:val="center"/>
          </w:tcPr>
          <w:p>
            <w:pPr>
              <w:pStyle w:val="39"/>
              <w:rPr>
                <w:rFonts w:eastAsia="等线" w:cs="Times New Roman"/>
                <w:color w:val="000000"/>
                <w:sz w:val="22"/>
                <w:szCs w:val="22"/>
              </w:rPr>
            </w:pPr>
            <w:r>
              <w:rPr>
                <w:rFonts w:eastAsia="等线" w:cs="Times New Roman"/>
                <w:color w:val="000000"/>
                <w:sz w:val="22"/>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832" w:type="pct"/>
            <w:shd w:val="clear" w:color="auto" w:fill="auto"/>
            <w:noWrap/>
            <w:vAlign w:val="center"/>
          </w:tcPr>
          <w:p>
            <w:pPr>
              <w:pStyle w:val="39"/>
              <w:rPr>
                <w:rFonts w:cs="Times New Roman"/>
              </w:rPr>
            </w:pPr>
            <w:r>
              <w:rPr>
                <w:rFonts w:cs="Times New Roman"/>
              </w:rPr>
              <w:t>50</w:t>
            </w:r>
          </w:p>
        </w:tc>
        <w:tc>
          <w:tcPr>
            <w:tcW w:w="772" w:type="pct"/>
            <w:shd w:val="clear" w:color="auto" w:fill="auto"/>
            <w:noWrap/>
            <w:vAlign w:val="center"/>
          </w:tcPr>
          <w:p>
            <w:pPr>
              <w:pStyle w:val="39"/>
              <w:rPr>
                <w:rFonts w:eastAsia="等线" w:cs="Times New Roman"/>
                <w:color w:val="000000"/>
                <w:sz w:val="22"/>
                <w:szCs w:val="22"/>
              </w:rPr>
            </w:pPr>
            <w:r>
              <w:rPr>
                <w:rFonts w:eastAsia="等线" w:cs="Times New Roman"/>
                <w:color w:val="000000"/>
                <w:sz w:val="22"/>
                <w:szCs w:val="22"/>
              </w:rPr>
              <w:t>0.0015</w:t>
            </w:r>
          </w:p>
        </w:tc>
        <w:tc>
          <w:tcPr>
            <w:tcW w:w="618" w:type="pct"/>
            <w:shd w:val="clear" w:color="auto" w:fill="auto"/>
            <w:noWrap/>
            <w:vAlign w:val="center"/>
          </w:tcPr>
          <w:p>
            <w:pPr>
              <w:pStyle w:val="39"/>
              <w:rPr>
                <w:rFonts w:eastAsia="等线" w:cs="Times New Roman"/>
                <w:color w:val="000000"/>
                <w:sz w:val="22"/>
                <w:szCs w:val="22"/>
              </w:rPr>
            </w:pPr>
            <w:r>
              <w:rPr>
                <w:rFonts w:eastAsia="等线" w:cs="Times New Roman"/>
                <w:color w:val="000000"/>
                <w:sz w:val="22"/>
                <w:szCs w:val="22"/>
              </w:rPr>
              <w:t>0.3</w:t>
            </w:r>
          </w:p>
        </w:tc>
        <w:tc>
          <w:tcPr>
            <w:tcW w:w="775" w:type="pct"/>
            <w:shd w:val="clear" w:color="auto" w:fill="auto"/>
            <w:noWrap/>
            <w:vAlign w:val="center"/>
          </w:tcPr>
          <w:p>
            <w:pPr>
              <w:pStyle w:val="39"/>
              <w:rPr>
                <w:rFonts w:eastAsia="等线" w:cs="Times New Roman"/>
                <w:color w:val="000000"/>
                <w:sz w:val="22"/>
                <w:szCs w:val="22"/>
              </w:rPr>
            </w:pPr>
            <w:r>
              <w:rPr>
                <w:rFonts w:eastAsia="等线" w:cs="Times New Roman"/>
                <w:color w:val="000000"/>
                <w:sz w:val="22"/>
                <w:szCs w:val="22"/>
              </w:rPr>
              <w:t>0.0044</w:t>
            </w:r>
          </w:p>
        </w:tc>
        <w:tc>
          <w:tcPr>
            <w:tcW w:w="620" w:type="pct"/>
            <w:shd w:val="clear" w:color="auto" w:fill="auto"/>
            <w:noWrap/>
            <w:vAlign w:val="center"/>
          </w:tcPr>
          <w:p>
            <w:pPr>
              <w:pStyle w:val="39"/>
              <w:rPr>
                <w:rFonts w:eastAsia="等线" w:cs="Times New Roman"/>
                <w:color w:val="000000"/>
                <w:sz w:val="22"/>
                <w:szCs w:val="22"/>
              </w:rPr>
            </w:pPr>
            <w:r>
              <w:rPr>
                <w:rFonts w:eastAsia="等线" w:cs="Times New Roman"/>
                <w:color w:val="000000"/>
                <w:sz w:val="22"/>
                <w:szCs w:val="22"/>
              </w:rPr>
              <w:t>1.78</w:t>
            </w:r>
          </w:p>
        </w:tc>
        <w:tc>
          <w:tcPr>
            <w:tcW w:w="773" w:type="pct"/>
            <w:vAlign w:val="center"/>
          </w:tcPr>
          <w:p>
            <w:pPr>
              <w:pStyle w:val="39"/>
              <w:rPr>
                <w:rFonts w:eastAsia="等线" w:cs="Times New Roman"/>
                <w:color w:val="000000"/>
                <w:sz w:val="22"/>
                <w:szCs w:val="22"/>
              </w:rPr>
            </w:pPr>
            <w:r>
              <w:rPr>
                <w:rFonts w:eastAsia="等线" w:cs="Times New Roman"/>
                <w:color w:val="000000"/>
                <w:sz w:val="22"/>
                <w:szCs w:val="22"/>
              </w:rPr>
              <w:t>0</w:t>
            </w:r>
          </w:p>
        </w:tc>
        <w:tc>
          <w:tcPr>
            <w:tcW w:w="610" w:type="pct"/>
            <w:vAlign w:val="center"/>
          </w:tcPr>
          <w:p>
            <w:pPr>
              <w:pStyle w:val="39"/>
              <w:rPr>
                <w:rFonts w:eastAsia="等线" w:cs="Times New Roman"/>
                <w:color w:val="000000"/>
                <w:sz w:val="22"/>
                <w:szCs w:val="22"/>
              </w:rPr>
            </w:pPr>
            <w:r>
              <w:rPr>
                <w:rFonts w:eastAsia="等线" w:cs="Times New Roman"/>
                <w:color w:val="000000"/>
                <w:sz w:val="22"/>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832" w:type="pct"/>
            <w:shd w:val="clear" w:color="auto" w:fill="auto"/>
            <w:noWrap/>
            <w:vAlign w:val="center"/>
          </w:tcPr>
          <w:p>
            <w:pPr>
              <w:pStyle w:val="39"/>
              <w:rPr>
                <w:rFonts w:cs="Times New Roman"/>
                <w:b/>
              </w:rPr>
            </w:pPr>
            <w:r>
              <w:rPr>
                <w:rFonts w:cs="Times New Roman"/>
                <w:b/>
              </w:rPr>
              <w:t>74</w:t>
            </w:r>
          </w:p>
        </w:tc>
        <w:tc>
          <w:tcPr>
            <w:tcW w:w="772" w:type="pct"/>
            <w:shd w:val="clear" w:color="auto" w:fill="auto"/>
            <w:noWrap/>
            <w:vAlign w:val="center"/>
          </w:tcPr>
          <w:p>
            <w:pPr>
              <w:pStyle w:val="39"/>
              <w:rPr>
                <w:rFonts w:eastAsia="等线" w:cs="Times New Roman"/>
                <w:b/>
                <w:color w:val="000000"/>
                <w:sz w:val="22"/>
                <w:szCs w:val="22"/>
              </w:rPr>
            </w:pPr>
            <w:r>
              <w:rPr>
                <w:rFonts w:eastAsia="等线" w:cs="Times New Roman"/>
                <w:b/>
                <w:color w:val="000000"/>
                <w:sz w:val="22"/>
                <w:szCs w:val="22"/>
              </w:rPr>
              <w:t>0.0017</w:t>
            </w:r>
          </w:p>
        </w:tc>
        <w:tc>
          <w:tcPr>
            <w:tcW w:w="618" w:type="pct"/>
            <w:shd w:val="clear" w:color="auto" w:fill="auto"/>
            <w:noWrap/>
            <w:vAlign w:val="center"/>
          </w:tcPr>
          <w:p>
            <w:pPr>
              <w:pStyle w:val="39"/>
              <w:rPr>
                <w:rFonts w:eastAsia="等线" w:cs="Times New Roman"/>
                <w:b/>
                <w:color w:val="000000"/>
                <w:sz w:val="22"/>
                <w:szCs w:val="22"/>
              </w:rPr>
            </w:pPr>
            <w:r>
              <w:rPr>
                <w:rFonts w:eastAsia="等线" w:cs="Times New Roman"/>
                <w:b/>
                <w:color w:val="000000"/>
                <w:sz w:val="22"/>
                <w:szCs w:val="22"/>
              </w:rPr>
              <w:t>0.33</w:t>
            </w:r>
          </w:p>
        </w:tc>
        <w:tc>
          <w:tcPr>
            <w:tcW w:w="775" w:type="pct"/>
            <w:shd w:val="clear" w:color="auto" w:fill="auto"/>
            <w:noWrap/>
            <w:vAlign w:val="center"/>
          </w:tcPr>
          <w:p>
            <w:pPr>
              <w:pStyle w:val="39"/>
              <w:rPr>
                <w:rFonts w:eastAsia="等线" w:cs="Times New Roman"/>
                <w:b/>
                <w:color w:val="000000"/>
                <w:sz w:val="22"/>
                <w:szCs w:val="22"/>
              </w:rPr>
            </w:pPr>
            <w:r>
              <w:rPr>
                <w:rFonts w:eastAsia="等线" w:cs="Times New Roman"/>
                <w:b/>
                <w:color w:val="000000"/>
                <w:sz w:val="22"/>
                <w:szCs w:val="22"/>
              </w:rPr>
              <w:t>0.005</w:t>
            </w:r>
          </w:p>
        </w:tc>
        <w:tc>
          <w:tcPr>
            <w:tcW w:w="620" w:type="pct"/>
            <w:shd w:val="clear" w:color="auto" w:fill="auto"/>
            <w:noWrap/>
            <w:vAlign w:val="center"/>
          </w:tcPr>
          <w:p>
            <w:pPr>
              <w:pStyle w:val="39"/>
              <w:rPr>
                <w:rFonts w:eastAsia="等线" w:cs="Times New Roman"/>
                <w:b/>
                <w:color w:val="000000"/>
                <w:sz w:val="22"/>
                <w:szCs w:val="22"/>
              </w:rPr>
            </w:pPr>
            <w:r>
              <w:rPr>
                <w:rFonts w:eastAsia="等线" w:cs="Times New Roman"/>
                <w:b/>
                <w:color w:val="000000"/>
                <w:sz w:val="22"/>
                <w:szCs w:val="22"/>
              </w:rPr>
              <w:t>1.99</w:t>
            </w:r>
          </w:p>
        </w:tc>
        <w:tc>
          <w:tcPr>
            <w:tcW w:w="773" w:type="pct"/>
            <w:vAlign w:val="center"/>
          </w:tcPr>
          <w:p>
            <w:pPr>
              <w:pStyle w:val="39"/>
              <w:rPr>
                <w:rFonts w:eastAsia="等线" w:cs="Times New Roman"/>
                <w:b/>
                <w:color w:val="000000"/>
                <w:sz w:val="22"/>
                <w:szCs w:val="22"/>
              </w:rPr>
            </w:pPr>
            <w:r>
              <w:rPr>
                <w:rFonts w:eastAsia="等线" w:cs="Times New Roman"/>
                <w:b/>
                <w:color w:val="000000"/>
                <w:sz w:val="22"/>
                <w:szCs w:val="22"/>
              </w:rPr>
              <w:t>0</w:t>
            </w:r>
          </w:p>
        </w:tc>
        <w:tc>
          <w:tcPr>
            <w:tcW w:w="610" w:type="pct"/>
            <w:vAlign w:val="center"/>
          </w:tcPr>
          <w:p>
            <w:pPr>
              <w:pStyle w:val="39"/>
              <w:rPr>
                <w:rFonts w:eastAsia="等线" w:cs="Times New Roman"/>
                <w:b/>
                <w:color w:val="000000"/>
                <w:sz w:val="22"/>
                <w:szCs w:val="22"/>
              </w:rPr>
            </w:pPr>
            <w:r>
              <w:rPr>
                <w:rFonts w:eastAsia="等线" w:cs="Times New Roman"/>
                <w:b/>
                <w:color w:val="000000"/>
                <w:sz w:val="22"/>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832" w:type="pct"/>
            <w:shd w:val="clear" w:color="auto" w:fill="auto"/>
            <w:noWrap/>
            <w:vAlign w:val="center"/>
          </w:tcPr>
          <w:p>
            <w:pPr>
              <w:pStyle w:val="39"/>
              <w:rPr>
                <w:rFonts w:cs="Times New Roman"/>
              </w:rPr>
            </w:pPr>
            <w:r>
              <w:rPr>
                <w:rFonts w:cs="Times New Roman"/>
              </w:rPr>
              <w:t>75</w:t>
            </w:r>
          </w:p>
        </w:tc>
        <w:tc>
          <w:tcPr>
            <w:tcW w:w="772" w:type="pct"/>
            <w:shd w:val="clear" w:color="auto" w:fill="auto"/>
            <w:noWrap/>
            <w:vAlign w:val="center"/>
          </w:tcPr>
          <w:p>
            <w:pPr>
              <w:pStyle w:val="39"/>
              <w:rPr>
                <w:rFonts w:eastAsia="等线" w:cs="Times New Roman"/>
                <w:color w:val="000000"/>
                <w:sz w:val="22"/>
                <w:szCs w:val="22"/>
              </w:rPr>
            </w:pPr>
            <w:r>
              <w:rPr>
                <w:rFonts w:eastAsia="等线" w:cs="Times New Roman"/>
                <w:color w:val="000000"/>
                <w:sz w:val="22"/>
                <w:szCs w:val="22"/>
              </w:rPr>
              <w:t>0.0017</w:t>
            </w:r>
          </w:p>
        </w:tc>
        <w:tc>
          <w:tcPr>
            <w:tcW w:w="618" w:type="pct"/>
            <w:shd w:val="clear" w:color="auto" w:fill="auto"/>
            <w:noWrap/>
            <w:vAlign w:val="center"/>
          </w:tcPr>
          <w:p>
            <w:pPr>
              <w:pStyle w:val="39"/>
              <w:rPr>
                <w:rFonts w:eastAsia="等线" w:cs="Times New Roman"/>
                <w:color w:val="000000"/>
                <w:sz w:val="22"/>
                <w:szCs w:val="22"/>
              </w:rPr>
            </w:pPr>
            <w:r>
              <w:rPr>
                <w:rFonts w:eastAsia="等线" w:cs="Times New Roman"/>
                <w:color w:val="000000"/>
                <w:sz w:val="22"/>
                <w:szCs w:val="22"/>
              </w:rPr>
              <w:t>0.33</w:t>
            </w:r>
          </w:p>
        </w:tc>
        <w:tc>
          <w:tcPr>
            <w:tcW w:w="775" w:type="pct"/>
            <w:shd w:val="clear" w:color="auto" w:fill="auto"/>
            <w:noWrap/>
            <w:vAlign w:val="center"/>
          </w:tcPr>
          <w:p>
            <w:pPr>
              <w:pStyle w:val="39"/>
              <w:rPr>
                <w:rFonts w:eastAsia="等线" w:cs="Times New Roman"/>
                <w:color w:val="000000"/>
                <w:sz w:val="22"/>
                <w:szCs w:val="22"/>
              </w:rPr>
            </w:pPr>
            <w:r>
              <w:rPr>
                <w:rFonts w:eastAsia="等线" w:cs="Times New Roman"/>
                <w:color w:val="000000"/>
                <w:sz w:val="22"/>
                <w:szCs w:val="22"/>
              </w:rPr>
              <w:t>0.005</w:t>
            </w:r>
          </w:p>
        </w:tc>
        <w:tc>
          <w:tcPr>
            <w:tcW w:w="620" w:type="pct"/>
            <w:shd w:val="clear" w:color="auto" w:fill="auto"/>
            <w:noWrap/>
            <w:vAlign w:val="center"/>
          </w:tcPr>
          <w:p>
            <w:pPr>
              <w:pStyle w:val="39"/>
              <w:rPr>
                <w:rFonts w:eastAsia="等线" w:cs="Times New Roman"/>
                <w:color w:val="000000"/>
                <w:sz w:val="22"/>
                <w:szCs w:val="22"/>
              </w:rPr>
            </w:pPr>
            <w:r>
              <w:rPr>
                <w:rFonts w:eastAsia="等线" w:cs="Times New Roman"/>
                <w:color w:val="000000"/>
                <w:sz w:val="22"/>
                <w:szCs w:val="22"/>
              </w:rPr>
              <w:t>1.99</w:t>
            </w:r>
          </w:p>
        </w:tc>
        <w:tc>
          <w:tcPr>
            <w:tcW w:w="773" w:type="pct"/>
            <w:vAlign w:val="center"/>
          </w:tcPr>
          <w:p>
            <w:pPr>
              <w:pStyle w:val="39"/>
              <w:rPr>
                <w:rFonts w:eastAsia="等线" w:cs="Times New Roman"/>
                <w:color w:val="000000"/>
                <w:sz w:val="22"/>
                <w:szCs w:val="22"/>
              </w:rPr>
            </w:pPr>
            <w:r>
              <w:rPr>
                <w:rFonts w:eastAsia="等线" w:cs="Times New Roman"/>
                <w:color w:val="000000"/>
                <w:sz w:val="22"/>
                <w:szCs w:val="22"/>
              </w:rPr>
              <w:t>0</w:t>
            </w:r>
          </w:p>
        </w:tc>
        <w:tc>
          <w:tcPr>
            <w:tcW w:w="610" w:type="pct"/>
            <w:vAlign w:val="center"/>
          </w:tcPr>
          <w:p>
            <w:pPr>
              <w:pStyle w:val="39"/>
              <w:rPr>
                <w:rFonts w:eastAsia="等线" w:cs="Times New Roman"/>
                <w:color w:val="000000"/>
                <w:sz w:val="22"/>
                <w:szCs w:val="22"/>
              </w:rPr>
            </w:pPr>
            <w:r>
              <w:rPr>
                <w:rFonts w:eastAsia="等线" w:cs="Times New Roman"/>
                <w:color w:val="000000"/>
                <w:sz w:val="22"/>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832" w:type="pct"/>
            <w:shd w:val="clear" w:color="auto" w:fill="auto"/>
            <w:noWrap/>
            <w:vAlign w:val="center"/>
          </w:tcPr>
          <w:p>
            <w:pPr>
              <w:pStyle w:val="39"/>
              <w:rPr>
                <w:rFonts w:cs="Times New Roman"/>
              </w:rPr>
            </w:pPr>
            <w:r>
              <w:rPr>
                <w:rFonts w:cs="Times New Roman"/>
              </w:rPr>
              <w:t>100</w:t>
            </w:r>
          </w:p>
        </w:tc>
        <w:tc>
          <w:tcPr>
            <w:tcW w:w="772" w:type="pct"/>
            <w:shd w:val="clear" w:color="auto" w:fill="auto"/>
            <w:noWrap/>
            <w:vAlign w:val="center"/>
          </w:tcPr>
          <w:p>
            <w:pPr>
              <w:pStyle w:val="39"/>
              <w:rPr>
                <w:rFonts w:eastAsia="等线" w:cs="Times New Roman"/>
                <w:color w:val="000000"/>
                <w:sz w:val="22"/>
                <w:szCs w:val="22"/>
              </w:rPr>
            </w:pPr>
            <w:r>
              <w:rPr>
                <w:rFonts w:eastAsia="等线" w:cs="Times New Roman"/>
                <w:color w:val="000000"/>
                <w:sz w:val="22"/>
                <w:szCs w:val="22"/>
              </w:rPr>
              <w:t>0.0016</w:t>
            </w:r>
          </w:p>
        </w:tc>
        <w:tc>
          <w:tcPr>
            <w:tcW w:w="618" w:type="pct"/>
            <w:shd w:val="clear" w:color="auto" w:fill="auto"/>
            <w:noWrap/>
            <w:vAlign w:val="center"/>
          </w:tcPr>
          <w:p>
            <w:pPr>
              <w:pStyle w:val="39"/>
              <w:rPr>
                <w:rFonts w:eastAsia="等线" w:cs="Times New Roman"/>
                <w:color w:val="000000"/>
                <w:sz w:val="22"/>
                <w:szCs w:val="22"/>
              </w:rPr>
            </w:pPr>
            <w:r>
              <w:rPr>
                <w:rFonts w:eastAsia="等线" w:cs="Times New Roman"/>
                <w:color w:val="000000"/>
                <w:sz w:val="22"/>
                <w:szCs w:val="22"/>
              </w:rPr>
              <w:t>0.31</w:t>
            </w:r>
          </w:p>
        </w:tc>
        <w:tc>
          <w:tcPr>
            <w:tcW w:w="775" w:type="pct"/>
            <w:shd w:val="clear" w:color="auto" w:fill="auto"/>
            <w:noWrap/>
            <w:vAlign w:val="center"/>
          </w:tcPr>
          <w:p>
            <w:pPr>
              <w:pStyle w:val="39"/>
              <w:rPr>
                <w:rFonts w:eastAsia="等线" w:cs="Times New Roman"/>
                <w:color w:val="000000"/>
                <w:sz w:val="22"/>
                <w:szCs w:val="22"/>
              </w:rPr>
            </w:pPr>
            <w:r>
              <w:rPr>
                <w:rFonts w:eastAsia="等线" w:cs="Times New Roman"/>
                <w:color w:val="000000"/>
                <w:sz w:val="22"/>
                <w:szCs w:val="22"/>
              </w:rPr>
              <w:t>0.0047</w:t>
            </w:r>
          </w:p>
        </w:tc>
        <w:tc>
          <w:tcPr>
            <w:tcW w:w="620" w:type="pct"/>
            <w:shd w:val="clear" w:color="auto" w:fill="auto"/>
            <w:noWrap/>
            <w:vAlign w:val="center"/>
          </w:tcPr>
          <w:p>
            <w:pPr>
              <w:pStyle w:val="39"/>
              <w:rPr>
                <w:rFonts w:eastAsia="等线" w:cs="Times New Roman"/>
                <w:color w:val="000000"/>
                <w:sz w:val="22"/>
                <w:szCs w:val="22"/>
              </w:rPr>
            </w:pPr>
            <w:r>
              <w:rPr>
                <w:rFonts w:eastAsia="等线" w:cs="Times New Roman"/>
                <w:color w:val="000000"/>
                <w:sz w:val="22"/>
                <w:szCs w:val="22"/>
              </w:rPr>
              <w:t>1.86</w:t>
            </w:r>
          </w:p>
        </w:tc>
        <w:tc>
          <w:tcPr>
            <w:tcW w:w="773" w:type="pct"/>
            <w:vAlign w:val="center"/>
          </w:tcPr>
          <w:p>
            <w:pPr>
              <w:pStyle w:val="39"/>
              <w:rPr>
                <w:rFonts w:eastAsia="等线" w:cs="Times New Roman"/>
                <w:color w:val="000000"/>
                <w:sz w:val="22"/>
                <w:szCs w:val="22"/>
              </w:rPr>
            </w:pPr>
            <w:r>
              <w:rPr>
                <w:rFonts w:eastAsia="等线" w:cs="Times New Roman"/>
                <w:color w:val="000000"/>
                <w:sz w:val="22"/>
                <w:szCs w:val="22"/>
              </w:rPr>
              <w:t>0</w:t>
            </w:r>
          </w:p>
        </w:tc>
        <w:tc>
          <w:tcPr>
            <w:tcW w:w="610" w:type="pct"/>
            <w:vAlign w:val="center"/>
          </w:tcPr>
          <w:p>
            <w:pPr>
              <w:pStyle w:val="39"/>
              <w:rPr>
                <w:rFonts w:eastAsia="等线" w:cs="Times New Roman"/>
                <w:color w:val="000000"/>
                <w:sz w:val="22"/>
                <w:szCs w:val="22"/>
              </w:rPr>
            </w:pPr>
            <w:r>
              <w:rPr>
                <w:rFonts w:eastAsia="等线" w:cs="Times New Roman"/>
                <w:color w:val="000000"/>
                <w:sz w:val="22"/>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832" w:type="pct"/>
            <w:shd w:val="clear" w:color="auto" w:fill="auto"/>
            <w:noWrap/>
            <w:vAlign w:val="center"/>
          </w:tcPr>
          <w:p>
            <w:pPr>
              <w:pStyle w:val="39"/>
              <w:rPr>
                <w:rFonts w:cs="Times New Roman"/>
              </w:rPr>
            </w:pPr>
            <w:r>
              <w:rPr>
                <w:rFonts w:cs="Times New Roman"/>
              </w:rPr>
              <w:t>200</w:t>
            </w:r>
          </w:p>
        </w:tc>
        <w:tc>
          <w:tcPr>
            <w:tcW w:w="772" w:type="pct"/>
            <w:shd w:val="clear" w:color="auto" w:fill="auto"/>
            <w:noWrap/>
            <w:vAlign w:val="center"/>
          </w:tcPr>
          <w:p>
            <w:pPr>
              <w:pStyle w:val="39"/>
              <w:rPr>
                <w:rFonts w:eastAsia="等线" w:cs="Times New Roman"/>
                <w:color w:val="000000"/>
                <w:sz w:val="22"/>
                <w:szCs w:val="22"/>
              </w:rPr>
            </w:pPr>
            <w:r>
              <w:rPr>
                <w:rFonts w:eastAsia="等线" w:cs="Times New Roman"/>
                <w:color w:val="000000"/>
                <w:sz w:val="22"/>
                <w:szCs w:val="22"/>
              </w:rPr>
              <w:t>0.0011</w:t>
            </w:r>
          </w:p>
        </w:tc>
        <w:tc>
          <w:tcPr>
            <w:tcW w:w="618" w:type="pct"/>
            <w:shd w:val="clear" w:color="auto" w:fill="auto"/>
            <w:noWrap/>
            <w:vAlign w:val="center"/>
          </w:tcPr>
          <w:p>
            <w:pPr>
              <w:pStyle w:val="39"/>
              <w:rPr>
                <w:rFonts w:eastAsia="等线" w:cs="Times New Roman"/>
                <w:color w:val="000000"/>
                <w:sz w:val="22"/>
                <w:szCs w:val="22"/>
              </w:rPr>
            </w:pPr>
            <w:r>
              <w:rPr>
                <w:rFonts w:eastAsia="等线" w:cs="Times New Roman"/>
                <w:color w:val="000000"/>
                <w:sz w:val="22"/>
                <w:szCs w:val="22"/>
              </w:rPr>
              <w:t>0.22</w:t>
            </w:r>
          </w:p>
        </w:tc>
        <w:tc>
          <w:tcPr>
            <w:tcW w:w="775" w:type="pct"/>
            <w:shd w:val="clear" w:color="auto" w:fill="auto"/>
            <w:noWrap/>
            <w:vAlign w:val="center"/>
          </w:tcPr>
          <w:p>
            <w:pPr>
              <w:pStyle w:val="39"/>
              <w:rPr>
                <w:rFonts w:eastAsia="等线" w:cs="Times New Roman"/>
                <w:color w:val="000000"/>
                <w:sz w:val="22"/>
                <w:szCs w:val="22"/>
              </w:rPr>
            </w:pPr>
            <w:r>
              <w:rPr>
                <w:rFonts w:eastAsia="等线" w:cs="Times New Roman"/>
                <w:color w:val="000000"/>
                <w:sz w:val="22"/>
                <w:szCs w:val="22"/>
              </w:rPr>
              <w:t>0.0033</w:t>
            </w:r>
          </w:p>
        </w:tc>
        <w:tc>
          <w:tcPr>
            <w:tcW w:w="620" w:type="pct"/>
            <w:shd w:val="clear" w:color="auto" w:fill="auto"/>
            <w:noWrap/>
            <w:vAlign w:val="center"/>
          </w:tcPr>
          <w:p>
            <w:pPr>
              <w:pStyle w:val="39"/>
              <w:rPr>
                <w:rFonts w:eastAsia="等线" w:cs="Times New Roman"/>
                <w:color w:val="000000"/>
                <w:sz w:val="22"/>
                <w:szCs w:val="22"/>
              </w:rPr>
            </w:pPr>
            <w:r>
              <w:rPr>
                <w:rFonts w:eastAsia="等线" w:cs="Times New Roman"/>
                <w:color w:val="000000"/>
                <w:sz w:val="22"/>
                <w:szCs w:val="22"/>
              </w:rPr>
              <w:t>1.3</w:t>
            </w:r>
          </w:p>
        </w:tc>
        <w:tc>
          <w:tcPr>
            <w:tcW w:w="773" w:type="pct"/>
            <w:vAlign w:val="center"/>
          </w:tcPr>
          <w:p>
            <w:pPr>
              <w:pStyle w:val="39"/>
              <w:rPr>
                <w:rFonts w:eastAsia="等线" w:cs="Times New Roman"/>
                <w:color w:val="000000"/>
                <w:sz w:val="22"/>
                <w:szCs w:val="22"/>
              </w:rPr>
            </w:pPr>
            <w:r>
              <w:rPr>
                <w:rFonts w:eastAsia="等线" w:cs="Times New Roman"/>
                <w:color w:val="000000"/>
                <w:sz w:val="22"/>
                <w:szCs w:val="22"/>
              </w:rPr>
              <w:t>0</w:t>
            </w:r>
          </w:p>
        </w:tc>
        <w:tc>
          <w:tcPr>
            <w:tcW w:w="610" w:type="pct"/>
            <w:vAlign w:val="center"/>
          </w:tcPr>
          <w:p>
            <w:pPr>
              <w:pStyle w:val="39"/>
              <w:rPr>
                <w:rFonts w:eastAsia="等线" w:cs="Times New Roman"/>
                <w:color w:val="000000"/>
                <w:sz w:val="22"/>
                <w:szCs w:val="22"/>
              </w:rPr>
            </w:pPr>
            <w:r>
              <w:rPr>
                <w:rFonts w:eastAsia="等线" w:cs="Times New Roman"/>
                <w:color w:val="000000"/>
                <w:sz w:val="22"/>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832" w:type="pct"/>
            <w:shd w:val="clear" w:color="auto" w:fill="auto"/>
            <w:noWrap/>
            <w:vAlign w:val="center"/>
          </w:tcPr>
          <w:p>
            <w:pPr>
              <w:pStyle w:val="39"/>
              <w:rPr>
                <w:rFonts w:cs="Times New Roman"/>
              </w:rPr>
            </w:pPr>
            <w:r>
              <w:rPr>
                <w:rFonts w:cs="Times New Roman"/>
              </w:rPr>
              <w:t>300</w:t>
            </w:r>
          </w:p>
        </w:tc>
        <w:tc>
          <w:tcPr>
            <w:tcW w:w="772" w:type="pct"/>
            <w:shd w:val="clear" w:color="auto" w:fill="auto"/>
            <w:noWrap/>
            <w:vAlign w:val="center"/>
          </w:tcPr>
          <w:p>
            <w:pPr>
              <w:pStyle w:val="39"/>
              <w:rPr>
                <w:rFonts w:eastAsia="等线" w:cs="Times New Roman"/>
                <w:color w:val="000000"/>
                <w:sz w:val="22"/>
                <w:szCs w:val="22"/>
              </w:rPr>
            </w:pPr>
            <w:r>
              <w:rPr>
                <w:rFonts w:eastAsia="等线" w:cs="Times New Roman"/>
                <w:color w:val="000000"/>
                <w:sz w:val="22"/>
                <w:szCs w:val="22"/>
              </w:rPr>
              <w:t>0.0012</w:t>
            </w:r>
          </w:p>
        </w:tc>
        <w:tc>
          <w:tcPr>
            <w:tcW w:w="618" w:type="pct"/>
            <w:shd w:val="clear" w:color="auto" w:fill="auto"/>
            <w:noWrap/>
            <w:vAlign w:val="center"/>
          </w:tcPr>
          <w:p>
            <w:pPr>
              <w:pStyle w:val="39"/>
              <w:rPr>
                <w:rFonts w:eastAsia="等线" w:cs="Times New Roman"/>
                <w:color w:val="000000"/>
                <w:sz w:val="22"/>
                <w:szCs w:val="22"/>
              </w:rPr>
            </w:pPr>
            <w:r>
              <w:rPr>
                <w:rFonts w:eastAsia="等线" w:cs="Times New Roman"/>
                <w:color w:val="000000"/>
                <w:sz w:val="22"/>
                <w:szCs w:val="22"/>
              </w:rPr>
              <w:t>0.23</w:t>
            </w:r>
          </w:p>
        </w:tc>
        <w:tc>
          <w:tcPr>
            <w:tcW w:w="775" w:type="pct"/>
            <w:shd w:val="clear" w:color="auto" w:fill="auto"/>
            <w:noWrap/>
            <w:vAlign w:val="center"/>
          </w:tcPr>
          <w:p>
            <w:pPr>
              <w:pStyle w:val="39"/>
              <w:rPr>
                <w:rFonts w:eastAsia="等线" w:cs="Times New Roman"/>
                <w:color w:val="000000"/>
                <w:sz w:val="22"/>
                <w:szCs w:val="22"/>
              </w:rPr>
            </w:pPr>
            <w:r>
              <w:rPr>
                <w:rFonts w:eastAsia="等线" w:cs="Times New Roman"/>
                <w:color w:val="000000"/>
                <w:sz w:val="22"/>
                <w:szCs w:val="22"/>
              </w:rPr>
              <w:t>0.0035</w:t>
            </w:r>
          </w:p>
        </w:tc>
        <w:tc>
          <w:tcPr>
            <w:tcW w:w="620" w:type="pct"/>
            <w:shd w:val="clear" w:color="auto" w:fill="auto"/>
            <w:noWrap/>
            <w:vAlign w:val="center"/>
          </w:tcPr>
          <w:p>
            <w:pPr>
              <w:pStyle w:val="39"/>
              <w:rPr>
                <w:rFonts w:eastAsia="等线" w:cs="Times New Roman"/>
                <w:color w:val="000000"/>
                <w:sz w:val="22"/>
                <w:szCs w:val="22"/>
              </w:rPr>
            </w:pPr>
            <w:r>
              <w:rPr>
                <w:rFonts w:eastAsia="等线" w:cs="Times New Roman"/>
                <w:color w:val="000000"/>
                <w:sz w:val="22"/>
                <w:szCs w:val="22"/>
              </w:rPr>
              <w:t>1.41</w:t>
            </w:r>
          </w:p>
        </w:tc>
        <w:tc>
          <w:tcPr>
            <w:tcW w:w="773" w:type="pct"/>
            <w:vAlign w:val="center"/>
          </w:tcPr>
          <w:p>
            <w:pPr>
              <w:pStyle w:val="39"/>
              <w:rPr>
                <w:rFonts w:eastAsia="等线" w:cs="Times New Roman"/>
                <w:color w:val="000000"/>
                <w:sz w:val="22"/>
                <w:szCs w:val="22"/>
              </w:rPr>
            </w:pPr>
            <w:r>
              <w:rPr>
                <w:rFonts w:eastAsia="等线" w:cs="Times New Roman"/>
                <w:color w:val="000000"/>
                <w:sz w:val="22"/>
                <w:szCs w:val="22"/>
              </w:rPr>
              <w:t>0</w:t>
            </w:r>
          </w:p>
        </w:tc>
        <w:tc>
          <w:tcPr>
            <w:tcW w:w="610" w:type="pct"/>
            <w:vAlign w:val="center"/>
          </w:tcPr>
          <w:p>
            <w:pPr>
              <w:pStyle w:val="39"/>
              <w:rPr>
                <w:rFonts w:eastAsia="等线" w:cs="Times New Roman"/>
                <w:color w:val="000000"/>
                <w:sz w:val="22"/>
                <w:szCs w:val="22"/>
              </w:rPr>
            </w:pPr>
            <w:r>
              <w:rPr>
                <w:rFonts w:eastAsia="等线" w:cs="Times New Roman"/>
                <w:color w:val="000000"/>
                <w:sz w:val="22"/>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832" w:type="pct"/>
            <w:shd w:val="clear" w:color="auto" w:fill="auto"/>
            <w:noWrap/>
            <w:vAlign w:val="center"/>
          </w:tcPr>
          <w:p>
            <w:pPr>
              <w:pStyle w:val="39"/>
              <w:rPr>
                <w:rFonts w:cs="Times New Roman"/>
              </w:rPr>
            </w:pPr>
            <w:r>
              <w:rPr>
                <w:rFonts w:cs="Times New Roman"/>
              </w:rPr>
              <w:t>400</w:t>
            </w:r>
          </w:p>
        </w:tc>
        <w:tc>
          <w:tcPr>
            <w:tcW w:w="772" w:type="pct"/>
            <w:shd w:val="clear" w:color="auto" w:fill="auto"/>
            <w:noWrap/>
            <w:vAlign w:val="center"/>
          </w:tcPr>
          <w:p>
            <w:pPr>
              <w:pStyle w:val="39"/>
              <w:rPr>
                <w:rFonts w:eastAsia="等线" w:cs="Times New Roman"/>
                <w:color w:val="000000"/>
                <w:sz w:val="22"/>
                <w:szCs w:val="22"/>
              </w:rPr>
            </w:pPr>
            <w:r>
              <w:rPr>
                <w:rFonts w:eastAsia="等线" w:cs="Times New Roman"/>
                <w:color w:val="000000"/>
                <w:sz w:val="22"/>
                <w:szCs w:val="22"/>
              </w:rPr>
              <w:t>0.001</w:t>
            </w:r>
          </w:p>
        </w:tc>
        <w:tc>
          <w:tcPr>
            <w:tcW w:w="618" w:type="pct"/>
            <w:shd w:val="clear" w:color="auto" w:fill="auto"/>
            <w:noWrap/>
            <w:vAlign w:val="center"/>
          </w:tcPr>
          <w:p>
            <w:pPr>
              <w:pStyle w:val="39"/>
              <w:rPr>
                <w:rFonts w:eastAsia="等线" w:cs="Times New Roman"/>
                <w:color w:val="000000"/>
                <w:sz w:val="22"/>
                <w:szCs w:val="22"/>
              </w:rPr>
            </w:pPr>
            <w:r>
              <w:rPr>
                <w:rFonts w:eastAsia="等线" w:cs="Times New Roman"/>
                <w:color w:val="000000"/>
                <w:sz w:val="22"/>
                <w:szCs w:val="22"/>
              </w:rPr>
              <w:t>0.21</w:t>
            </w:r>
          </w:p>
        </w:tc>
        <w:tc>
          <w:tcPr>
            <w:tcW w:w="775" w:type="pct"/>
            <w:shd w:val="clear" w:color="auto" w:fill="auto"/>
            <w:noWrap/>
            <w:vAlign w:val="center"/>
          </w:tcPr>
          <w:p>
            <w:pPr>
              <w:pStyle w:val="39"/>
              <w:rPr>
                <w:rFonts w:eastAsia="等线" w:cs="Times New Roman"/>
                <w:color w:val="000000"/>
                <w:sz w:val="22"/>
                <w:szCs w:val="22"/>
              </w:rPr>
            </w:pPr>
            <w:r>
              <w:rPr>
                <w:rFonts w:eastAsia="等线" w:cs="Times New Roman"/>
                <w:color w:val="000000"/>
                <w:sz w:val="22"/>
                <w:szCs w:val="22"/>
              </w:rPr>
              <w:t>0.0031</w:t>
            </w:r>
          </w:p>
        </w:tc>
        <w:tc>
          <w:tcPr>
            <w:tcW w:w="620" w:type="pct"/>
            <w:shd w:val="clear" w:color="auto" w:fill="auto"/>
            <w:noWrap/>
            <w:vAlign w:val="center"/>
          </w:tcPr>
          <w:p>
            <w:pPr>
              <w:pStyle w:val="39"/>
              <w:rPr>
                <w:rFonts w:eastAsia="等线" w:cs="Times New Roman"/>
                <w:color w:val="000000"/>
                <w:sz w:val="22"/>
                <w:szCs w:val="22"/>
              </w:rPr>
            </w:pPr>
            <w:r>
              <w:rPr>
                <w:rFonts w:eastAsia="等线" w:cs="Times New Roman"/>
                <w:color w:val="000000"/>
                <w:sz w:val="22"/>
                <w:szCs w:val="22"/>
              </w:rPr>
              <w:t>1.23</w:t>
            </w:r>
          </w:p>
        </w:tc>
        <w:tc>
          <w:tcPr>
            <w:tcW w:w="773" w:type="pct"/>
            <w:vAlign w:val="center"/>
          </w:tcPr>
          <w:p>
            <w:pPr>
              <w:pStyle w:val="39"/>
              <w:rPr>
                <w:rFonts w:eastAsia="等线" w:cs="Times New Roman"/>
                <w:color w:val="000000"/>
                <w:sz w:val="22"/>
                <w:szCs w:val="22"/>
              </w:rPr>
            </w:pPr>
            <w:r>
              <w:rPr>
                <w:rFonts w:eastAsia="等线" w:cs="Times New Roman"/>
                <w:color w:val="000000"/>
                <w:sz w:val="22"/>
                <w:szCs w:val="22"/>
              </w:rPr>
              <w:t>0</w:t>
            </w:r>
          </w:p>
        </w:tc>
        <w:tc>
          <w:tcPr>
            <w:tcW w:w="610" w:type="pct"/>
            <w:vAlign w:val="center"/>
          </w:tcPr>
          <w:p>
            <w:pPr>
              <w:pStyle w:val="39"/>
              <w:rPr>
                <w:rFonts w:eastAsia="等线" w:cs="Times New Roman"/>
                <w:color w:val="000000"/>
                <w:sz w:val="22"/>
                <w:szCs w:val="22"/>
              </w:rPr>
            </w:pPr>
            <w:r>
              <w:rPr>
                <w:rFonts w:eastAsia="等线" w:cs="Times New Roman"/>
                <w:color w:val="000000"/>
                <w:sz w:val="22"/>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832" w:type="pct"/>
            <w:shd w:val="clear" w:color="auto" w:fill="auto"/>
            <w:noWrap/>
            <w:vAlign w:val="center"/>
          </w:tcPr>
          <w:p>
            <w:pPr>
              <w:pStyle w:val="39"/>
              <w:rPr>
                <w:rFonts w:cs="Times New Roman"/>
              </w:rPr>
            </w:pPr>
            <w:r>
              <w:rPr>
                <w:rFonts w:cs="Times New Roman"/>
              </w:rPr>
              <w:t>500</w:t>
            </w:r>
          </w:p>
        </w:tc>
        <w:tc>
          <w:tcPr>
            <w:tcW w:w="772" w:type="pct"/>
            <w:shd w:val="clear" w:color="auto" w:fill="auto"/>
            <w:noWrap/>
            <w:vAlign w:val="center"/>
          </w:tcPr>
          <w:p>
            <w:pPr>
              <w:pStyle w:val="39"/>
              <w:rPr>
                <w:rFonts w:eastAsia="等线" w:cs="Times New Roman"/>
                <w:color w:val="000000"/>
                <w:sz w:val="22"/>
                <w:szCs w:val="22"/>
              </w:rPr>
            </w:pPr>
            <w:r>
              <w:rPr>
                <w:rFonts w:eastAsia="等线" w:cs="Times New Roman"/>
                <w:color w:val="000000"/>
                <w:sz w:val="22"/>
                <w:szCs w:val="22"/>
              </w:rPr>
              <w:t>0.0009</w:t>
            </w:r>
          </w:p>
        </w:tc>
        <w:tc>
          <w:tcPr>
            <w:tcW w:w="618" w:type="pct"/>
            <w:shd w:val="clear" w:color="auto" w:fill="auto"/>
            <w:noWrap/>
            <w:vAlign w:val="center"/>
          </w:tcPr>
          <w:p>
            <w:pPr>
              <w:pStyle w:val="39"/>
              <w:rPr>
                <w:rFonts w:eastAsia="等线" w:cs="Times New Roman"/>
                <w:color w:val="000000"/>
                <w:sz w:val="22"/>
                <w:szCs w:val="22"/>
              </w:rPr>
            </w:pPr>
            <w:r>
              <w:rPr>
                <w:rFonts w:eastAsia="等线" w:cs="Times New Roman"/>
                <w:color w:val="000000"/>
                <w:sz w:val="22"/>
                <w:szCs w:val="22"/>
              </w:rPr>
              <w:t>0.19</w:t>
            </w:r>
          </w:p>
        </w:tc>
        <w:tc>
          <w:tcPr>
            <w:tcW w:w="775" w:type="pct"/>
            <w:shd w:val="clear" w:color="auto" w:fill="auto"/>
            <w:noWrap/>
            <w:vAlign w:val="center"/>
          </w:tcPr>
          <w:p>
            <w:pPr>
              <w:pStyle w:val="39"/>
              <w:rPr>
                <w:rFonts w:eastAsia="等线" w:cs="Times New Roman"/>
                <w:color w:val="000000"/>
                <w:sz w:val="22"/>
                <w:szCs w:val="22"/>
              </w:rPr>
            </w:pPr>
            <w:r>
              <w:rPr>
                <w:rFonts w:eastAsia="等线" w:cs="Times New Roman"/>
                <w:color w:val="000000"/>
                <w:sz w:val="22"/>
                <w:szCs w:val="22"/>
              </w:rPr>
              <w:t>0.0028</w:t>
            </w:r>
          </w:p>
        </w:tc>
        <w:tc>
          <w:tcPr>
            <w:tcW w:w="620" w:type="pct"/>
            <w:shd w:val="clear" w:color="auto" w:fill="auto"/>
            <w:noWrap/>
            <w:vAlign w:val="center"/>
          </w:tcPr>
          <w:p>
            <w:pPr>
              <w:pStyle w:val="39"/>
              <w:rPr>
                <w:rFonts w:eastAsia="等线" w:cs="Times New Roman"/>
                <w:color w:val="000000"/>
                <w:sz w:val="22"/>
                <w:szCs w:val="22"/>
              </w:rPr>
            </w:pPr>
            <w:r>
              <w:rPr>
                <w:rFonts w:eastAsia="等线" w:cs="Times New Roman"/>
                <w:color w:val="000000"/>
                <w:sz w:val="22"/>
                <w:szCs w:val="22"/>
              </w:rPr>
              <w:t>1.11</w:t>
            </w:r>
          </w:p>
        </w:tc>
        <w:tc>
          <w:tcPr>
            <w:tcW w:w="773" w:type="pct"/>
            <w:vAlign w:val="center"/>
          </w:tcPr>
          <w:p>
            <w:pPr>
              <w:pStyle w:val="39"/>
              <w:rPr>
                <w:rFonts w:eastAsia="等线" w:cs="Times New Roman"/>
                <w:color w:val="000000"/>
                <w:sz w:val="22"/>
                <w:szCs w:val="22"/>
              </w:rPr>
            </w:pPr>
            <w:r>
              <w:rPr>
                <w:rFonts w:eastAsia="等线" w:cs="Times New Roman"/>
                <w:color w:val="000000"/>
                <w:sz w:val="22"/>
                <w:szCs w:val="22"/>
              </w:rPr>
              <w:t>0</w:t>
            </w:r>
          </w:p>
        </w:tc>
        <w:tc>
          <w:tcPr>
            <w:tcW w:w="610" w:type="pct"/>
            <w:vAlign w:val="center"/>
          </w:tcPr>
          <w:p>
            <w:pPr>
              <w:pStyle w:val="39"/>
              <w:rPr>
                <w:rFonts w:eastAsia="等线" w:cs="Times New Roman"/>
                <w:color w:val="000000"/>
                <w:sz w:val="22"/>
                <w:szCs w:val="22"/>
              </w:rPr>
            </w:pPr>
            <w:r>
              <w:rPr>
                <w:rFonts w:eastAsia="等线" w:cs="Times New Roman"/>
                <w:color w:val="000000"/>
                <w:sz w:val="22"/>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832" w:type="pct"/>
            <w:shd w:val="clear" w:color="auto" w:fill="auto"/>
            <w:noWrap/>
            <w:vAlign w:val="center"/>
          </w:tcPr>
          <w:p>
            <w:pPr>
              <w:pStyle w:val="39"/>
              <w:rPr>
                <w:rFonts w:cs="Times New Roman"/>
              </w:rPr>
            </w:pPr>
            <w:r>
              <w:rPr>
                <w:rFonts w:cs="Times New Roman"/>
              </w:rPr>
              <w:t>600</w:t>
            </w:r>
          </w:p>
        </w:tc>
        <w:tc>
          <w:tcPr>
            <w:tcW w:w="772" w:type="pct"/>
            <w:shd w:val="clear" w:color="auto" w:fill="auto"/>
            <w:noWrap/>
            <w:vAlign w:val="center"/>
          </w:tcPr>
          <w:p>
            <w:pPr>
              <w:pStyle w:val="39"/>
              <w:rPr>
                <w:rFonts w:eastAsia="等线" w:cs="Times New Roman"/>
                <w:color w:val="000000"/>
                <w:sz w:val="22"/>
                <w:szCs w:val="22"/>
              </w:rPr>
            </w:pPr>
            <w:r>
              <w:rPr>
                <w:rFonts w:eastAsia="等线" w:cs="Times New Roman"/>
                <w:color w:val="000000"/>
                <w:sz w:val="22"/>
                <w:szCs w:val="22"/>
              </w:rPr>
              <w:t>0.0009</w:t>
            </w:r>
          </w:p>
        </w:tc>
        <w:tc>
          <w:tcPr>
            <w:tcW w:w="618" w:type="pct"/>
            <w:shd w:val="clear" w:color="auto" w:fill="auto"/>
            <w:noWrap/>
            <w:vAlign w:val="center"/>
          </w:tcPr>
          <w:p>
            <w:pPr>
              <w:pStyle w:val="39"/>
              <w:rPr>
                <w:rFonts w:eastAsia="等线" w:cs="Times New Roman"/>
                <w:color w:val="000000"/>
                <w:sz w:val="22"/>
                <w:szCs w:val="22"/>
              </w:rPr>
            </w:pPr>
            <w:r>
              <w:rPr>
                <w:rFonts w:eastAsia="等线" w:cs="Times New Roman"/>
                <w:color w:val="000000"/>
                <w:sz w:val="22"/>
                <w:szCs w:val="22"/>
              </w:rPr>
              <w:t>0.17</w:t>
            </w:r>
          </w:p>
        </w:tc>
        <w:tc>
          <w:tcPr>
            <w:tcW w:w="775" w:type="pct"/>
            <w:shd w:val="clear" w:color="auto" w:fill="auto"/>
            <w:noWrap/>
            <w:vAlign w:val="center"/>
          </w:tcPr>
          <w:p>
            <w:pPr>
              <w:pStyle w:val="39"/>
              <w:rPr>
                <w:rFonts w:eastAsia="等线" w:cs="Times New Roman"/>
                <w:color w:val="000000"/>
                <w:sz w:val="22"/>
                <w:szCs w:val="22"/>
              </w:rPr>
            </w:pPr>
            <w:r>
              <w:rPr>
                <w:rFonts w:eastAsia="等线" w:cs="Times New Roman"/>
                <w:color w:val="000000"/>
                <w:sz w:val="22"/>
                <w:szCs w:val="22"/>
              </w:rPr>
              <w:t>0.0026</w:t>
            </w:r>
          </w:p>
        </w:tc>
        <w:tc>
          <w:tcPr>
            <w:tcW w:w="620" w:type="pct"/>
            <w:shd w:val="clear" w:color="auto" w:fill="auto"/>
            <w:noWrap/>
            <w:vAlign w:val="center"/>
          </w:tcPr>
          <w:p>
            <w:pPr>
              <w:pStyle w:val="39"/>
              <w:rPr>
                <w:rFonts w:eastAsia="等线" w:cs="Times New Roman"/>
                <w:color w:val="000000"/>
                <w:sz w:val="22"/>
                <w:szCs w:val="22"/>
              </w:rPr>
            </w:pPr>
            <w:r>
              <w:rPr>
                <w:rFonts w:eastAsia="等线" w:cs="Times New Roman"/>
                <w:color w:val="000000"/>
                <w:sz w:val="22"/>
                <w:szCs w:val="22"/>
              </w:rPr>
              <w:t>1.05</w:t>
            </w:r>
          </w:p>
        </w:tc>
        <w:tc>
          <w:tcPr>
            <w:tcW w:w="773" w:type="pct"/>
            <w:vAlign w:val="center"/>
          </w:tcPr>
          <w:p>
            <w:pPr>
              <w:pStyle w:val="39"/>
              <w:rPr>
                <w:rFonts w:eastAsia="等线" w:cs="Times New Roman"/>
                <w:color w:val="000000"/>
                <w:sz w:val="22"/>
                <w:szCs w:val="22"/>
              </w:rPr>
            </w:pPr>
            <w:r>
              <w:rPr>
                <w:rFonts w:eastAsia="等线" w:cs="Times New Roman"/>
                <w:color w:val="000000"/>
                <w:sz w:val="22"/>
                <w:szCs w:val="22"/>
              </w:rPr>
              <w:t>0</w:t>
            </w:r>
          </w:p>
        </w:tc>
        <w:tc>
          <w:tcPr>
            <w:tcW w:w="610" w:type="pct"/>
            <w:vAlign w:val="center"/>
          </w:tcPr>
          <w:p>
            <w:pPr>
              <w:pStyle w:val="39"/>
              <w:rPr>
                <w:rFonts w:eastAsia="等线" w:cs="Times New Roman"/>
                <w:color w:val="000000"/>
                <w:sz w:val="22"/>
                <w:szCs w:val="22"/>
              </w:rPr>
            </w:pPr>
            <w:r>
              <w:rPr>
                <w:rFonts w:eastAsia="等线" w:cs="Times New Roman"/>
                <w:color w:val="000000"/>
                <w:sz w:val="22"/>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832" w:type="pct"/>
            <w:shd w:val="clear" w:color="auto" w:fill="auto"/>
            <w:noWrap/>
            <w:vAlign w:val="center"/>
          </w:tcPr>
          <w:p>
            <w:pPr>
              <w:pStyle w:val="39"/>
              <w:rPr>
                <w:rFonts w:cs="Times New Roman"/>
              </w:rPr>
            </w:pPr>
            <w:r>
              <w:rPr>
                <w:rFonts w:cs="Times New Roman"/>
              </w:rPr>
              <w:t>700</w:t>
            </w:r>
          </w:p>
        </w:tc>
        <w:tc>
          <w:tcPr>
            <w:tcW w:w="772" w:type="pct"/>
            <w:shd w:val="clear" w:color="auto" w:fill="auto"/>
            <w:noWrap/>
            <w:vAlign w:val="center"/>
          </w:tcPr>
          <w:p>
            <w:pPr>
              <w:pStyle w:val="39"/>
              <w:rPr>
                <w:rFonts w:eastAsia="等线" w:cs="Times New Roman"/>
                <w:color w:val="000000"/>
                <w:sz w:val="22"/>
                <w:szCs w:val="22"/>
              </w:rPr>
            </w:pPr>
            <w:r>
              <w:rPr>
                <w:rFonts w:eastAsia="等线" w:cs="Times New Roman"/>
                <w:color w:val="000000"/>
                <w:sz w:val="22"/>
                <w:szCs w:val="22"/>
              </w:rPr>
              <w:t>0.0008</w:t>
            </w:r>
          </w:p>
        </w:tc>
        <w:tc>
          <w:tcPr>
            <w:tcW w:w="618" w:type="pct"/>
            <w:shd w:val="clear" w:color="auto" w:fill="auto"/>
            <w:noWrap/>
            <w:vAlign w:val="center"/>
          </w:tcPr>
          <w:p>
            <w:pPr>
              <w:pStyle w:val="39"/>
              <w:rPr>
                <w:rFonts w:eastAsia="等线" w:cs="Times New Roman"/>
                <w:color w:val="000000"/>
                <w:sz w:val="22"/>
                <w:szCs w:val="22"/>
              </w:rPr>
            </w:pPr>
            <w:r>
              <w:rPr>
                <w:rFonts w:eastAsia="等线" w:cs="Times New Roman"/>
                <w:color w:val="000000"/>
                <w:sz w:val="22"/>
                <w:szCs w:val="22"/>
              </w:rPr>
              <w:t>0.16</w:t>
            </w:r>
          </w:p>
        </w:tc>
        <w:tc>
          <w:tcPr>
            <w:tcW w:w="775" w:type="pct"/>
            <w:shd w:val="clear" w:color="auto" w:fill="auto"/>
            <w:noWrap/>
            <w:vAlign w:val="center"/>
          </w:tcPr>
          <w:p>
            <w:pPr>
              <w:pStyle w:val="39"/>
              <w:rPr>
                <w:rFonts w:eastAsia="等线" w:cs="Times New Roman"/>
                <w:color w:val="000000"/>
                <w:sz w:val="22"/>
                <w:szCs w:val="22"/>
              </w:rPr>
            </w:pPr>
            <w:r>
              <w:rPr>
                <w:rFonts w:eastAsia="等线" w:cs="Times New Roman"/>
                <w:color w:val="000000"/>
                <w:sz w:val="22"/>
                <w:szCs w:val="22"/>
              </w:rPr>
              <w:t>0.0024</w:t>
            </w:r>
          </w:p>
        </w:tc>
        <w:tc>
          <w:tcPr>
            <w:tcW w:w="620" w:type="pct"/>
            <w:shd w:val="clear" w:color="auto" w:fill="auto"/>
            <w:noWrap/>
            <w:vAlign w:val="center"/>
          </w:tcPr>
          <w:p>
            <w:pPr>
              <w:pStyle w:val="39"/>
              <w:rPr>
                <w:rFonts w:eastAsia="等线" w:cs="Times New Roman"/>
                <w:color w:val="000000"/>
                <w:sz w:val="22"/>
                <w:szCs w:val="22"/>
              </w:rPr>
            </w:pPr>
            <w:r>
              <w:rPr>
                <w:rFonts w:eastAsia="等线" w:cs="Times New Roman"/>
                <w:color w:val="000000"/>
                <w:sz w:val="22"/>
                <w:szCs w:val="22"/>
              </w:rPr>
              <w:t>0.96</w:t>
            </w:r>
          </w:p>
        </w:tc>
        <w:tc>
          <w:tcPr>
            <w:tcW w:w="773" w:type="pct"/>
            <w:vAlign w:val="center"/>
          </w:tcPr>
          <w:p>
            <w:pPr>
              <w:pStyle w:val="39"/>
              <w:rPr>
                <w:rFonts w:eastAsia="等线" w:cs="Times New Roman"/>
                <w:color w:val="000000"/>
                <w:sz w:val="22"/>
                <w:szCs w:val="22"/>
              </w:rPr>
            </w:pPr>
            <w:r>
              <w:rPr>
                <w:rFonts w:eastAsia="等线" w:cs="Times New Roman"/>
                <w:color w:val="000000"/>
                <w:sz w:val="22"/>
                <w:szCs w:val="22"/>
              </w:rPr>
              <w:t>0</w:t>
            </w:r>
          </w:p>
        </w:tc>
        <w:tc>
          <w:tcPr>
            <w:tcW w:w="610" w:type="pct"/>
            <w:vAlign w:val="center"/>
          </w:tcPr>
          <w:p>
            <w:pPr>
              <w:pStyle w:val="39"/>
              <w:rPr>
                <w:rFonts w:eastAsia="等线" w:cs="Times New Roman"/>
                <w:color w:val="000000"/>
                <w:sz w:val="22"/>
                <w:szCs w:val="22"/>
              </w:rPr>
            </w:pPr>
            <w:r>
              <w:rPr>
                <w:rFonts w:eastAsia="等线" w:cs="Times New Roman"/>
                <w:color w:val="000000"/>
                <w:sz w:val="22"/>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832" w:type="pct"/>
            <w:shd w:val="clear" w:color="auto" w:fill="auto"/>
            <w:noWrap/>
            <w:vAlign w:val="center"/>
          </w:tcPr>
          <w:p>
            <w:pPr>
              <w:pStyle w:val="39"/>
              <w:rPr>
                <w:rFonts w:cs="Times New Roman"/>
              </w:rPr>
            </w:pPr>
            <w:r>
              <w:rPr>
                <w:rFonts w:cs="Times New Roman"/>
              </w:rPr>
              <w:t>800</w:t>
            </w:r>
          </w:p>
        </w:tc>
        <w:tc>
          <w:tcPr>
            <w:tcW w:w="772" w:type="pct"/>
            <w:shd w:val="clear" w:color="auto" w:fill="auto"/>
            <w:noWrap/>
            <w:vAlign w:val="center"/>
          </w:tcPr>
          <w:p>
            <w:pPr>
              <w:pStyle w:val="39"/>
              <w:rPr>
                <w:rFonts w:eastAsia="等线" w:cs="Times New Roman"/>
                <w:color w:val="000000"/>
                <w:sz w:val="22"/>
                <w:szCs w:val="22"/>
              </w:rPr>
            </w:pPr>
            <w:r>
              <w:rPr>
                <w:rFonts w:eastAsia="等线" w:cs="Times New Roman"/>
                <w:color w:val="000000"/>
                <w:sz w:val="22"/>
                <w:szCs w:val="22"/>
              </w:rPr>
              <w:t>0.0007</w:t>
            </w:r>
          </w:p>
        </w:tc>
        <w:tc>
          <w:tcPr>
            <w:tcW w:w="618" w:type="pct"/>
            <w:shd w:val="clear" w:color="auto" w:fill="auto"/>
            <w:noWrap/>
            <w:vAlign w:val="center"/>
          </w:tcPr>
          <w:p>
            <w:pPr>
              <w:pStyle w:val="39"/>
              <w:rPr>
                <w:rFonts w:eastAsia="等线" w:cs="Times New Roman"/>
                <w:color w:val="000000"/>
                <w:sz w:val="22"/>
                <w:szCs w:val="22"/>
              </w:rPr>
            </w:pPr>
            <w:r>
              <w:rPr>
                <w:rFonts w:eastAsia="等线" w:cs="Times New Roman"/>
                <w:color w:val="000000"/>
                <w:sz w:val="22"/>
                <w:szCs w:val="22"/>
              </w:rPr>
              <w:t>0.15</w:t>
            </w:r>
          </w:p>
        </w:tc>
        <w:tc>
          <w:tcPr>
            <w:tcW w:w="775" w:type="pct"/>
            <w:shd w:val="clear" w:color="auto" w:fill="auto"/>
            <w:noWrap/>
            <w:vAlign w:val="center"/>
          </w:tcPr>
          <w:p>
            <w:pPr>
              <w:pStyle w:val="39"/>
              <w:rPr>
                <w:rFonts w:eastAsia="等线" w:cs="Times New Roman"/>
                <w:color w:val="000000"/>
                <w:sz w:val="22"/>
                <w:szCs w:val="22"/>
              </w:rPr>
            </w:pPr>
            <w:r>
              <w:rPr>
                <w:rFonts w:eastAsia="等线" w:cs="Times New Roman"/>
                <w:color w:val="000000"/>
                <w:sz w:val="22"/>
                <w:szCs w:val="22"/>
              </w:rPr>
              <w:t>0.0022</w:t>
            </w:r>
          </w:p>
        </w:tc>
        <w:tc>
          <w:tcPr>
            <w:tcW w:w="620" w:type="pct"/>
            <w:shd w:val="clear" w:color="auto" w:fill="auto"/>
            <w:noWrap/>
            <w:vAlign w:val="center"/>
          </w:tcPr>
          <w:p>
            <w:pPr>
              <w:pStyle w:val="39"/>
              <w:rPr>
                <w:rFonts w:eastAsia="等线" w:cs="Times New Roman"/>
                <w:color w:val="000000"/>
                <w:sz w:val="22"/>
                <w:szCs w:val="22"/>
              </w:rPr>
            </w:pPr>
            <w:r>
              <w:rPr>
                <w:rFonts w:eastAsia="等线" w:cs="Times New Roman"/>
                <w:color w:val="000000"/>
                <w:sz w:val="22"/>
                <w:szCs w:val="22"/>
              </w:rPr>
              <w:t>0.87</w:t>
            </w:r>
          </w:p>
        </w:tc>
        <w:tc>
          <w:tcPr>
            <w:tcW w:w="773" w:type="pct"/>
            <w:vAlign w:val="center"/>
          </w:tcPr>
          <w:p>
            <w:pPr>
              <w:pStyle w:val="39"/>
              <w:rPr>
                <w:rFonts w:eastAsia="等线" w:cs="Times New Roman"/>
                <w:color w:val="000000"/>
                <w:sz w:val="22"/>
                <w:szCs w:val="22"/>
              </w:rPr>
            </w:pPr>
            <w:r>
              <w:rPr>
                <w:rFonts w:eastAsia="等线" w:cs="Times New Roman"/>
                <w:color w:val="000000"/>
                <w:sz w:val="22"/>
                <w:szCs w:val="22"/>
              </w:rPr>
              <w:t>0</w:t>
            </w:r>
          </w:p>
        </w:tc>
        <w:tc>
          <w:tcPr>
            <w:tcW w:w="610" w:type="pct"/>
            <w:vAlign w:val="center"/>
          </w:tcPr>
          <w:p>
            <w:pPr>
              <w:pStyle w:val="39"/>
              <w:rPr>
                <w:rFonts w:eastAsia="等线" w:cs="Times New Roman"/>
                <w:color w:val="000000"/>
                <w:sz w:val="22"/>
                <w:szCs w:val="22"/>
              </w:rPr>
            </w:pPr>
            <w:r>
              <w:rPr>
                <w:rFonts w:eastAsia="等线" w:cs="Times New Roman"/>
                <w:color w:val="000000"/>
                <w:sz w:val="22"/>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832" w:type="pct"/>
            <w:shd w:val="clear" w:color="auto" w:fill="auto"/>
            <w:noWrap/>
            <w:vAlign w:val="center"/>
          </w:tcPr>
          <w:p>
            <w:pPr>
              <w:pStyle w:val="39"/>
              <w:rPr>
                <w:rFonts w:cs="Times New Roman"/>
              </w:rPr>
            </w:pPr>
            <w:r>
              <w:rPr>
                <w:rFonts w:cs="Times New Roman"/>
              </w:rPr>
              <w:t>900</w:t>
            </w:r>
          </w:p>
        </w:tc>
        <w:tc>
          <w:tcPr>
            <w:tcW w:w="772" w:type="pct"/>
            <w:shd w:val="clear" w:color="auto" w:fill="auto"/>
            <w:noWrap/>
            <w:vAlign w:val="center"/>
          </w:tcPr>
          <w:p>
            <w:pPr>
              <w:pStyle w:val="39"/>
              <w:rPr>
                <w:rFonts w:eastAsia="等线" w:cs="Times New Roman"/>
                <w:color w:val="000000"/>
                <w:sz w:val="22"/>
                <w:szCs w:val="22"/>
              </w:rPr>
            </w:pPr>
            <w:r>
              <w:rPr>
                <w:rFonts w:eastAsia="等线" w:cs="Times New Roman"/>
                <w:color w:val="000000"/>
                <w:sz w:val="22"/>
                <w:szCs w:val="22"/>
              </w:rPr>
              <w:t>0.0007</w:t>
            </w:r>
          </w:p>
        </w:tc>
        <w:tc>
          <w:tcPr>
            <w:tcW w:w="618" w:type="pct"/>
            <w:shd w:val="clear" w:color="auto" w:fill="auto"/>
            <w:noWrap/>
            <w:vAlign w:val="center"/>
          </w:tcPr>
          <w:p>
            <w:pPr>
              <w:pStyle w:val="39"/>
              <w:rPr>
                <w:rFonts w:eastAsia="等线" w:cs="Times New Roman"/>
                <w:color w:val="000000"/>
                <w:sz w:val="22"/>
                <w:szCs w:val="22"/>
              </w:rPr>
            </w:pPr>
            <w:r>
              <w:rPr>
                <w:rFonts w:eastAsia="等线" w:cs="Times New Roman"/>
                <w:color w:val="000000"/>
                <w:sz w:val="22"/>
                <w:szCs w:val="22"/>
              </w:rPr>
              <w:t>0.14</w:t>
            </w:r>
          </w:p>
        </w:tc>
        <w:tc>
          <w:tcPr>
            <w:tcW w:w="775" w:type="pct"/>
            <w:shd w:val="clear" w:color="auto" w:fill="auto"/>
            <w:noWrap/>
            <w:vAlign w:val="center"/>
          </w:tcPr>
          <w:p>
            <w:pPr>
              <w:pStyle w:val="39"/>
              <w:rPr>
                <w:rFonts w:eastAsia="等线" w:cs="Times New Roman"/>
                <w:color w:val="000000"/>
                <w:sz w:val="22"/>
                <w:szCs w:val="22"/>
              </w:rPr>
            </w:pPr>
            <w:r>
              <w:rPr>
                <w:rFonts w:eastAsia="等线" w:cs="Times New Roman"/>
                <w:color w:val="000000"/>
                <w:sz w:val="22"/>
                <w:szCs w:val="22"/>
              </w:rPr>
              <w:t>0.002</w:t>
            </w:r>
          </w:p>
        </w:tc>
        <w:tc>
          <w:tcPr>
            <w:tcW w:w="620" w:type="pct"/>
            <w:shd w:val="clear" w:color="auto" w:fill="auto"/>
            <w:noWrap/>
            <w:vAlign w:val="center"/>
          </w:tcPr>
          <w:p>
            <w:pPr>
              <w:pStyle w:val="39"/>
              <w:rPr>
                <w:rFonts w:eastAsia="等线" w:cs="Times New Roman"/>
                <w:color w:val="000000"/>
                <w:sz w:val="22"/>
                <w:szCs w:val="22"/>
              </w:rPr>
            </w:pPr>
            <w:r>
              <w:rPr>
                <w:rFonts w:eastAsia="等线" w:cs="Times New Roman"/>
                <w:color w:val="000000"/>
                <w:sz w:val="22"/>
                <w:szCs w:val="22"/>
              </w:rPr>
              <w:t>0.81</w:t>
            </w:r>
          </w:p>
        </w:tc>
        <w:tc>
          <w:tcPr>
            <w:tcW w:w="773" w:type="pct"/>
            <w:vAlign w:val="center"/>
          </w:tcPr>
          <w:p>
            <w:pPr>
              <w:pStyle w:val="39"/>
              <w:rPr>
                <w:rFonts w:eastAsia="等线" w:cs="Times New Roman"/>
                <w:color w:val="000000"/>
                <w:sz w:val="22"/>
                <w:szCs w:val="22"/>
              </w:rPr>
            </w:pPr>
            <w:r>
              <w:rPr>
                <w:rFonts w:eastAsia="等线" w:cs="Times New Roman"/>
                <w:color w:val="000000"/>
                <w:sz w:val="22"/>
                <w:szCs w:val="22"/>
              </w:rPr>
              <w:t>0</w:t>
            </w:r>
          </w:p>
        </w:tc>
        <w:tc>
          <w:tcPr>
            <w:tcW w:w="610" w:type="pct"/>
            <w:vAlign w:val="center"/>
          </w:tcPr>
          <w:p>
            <w:pPr>
              <w:pStyle w:val="39"/>
              <w:rPr>
                <w:rFonts w:eastAsia="等线" w:cs="Times New Roman"/>
                <w:color w:val="000000"/>
                <w:sz w:val="22"/>
                <w:szCs w:val="22"/>
              </w:rPr>
            </w:pPr>
            <w:r>
              <w:rPr>
                <w:rFonts w:eastAsia="等线" w:cs="Times New Roman"/>
                <w:color w:val="000000"/>
                <w:sz w:val="22"/>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832" w:type="pct"/>
            <w:shd w:val="clear" w:color="auto" w:fill="auto"/>
            <w:noWrap/>
            <w:vAlign w:val="center"/>
          </w:tcPr>
          <w:p>
            <w:pPr>
              <w:pStyle w:val="39"/>
              <w:rPr>
                <w:rFonts w:cs="Times New Roman"/>
              </w:rPr>
            </w:pPr>
            <w:r>
              <w:rPr>
                <w:rFonts w:cs="Times New Roman"/>
              </w:rPr>
              <w:t>1000</w:t>
            </w:r>
          </w:p>
        </w:tc>
        <w:tc>
          <w:tcPr>
            <w:tcW w:w="772" w:type="pct"/>
            <w:shd w:val="clear" w:color="auto" w:fill="auto"/>
            <w:noWrap/>
            <w:vAlign w:val="center"/>
          </w:tcPr>
          <w:p>
            <w:pPr>
              <w:pStyle w:val="39"/>
              <w:rPr>
                <w:rFonts w:eastAsia="等线" w:cs="Times New Roman"/>
                <w:color w:val="000000"/>
                <w:sz w:val="22"/>
                <w:szCs w:val="22"/>
              </w:rPr>
            </w:pPr>
            <w:r>
              <w:rPr>
                <w:rFonts w:eastAsia="等线" w:cs="Times New Roman"/>
                <w:color w:val="000000"/>
                <w:sz w:val="22"/>
                <w:szCs w:val="22"/>
              </w:rPr>
              <w:t>0.0006</w:t>
            </w:r>
          </w:p>
        </w:tc>
        <w:tc>
          <w:tcPr>
            <w:tcW w:w="618" w:type="pct"/>
            <w:shd w:val="clear" w:color="auto" w:fill="auto"/>
            <w:noWrap/>
            <w:vAlign w:val="center"/>
          </w:tcPr>
          <w:p>
            <w:pPr>
              <w:pStyle w:val="39"/>
              <w:rPr>
                <w:rFonts w:eastAsia="等线" w:cs="Times New Roman"/>
                <w:color w:val="000000"/>
                <w:sz w:val="22"/>
                <w:szCs w:val="22"/>
              </w:rPr>
            </w:pPr>
            <w:r>
              <w:rPr>
                <w:rFonts w:eastAsia="等线" w:cs="Times New Roman"/>
                <w:color w:val="000000"/>
                <w:sz w:val="22"/>
                <w:szCs w:val="22"/>
              </w:rPr>
              <w:t>0.13</w:t>
            </w:r>
          </w:p>
        </w:tc>
        <w:tc>
          <w:tcPr>
            <w:tcW w:w="775" w:type="pct"/>
            <w:shd w:val="clear" w:color="auto" w:fill="auto"/>
            <w:noWrap/>
            <w:vAlign w:val="center"/>
          </w:tcPr>
          <w:p>
            <w:pPr>
              <w:pStyle w:val="39"/>
              <w:rPr>
                <w:rFonts w:eastAsia="等线" w:cs="Times New Roman"/>
                <w:color w:val="000000"/>
                <w:sz w:val="22"/>
                <w:szCs w:val="22"/>
              </w:rPr>
            </w:pPr>
            <w:r>
              <w:rPr>
                <w:rFonts w:eastAsia="等线" w:cs="Times New Roman"/>
                <w:color w:val="000000"/>
                <w:sz w:val="22"/>
                <w:szCs w:val="22"/>
              </w:rPr>
              <w:t>0.0019</w:t>
            </w:r>
          </w:p>
        </w:tc>
        <w:tc>
          <w:tcPr>
            <w:tcW w:w="620" w:type="pct"/>
            <w:shd w:val="clear" w:color="auto" w:fill="auto"/>
            <w:noWrap/>
            <w:vAlign w:val="center"/>
          </w:tcPr>
          <w:p>
            <w:pPr>
              <w:pStyle w:val="39"/>
              <w:rPr>
                <w:rFonts w:eastAsia="等线" w:cs="Times New Roman"/>
                <w:color w:val="000000"/>
                <w:sz w:val="22"/>
                <w:szCs w:val="22"/>
              </w:rPr>
            </w:pPr>
            <w:r>
              <w:rPr>
                <w:rFonts w:eastAsia="等线" w:cs="Times New Roman"/>
                <w:color w:val="000000"/>
                <w:sz w:val="22"/>
                <w:szCs w:val="22"/>
              </w:rPr>
              <w:t>0.77</w:t>
            </w:r>
          </w:p>
        </w:tc>
        <w:tc>
          <w:tcPr>
            <w:tcW w:w="773" w:type="pct"/>
            <w:vAlign w:val="center"/>
          </w:tcPr>
          <w:p>
            <w:pPr>
              <w:pStyle w:val="39"/>
              <w:rPr>
                <w:rFonts w:eastAsia="等线" w:cs="Times New Roman"/>
                <w:color w:val="000000"/>
                <w:sz w:val="22"/>
                <w:szCs w:val="22"/>
              </w:rPr>
            </w:pPr>
            <w:r>
              <w:rPr>
                <w:rFonts w:eastAsia="等线" w:cs="Times New Roman"/>
                <w:color w:val="000000"/>
                <w:sz w:val="22"/>
                <w:szCs w:val="22"/>
              </w:rPr>
              <w:t>0</w:t>
            </w:r>
          </w:p>
        </w:tc>
        <w:tc>
          <w:tcPr>
            <w:tcW w:w="610" w:type="pct"/>
            <w:vAlign w:val="center"/>
          </w:tcPr>
          <w:p>
            <w:pPr>
              <w:pStyle w:val="39"/>
              <w:rPr>
                <w:rFonts w:eastAsia="等线" w:cs="Times New Roman"/>
                <w:color w:val="000000"/>
                <w:sz w:val="22"/>
                <w:szCs w:val="22"/>
              </w:rPr>
            </w:pPr>
            <w:r>
              <w:rPr>
                <w:rFonts w:eastAsia="等线" w:cs="Times New Roman"/>
                <w:color w:val="000000"/>
                <w:sz w:val="22"/>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832" w:type="pct"/>
            <w:shd w:val="clear" w:color="auto" w:fill="auto"/>
            <w:noWrap/>
            <w:vAlign w:val="center"/>
          </w:tcPr>
          <w:p>
            <w:pPr>
              <w:pStyle w:val="39"/>
              <w:rPr>
                <w:rFonts w:cs="Times New Roman"/>
              </w:rPr>
            </w:pPr>
            <w:r>
              <w:rPr>
                <w:rFonts w:cs="Times New Roman"/>
              </w:rPr>
              <w:t>最大落地浓度及占标率</w:t>
            </w:r>
          </w:p>
        </w:tc>
        <w:tc>
          <w:tcPr>
            <w:tcW w:w="772" w:type="pct"/>
            <w:shd w:val="clear" w:color="auto" w:fill="auto"/>
            <w:noWrap/>
            <w:vAlign w:val="center"/>
          </w:tcPr>
          <w:p>
            <w:pPr>
              <w:pStyle w:val="39"/>
              <w:rPr>
                <w:rFonts w:eastAsia="等线" w:cs="Times New Roman"/>
                <w:b/>
                <w:color w:val="000000"/>
                <w:sz w:val="22"/>
                <w:szCs w:val="22"/>
              </w:rPr>
            </w:pPr>
            <w:r>
              <w:rPr>
                <w:rFonts w:eastAsia="等线" w:cs="Times New Roman"/>
                <w:b/>
                <w:color w:val="000000"/>
                <w:sz w:val="22"/>
                <w:szCs w:val="22"/>
              </w:rPr>
              <w:t>0.0017</w:t>
            </w:r>
          </w:p>
        </w:tc>
        <w:tc>
          <w:tcPr>
            <w:tcW w:w="618" w:type="pct"/>
            <w:shd w:val="clear" w:color="auto" w:fill="auto"/>
            <w:noWrap/>
            <w:vAlign w:val="center"/>
          </w:tcPr>
          <w:p>
            <w:pPr>
              <w:pStyle w:val="39"/>
              <w:rPr>
                <w:rFonts w:eastAsia="等线" w:cs="Times New Roman"/>
                <w:b/>
                <w:color w:val="000000"/>
                <w:sz w:val="22"/>
                <w:szCs w:val="22"/>
              </w:rPr>
            </w:pPr>
            <w:r>
              <w:rPr>
                <w:rFonts w:eastAsia="等线" w:cs="Times New Roman"/>
                <w:b/>
                <w:color w:val="000000"/>
                <w:sz w:val="22"/>
                <w:szCs w:val="22"/>
              </w:rPr>
              <w:t>0.33</w:t>
            </w:r>
          </w:p>
        </w:tc>
        <w:tc>
          <w:tcPr>
            <w:tcW w:w="775" w:type="pct"/>
            <w:shd w:val="clear" w:color="auto" w:fill="auto"/>
            <w:noWrap/>
            <w:vAlign w:val="center"/>
          </w:tcPr>
          <w:p>
            <w:pPr>
              <w:pStyle w:val="39"/>
              <w:rPr>
                <w:rFonts w:eastAsia="等线" w:cs="Times New Roman"/>
                <w:b/>
                <w:color w:val="000000"/>
                <w:sz w:val="22"/>
                <w:szCs w:val="22"/>
              </w:rPr>
            </w:pPr>
            <w:r>
              <w:rPr>
                <w:rFonts w:eastAsia="等线" w:cs="Times New Roman"/>
                <w:b/>
                <w:color w:val="000000"/>
                <w:sz w:val="22"/>
                <w:szCs w:val="22"/>
              </w:rPr>
              <w:t>0.005</w:t>
            </w:r>
          </w:p>
        </w:tc>
        <w:tc>
          <w:tcPr>
            <w:tcW w:w="620" w:type="pct"/>
            <w:shd w:val="clear" w:color="auto" w:fill="auto"/>
            <w:noWrap/>
            <w:vAlign w:val="center"/>
          </w:tcPr>
          <w:p>
            <w:pPr>
              <w:pStyle w:val="39"/>
              <w:rPr>
                <w:rFonts w:eastAsia="等线" w:cs="Times New Roman"/>
                <w:b/>
                <w:color w:val="000000"/>
                <w:sz w:val="22"/>
                <w:szCs w:val="22"/>
              </w:rPr>
            </w:pPr>
            <w:r>
              <w:rPr>
                <w:rFonts w:eastAsia="等线" w:cs="Times New Roman"/>
                <w:b/>
                <w:color w:val="000000"/>
                <w:sz w:val="22"/>
                <w:szCs w:val="22"/>
              </w:rPr>
              <w:t>1.99</w:t>
            </w:r>
          </w:p>
        </w:tc>
        <w:tc>
          <w:tcPr>
            <w:tcW w:w="773" w:type="pct"/>
            <w:vAlign w:val="center"/>
          </w:tcPr>
          <w:p>
            <w:pPr>
              <w:pStyle w:val="39"/>
              <w:rPr>
                <w:rFonts w:eastAsia="等线" w:cs="Times New Roman"/>
                <w:b/>
                <w:color w:val="000000"/>
                <w:sz w:val="22"/>
                <w:szCs w:val="22"/>
              </w:rPr>
            </w:pPr>
            <w:r>
              <w:rPr>
                <w:rFonts w:eastAsia="等线" w:cs="Times New Roman"/>
                <w:b/>
                <w:color w:val="000000"/>
                <w:sz w:val="22"/>
                <w:szCs w:val="22"/>
              </w:rPr>
              <w:t>0</w:t>
            </w:r>
          </w:p>
        </w:tc>
        <w:tc>
          <w:tcPr>
            <w:tcW w:w="610" w:type="pct"/>
            <w:vAlign w:val="center"/>
          </w:tcPr>
          <w:p>
            <w:pPr>
              <w:pStyle w:val="39"/>
              <w:rPr>
                <w:rFonts w:eastAsia="等线" w:cs="Times New Roman"/>
                <w:b/>
                <w:color w:val="000000"/>
                <w:sz w:val="22"/>
                <w:szCs w:val="22"/>
              </w:rPr>
            </w:pPr>
            <w:r>
              <w:rPr>
                <w:rFonts w:eastAsia="等线" w:cs="Times New Roman"/>
                <w:b/>
                <w:color w:val="000000"/>
                <w:sz w:val="22"/>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832" w:type="pct"/>
            <w:shd w:val="clear" w:color="auto" w:fill="auto"/>
            <w:noWrap/>
            <w:vAlign w:val="center"/>
          </w:tcPr>
          <w:p>
            <w:pPr>
              <w:pStyle w:val="39"/>
              <w:rPr>
                <w:rFonts w:cs="Times New Roman"/>
              </w:rPr>
            </w:pPr>
            <w:r>
              <w:rPr>
                <w:rFonts w:cs="Times New Roman"/>
              </w:rPr>
              <w:t>最大浓度出现距离（m）</w:t>
            </w:r>
          </w:p>
        </w:tc>
        <w:tc>
          <w:tcPr>
            <w:tcW w:w="1390" w:type="pct"/>
            <w:gridSpan w:val="2"/>
            <w:shd w:val="clear" w:color="auto" w:fill="auto"/>
            <w:noWrap/>
            <w:vAlign w:val="center"/>
          </w:tcPr>
          <w:p>
            <w:pPr>
              <w:pStyle w:val="39"/>
              <w:rPr>
                <w:rFonts w:cs="Times New Roman"/>
              </w:rPr>
            </w:pPr>
            <w:r>
              <w:rPr>
                <w:rFonts w:cs="Times New Roman"/>
              </w:rPr>
              <w:t>74</w:t>
            </w:r>
          </w:p>
        </w:tc>
        <w:tc>
          <w:tcPr>
            <w:tcW w:w="1395" w:type="pct"/>
            <w:gridSpan w:val="2"/>
            <w:shd w:val="clear" w:color="auto" w:fill="auto"/>
            <w:noWrap/>
            <w:vAlign w:val="center"/>
          </w:tcPr>
          <w:p>
            <w:pPr>
              <w:pStyle w:val="39"/>
              <w:rPr>
                <w:rFonts w:cs="Times New Roman"/>
              </w:rPr>
            </w:pPr>
            <w:r>
              <w:rPr>
                <w:rFonts w:cs="Times New Roman"/>
              </w:rPr>
              <w:t>74</w:t>
            </w:r>
          </w:p>
        </w:tc>
        <w:tc>
          <w:tcPr>
            <w:tcW w:w="1383" w:type="pct"/>
            <w:gridSpan w:val="2"/>
            <w:vAlign w:val="center"/>
          </w:tcPr>
          <w:p>
            <w:pPr>
              <w:pStyle w:val="39"/>
              <w:rPr>
                <w:rFonts w:cs="Times New Roman"/>
              </w:rPr>
            </w:pPr>
            <w:r>
              <w:rPr>
                <w:rFonts w:cs="Times New Roman"/>
              </w:rPr>
              <w:t>74</w:t>
            </w:r>
          </w:p>
        </w:tc>
      </w:tr>
    </w:tbl>
    <w:p>
      <w:pPr>
        <w:pStyle w:val="3"/>
        <w:ind w:firstLine="480"/>
        <w:rPr>
          <w:rFonts w:cs="Times New Roman"/>
        </w:rPr>
      </w:pPr>
      <w:r>
        <w:rPr>
          <w:rFonts w:cs="Times New Roman"/>
        </w:rPr>
        <w:t>（2）影响分析</w:t>
      </w:r>
    </w:p>
    <w:p>
      <w:pPr>
        <w:pStyle w:val="3"/>
        <w:ind w:firstLine="480"/>
        <w:rPr>
          <w:rFonts w:cs="Times New Roman"/>
        </w:rPr>
      </w:pPr>
      <w:r>
        <w:rPr>
          <w:rFonts w:cs="Times New Roman"/>
        </w:rPr>
        <w:t>项目锅炉燃烧废气中后SO</w:t>
      </w:r>
      <w:r>
        <w:rPr>
          <w:rFonts w:cs="Times New Roman"/>
          <w:vertAlign w:val="subscript"/>
        </w:rPr>
        <w:t>2</w:t>
      </w:r>
      <w:r>
        <w:rPr>
          <w:rFonts w:hint="eastAsia" w:cs="Times New Roman"/>
        </w:rPr>
        <w:t>、</w:t>
      </w:r>
      <w:r>
        <w:rPr>
          <w:rFonts w:cs="Times New Roman"/>
        </w:rPr>
        <w:t>NO</w:t>
      </w:r>
      <w:r>
        <w:rPr>
          <w:rFonts w:cs="Times New Roman"/>
          <w:vertAlign w:val="subscript"/>
        </w:rPr>
        <w:t>X</w:t>
      </w:r>
      <w:r>
        <w:rPr>
          <w:rFonts w:hint="eastAsia" w:cs="Times New Roman"/>
        </w:rPr>
        <w:t>、TSP</w:t>
      </w:r>
      <w:r>
        <w:rPr>
          <w:rFonts w:cs="Times New Roman"/>
        </w:rPr>
        <w:t>最大落地浓度分别为：0.0017mg/m</w:t>
      </w:r>
      <w:r>
        <w:rPr>
          <w:rFonts w:cs="Times New Roman"/>
          <w:vertAlign w:val="superscript"/>
        </w:rPr>
        <w:t>3</w:t>
      </w:r>
      <w:r>
        <w:rPr>
          <w:rFonts w:cs="Times New Roman"/>
        </w:rPr>
        <w:t>、0.005mg/m</w:t>
      </w:r>
      <w:r>
        <w:rPr>
          <w:rFonts w:cs="Times New Roman"/>
          <w:vertAlign w:val="superscript"/>
        </w:rPr>
        <w:t>3</w:t>
      </w:r>
      <w:r>
        <w:rPr>
          <w:rFonts w:hint="eastAsia" w:cs="Times New Roman"/>
        </w:rPr>
        <w:t>、</w:t>
      </w:r>
      <w:r>
        <w:rPr>
          <w:rFonts w:cs="Times New Roman"/>
        </w:rPr>
        <w:t>0mg/m</w:t>
      </w:r>
      <w:r>
        <w:rPr>
          <w:rFonts w:cs="Times New Roman"/>
          <w:vertAlign w:val="superscript"/>
        </w:rPr>
        <w:t>3</w:t>
      </w:r>
      <w:r>
        <w:rPr>
          <w:rFonts w:cs="Times New Roman"/>
        </w:rPr>
        <w:t>，最大浓度出现在74m处；最大落地浓度能够满足《环境空气质量标准》（GB3095-2012）二级标准中1小时均值限值要求（SO</w:t>
      </w:r>
      <w:r>
        <w:rPr>
          <w:rFonts w:cs="Times New Roman"/>
          <w:vertAlign w:val="subscript"/>
        </w:rPr>
        <w:t>2</w:t>
      </w:r>
      <w:r>
        <w:rPr>
          <w:rFonts w:cs="Times New Roman"/>
        </w:rPr>
        <w:t>＜0.5mg/m</w:t>
      </w:r>
      <w:r>
        <w:rPr>
          <w:rFonts w:cs="Times New Roman"/>
          <w:vertAlign w:val="superscript"/>
        </w:rPr>
        <w:t>3</w:t>
      </w:r>
      <w:r>
        <w:rPr>
          <w:rFonts w:cs="Times New Roman"/>
        </w:rPr>
        <w:t>、NO</w:t>
      </w:r>
      <w:r>
        <w:rPr>
          <w:rFonts w:cs="Times New Roman"/>
          <w:vertAlign w:val="subscript"/>
        </w:rPr>
        <w:t>X</w:t>
      </w:r>
      <w:r>
        <w:rPr>
          <w:rFonts w:cs="Times New Roman"/>
        </w:rPr>
        <w:t>＜0.25mg/m</w:t>
      </w:r>
      <w:r>
        <w:rPr>
          <w:rFonts w:cs="Times New Roman"/>
          <w:vertAlign w:val="superscript"/>
        </w:rPr>
        <w:t>3</w:t>
      </w:r>
      <w:r>
        <w:rPr>
          <w:rFonts w:hint="eastAsia" w:cs="Times New Roman"/>
        </w:rPr>
        <w:t>、TSP</w:t>
      </w:r>
      <w:r>
        <w:rPr>
          <w:rFonts w:cs="Times New Roman"/>
        </w:rPr>
        <w:t>＜0.</w:t>
      </w:r>
      <w:r>
        <w:rPr>
          <w:rFonts w:hint="eastAsia" w:cs="Times New Roman"/>
        </w:rPr>
        <w:t>9</w:t>
      </w:r>
      <w:r>
        <w:rPr>
          <w:rFonts w:cs="Times New Roman"/>
        </w:rPr>
        <w:t>mg/m</w:t>
      </w:r>
      <w:r>
        <w:rPr>
          <w:rFonts w:cs="Times New Roman"/>
          <w:vertAlign w:val="superscript"/>
        </w:rPr>
        <w:t>3</w:t>
      </w:r>
      <w:r>
        <w:rPr>
          <w:rFonts w:cs="Times New Roman"/>
        </w:rPr>
        <w:t>）；同时通过工程分析可知，锅炉燃烧废气中SO</w:t>
      </w:r>
      <w:r>
        <w:rPr>
          <w:rFonts w:cs="Times New Roman"/>
          <w:vertAlign w:val="subscript"/>
        </w:rPr>
        <w:t>2</w:t>
      </w:r>
      <w:r>
        <w:rPr>
          <w:rFonts w:cs="Times New Roman"/>
        </w:rPr>
        <w:t>排放浓度为177.06mg/m</w:t>
      </w:r>
      <w:r>
        <w:rPr>
          <w:rFonts w:cs="Times New Roman"/>
          <w:vertAlign w:val="superscript"/>
        </w:rPr>
        <w:t>3</w:t>
      </w:r>
      <w:r>
        <w:rPr>
          <w:rFonts w:cs="Times New Roman"/>
        </w:rPr>
        <w:t>＜850mg/m</w:t>
      </w:r>
      <w:r>
        <w:rPr>
          <w:rFonts w:cs="Times New Roman"/>
          <w:vertAlign w:val="superscript"/>
        </w:rPr>
        <w:t>3</w:t>
      </w:r>
      <w:r>
        <w:rPr>
          <w:rFonts w:cs="Times New Roman"/>
        </w:rPr>
        <w:t>，NO</w:t>
      </w:r>
      <w:r>
        <w:rPr>
          <w:rFonts w:cs="Times New Roman"/>
          <w:vertAlign w:val="subscript"/>
        </w:rPr>
        <w:t>X</w:t>
      </w:r>
      <w:r>
        <w:rPr>
          <w:rFonts w:cs="Times New Roman"/>
        </w:rPr>
        <w:t>排放浓度为133.78mg/m</w:t>
      </w:r>
      <w:r>
        <w:rPr>
          <w:rFonts w:cs="Times New Roman"/>
          <w:vertAlign w:val="superscript"/>
        </w:rPr>
        <w:t>3</w:t>
      </w:r>
      <w:r>
        <w:rPr>
          <w:rFonts w:cs="Times New Roman"/>
        </w:rPr>
        <w:t>＜300mg/m</w:t>
      </w:r>
      <w:r>
        <w:rPr>
          <w:rFonts w:cs="Times New Roman"/>
          <w:vertAlign w:val="superscript"/>
        </w:rPr>
        <w:t>3</w:t>
      </w:r>
      <w:r>
        <w:rPr>
          <w:rFonts w:hint="eastAsia" w:cs="Times New Roman"/>
        </w:rPr>
        <w:t>、TSP排放浓度为</w:t>
      </w:r>
      <w:r>
        <w:rPr>
          <w:rFonts w:hint="eastAsia" w:eastAsia="等线" w:cs="Times New Roman"/>
          <w:color w:val="000000"/>
        </w:rPr>
        <w:t>30.12</w:t>
      </w:r>
      <w:r>
        <w:rPr>
          <w:rFonts w:cs="Times New Roman"/>
        </w:rPr>
        <w:t>mg/m</w:t>
      </w:r>
      <w:r>
        <w:rPr>
          <w:rFonts w:cs="Times New Roman"/>
          <w:vertAlign w:val="superscript"/>
        </w:rPr>
        <w:t>3</w:t>
      </w:r>
      <w:r>
        <w:rPr>
          <w:rFonts w:cs="Times New Roman"/>
        </w:rPr>
        <w:t>＜200mg/m</w:t>
      </w:r>
      <w:r>
        <w:rPr>
          <w:rFonts w:cs="Times New Roman"/>
          <w:vertAlign w:val="superscript"/>
        </w:rPr>
        <w:t>3</w:t>
      </w:r>
      <w:r>
        <w:rPr>
          <w:rFonts w:cs="Times New Roman"/>
        </w:rPr>
        <w:t>，可满足</w:t>
      </w:r>
      <w:r>
        <w:rPr>
          <w:rFonts w:hint="eastAsia"/>
          <w:u w:val="single"/>
        </w:rPr>
        <w:t>《工业炉窑大气污染物排放标准》（GB9078-1996）中的干燥窑炉二级排放标准的</w:t>
      </w:r>
      <w:r>
        <w:rPr>
          <w:u w:val="single"/>
        </w:rPr>
        <w:t>排放浓度限值要求（</w:t>
      </w:r>
      <w:r>
        <w:rPr>
          <w:rFonts w:hint="eastAsia"/>
          <w:u w:val="single"/>
        </w:rPr>
        <w:t>其中</w:t>
      </w:r>
      <w:r>
        <w:rPr>
          <w:u w:val="single"/>
        </w:rPr>
        <w:t>SO</w:t>
      </w:r>
      <w:r>
        <w:rPr>
          <w:u w:val="single"/>
          <w:vertAlign w:val="subscript"/>
        </w:rPr>
        <w:t>2</w:t>
      </w:r>
      <w:r>
        <w:rPr>
          <w:rFonts w:hint="eastAsia"/>
          <w:u w:val="single"/>
        </w:rPr>
        <w:t>850</w:t>
      </w:r>
      <w:r>
        <w:rPr>
          <w:u w:val="single"/>
        </w:rPr>
        <w:t>mg/m</w:t>
      </w:r>
      <w:r>
        <w:rPr>
          <w:u w:val="single"/>
          <w:vertAlign w:val="superscript"/>
        </w:rPr>
        <w:t>3</w:t>
      </w:r>
      <w:r>
        <w:rPr>
          <w:rFonts w:hint="eastAsia"/>
          <w:u w:val="single"/>
        </w:rPr>
        <w:t>；</w:t>
      </w:r>
      <w:r>
        <w:rPr>
          <w:u w:val="single"/>
        </w:rPr>
        <w:t>烟尘</w:t>
      </w:r>
      <w:r>
        <w:rPr>
          <w:rFonts w:hint="eastAsia"/>
          <w:u w:val="single"/>
        </w:rPr>
        <w:t>200</w:t>
      </w:r>
      <w:r>
        <w:rPr>
          <w:u w:val="single"/>
        </w:rPr>
        <w:t>mg/m</w:t>
      </w:r>
      <w:r>
        <w:rPr>
          <w:u w:val="single"/>
          <w:vertAlign w:val="superscript"/>
        </w:rPr>
        <w:t>3</w:t>
      </w:r>
      <w:r>
        <w:rPr>
          <w:rFonts w:hint="eastAsia"/>
          <w:u w:val="single"/>
        </w:rPr>
        <w:t>；</w:t>
      </w:r>
      <w:r>
        <w:rPr>
          <w:u w:val="single"/>
        </w:rPr>
        <w:t>NO</w:t>
      </w:r>
      <w:r>
        <w:rPr>
          <w:u w:val="single"/>
          <w:vertAlign w:val="subscript"/>
        </w:rPr>
        <w:t>x</w:t>
      </w:r>
      <w:r>
        <w:rPr>
          <w:u w:val="single"/>
        </w:rPr>
        <w:t>无控制要求</w:t>
      </w:r>
      <w:r>
        <w:rPr>
          <w:rFonts w:hint="eastAsia"/>
          <w:u w:val="single"/>
        </w:rPr>
        <w:t>，</w:t>
      </w:r>
      <w:r>
        <w:rPr>
          <w:u w:val="single"/>
        </w:rPr>
        <w:t>因此NO</w:t>
      </w:r>
      <w:r>
        <w:rPr>
          <w:u w:val="single"/>
          <w:vertAlign w:val="subscript"/>
        </w:rPr>
        <w:t>x</w:t>
      </w:r>
      <w:r>
        <w:rPr>
          <w:u w:val="single"/>
        </w:rPr>
        <w:t>排气</w:t>
      </w:r>
      <w:r>
        <w:rPr>
          <w:rFonts w:hint="eastAsia"/>
          <w:u w:val="single"/>
        </w:rPr>
        <w:t>浓度参考《锅炉大气污染物排放标准》（GB13271-2014）中表2新建锅炉中燃煤锅炉</w:t>
      </w:r>
      <w:r>
        <w:rPr>
          <w:u w:val="single"/>
        </w:rPr>
        <w:t>NO</w:t>
      </w:r>
      <w:r>
        <w:rPr>
          <w:u w:val="single"/>
          <w:vertAlign w:val="subscript"/>
        </w:rPr>
        <w:t>x</w:t>
      </w:r>
      <w:r>
        <w:rPr>
          <w:rFonts w:hint="eastAsia"/>
          <w:u w:val="single"/>
        </w:rPr>
        <w:t xml:space="preserve"> </w:t>
      </w:r>
      <w:r>
        <w:rPr>
          <w:u w:val="single"/>
        </w:rPr>
        <w:t>3</w:t>
      </w:r>
      <w:r>
        <w:rPr>
          <w:rFonts w:hint="eastAsia"/>
          <w:u w:val="single"/>
        </w:rPr>
        <w:t>00mg/m</w:t>
      </w:r>
      <w:r>
        <w:rPr>
          <w:rFonts w:hint="eastAsia"/>
          <w:u w:val="single"/>
          <w:vertAlign w:val="superscript"/>
        </w:rPr>
        <w:t>3</w:t>
      </w:r>
      <w:r>
        <w:rPr>
          <w:rFonts w:hint="eastAsia"/>
          <w:u w:val="single"/>
        </w:rPr>
        <w:t>的排放控制要求</w:t>
      </w:r>
      <w:r>
        <w:rPr>
          <w:u w:val="single"/>
        </w:rPr>
        <w:t>）。</w:t>
      </w:r>
    </w:p>
    <w:p>
      <w:pPr>
        <w:pStyle w:val="3"/>
        <w:ind w:firstLine="480"/>
        <w:rPr>
          <w:rFonts w:cs="Times New Roman"/>
        </w:rPr>
      </w:pPr>
      <w:r>
        <w:rPr>
          <w:rFonts w:cs="Times New Roman"/>
        </w:rPr>
        <w:t>由于SO</w:t>
      </w:r>
      <w:r>
        <w:rPr>
          <w:rFonts w:cs="Times New Roman"/>
          <w:vertAlign w:val="subscript"/>
        </w:rPr>
        <w:t>2</w:t>
      </w:r>
      <w:r>
        <w:rPr>
          <w:rFonts w:cs="Times New Roman"/>
        </w:rPr>
        <w:t>及NO</w:t>
      </w:r>
      <w:r>
        <w:rPr>
          <w:rFonts w:cs="Times New Roman"/>
          <w:vertAlign w:val="subscript"/>
        </w:rPr>
        <w:t>X</w:t>
      </w:r>
      <w:r>
        <w:rPr>
          <w:rFonts w:cs="Times New Roman"/>
        </w:rPr>
        <w:t>最大落地浓度贡献值较小，叠加本底值后，预测值与目前区域环境空气质量监测结果基本一致，不会增加区域环境质量的负荷。因此，本项目锅炉燃烧废气外排对区域环境空气影响较小。</w:t>
      </w:r>
    </w:p>
    <w:p>
      <w:pPr>
        <w:pStyle w:val="7"/>
        <w:rPr>
          <w:rFonts w:cs="Times New Roman"/>
        </w:rPr>
      </w:pPr>
      <w:r>
        <w:rPr>
          <w:rFonts w:cs="Times New Roman"/>
        </w:rPr>
        <w:t>其他废气对大气环境影响分析</w:t>
      </w:r>
    </w:p>
    <w:p>
      <w:pPr>
        <w:pStyle w:val="3"/>
        <w:ind w:firstLine="480"/>
        <w:rPr>
          <w:rFonts w:cs="Times New Roman"/>
        </w:rPr>
      </w:pPr>
      <w:r>
        <w:rPr>
          <w:rFonts w:cs="Times New Roman"/>
        </w:rPr>
        <w:t>（</w:t>
      </w:r>
      <w:r>
        <w:rPr>
          <w:rFonts w:hint="eastAsia" w:cs="Times New Roman"/>
        </w:rPr>
        <w:t>1</w:t>
      </w:r>
      <w:r>
        <w:rPr>
          <w:rFonts w:cs="Times New Roman"/>
        </w:rPr>
        <w:t>）备用发电机尾气影响分析</w:t>
      </w:r>
    </w:p>
    <w:p>
      <w:pPr>
        <w:pStyle w:val="3"/>
        <w:ind w:firstLine="480"/>
        <w:rPr>
          <w:rFonts w:cs="Times New Roman"/>
        </w:rPr>
      </w:pPr>
      <w:r>
        <w:rPr>
          <w:rFonts w:cs="Times New Roman"/>
        </w:rPr>
        <w:t>项目备用发电机以清洁能源（普通柴油），满足《普通柴油》（GB252-2015）的规定，且使用时间少，尾气经引到专用烟道引至屋顶排放，根据工程分析可知，各污染物排放浓度为：</w:t>
      </w:r>
      <w:r>
        <w:rPr>
          <w:rFonts w:eastAsia="TimesNewRomanPSMT" w:cs="Times New Roman"/>
          <w:kern w:val="0"/>
        </w:rPr>
        <w:t>SO</w:t>
      </w:r>
      <w:r>
        <w:rPr>
          <w:rFonts w:eastAsia="TimesNewRomanPSMT" w:cs="Times New Roman"/>
          <w:kern w:val="0"/>
          <w:sz w:val="14"/>
          <w:szCs w:val="14"/>
        </w:rPr>
        <w:t>2</w:t>
      </w:r>
      <w:r>
        <w:rPr>
          <w:rFonts w:cs="Times New Roman"/>
        </w:rPr>
        <w:t>：</w:t>
      </w:r>
      <w:r>
        <w:t>166.67</w:t>
      </w:r>
      <w:r>
        <w:rPr>
          <w:rFonts w:cs="Times New Roman"/>
        </w:rPr>
        <w:t>mg/m</w:t>
      </w:r>
      <w:r>
        <w:rPr>
          <w:rFonts w:cs="Times New Roman"/>
          <w:vertAlign w:val="superscript"/>
        </w:rPr>
        <w:t>3</w:t>
      </w:r>
      <w:r>
        <w:rPr>
          <w:rFonts w:cs="Times New Roman"/>
        </w:rPr>
        <w:t>＜550mg/m</w:t>
      </w:r>
      <w:r>
        <w:rPr>
          <w:rFonts w:cs="Times New Roman"/>
          <w:vertAlign w:val="superscript"/>
        </w:rPr>
        <w:t>3</w:t>
      </w:r>
      <w:r>
        <w:rPr>
          <w:rFonts w:cs="Times New Roman"/>
        </w:rPr>
        <w:t>；</w:t>
      </w:r>
      <w:r>
        <w:rPr>
          <w:rFonts w:eastAsia="TimesNewRomanPSMT" w:cs="Times New Roman"/>
          <w:kern w:val="0"/>
        </w:rPr>
        <w:t>NOx</w:t>
      </w:r>
      <w:r>
        <w:rPr>
          <w:rFonts w:hint="eastAsia" w:ascii="宋体" w:hAnsi="宋体" w:cs="宋体"/>
          <w:kern w:val="0"/>
        </w:rPr>
        <w:t>：</w:t>
      </w:r>
      <w:r>
        <w:t>142.83</w:t>
      </w:r>
      <w:r>
        <w:rPr>
          <w:rFonts w:cs="Times New Roman"/>
        </w:rPr>
        <w:t>mg/m</w:t>
      </w:r>
      <w:r>
        <w:rPr>
          <w:rFonts w:cs="Times New Roman"/>
          <w:vertAlign w:val="superscript"/>
        </w:rPr>
        <w:t>3</w:t>
      </w:r>
      <w:r>
        <w:rPr>
          <w:rFonts w:cs="Times New Roman"/>
        </w:rPr>
        <w:t>＜240mg/m</w:t>
      </w:r>
      <w:r>
        <w:rPr>
          <w:rFonts w:cs="Times New Roman"/>
          <w:vertAlign w:val="superscript"/>
        </w:rPr>
        <w:t>3</w:t>
      </w:r>
      <w:r>
        <w:rPr>
          <w:rFonts w:cs="Times New Roman"/>
        </w:rPr>
        <w:t>烟尘：</w:t>
      </w:r>
      <w:r>
        <w:t>30.00</w:t>
      </w:r>
      <w:r>
        <w:rPr>
          <w:rFonts w:cs="Times New Roman"/>
        </w:rPr>
        <w:t>mg/m</w:t>
      </w:r>
      <w:r>
        <w:rPr>
          <w:rFonts w:cs="Times New Roman"/>
          <w:vertAlign w:val="superscript"/>
        </w:rPr>
        <w:t>3</w:t>
      </w:r>
      <w:r>
        <w:rPr>
          <w:rFonts w:cs="Times New Roman"/>
        </w:rPr>
        <w:t>＜120mg/m</w:t>
      </w:r>
      <w:r>
        <w:rPr>
          <w:rFonts w:cs="Times New Roman"/>
          <w:vertAlign w:val="superscript"/>
        </w:rPr>
        <w:t>3</w:t>
      </w:r>
      <w:r>
        <w:rPr>
          <w:rFonts w:cs="Times New Roman"/>
        </w:rPr>
        <w:t>；均可满足《大气污染物综合排放标准》(GB16297-1996)中表2中二级标准限值要求，对环境影响较小。</w:t>
      </w:r>
    </w:p>
    <w:p>
      <w:pPr>
        <w:pStyle w:val="3"/>
        <w:ind w:firstLine="480"/>
        <w:rPr>
          <w:rFonts w:cs="Times New Roman"/>
        </w:rPr>
      </w:pPr>
      <w:r>
        <w:rPr>
          <w:rFonts w:cs="Times New Roman"/>
        </w:rPr>
        <w:t>（</w:t>
      </w:r>
      <w:r>
        <w:rPr>
          <w:rFonts w:hint="eastAsia" w:cs="Times New Roman"/>
        </w:rPr>
        <w:t>2</w:t>
      </w:r>
      <w:r>
        <w:rPr>
          <w:rFonts w:cs="Times New Roman"/>
        </w:rPr>
        <w:t>）食堂油烟影响分析</w:t>
      </w:r>
    </w:p>
    <w:p>
      <w:pPr>
        <w:pStyle w:val="3"/>
        <w:ind w:firstLine="480"/>
        <w:rPr>
          <w:rFonts w:cs="Times New Roman"/>
        </w:rPr>
      </w:pPr>
      <w:r>
        <w:rPr>
          <w:rFonts w:cs="Times New Roman"/>
        </w:rPr>
        <w:t>本项目设置员工食堂，食堂油烟经油烟净化器处理后</w:t>
      </w:r>
      <w:r>
        <w:rPr>
          <w:rFonts w:cs="Times New Roman"/>
          <w:lang w:val="en-GB"/>
        </w:rPr>
        <w:t>，排放浓度为</w:t>
      </w:r>
      <w:r>
        <w:rPr>
          <w:rFonts w:hint="eastAsia" w:eastAsia="等线" w:cs="Times New Roman"/>
        </w:rPr>
        <w:t>0.35</w:t>
      </w:r>
      <w:r>
        <w:rPr>
          <w:rFonts w:cs="Times New Roman"/>
          <w:lang w:val="en-GB"/>
        </w:rPr>
        <w:t>mg/m</w:t>
      </w:r>
      <w:r>
        <w:rPr>
          <w:rFonts w:cs="Times New Roman"/>
          <w:vertAlign w:val="superscript"/>
          <w:lang w:val="en-GB"/>
        </w:rPr>
        <w:t>3</w:t>
      </w:r>
      <w:r>
        <w:rPr>
          <w:rFonts w:cs="Times New Roman"/>
          <w:lang w:val="en-GB"/>
        </w:rPr>
        <w:t>＜2.0mg/m</w:t>
      </w:r>
      <w:r>
        <w:rPr>
          <w:rFonts w:cs="Times New Roman"/>
          <w:vertAlign w:val="superscript"/>
          <w:lang w:val="en-GB"/>
        </w:rPr>
        <w:t>3</w:t>
      </w:r>
      <w:r>
        <w:rPr>
          <w:rFonts w:cs="Times New Roman"/>
          <w:lang w:val="en-GB"/>
        </w:rPr>
        <w:t>，</w:t>
      </w:r>
      <w:r>
        <w:rPr>
          <w:rFonts w:cs="Times New Roman"/>
          <w:bCs/>
          <w:snapToGrid w:val="0"/>
        </w:rPr>
        <w:t>可达到《饮食业油烟排放标准（试行）》（GB18483-2001）中相关标准要求，</w:t>
      </w:r>
      <w:r>
        <w:rPr>
          <w:rFonts w:cs="Times New Roman"/>
          <w:lang w:val="en-GB"/>
        </w:rPr>
        <w:t>经处理后的油烟废气</w:t>
      </w:r>
      <w:r>
        <w:rPr>
          <w:rFonts w:cs="Times New Roman"/>
          <w:bCs/>
          <w:snapToGrid w:val="0"/>
        </w:rPr>
        <w:t>通向排烟竖井屋顶高空排放，对周围环境影响较小。</w:t>
      </w:r>
    </w:p>
    <w:p>
      <w:pPr>
        <w:pStyle w:val="3"/>
        <w:ind w:firstLine="480"/>
        <w:rPr>
          <w:rFonts w:cs="Times New Roman"/>
        </w:rPr>
      </w:pPr>
      <w:r>
        <w:rPr>
          <w:rFonts w:cs="Times New Roman"/>
        </w:rPr>
        <w:t>（</w:t>
      </w:r>
      <w:r>
        <w:rPr>
          <w:rFonts w:hint="eastAsia" w:cs="Times New Roman"/>
        </w:rPr>
        <w:t>3</w:t>
      </w:r>
      <w:r>
        <w:rPr>
          <w:rFonts w:cs="Times New Roman"/>
        </w:rPr>
        <w:t>）运输过程废气影响分析</w:t>
      </w:r>
    </w:p>
    <w:p>
      <w:pPr>
        <w:pStyle w:val="3"/>
        <w:ind w:firstLine="480"/>
        <w:rPr>
          <w:rFonts w:cs="Times New Roman"/>
        </w:rPr>
      </w:pPr>
      <w:r>
        <w:rPr>
          <w:rFonts w:cs="Times New Roman"/>
        </w:rPr>
        <w:t>本项目</w:t>
      </w:r>
      <w:r>
        <w:rPr>
          <w:rFonts w:hint="eastAsia" w:cs="Times New Roman"/>
        </w:rPr>
        <w:t>育雏前需要进购鸡苗</w:t>
      </w:r>
      <w:r>
        <w:rPr>
          <w:rFonts w:cs="Times New Roman" w:eastAsiaTheme="minorEastAsia"/>
          <w:lang w:eastAsia="ja-JP"/>
        </w:rPr>
        <w:t>，</w:t>
      </w:r>
      <w:r>
        <w:rPr>
          <w:rFonts w:hint="eastAsia" w:cs="Times New Roman" w:eastAsiaTheme="minorEastAsia"/>
        </w:rPr>
        <w:t>每年需进购3批次</w:t>
      </w:r>
      <w:r>
        <w:rPr>
          <w:rFonts w:cs="Times New Roman" w:eastAsiaTheme="minorEastAsia"/>
        </w:rPr>
        <w:t>，</w:t>
      </w:r>
      <w:r>
        <w:rPr>
          <w:rFonts w:hint="eastAsia" w:cs="Times New Roman" w:eastAsiaTheme="minorEastAsia"/>
        </w:rPr>
        <w:t>同时淘汰蛋鸡每年都有约3批次</w:t>
      </w:r>
      <w:r>
        <w:rPr>
          <w:rFonts w:cs="Times New Roman"/>
        </w:rPr>
        <w:t>。项目应当选择合理的运输路线，尽量避开居民集中居住区，以减少运输过程中油料燃烧气体对路线沿途居民的影响。</w:t>
      </w:r>
      <w:r>
        <w:rPr>
          <w:rFonts w:hint="eastAsia" w:cs="Times New Roman"/>
        </w:rPr>
        <w:t>鸡苗及淘汰蛋鸡</w:t>
      </w:r>
      <w:r>
        <w:rPr>
          <w:rFonts w:cs="Times New Roman"/>
        </w:rPr>
        <w:t>频次较低，运输车辆采用篷布进行适当遮盖，以减少恶臭气体的产生。综上所述，经过合理的处置措施后，项目运输过程产生废气对路线沿途居民影响较小。</w:t>
      </w:r>
    </w:p>
    <w:p>
      <w:pPr>
        <w:pStyle w:val="7"/>
        <w:rPr>
          <w:rFonts w:cs="Times New Roman"/>
        </w:rPr>
      </w:pPr>
      <w:r>
        <w:rPr>
          <w:rFonts w:cs="Times New Roman"/>
        </w:rPr>
        <w:t>防护距离</w:t>
      </w:r>
    </w:p>
    <w:p>
      <w:pPr>
        <w:pStyle w:val="3"/>
        <w:ind w:firstLine="480"/>
        <w:rPr>
          <w:rFonts w:cs="Times New Roman"/>
        </w:rPr>
      </w:pPr>
      <w:r>
        <w:rPr>
          <w:rFonts w:cs="Times New Roman"/>
        </w:rPr>
        <w:t>（1）大气防护距离</w:t>
      </w:r>
    </w:p>
    <w:p>
      <w:pPr>
        <w:pStyle w:val="3"/>
        <w:ind w:firstLine="480"/>
        <w:rPr>
          <w:rFonts w:cs="Times New Roman"/>
        </w:rPr>
      </w:pPr>
      <w:r>
        <w:rPr>
          <w:rFonts w:cs="Times New Roman"/>
        </w:rPr>
        <w:t>根据《环境影响评价技术导则大气环境》（HJ2.2-2018）中的“8.7.5 大气环境防护距离”的有关规定，厂界浓度达标，但厂界外大气污染物短期贡献浓度超标时，可以自厂界外设置至污染物浓度达标的范围内设置大气环境防护距离。防护距离内不应有长期居住的人群。根据“大气导则”中的“8.8.5 大气环境防护距离确定”的有关规定，采用进一步预测模型模拟评价基准年内的大气污染物短期贡献浓度分布，确定超标区域和大气防护距离范围。由此可知大气环境防护距离的确定，是在厂界浓度达标，且厂界外大气污染物短期贡献浓度超标的情况下，再采用进一步预测模型预测厂界外主要污染物的短期贡献浓度分布，确定项目的大气环境防护距离。</w:t>
      </w:r>
    </w:p>
    <w:p>
      <w:pPr>
        <w:pStyle w:val="3"/>
        <w:ind w:firstLine="480"/>
        <w:rPr>
          <w:rFonts w:cs="Times New Roman"/>
        </w:rPr>
      </w:pPr>
      <w:r>
        <w:rPr>
          <w:rFonts w:cs="Times New Roman"/>
        </w:rPr>
        <w:t>本项目大气环境影响评价等级为二级，二级评价项目不进行进一步预测与评价，只对污染物排放量进行核算。运行期大气污染物厂界浓度可实现达标排放，厂界外主要大气污染物短期浓度贡献值满足其对应的环境质量标准要求，即厂界外不存在超标，因此，本项目无需设置大气环境防护距离。</w:t>
      </w:r>
    </w:p>
    <w:p>
      <w:pPr>
        <w:pStyle w:val="3"/>
        <w:ind w:firstLine="480"/>
        <w:rPr>
          <w:rFonts w:cs="Times New Roman"/>
        </w:rPr>
      </w:pPr>
      <w:r>
        <w:rPr>
          <w:rFonts w:cs="Times New Roman"/>
        </w:rPr>
        <w:t>（2）卫生防护距离</w:t>
      </w:r>
    </w:p>
    <w:p>
      <w:pPr>
        <w:pStyle w:val="3"/>
        <w:ind w:firstLine="480"/>
        <w:rPr>
          <w:rFonts w:cs="Times New Roman"/>
        </w:rPr>
      </w:pPr>
      <w:r>
        <w:rPr>
          <w:rFonts w:cs="Times New Roman"/>
        </w:rPr>
        <w:t>根据《制定地方大气污染物排放标准的技术方法（GB/T13201-91）》，当无组织排放的有害气体发散到大气中，高度在人群呼吸高度左右时，其浓度如超过《环境空气质量标准（GB3095-2012）》与《工业企业设计卫生标准（TJ36-79）》规定的居住区容许浓度限值，则无组织排放源所在的生产单元（生产区、车间或工段）与居住区之间应设置卫生防护距离。无组织排放量计算卫生防护距离公式如下：</w:t>
      </w:r>
    </w:p>
    <w:p>
      <w:pPr>
        <w:pStyle w:val="3"/>
        <w:ind w:firstLine="480"/>
        <w:jc w:val="center"/>
        <w:rPr>
          <w:rFonts w:cs="Times New Roman"/>
        </w:rPr>
      </w:pPr>
      <w:r>
        <w:rPr>
          <w:rFonts w:cs="Times New Roman"/>
        </w:rPr>
        <w:object>
          <v:shape id="_x0000_i1031" o:spt="75" type="#_x0000_t75" style="height:35.7pt;width:136.5pt;" o:ole="t" filled="f" coordsize="21600,21600">
            <v:path/>
            <v:fill on="f" focussize="0,0"/>
            <v:stroke/>
            <v:imagedata r:id="rId27" o:title=""/>
            <o:lock v:ext="edit" aspectratio="t"/>
            <w10:wrap type="none"/>
            <w10:anchorlock/>
          </v:shape>
          <o:OLEObject Type="Embed" ProgID="Equation.3" ShapeID="_x0000_i1031" DrawAspect="Content" ObjectID="_1468075731" r:id="rId26">
            <o:LockedField>false</o:LockedField>
          </o:OLEObject>
        </w:object>
      </w:r>
    </w:p>
    <w:p>
      <w:pPr>
        <w:pStyle w:val="3"/>
        <w:ind w:firstLine="480"/>
        <w:rPr>
          <w:rFonts w:cs="Times New Roman"/>
        </w:rPr>
      </w:pPr>
      <w:r>
        <w:rPr>
          <w:rFonts w:cs="Times New Roman"/>
        </w:rPr>
        <w:t>式中：C</w:t>
      </w:r>
      <w:r>
        <w:rPr>
          <w:rFonts w:cs="Times New Roman"/>
          <w:vertAlign w:val="subscript"/>
        </w:rPr>
        <w:t>m</w:t>
      </w:r>
      <w:r>
        <w:rPr>
          <w:rFonts w:cs="Times New Roman"/>
        </w:rPr>
        <w:t>—标准浓度限值，mg/m</w:t>
      </w:r>
      <w:r>
        <w:rPr>
          <w:rFonts w:cs="Times New Roman"/>
          <w:vertAlign w:val="superscript"/>
        </w:rPr>
        <w:t>3</w:t>
      </w:r>
      <w:r>
        <w:rPr>
          <w:rFonts w:cs="Times New Roman"/>
        </w:rPr>
        <w:t>；</w:t>
      </w:r>
    </w:p>
    <w:p>
      <w:pPr>
        <w:pStyle w:val="3"/>
        <w:ind w:firstLine="1200" w:firstLineChars="500"/>
        <w:rPr>
          <w:rFonts w:cs="Times New Roman"/>
        </w:rPr>
      </w:pPr>
      <w:r>
        <w:rPr>
          <w:rFonts w:cs="Times New Roman"/>
        </w:rPr>
        <w:t>L—工业企业所需卫生防护距离，m；</w:t>
      </w:r>
    </w:p>
    <w:p>
      <w:pPr>
        <w:pStyle w:val="3"/>
        <w:ind w:firstLine="1200" w:firstLineChars="500"/>
        <w:rPr>
          <w:rFonts w:cs="Times New Roman"/>
        </w:rPr>
      </w:pPr>
      <w:r>
        <w:rPr>
          <w:rFonts w:cs="Times New Roman"/>
        </w:rPr>
        <w:t>r—有害气体无组织排放源所在生产单位的等效半径，m，根据该生产单元占地面积S（m</w:t>
      </w:r>
      <w:r>
        <w:rPr>
          <w:rFonts w:cs="Times New Roman"/>
          <w:vertAlign w:val="superscript"/>
        </w:rPr>
        <w:t>2</w:t>
      </w:r>
      <w:r>
        <w:rPr>
          <w:rFonts w:cs="Times New Roman"/>
        </w:rPr>
        <w:t>）计算，r = ( S/π )</w:t>
      </w:r>
      <w:r>
        <w:rPr>
          <w:rFonts w:cs="Times New Roman"/>
          <w:vertAlign w:val="superscript"/>
        </w:rPr>
        <w:t>0.5</w:t>
      </w:r>
      <w:r>
        <w:rPr>
          <w:rFonts w:cs="Times New Roman"/>
        </w:rPr>
        <w:t>；</w:t>
      </w:r>
    </w:p>
    <w:p>
      <w:pPr>
        <w:pStyle w:val="3"/>
        <w:ind w:firstLine="1200" w:firstLineChars="500"/>
        <w:rPr>
          <w:rFonts w:cs="Times New Roman"/>
        </w:rPr>
      </w:pPr>
      <w:r>
        <w:rPr>
          <w:rFonts w:cs="Times New Roman"/>
        </w:rPr>
        <w:t>A、B、C、D—卫生防护距离计算系数；无因次，根据工业企业所在地区近五年来平均内速及工业企业大气污染源构成类别从表6-8中查取。</w:t>
      </w:r>
    </w:p>
    <w:p>
      <w:pPr>
        <w:pStyle w:val="3"/>
        <w:ind w:firstLine="1200" w:firstLineChars="500"/>
        <w:rPr>
          <w:rFonts w:cs="Times New Roman"/>
        </w:rPr>
      </w:pPr>
      <w:r>
        <w:rPr>
          <w:rFonts w:cs="Times New Roman"/>
        </w:rPr>
        <w:t>Q</w:t>
      </w:r>
      <w:r>
        <w:rPr>
          <w:rFonts w:cs="Times New Roman"/>
          <w:vertAlign w:val="subscript"/>
        </w:rPr>
        <w:t>c</w:t>
      </w:r>
      <w:r>
        <w:rPr>
          <w:rFonts w:cs="Times New Roman"/>
        </w:rPr>
        <w:t>—工业企业有害气体无组织排放量可以达到的控制水平，kg/h。</w:t>
      </w:r>
    </w:p>
    <w:p>
      <w:pPr>
        <w:pStyle w:val="15"/>
        <w:rPr>
          <w:rFonts w:cs="Times New Roman"/>
        </w:rPr>
      </w:pPr>
      <w:r>
        <w:rPr>
          <w:rFonts w:cs="Times New Roman"/>
        </w:rPr>
        <w:t>表5.2-</w:t>
      </w:r>
      <w:r>
        <w:rPr>
          <w:rFonts w:hint="eastAsia" w:cs="Times New Roman"/>
        </w:rPr>
        <w:t>5</w:t>
      </w:r>
      <w:r>
        <w:rPr>
          <w:rFonts w:cs="Times New Roman"/>
        </w:rPr>
        <w:t xml:space="preserve">  卫生防护距离计算系数查取表</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5"/>
        <w:gridCol w:w="2005"/>
        <w:gridCol w:w="708"/>
        <w:gridCol w:w="710"/>
        <w:gridCol w:w="710"/>
        <w:gridCol w:w="708"/>
        <w:gridCol w:w="710"/>
        <w:gridCol w:w="712"/>
        <w:gridCol w:w="708"/>
        <w:gridCol w:w="710"/>
        <w:gridCol w:w="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8" w:type="pct"/>
            <w:vMerge w:val="restart"/>
            <w:vAlign w:val="center"/>
          </w:tcPr>
          <w:p>
            <w:pPr>
              <w:pStyle w:val="39"/>
              <w:rPr>
                <w:rFonts w:cs="Times New Roman"/>
              </w:rPr>
            </w:pPr>
            <w:r>
              <w:rPr>
                <w:rFonts w:cs="Times New Roman"/>
              </w:rPr>
              <w:t>计算系数</w:t>
            </w:r>
          </w:p>
        </w:tc>
        <w:tc>
          <w:tcPr>
            <w:tcW w:w="1093" w:type="pct"/>
            <w:vMerge w:val="restart"/>
            <w:vAlign w:val="center"/>
          </w:tcPr>
          <w:p>
            <w:pPr>
              <w:pStyle w:val="39"/>
              <w:rPr>
                <w:rFonts w:cs="Times New Roman"/>
              </w:rPr>
            </w:pPr>
            <w:r>
              <w:rPr>
                <w:rFonts w:cs="Times New Roman"/>
              </w:rPr>
              <w:t>工业企业所在地区近五年来平均风速</w:t>
            </w:r>
          </w:p>
          <w:p>
            <w:pPr>
              <w:pStyle w:val="39"/>
              <w:rPr>
                <w:rFonts w:cs="Times New Roman"/>
              </w:rPr>
            </w:pPr>
            <w:r>
              <w:rPr>
                <w:rFonts w:cs="Times New Roman"/>
              </w:rPr>
              <w:t>(m/s)</w:t>
            </w:r>
          </w:p>
        </w:tc>
        <w:tc>
          <w:tcPr>
            <w:tcW w:w="3478" w:type="pct"/>
            <w:gridSpan w:val="9"/>
            <w:vAlign w:val="center"/>
          </w:tcPr>
          <w:p>
            <w:pPr>
              <w:pStyle w:val="39"/>
              <w:rPr>
                <w:rFonts w:cs="Times New Roman"/>
              </w:rPr>
            </w:pPr>
            <w:r>
              <w:rPr>
                <w:rFonts w:cs="Times New Roman"/>
              </w:rPr>
              <w:t>卫生防护距离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8" w:type="pct"/>
            <w:vMerge w:val="continue"/>
            <w:vAlign w:val="center"/>
          </w:tcPr>
          <w:p>
            <w:pPr>
              <w:pStyle w:val="39"/>
              <w:rPr>
                <w:rFonts w:cs="Times New Roman"/>
              </w:rPr>
            </w:pPr>
          </w:p>
        </w:tc>
        <w:tc>
          <w:tcPr>
            <w:tcW w:w="1093" w:type="pct"/>
            <w:vMerge w:val="continue"/>
            <w:vAlign w:val="center"/>
          </w:tcPr>
          <w:p>
            <w:pPr>
              <w:pStyle w:val="39"/>
              <w:rPr>
                <w:rFonts w:cs="Times New Roman"/>
              </w:rPr>
            </w:pPr>
          </w:p>
        </w:tc>
        <w:tc>
          <w:tcPr>
            <w:tcW w:w="1160" w:type="pct"/>
            <w:gridSpan w:val="3"/>
            <w:vAlign w:val="center"/>
          </w:tcPr>
          <w:p>
            <w:pPr>
              <w:pStyle w:val="39"/>
              <w:rPr>
                <w:rFonts w:cs="Times New Roman"/>
              </w:rPr>
            </w:pPr>
            <w:r>
              <w:rPr>
                <w:rFonts w:cs="Times New Roman"/>
              </w:rPr>
              <w:t>L≤1000</w:t>
            </w:r>
          </w:p>
        </w:tc>
        <w:tc>
          <w:tcPr>
            <w:tcW w:w="1161" w:type="pct"/>
            <w:gridSpan w:val="3"/>
            <w:vAlign w:val="center"/>
          </w:tcPr>
          <w:p>
            <w:pPr>
              <w:pStyle w:val="39"/>
              <w:rPr>
                <w:rFonts w:cs="Times New Roman"/>
              </w:rPr>
            </w:pPr>
            <w:r>
              <w:rPr>
                <w:rFonts w:cs="Times New Roman"/>
              </w:rPr>
              <w:t>1000＜L≤2000</w:t>
            </w:r>
          </w:p>
        </w:tc>
        <w:tc>
          <w:tcPr>
            <w:tcW w:w="1158" w:type="pct"/>
            <w:gridSpan w:val="3"/>
            <w:vAlign w:val="center"/>
          </w:tcPr>
          <w:p>
            <w:pPr>
              <w:pStyle w:val="39"/>
              <w:rPr>
                <w:rFonts w:cs="Times New Roman"/>
              </w:rPr>
            </w:pPr>
            <w:r>
              <w:rPr>
                <w:rFonts w:cs="Times New Roman"/>
              </w:rPr>
              <w:t>L</w:t>
            </w:r>
            <w:r>
              <w:rPr>
                <w:rFonts w:hint="eastAsia" w:ascii="宋体" w:hAnsi="宋体" w:cs="宋体"/>
              </w:rPr>
              <w:t>≧</w:t>
            </w:r>
            <w:r>
              <w:rPr>
                <w:rFonts w:cs="Times New Roma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8" w:type="pct"/>
            <w:vMerge w:val="continue"/>
            <w:vAlign w:val="center"/>
          </w:tcPr>
          <w:p>
            <w:pPr>
              <w:pStyle w:val="39"/>
              <w:rPr>
                <w:rFonts w:cs="Times New Roman"/>
              </w:rPr>
            </w:pPr>
          </w:p>
        </w:tc>
        <w:tc>
          <w:tcPr>
            <w:tcW w:w="1093" w:type="pct"/>
            <w:vMerge w:val="continue"/>
            <w:vAlign w:val="center"/>
          </w:tcPr>
          <w:p>
            <w:pPr>
              <w:pStyle w:val="39"/>
              <w:rPr>
                <w:rFonts w:cs="Times New Roman"/>
              </w:rPr>
            </w:pPr>
          </w:p>
        </w:tc>
        <w:tc>
          <w:tcPr>
            <w:tcW w:w="3478" w:type="pct"/>
            <w:gridSpan w:val="9"/>
            <w:vAlign w:val="center"/>
          </w:tcPr>
          <w:p>
            <w:pPr>
              <w:pStyle w:val="39"/>
              <w:rPr>
                <w:rFonts w:cs="Times New Roman"/>
              </w:rPr>
            </w:pPr>
            <w:r>
              <w:rPr>
                <w:rFonts w:cs="Times New Roman"/>
              </w:rPr>
              <w:t>工业企业大气污染源构成类别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8" w:type="pct"/>
            <w:vMerge w:val="continue"/>
            <w:vAlign w:val="center"/>
          </w:tcPr>
          <w:p>
            <w:pPr>
              <w:pStyle w:val="39"/>
              <w:rPr>
                <w:rFonts w:cs="Times New Roman"/>
              </w:rPr>
            </w:pPr>
          </w:p>
        </w:tc>
        <w:tc>
          <w:tcPr>
            <w:tcW w:w="1093" w:type="pct"/>
            <w:vMerge w:val="continue"/>
            <w:vAlign w:val="center"/>
          </w:tcPr>
          <w:p>
            <w:pPr>
              <w:pStyle w:val="39"/>
              <w:rPr>
                <w:rFonts w:cs="Times New Roman"/>
              </w:rPr>
            </w:pPr>
          </w:p>
        </w:tc>
        <w:tc>
          <w:tcPr>
            <w:tcW w:w="386" w:type="pct"/>
            <w:vAlign w:val="center"/>
          </w:tcPr>
          <w:p>
            <w:pPr>
              <w:pStyle w:val="39"/>
              <w:rPr>
                <w:rFonts w:cs="Times New Roman"/>
              </w:rPr>
            </w:pPr>
            <w:r>
              <w:rPr>
                <w:rFonts w:cs="Times New Roman"/>
              </w:rPr>
              <w:fldChar w:fldCharType="begin"/>
            </w:r>
            <w:r>
              <w:rPr>
                <w:rFonts w:cs="Times New Roman"/>
              </w:rPr>
              <w:instrText xml:space="preserve"> = 1 \* ROMAN </w:instrText>
            </w:r>
            <w:r>
              <w:rPr>
                <w:rFonts w:cs="Times New Roman"/>
              </w:rPr>
              <w:fldChar w:fldCharType="separate"/>
            </w:r>
            <w:r>
              <w:rPr>
                <w:rFonts w:cs="Times New Roman"/>
              </w:rPr>
              <w:t>I</w:t>
            </w:r>
            <w:r>
              <w:rPr>
                <w:rFonts w:cs="Times New Roman"/>
              </w:rPr>
              <w:fldChar w:fldCharType="end"/>
            </w:r>
          </w:p>
        </w:tc>
        <w:tc>
          <w:tcPr>
            <w:tcW w:w="387" w:type="pct"/>
            <w:vAlign w:val="center"/>
          </w:tcPr>
          <w:p>
            <w:pPr>
              <w:pStyle w:val="39"/>
              <w:rPr>
                <w:rFonts w:cs="Times New Roman"/>
              </w:rPr>
            </w:pPr>
            <w:r>
              <w:rPr>
                <w:rFonts w:cs="Times New Roman"/>
              </w:rPr>
              <w:fldChar w:fldCharType="begin"/>
            </w:r>
            <w:r>
              <w:rPr>
                <w:rFonts w:cs="Times New Roman"/>
              </w:rPr>
              <w:instrText xml:space="preserve"> = 1 \* ROMAN </w:instrText>
            </w:r>
            <w:r>
              <w:rPr>
                <w:rFonts w:cs="Times New Roman"/>
              </w:rPr>
              <w:fldChar w:fldCharType="separate"/>
            </w:r>
            <w:r>
              <w:rPr>
                <w:rFonts w:cs="Times New Roman"/>
              </w:rPr>
              <w:t>I</w:t>
            </w:r>
            <w:r>
              <w:rPr>
                <w:rFonts w:cs="Times New Roman"/>
              </w:rPr>
              <w:fldChar w:fldCharType="end"/>
            </w:r>
            <w:r>
              <w:rPr>
                <w:rFonts w:cs="Times New Roman"/>
              </w:rPr>
              <w:fldChar w:fldCharType="begin"/>
            </w:r>
            <w:r>
              <w:rPr>
                <w:rFonts w:cs="Times New Roman"/>
              </w:rPr>
              <w:instrText xml:space="preserve"> = 1 \* ROMAN </w:instrText>
            </w:r>
            <w:r>
              <w:rPr>
                <w:rFonts w:cs="Times New Roman"/>
              </w:rPr>
              <w:fldChar w:fldCharType="separate"/>
            </w:r>
            <w:r>
              <w:rPr>
                <w:rFonts w:cs="Times New Roman"/>
              </w:rPr>
              <w:t>I</w:t>
            </w:r>
            <w:r>
              <w:rPr>
                <w:rFonts w:cs="Times New Roman"/>
              </w:rPr>
              <w:fldChar w:fldCharType="end"/>
            </w:r>
          </w:p>
        </w:tc>
        <w:tc>
          <w:tcPr>
            <w:tcW w:w="387" w:type="pct"/>
            <w:vAlign w:val="center"/>
          </w:tcPr>
          <w:p>
            <w:pPr>
              <w:pStyle w:val="39"/>
              <w:rPr>
                <w:rFonts w:cs="Times New Roman"/>
              </w:rPr>
            </w:pPr>
            <w:r>
              <w:rPr>
                <w:rFonts w:cs="Times New Roman"/>
              </w:rPr>
              <w:fldChar w:fldCharType="begin"/>
            </w:r>
            <w:r>
              <w:rPr>
                <w:rFonts w:cs="Times New Roman"/>
              </w:rPr>
              <w:instrText xml:space="preserve"> = 1 \* ROMAN </w:instrText>
            </w:r>
            <w:r>
              <w:rPr>
                <w:rFonts w:cs="Times New Roman"/>
              </w:rPr>
              <w:fldChar w:fldCharType="separate"/>
            </w:r>
            <w:r>
              <w:rPr>
                <w:rFonts w:cs="Times New Roman"/>
              </w:rPr>
              <w:t>I</w:t>
            </w:r>
            <w:r>
              <w:rPr>
                <w:rFonts w:cs="Times New Roman"/>
              </w:rPr>
              <w:fldChar w:fldCharType="end"/>
            </w:r>
            <w:r>
              <w:rPr>
                <w:rFonts w:cs="Times New Roman"/>
              </w:rPr>
              <w:fldChar w:fldCharType="begin"/>
            </w:r>
            <w:r>
              <w:rPr>
                <w:rFonts w:cs="Times New Roman"/>
              </w:rPr>
              <w:instrText xml:space="preserve"> = 1 \* ROMAN </w:instrText>
            </w:r>
            <w:r>
              <w:rPr>
                <w:rFonts w:cs="Times New Roman"/>
              </w:rPr>
              <w:fldChar w:fldCharType="separate"/>
            </w:r>
            <w:r>
              <w:rPr>
                <w:rFonts w:cs="Times New Roman"/>
              </w:rPr>
              <w:t>I</w:t>
            </w:r>
            <w:r>
              <w:rPr>
                <w:rFonts w:cs="Times New Roman"/>
              </w:rPr>
              <w:fldChar w:fldCharType="end"/>
            </w:r>
            <w:r>
              <w:rPr>
                <w:rFonts w:cs="Times New Roman"/>
              </w:rPr>
              <w:fldChar w:fldCharType="begin"/>
            </w:r>
            <w:r>
              <w:rPr>
                <w:rFonts w:cs="Times New Roman"/>
              </w:rPr>
              <w:instrText xml:space="preserve"> = 1 \* ROMAN </w:instrText>
            </w:r>
            <w:r>
              <w:rPr>
                <w:rFonts w:cs="Times New Roman"/>
              </w:rPr>
              <w:fldChar w:fldCharType="separate"/>
            </w:r>
            <w:r>
              <w:rPr>
                <w:rFonts w:cs="Times New Roman"/>
              </w:rPr>
              <w:t>I</w:t>
            </w:r>
            <w:r>
              <w:rPr>
                <w:rFonts w:cs="Times New Roman"/>
              </w:rPr>
              <w:fldChar w:fldCharType="end"/>
            </w:r>
          </w:p>
        </w:tc>
        <w:tc>
          <w:tcPr>
            <w:tcW w:w="386" w:type="pct"/>
            <w:vAlign w:val="center"/>
          </w:tcPr>
          <w:p>
            <w:pPr>
              <w:pStyle w:val="39"/>
              <w:rPr>
                <w:rFonts w:cs="Times New Roman"/>
              </w:rPr>
            </w:pPr>
            <w:r>
              <w:rPr>
                <w:rFonts w:cs="Times New Roman"/>
              </w:rPr>
              <w:fldChar w:fldCharType="begin"/>
            </w:r>
            <w:r>
              <w:rPr>
                <w:rFonts w:cs="Times New Roman"/>
              </w:rPr>
              <w:instrText xml:space="preserve"> = 1 \* ROMAN </w:instrText>
            </w:r>
            <w:r>
              <w:rPr>
                <w:rFonts w:cs="Times New Roman"/>
              </w:rPr>
              <w:fldChar w:fldCharType="separate"/>
            </w:r>
            <w:r>
              <w:rPr>
                <w:rFonts w:cs="Times New Roman"/>
              </w:rPr>
              <w:t>I</w:t>
            </w:r>
            <w:r>
              <w:rPr>
                <w:rFonts w:cs="Times New Roman"/>
              </w:rPr>
              <w:fldChar w:fldCharType="end"/>
            </w:r>
          </w:p>
        </w:tc>
        <w:tc>
          <w:tcPr>
            <w:tcW w:w="387" w:type="pct"/>
            <w:vAlign w:val="center"/>
          </w:tcPr>
          <w:p>
            <w:pPr>
              <w:pStyle w:val="39"/>
              <w:rPr>
                <w:rFonts w:cs="Times New Roman"/>
              </w:rPr>
            </w:pPr>
            <w:r>
              <w:rPr>
                <w:rFonts w:cs="Times New Roman"/>
              </w:rPr>
              <w:fldChar w:fldCharType="begin"/>
            </w:r>
            <w:r>
              <w:rPr>
                <w:rFonts w:cs="Times New Roman"/>
              </w:rPr>
              <w:instrText xml:space="preserve"> = 1 \* ROMAN </w:instrText>
            </w:r>
            <w:r>
              <w:rPr>
                <w:rFonts w:cs="Times New Roman"/>
              </w:rPr>
              <w:fldChar w:fldCharType="separate"/>
            </w:r>
            <w:r>
              <w:rPr>
                <w:rFonts w:cs="Times New Roman"/>
              </w:rPr>
              <w:t>I</w:t>
            </w:r>
            <w:r>
              <w:rPr>
                <w:rFonts w:cs="Times New Roman"/>
              </w:rPr>
              <w:fldChar w:fldCharType="end"/>
            </w:r>
            <w:r>
              <w:rPr>
                <w:rFonts w:cs="Times New Roman"/>
              </w:rPr>
              <w:fldChar w:fldCharType="begin"/>
            </w:r>
            <w:r>
              <w:rPr>
                <w:rFonts w:cs="Times New Roman"/>
              </w:rPr>
              <w:instrText xml:space="preserve"> = 1 \* ROMAN </w:instrText>
            </w:r>
            <w:r>
              <w:rPr>
                <w:rFonts w:cs="Times New Roman"/>
              </w:rPr>
              <w:fldChar w:fldCharType="separate"/>
            </w:r>
            <w:r>
              <w:rPr>
                <w:rFonts w:cs="Times New Roman"/>
              </w:rPr>
              <w:t>I</w:t>
            </w:r>
            <w:r>
              <w:rPr>
                <w:rFonts w:cs="Times New Roman"/>
              </w:rPr>
              <w:fldChar w:fldCharType="end"/>
            </w:r>
          </w:p>
        </w:tc>
        <w:tc>
          <w:tcPr>
            <w:tcW w:w="388" w:type="pct"/>
            <w:vAlign w:val="center"/>
          </w:tcPr>
          <w:p>
            <w:pPr>
              <w:pStyle w:val="39"/>
              <w:rPr>
                <w:rFonts w:cs="Times New Roman"/>
              </w:rPr>
            </w:pPr>
            <w:r>
              <w:rPr>
                <w:rFonts w:cs="Times New Roman"/>
              </w:rPr>
              <w:fldChar w:fldCharType="begin"/>
            </w:r>
            <w:r>
              <w:rPr>
                <w:rFonts w:cs="Times New Roman"/>
              </w:rPr>
              <w:instrText xml:space="preserve"> = 1 \* ROMAN </w:instrText>
            </w:r>
            <w:r>
              <w:rPr>
                <w:rFonts w:cs="Times New Roman"/>
              </w:rPr>
              <w:fldChar w:fldCharType="separate"/>
            </w:r>
            <w:r>
              <w:rPr>
                <w:rFonts w:cs="Times New Roman"/>
              </w:rPr>
              <w:t>I</w:t>
            </w:r>
            <w:r>
              <w:rPr>
                <w:rFonts w:cs="Times New Roman"/>
              </w:rPr>
              <w:fldChar w:fldCharType="end"/>
            </w:r>
            <w:r>
              <w:rPr>
                <w:rFonts w:cs="Times New Roman"/>
              </w:rPr>
              <w:fldChar w:fldCharType="begin"/>
            </w:r>
            <w:r>
              <w:rPr>
                <w:rFonts w:cs="Times New Roman"/>
              </w:rPr>
              <w:instrText xml:space="preserve"> = 1 \* ROMAN </w:instrText>
            </w:r>
            <w:r>
              <w:rPr>
                <w:rFonts w:cs="Times New Roman"/>
              </w:rPr>
              <w:fldChar w:fldCharType="separate"/>
            </w:r>
            <w:r>
              <w:rPr>
                <w:rFonts w:cs="Times New Roman"/>
              </w:rPr>
              <w:t>I</w:t>
            </w:r>
            <w:r>
              <w:rPr>
                <w:rFonts w:cs="Times New Roman"/>
              </w:rPr>
              <w:fldChar w:fldCharType="end"/>
            </w:r>
            <w:r>
              <w:rPr>
                <w:rFonts w:cs="Times New Roman"/>
              </w:rPr>
              <w:fldChar w:fldCharType="begin"/>
            </w:r>
            <w:r>
              <w:rPr>
                <w:rFonts w:cs="Times New Roman"/>
              </w:rPr>
              <w:instrText xml:space="preserve"> = 1 \* ROMAN </w:instrText>
            </w:r>
            <w:r>
              <w:rPr>
                <w:rFonts w:cs="Times New Roman"/>
              </w:rPr>
              <w:fldChar w:fldCharType="separate"/>
            </w:r>
            <w:r>
              <w:rPr>
                <w:rFonts w:cs="Times New Roman"/>
              </w:rPr>
              <w:t>I</w:t>
            </w:r>
            <w:r>
              <w:rPr>
                <w:rFonts w:cs="Times New Roman"/>
              </w:rPr>
              <w:fldChar w:fldCharType="end"/>
            </w:r>
          </w:p>
        </w:tc>
        <w:tc>
          <w:tcPr>
            <w:tcW w:w="386" w:type="pct"/>
            <w:vAlign w:val="center"/>
          </w:tcPr>
          <w:p>
            <w:pPr>
              <w:pStyle w:val="39"/>
              <w:rPr>
                <w:rFonts w:cs="Times New Roman"/>
              </w:rPr>
            </w:pPr>
            <w:r>
              <w:rPr>
                <w:rFonts w:cs="Times New Roman"/>
              </w:rPr>
              <w:fldChar w:fldCharType="begin"/>
            </w:r>
            <w:r>
              <w:rPr>
                <w:rFonts w:cs="Times New Roman"/>
              </w:rPr>
              <w:instrText xml:space="preserve"> = 1 \* ROMAN </w:instrText>
            </w:r>
            <w:r>
              <w:rPr>
                <w:rFonts w:cs="Times New Roman"/>
              </w:rPr>
              <w:fldChar w:fldCharType="separate"/>
            </w:r>
            <w:r>
              <w:rPr>
                <w:rFonts w:cs="Times New Roman"/>
              </w:rPr>
              <w:t>I</w:t>
            </w:r>
            <w:r>
              <w:rPr>
                <w:rFonts w:cs="Times New Roman"/>
              </w:rPr>
              <w:fldChar w:fldCharType="end"/>
            </w:r>
          </w:p>
        </w:tc>
        <w:tc>
          <w:tcPr>
            <w:tcW w:w="387" w:type="pct"/>
            <w:vAlign w:val="center"/>
          </w:tcPr>
          <w:p>
            <w:pPr>
              <w:pStyle w:val="39"/>
              <w:rPr>
                <w:rFonts w:cs="Times New Roman"/>
              </w:rPr>
            </w:pPr>
            <w:r>
              <w:rPr>
                <w:rFonts w:cs="Times New Roman"/>
              </w:rPr>
              <w:fldChar w:fldCharType="begin"/>
            </w:r>
            <w:r>
              <w:rPr>
                <w:rFonts w:cs="Times New Roman"/>
              </w:rPr>
              <w:instrText xml:space="preserve"> = 1 \* ROMAN </w:instrText>
            </w:r>
            <w:r>
              <w:rPr>
                <w:rFonts w:cs="Times New Roman"/>
              </w:rPr>
              <w:fldChar w:fldCharType="separate"/>
            </w:r>
            <w:r>
              <w:rPr>
                <w:rFonts w:cs="Times New Roman"/>
              </w:rPr>
              <w:t>I</w:t>
            </w:r>
            <w:r>
              <w:rPr>
                <w:rFonts w:cs="Times New Roman"/>
              </w:rPr>
              <w:fldChar w:fldCharType="end"/>
            </w:r>
            <w:r>
              <w:rPr>
                <w:rFonts w:cs="Times New Roman"/>
              </w:rPr>
              <w:fldChar w:fldCharType="begin"/>
            </w:r>
            <w:r>
              <w:rPr>
                <w:rFonts w:cs="Times New Roman"/>
              </w:rPr>
              <w:instrText xml:space="preserve"> = 1 \* ROMAN </w:instrText>
            </w:r>
            <w:r>
              <w:rPr>
                <w:rFonts w:cs="Times New Roman"/>
              </w:rPr>
              <w:fldChar w:fldCharType="separate"/>
            </w:r>
            <w:r>
              <w:rPr>
                <w:rFonts w:cs="Times New Roman"/>
              </w:rPr>
              <w:t>I</w:t>
            </w:r>
            <w:r>
              <w:rPr>
                <w:rFonts w:cs="Times New Roman"/>
              </w:rPr>
              <w:fldChar w:fldCharType="end"/>
            </w:r>
          </w:p>
        </w:tc>
        <w:tc>
          <w:tcPr>
            <w:tcW w:w="385" w:type="pct"/>
            <w:vAlign w:val="center"/>
          </w:tcPr>
          <w:p>
            <w:pPr>
              <w:pStyle w:val="39"/>
              <w:rPr>
                <w:rFonts w:cs="Times New Roman"/>
              </w:rPr>
            </w:pPr>
            <w:r>
              <w:rPr>
                <w:rFonts w:cs="Times New Roman"/>
              </w:rPr>
              <w:fldChar w:fldCharType="begin"/>
            </w:r>
            <w:r>
              <w:rPr>
                <w:rFonts w:cs="Times New Roman"/>
              </w:rPr>
              <w:instrText xml:space="preserve"> = 1 \* ROMAN </w:instrText>
            </w:r>
            <w:r>
              <w:rPr>
                <w:rFonts w:cs="Times New Roman"/>
              </w:rPr>
              <w:fldChar w:fldCharType="separate"/>
            </w:r>
            <w:r>
              <w:rPr>
                <w:rFonts w:cs="Times New Roman"/>
              </w:rPr>
              <w:t>I</w:t>
            </w:r>
            <w:r>
              <w:rPr>
                <w:rFonts w:cs="Times New Roman"/>
              </w:rPr>
              <w:fldChar w:fldCharType="end"/>
            </w:r>
            <w:r>
              <w:rPr>
                <w:rFonts w:cs="Times New Roman"/>
              </w:rPr>
              <w:fldChar w:fldCharType="begin"/>
            </w:r>
            <w:r>
              <w:rPr>
                <w:rFonts w:cs="Times New Roman"/>
              </w:rPr>
              <w:instrText xml:space="preserve"> = 1 \* ROMAN </w:instrText>
            </w:r>
            <w:r>
              <w:rPr>
                <w:rFonts w:cs="Times New Roman"/>
              </w:rPr>
              <w:fldChar w:fldCharType="separate"/>
            </w:r>
            <w:r>
              <w:rPr>
                <w:rFonts w:cs="Times New Roman"/>
              </w:rPr>
              <w:t>I</w:t>
            </w:r>
            <w:r>
              <w:rPr>
                <w:rFonts w:cs="Times New Roman"/>
              </w:rPr>
              <w:fldChar w:fldCharType="end"/>
            </w:r>
            <w:r>
              <w:rPr>
                <w:rFonts w:cs="Times New Roman"/>
              </w:rPr>
              <w:fldChar w:fldCharType="begin"/>
            </w:r>
            <w:r>
              <w:rPr>
                <w:rFonts w:cs="Times New Roman"/>
              </w:rPr>
              <w:instrText xml:space="preserve"> = 1 \* ROMAN </w:instrText>
            </w:r>
            <w:r>
              <w:rPr>
                <w:rFonts w:cs="Times New Roman"/>
              </w:rPr>
              <w:fldChar w:fldCharType="separate"/>
            </w:r>
            <w:r>
              <w:rPr>
                <w:rFonts w:cs="Times New Roman"/>
              </w:rPr>
              <w:t>I</w:t>
            </w:r>
            <w:r>
              <w:rPr>
                <w:rFonts w:cs="Times New Roma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8" w:type="pct"/>
            <w:vMerge w:val="restart"/>
            <w:vAlign w:val="center"/>
          </w:tcPr>
          <w:p>
            <w:pPr>
              <w:pStyle w:val="39"/>
              <w:rPr>
                <w:rFonts w:cs="Times New Roman"/>
              </w:rPr>
            </w:pPr>
            <w:r>
              <w:rPr>
                <w:rFonts w:cs="Times New Roman"/>
              </w:rPr>
              <w:t>A</w:t>
            </w:r>
          </w:p>
        </w:tc>
        <w:tc>
          <w:tcPr>
            <w:tcW w:w="1093" w:type="pct"/>
            <w:vAlign w:val="center"/>
          </w:tcPr>
          <w:p>
            <w:pPr>
              <w:pStyle w:val="39"/>
              <w:rPr>
                <w:rFonts w:cs="Times New Roman"/>
              </w:rPr>
            </w:pPr>
            <w:r>
              <w:rPr>
                <w:rFonts w:cs="Times New Roman"/>
              </w:rPr>
              <w:t>＜2</w:t>
            </w:r>
          </w:p>
        </w:tc>
        <w:tc>
          <w:tcPr>
            <w:tcW w:w="386" w:type="pct"/>
            <w:vAlign w:val="center"/>
          </w:tcPr>
          <w:p>
            <w:pPr>
              <w:pStyle w:val="39"/>
              <w:rPr>
                <w:rFonts w:cs="Times New Roman"/>
              </w:rPr>
            </w:pPr>
            <w:r>
              <w:rPr>
                <w:rFonts w:cs="Times New Roman"/>
              </w:rPr>
              <w:t>400</w:t>
            </w:r>
          </w:p>
        </w:tc>
        <w:tc>
          <w:tcPr>
            <w:tcW w:w="387" w:type="pct"/>
            <w:vAlign w:val="center"/>
          </w:tcPr>
          <w:p>
            <w:pPr>
              <w:pStyle w:val="39"/>
              <w:rPr>
                <w:rFonts w:cs="Times New Roman"/>
              </w:rPr>
            </w:pPr>
            <w:r>
              <w:rPr>
                <w:rFonts w:cs="Times New Roman"/>
              </w:rPr>
              <w:t>400</w:t>
            </w:r>
          </w:p>
        </w:tc>
        <w:tc>
          <w:tcPr>
            <w:tcW w:w="387" w:type="pct"/>
            <w:vAlign w:val="center"/>
          </w:tcPr>
          <w:p>
            <w:pPr>
              <w:pStyle w:val="39"/>
              <w:rPr>
                <w:rFonts w:cs="Times New Roman"/>
              </w:rPr>
            </w:pPr>
            <w:r>
              <w:rPr>
                <w:rFonts w:cs="Times New Roman"/>
              </w:rPr>
              <w:t>400</w:t>
            </w:r>
          </w:p>
        </w:tc>
        <w:tc>
          <w:tcPr>
            <w:tcW w:w="386" w:type="pct"/>
            <w:vAlign w:val="center"/>
          </w:tcPr>
          <w:p>
            <w:pPr>
              <w:pStyle w:val="39"/>
              <w:rPr>
                <w:rFonts w:cs="Times New Roman"/>
              </w:rPr>
            </w:pPr>
            <w:r>
              <w:rPr>
                <w:rFonts w:cs="Times New Roman"/>
              </w:rPr>
              <w:t>400</w:t>
            </w:r>
          </w:p>
        </w:tc>
        <w:tc>
          <w:tcPr>
            <w:tcW w:w="387" w:type="pct"/>
            <w:vAlign w:val="center"/>
          </w:tcPr>
          <w:p>
            <w:pPr>
              <w:pStyle w:val="39"/>
              <w:rPr>
                <w:rFonts w:cs="Times New Roman"/>
              </w:rPr>
            </w:pPr>
            <w:r>
              <w:rPr>
                <w:rFonts w:cs="Times New Roman"/>
              </w:rPr>
              <w:t>400</w:t>
            </w:r>
          </w:p>
        </w:tc>
        <w:tc>
          <w:tcPr>
            <w:tcW w:w="388" w:type="pct"/>
            <w:vAlign w:val="center"/>
          </w:tcPr>
          <w:p>
            <w:pPr>
              <w:pStyle w:val="39"/>
              <w:rPr>
                <w:rFonts w:cs="Times New Roman"/>
              </w:rPr>
            </w:pPr>
            <w:r>
              <w:rPr>
                <w:rFonts w:cs="Times New Roman"/>
              </w:rPr>
              <w:t>400</w:t>
            </w:r>
          </w:p>
        </w:tc>
        <w:tc>
          <w:tcPr>
            <w:tcW w:w="386" w:type="pct"/>
            <w:vAlign w:val="center"/>
          </w:tcPr>
          <w:p>
            <w:pPr>
              <w:pStyle w:val="39"/>
              <w:rPr>
                <w:rFonts w:cs="Times New Roman"/>
              </w:rPr>
            </w:pPr>
            <w:r>
              <w:rPr>
                <w:rFonts w:cs="Times New Roman"/>
              </w:rPr>
              <w:t>80</w:t>
            </w:r>
          </w:p>
        </w:tc>
        <w:tc>
          <w:tcPr>
            <w:tcW w:w="387" w:type="pct"/>
            <w:vAlign w:val="center"/>
          </w:tcPr>
          <w:p>
            <w:pPr>
              <w:pStyle w:val="39"/>
              <w:rPr>
                <w:rFonts w:cs="Times New Roman"/>
              </w:rPr>
            </w:pPr>
            <w:r>
              <w:rPr>
                <w:rFonts w:cs="Times New Roman"/>
              </w:rPr>
              <w:t>80</w:t>
            </w:r>
          </w:p>
        </w:tc>
        <w:tc>
          <w:tcPr>
            <w:tcW w:w="385" w:type="pct"/>
            <w:vAlign w:val="center"/>
          </w:tcPr>
          <w:p>
            <w:pPr>
              <w:pStyle w:val="39"/>
              <w:rPr>
                <w:rFonts w:cs="Times New Roman"/>
              </w:rPr>
            </w:pPr>
            <w:r>
              <w:rPr>
                <w:rFonts w:cs="Times New Roma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8" w:type="pct"/>
            <w:vMerge w:val="continue"/>
            <w:vAlign w:val="center"/>
          </w:tcPr>
          <w:p>
            <w:pPr>
              <w:pStyle w:val="39"/>
              <w:rPr>
                <w:rFonts w:cs="Times New Roman"/>
              </w:rPr>
            </w:pPr>
          </w:p>
        </w:tc>
        <w:tc>
          <w:tcPr>
            <w:tcW w:w="1093" w:type="pct"/>
            <w:vAlign w:val="center"/>
          </w:tcPr>
          <w:p>
            <w:pPr>
              <w:pStyle w:val="39"/>
              <w:rPr>
                <w:rFonts w:cs="Times New Roman"/>
              </w:rPr>
            </w:pPr>
            <w:r>
              <w:rPr>
                <w:rFonts w:cs="Times New Roman"/>
              </w:rPr>
              <w:t>2-4</w:t>
            </w:r>
          </w:p>
        </w:tc>
        <w:tc>
          <w:tcPr>
            <w:tcW w:w="386" w:type="pct"/>
            <w:vAlign w:val="center"/>
          </w:tcPr>
          <w:p>
            <w:pPr>
              <w:pStyle w:val="39"/>
              <w:rPr>
                <w:rFonts w:cs="Times New Roman"/>
              </w:rPr>
            </w:pPr>
            <w:r>
              <w:rPr>
                <w:rFonts w:cs="Times New Roman"/>
              </w:rPr>
              <w:t>700</w:t>
            </w:r>
          </w:p>
        </w:tc>
        <w:tc>
          <w:tcPr>
            <w:tcW w:w="387" w:type="pct"/>
            <w:vAlign w:val="center"/>
          </w:tcPr>
          <w:p>
            <w:pPr>
              <w:pStyle w:val="39"/>
              <w:rPr>
                <w:rFonts w:cs="Times New Roman"/>
              </w:rPr>
            </w:pPr>
            <w:r>
              <w:rPr>
                <w:rFonts w:cs="Times New Roman"/>
              </w:rPr>
              <w:t>470</w:t>
            </w:r>
          </w:p>
        </w:tc>
        <w:tc>
          <w:tcPr>
            <w:tcW w:w="387" w:type="pct"/>
            <w:vAlign w:val="center"/>
          </w:tcPr>
          <w:p>
            <w:pPr>
              <w:pStyle w:val="39"/>
              <w:rPr>
                <w:rFonts w:cs="Times New Roman"/>
              </w:rPr>
            </w:pPr>
            <w:r>
              <w:rPr>
                <w:rFonts w:cs="Times New Roman"/>
              </w:rPr>
              <w:t>350</w:t>
            </w:r>
          </w:p>
        </w:tc>
        <w:tc>
          <w:tcPr>
            <w:tcW w:w="386" w:type="pct"/>
            <w:vAlign w:val="center"/>
          </w:tcPr>
          <w:p>
            <w:pPr>
              <w:pStyle w:val="39"/>
              <w:rPr>
                <w:rFonts w:cs="Times New Roman"/>
              </w:rPr>
            </w:pPr>
            <w:r>
              <w:rPr>
                <w:rFonts w:cs="Times New Roman"/>
              </w:rPr>
              <w:t>700</w:t>
            </w:r>
          </w:p>
        </w:tc>
        <w:tc>
          <w:tcPr>
            <w:tcW w:w="387" w:type="pct"/>
            <w:vAlign w:val="center"/>
          </w:tcPr>
          <w:p>
            <w:pPr>
              <w:pStyle w:val="39"/>
              <w:rPr>
                <w:rFonts w:cs="Times New Roman"/>
              </w:rPr>
            </w:pPr>
            <w:r>
              <w:rPr>
                <w:rFonts w:cs="Times New Roman"/>
              </w:rPr>
              <w:t>470</w:t>
            </w:r>
          </w:p>
        </w:tc>
        <w:tc>
          <w:tcPr>
            <w:tcW w:w="388" w:type="pct"/>
            <w:vAlign w:val="center"/>
          </w:tcPr>
          <w:p>
            <w:pPr>
              <w:pStyle w:val="39"/>
              <w:rPr>
                <w:rFonts w:cs="Times New Roman"/>
              </w:rPr>
            </w:pPr>
            <w:r>
              <w:rPr>
                <w:rFonts w:cs="Times New Roman"/>
              </w:rPr>
              <w:t>350</w:t>
            </w:r>
          </w:p>
        </w:tc>
        <w:tc>
          <w:tcPr>
            <w:tcW w:w="386" w:type="pct"/>
            <w:vAlign w:val="center"/>
          </w:tcPr>
          <w:p>
            <w:pPr>
              <w:pStyle w:val="39"/>
              <w:rPr>
                <w:rFonts w:cs="Times New Roman"/>
              </w:rPr>
            </w:pPr>
            <w:r>
              <w:rPr>
                <w:rFonts w:cs="Times New Roman"/>
              </w:rPr>
              <w:t>380</w:t>
            </w:r>
          </w:p>
        </w:tc>
        <w:tc>
          <w:tcPr>
            <w:tcW w:w="387" w:type="pct"/>
            <w:vAlign w:val="center"/>
          </w:tcPr>
          <w:p>
            <w:pPr>
              <w:pStyle w:val="39"/>
              <w:rPr>
                <w:rFonts w:cs="Times New Roman"/>
              </w:rPr>
            </w:pPr>
            <w:r>
              <w:rPr>
                <w:rFonts w:cs="Times New Roman"/>
              </w:rPr>
              <w:t>250</w:t>
            </w:r>
          </w:p>
        </w:tc>
        <w:tc>
          <w:tcPr>
            <w:tcW w:w="385" w:type="pct"/>
            <w:vAlign w:val="center"/>
          </w:tcPr>
          <w:p>
            <w:pPr>
              <w:pStyle w:val="39"/>
              <w:rPr>
                <w:rFonts w:cs="Times New Roman"/>
              </w:rPr>
            </w:pPr>
            <w:r>
              <w:rPr>
                <w:rFonts w:cs="Times New Roman"/>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8" w:type="pct"/>
            <w:vMerge w:val="continue"/>
            <w:vAlign w:val="center"/>
          </w:tcPr>
          <w:p>
            <w:pPr>
              <w:pStyle w:val="39"/>
              <w:rPr>
                <w:rFonts w:cs="Times New Roman"/>
              </w:rPr>
            </w:pPr>
          </w:p>
        </w:tc>
        <w:tc>
          <w:tcPr>
            <w:tcW w:w="1093" w:type="pct"/>
            <w:vAlign w:val="center"/>
          </w:tcPr>
          <w:p>
            <w:pPr>
              <w:pStyle w:val="39"/>
              <w:rPr>
                <w:rFonts w:cs="Times New Roman"/>
              </w:rPr>
            </w:pPr>
            <w:r>
              <w:rPr>
                <w:rFonts w:cs="Times New Roman"/>
              </w:rPr>
              <w:t>＞4</w:t>
            </w:r>
          </w:p>
        </w:tc>
        <w:tc>
          <w:tcPr>
            <w:tcW w:w="386" w:type="pct"/>
            <w:vAlign w:val="center"/>
          </w:tcPr>
          <w:p>
            <w:pPr>
              <w:pStyle w:val="39"/>
              <w:rPr>
                <w:rFonts w:cs="Times New Roman"/>
              </w:rPr>
            </w:pPr>
            <w:r>
              <w:rPr>
                <w:rFonts w:cs="Times New Roman"/>
              </w:rPr>
              <w:t>530</w:t>
            </w:r>
          </w:p>
        </w:tc>
        <w:tc>
          <w:tcPr>
            <w:tcW w:w="387" w:type="pct"/>
            <w:vAlign w:val="center"/>
          </w:tcPr>
          <w:p>
            <w:pPr>
              <w:pStyle w:val="39"/>
              <w:rPr>
                <w:rFonts w:cs="Times New Roman"/>
              </w:rPr>
            </w:pPr>
            <w:r>
              <w:rPr>
                <w:rFonts w:cs="Times New Roman"/>
              </w:rPr>
              <w:t>350</w:t>
            </w:r>
          </w:p>
        </w:tc>
        <w:tc>
          <w:tcPr>
            <w:tcW w:w="387" w:type="pct"/>
            <w:vAlign w:val="center"/>
          </w:tcPr>
          <w:p>
            <w:pPr>
              <w:pStyle w:val="39"/>
              <w:rPr>
                <w:rFonts w:cs="Times New Roman"/>
              </w:rPr>
            </w:pPr>
            <w:r>
              <w:rPr>
                <w:rFonts w:cs="Times New Roman"/>
              </w:rPr>
              <w:t>260</w:t>
            </w:r>
          </w:p>
        </w:tc>
        <w:tc>
          <w:tcPr>
            <w:tcW w:w="386" w:type="pct"/>
            <w:vAlign w:val="center"/>
          </w:tcPr>
          <w:p>
            <w:pPr>
              <w:pStyle w:val="39"/>
              <w:rPr>
                <w:rFonts w:cs="Times New Roman"/>
              </w:rPr>
            </w:pPr>
            <w:r>
              <w:rPr>
                <w:rFonts w:cs="Times New Roman"/>
              </w:rPr>
              <w:t>530</w:t>
            </w:r>
          </w:p>
        </w:tc>
        <w:tc>
          <w:tcPr>
            <w:tcW w:w="387" w:type="pct"/>
            <w:vAlign w:val="center"/>
          </w:tcPr>
          <w:p>
            <w:pPr>
              <w:pStyle w:val="39"/>
              <w:rPr>
                <w:rFonts w:cs="Times New Roman"/>
              </w:rPr>
            </w:pPr>
            <w:r>
              <w:rPr>
                <w:rFonts w:cs="Times New Roman"/>
              </w:rPr>
              <w:t>350</w:t>
            </w:r>
          </w:p>
        </w:tc>
        <w:tc>
          <w:tcPr>
            <w:tcW w:w="388" w:type="pct"/>
            <w:vAlign w:val="center"/>
          </w:tcPr>
          <w:p>
            <w:pPr>
              <w:pStyle w:val="39"/>
              <w:rPr>
                <w:rFonts w:cs="Times New Roman"/>
              </w:rPr>
            </w:pPr>
            <w:r>
              <w:rPr>
                <w:rFonts w:cs="Times New Roman"/>
              </w:rPr>
              <w:t>260</w:t>
            </w:r>
          </w:p>
        </w:tc>
        <w:tc>
          <w:tcPr>
            <w:tcW w:w="386" w:type="pct"/>
            <w:vAlign w:val="center"/>
          </w:tcPr>
          <w:p>
            <w:pPr>
              <w:pStyle w:val="39"/>
              <w:rPr>
                <w:rFonts w:cs="Times New Roman"/>
              </w:rPr>
            </w:pPr>
            <w:r>
              <w:rPr>
                <w:rFonts w:cs="Times New Roman"/>
              </w:rPr>
              <w:t>290</w:t>
            </w:r>
          </w:p>
        </w:tc>
        <w:tc>
          <w:tcPr>
            <w:tcW w:w="387" w:type="pct"/>
            <w:vAlign w:val="center"/>
          </w:tcPr>
          <w:p>
            <w:pPr>
              <w:pStyle w:val="39"/>
              <w:rPr>
                <w:rFonts w:cs="Times New Roman"/>
              </w:rPr>
            </w:pPr>
            <w:r>
              <w:rPr>
                <w:rFonts w:cs="Times New Roman"/>
              </w:rPr>
              <w:t>190</w:t>
            </w:r>
          </w:p>
        </w:tc>
        <w:tc>
          <w:tcPr>
            <w:tcW w:w="385" w:type="pct"/>
            <w:vAlign w:val="center"/>
          </w:tcPr>
          <w:p>
            <w:pPr>
              <w:pStyle w:val="39"/>
              <w:rPr>
                <w:rFonts w:cs="Times New Roman"/>
              </w:rPr>
            </w:pPr>
            <w:r>
              <w:rPr>
                <w:rFonts w:cs="Times New Roman"/>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8" w:type="pct"/>
            <w:vMerge w:val="restart"/>
            <w:vAlign w:val="center"/>
          </w:tcPr>
          <w:p>
            <w:pPr>
              <w:pStyle w:val="39"/>
              <w:rPr>
                <w:rFonts w:cs="Times New Roman"/>
              </w:rPr>
            </w:pPr>
            <w:r>
              <w:rPr>
                <w:rFonts w:cs="Times New Roman"/>
              </w:rPr>
              <w:t>B</w:t>
            </w:r>
          </w:p>
        </w:tc>
        <w:tc>
          <w:tcPr>
            <w:tcW w:w="1093" w:type="pct"/>
            <w:vAlign w:val="center"/>
          </w:tcPr>
          <w:p>
            <w:pPr>
              <w:pStyle w:val="39"/>
              <w:rPr>
                <w:rFonts w:cs="Times New Roman"/>
              </w:rPr>
            </w:pPr>
            <w:r>
              <w:rPr>
                <w:rFonts w:cs="Times New Roman"/>
              </w:rPr>
              <w:t>＜2</w:t>
            </w:r>
          </w:p>
        </w:tc>
        <w:tc>
          <w:tcPr>
            <w:tcW w:w="1160" w:type="pct"/>
            <w:gridSpan w:val="3"/>
            <w:vAlign w:val="center"/>
          </w:tcPr>
          <w:p>
            <w:pPr>
              <w:pStyle w:val="39"/>
              <w:rPr>
                <w:rFonts w:cs="Times New Roman"/>
              </w:rPr>
            </w:pPr>
            <w:r>
              <w:rPr>
                <w:rFonts w:cs="Times New Roman"/>
              </w:rPr>
              <w:t>0.01</w:t>
            </w:r>
          </w:p>
        </w:tc>
        <w:tc>
          <w:tcPr>
            <w:tcW w:w="1161" w:type="pct"/>
            <w:gridSpan w:val="3"/>
            <w:vAlign w:val="center"/>
          </w:tcPr>
          <w:p>
            <w:pPr>
              <w:pStyle w:val="39"/>
              <w:rPr>
                <w:rFonts w:cs="Times New Roman"/>
              </w:rPr>
            </w:pPr>
            <w:r>
              <w:rPr>
                <w:rFonts w:cs="Times New Roman"/>
              </w:rPr>
              <w:t>0.015</w:t>
            </w:r>
          </w:p>
        </w:tc>
        <w:tc>
          <w:tcPr>
            <w:tcW w:w="1158" w:type="pct"/>
            <w:gridSpan w:val="3"/>
            <w:vAlign w:val="center"/>
          </w:tcPr>
          <w:p>
            <w:pPr>
              <w:pStyle w:val="39"/>
              <w:rPr>
                <w:rFonts w:cs="Times New Roman"/>
              </w:rPr>
            </w:pPr>
            <w:r>
              <w:rPr>
                <w:rFonts w:cs="Times New Roman"/>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8" w:type="pct"/>
            <w:vMerge w:val="continue"/>
            <w:vAlign w:val="center"/>
          </w:tcPr>
          <w:p>
            <w:pPr>
              <w:pStyle w:val="39"/>
              <w:rPr>
                <w:rFonts w:cs="Times New Roman"/>
              </w:rPr>
            </w:pPr>
          </w:p>
        </w:tc>
        <w:tc>
          <w:tcPr>
            <w:tcW w:w="1093" w:type="pct"/>
            <w:vAlign w:val="center"/>
          </w:tcPr>
          <w:p>
            <w:pPr>
              <w:pStyle w:val="39"/>
              <w:rPr>
                <w:rFonts w:cs="Times New Roman"/>
              </w:rPr>
            </w:pPr>
            <w:r>
              <w:rPr>
                <w:rFonts w:cs="Times New Roman"/>
              </w:rPr>
              <w:t>＞2</w:t>
            </w:r>
          </w:p>
        </w:tc>
        <w:tc>
          <w:tcPr>
            <w:tcW w:w="1160" w:type="pct"/>
            <w:gridSpan w:val="3"/>
            <w:vAlign w:val="center"/>
          </w:tcPr>
          <w:p>
            <w:pPr>
              <w:pStyle w:val="39"/>
              <w:rPr>
                <w:rFonts w:cs="Times New Roman"/>
              </w:rPr>
            </w:pPr>
            <w:r>
              <w:rPr>
                <w:rFonts w:cs="Times New Roman"/>
              </w:rPr>
              <w:t>0.021</w:t>
            </w:r>
          </w:p>
        </w:tc>
        <w:tc>
          <w:tcPr>
            <w:tcW w:w="1161" w:type="pct"/>
            <w:gridSpan w:val="3"/>
            <w:vAlign w:val="center"/>
          </w:tcPr>
          <w:p>
            <w:pPr>
              <w:pStyle w:val="39"/>
              <w:rPr>
                <w:rFonts w:cs="Times New Roman"/>
              </w:rPr>
            </w:pPr>
            <w:r>
              <w:rPr>
                <w:rFonts w:cs="Times New Roman"/>
              </w:rPr>
              <w:t>0.036</w:t>
            </w:r>
          </w:p>
        </w:tc>
        <w:tc>
          <w:tcPr>
            <w:tcW w:w="1158" w:type="pct"/>
            <w:gridSpan w:val="3"/>
            <w:vAlign w:val="center"/>
          </w:tcPr>
          <w:p>
            <w:pPr>
              <w:pStyle w:val="39"/>
              <w:rPr>
                <w:rFonts w:cs="Times New Roman"/>
              </w:rPr>
            </w:pPr>
            <w:r>
              <w:rPr>
                <w:rFonts w:cs="Times New Roman"/>
              </w:rPr>
              <w:t>0.036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8" w:type="pct"/>
            <w:vMerge w:val="restart"/>
            <w:vAlign w:val="center"/>
          </w:tcPr>
          <w:p>
            <w:pPr>
              <w:pStyle w:val="39"/>
              <w:rPr>
                <w:rFonts w:cs="Times New Roman"/>
              </w:rPr>
            </w:pPr>
            <w:r>
              <w:rPr>
                <w:rFonts w:cs="Times New Roman"/>
              </w:rPr>
              <w:t>C</w:t>
            </w:r>
          </w:p>
        </w:tc>
        <w:tc>
          <w:tcPr>
            <w:tcW w:w="1093" w:type="pct"/>
            <w:vAlign w:val="center"/>
          </w:tcPr>
          <w:p>
            <w:pPr>
              <w:pStyle w:val="39"/>
              <w:rPr>
                <w:rFonts w:cs="Times New Roman"/>
              </w:rPr>
            </w:pPr>
            <w:r>
              <w:rPr>
                <w:rFonts w:cs="Times New Roman"/>
              </w:rPr>
              <w:t>＜2</w:t>
            </w:r>
          </w:p>
        </w:tc>
        <w:tc>
          <w:tcPr>
            <w:tcW w:w="1160" w:type="pct"/>
            <w:gridSpan w:val="3"/>
            <w:vAlign w:val="center"/>
          </w:tcPr>
          <w:p>
            <w:pPr>
              <w:pStyle w:val="39"/>
              <w:rPr>
                <w:rFonts w:cs="Times New Roman"/>
              </w:rPr>
            </w:pPr>
            <w:r>
              <w:rPr>
                <w:rFonts w:cs="Times New Roman"/>
              </w:rPr>
              <w:t>1.85</w:t>
            </w:r>
          </w:p>
        </w:tc>
        <w:tc>
          <w:tcPr>
            <w:tcW w:w="1161" w:type="pct"/>
            <w:gridSpan w:val="3"/>
            <w:vAlign w:val="center"/>
          </w:tcPr>
          <w:p>
            <w:pPr>
              <w:pStyle w:val="39"/>
              <w:rPr>
                <w:rFonts w:cs="Times New Roman"/>
              </w:rPr>
            </w:pPr>
            <w:r>
              <w:rPr>
                <w:rFonts w:cs="Times New Roman"/>
              </w:rPr>
              <w:t>1.74</w:t>
            </w:r>
          </w:p>
        </w:tc>
        <w:tc>
          <w:tcPr>
            <w:tcW w:w="1158" w:type="pct"/>
            <w:gridSpan w:val="3"/>
            <w:vAlign w:val="center"/>
          </w:tcPr>
          <w:p>
            <w:pPr>
              <w:pStyle w:val="39"/>
              <w:rPr>
                <w:rFonts w:cs="Times New Roman"/>
              </w:rPr>
            </w:pPr>
            <w:r>
              <w:rPr>
                <w:rFonts w:cs="Times New Roman"/>
              </w:rPr>
              <w:t>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8" w:type="pct"/>
            <w:vMerge w:val="continue"/>
            <w:vAlign w:val="center"/>
          </w:tcPr>
          <w:p>
            <w:pPr>
              <w:pStyle w:val="39"/>
              <w:rPr>
                <w:rFonts w:cs="Times New Roman"/>
              </w:rPr>
            </w:pPr>
          </w:p>
        </w:tc>
        <w:tc>
          <w:tcPr>
            <w:tcW w:w="1093" w:type="pct"/>
            <w:vAlign w:val="center"/>
          </w:tcPr>
          <w:p>
            <w:pPr>
              <w:pStyle w:val="39"/>
              <w:rPr>
                <w:rFonts w:cs="Times New Roman"/>
              </w:rPr>
            </w:pPr>
            <w:r>
              <w:rPr>
                <w:rFonts w:cs="Times New Roman"/>
              </w:rPr>
              <w:t>＞2</w:t>
            </w:r>
          </w:p>
        </w:tc>
        <w:tc>
          <w:tcPr>
            <w:tcW w:w="1160" w:type="pct"/>
            <w:gridSpan w:val="3"/>
            <w:vAlign w:val="center"/>
          </w:tcPr>
          <w:p>
            <w:pPr>
              <w:pStyle w:val="39"/>
              <w:rPr>
                <w:rFonts w:cs="Times New Roman"/>
              </w:rPr>
            </w:pPr>
            <w:r>
              <w:rPr>
                <w:rFonts w:cs="Times New Roman"/>
              </w:rPr>
              <w:t>1.85</w:t>
            </w:r>
          </w:p>
        </w:tc>
        <w:tc>
          <w:tcPr>
            <w:tcW w:w="1161" w:type="pct"/>
            <w:gridSpan w:val="3"/>
            <w:vAlign w:val="center"/>
          </w:tcPr>
          <w:p>
            <w:pPr>
              <w:pStyle w:val="39"/>
              <w:rPr>
                <w:rFonts w:cs="Times New Roman"/>
              </w:rPr>
            </w:pPr>
            <w:r>
              <w:rPr>
                <w:rFonts w:cs="Times New Roman"/>
              </w:rPr>
              <w:t>1.77</w:t>
            </w:r>
          </w:p>
        </w:tc>
        <w:tc>
          <w:tcPr>
            <w:tcW w:w="1158" w:type="pct"/>
            <w:gridSpan w:val="3"/>
            <w:vAlign w:val="center"/>
          </w:tcPr>
          <w:p>
            <w:pPr>
              <w:pStyle w:val="39"/>
              <w:rPr>
                <w:rFonts w:cs="Times New Roman"/>
              </w:rPr>
            </w:pPr>
            <w:r>
              <w:rPr>
                <w:rFonts w:cs="Times New Roman"/>
              </w:rPr>
              <w:t>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8" w:type="pct"/>
            <w:vMerge w:val="restart"/>
            <w:vAlign w:val="center"/>
          </w:tcPr>
          <w:p>
            <w:pPr>
              <w:pStyle w:val="39"/>
              <w:rPr>
                <w:rFonts w:cs="Times New Roman"/>
              </w:rPr>
            </w:pPr>
            <w:r>
              <w:rPr>
                <w:rFonts w:cs="Times New Roman"/>
              </w:rPr>
              <w:t>D</w:t>
            </w:r>
          </w:p>
        </w:tc>
        <w:tc>
          <w:tcPr>
            <w:tcW w:w="1093" w:type="pct"/>
            <w:vAlign w:val="center"/>
          </w:tcPr>
          <w:p>
            <w:pPr>
              <w:pStyle w:val="39"/>
              <w:rPr>
                <w:rFonts w:cs="Times New Roman"/>
              </w:rPr>
            </w:pPr>
            <w:r>
              <w:rPr>
                <w:rFonts w:cs="Times New Roman"/>
              </w:rPr>
              <w:t>＜2</w:t>
            </w:r>
          </w:p>
        </w:tc>
        <w:tc>
          <w:tcPr>
            <w:tcW w:w="1160" w:type="pct"/>
            <w:gridSpan w:val="3"/>
            <w:vAlign w:val="center"/>
          </w:tcPr>
          <w:p>
            <w:pPr>
              <w:pStyle w:val="39"/>
              <w:rPr>
                <w:rFonts w:cs="Times New Roman"/>
              </w:rPr>
            </w:pPr>
            <w:r>
              <w:rPr>
                <w:rFonts w:cs="Times New Roman"/>
              </w:rPr>
              <w:t>0.78</w:t>
            </w:r>
          </w:p>
        </w:tc>
        <w:tc>
          <w:tcPr>
            <w:tcW w:w="1161" w:type="pct"/>
            <w:gridSpan w:val="3"/>
            <w:vAlign w:val="center"/>
          </w:tcPr>
          <w:p>
            <w:pPr>
              <w:pStyle w:val="39"/>
              <w:rPr>
                <w:rFonts w:cs="Times New Roman"/>
              </w:rPr>
            </w:pPr>
            <w:r>
              <w:rPr>
                <w:rFonts w:cs="Times New Roman"/>
              </w:rPr>
              <w:t>0.78</w:t>
            </w:r>
          </w:p>
        </w:tc>
        <w:tc>
          <w:tcPr>
            <w:tcW w:w="1158" w:type="pct"/>
            <w:gridSpan w:val="3"/>
            <w:vAlign w:val="center"/>
          </w:tcPr>
          <w:p>
            <w:pPr>
              <w:pStyle w:val="39"/>
              <w:rPr>
                <w:rFonts w:cs="Times New Roman"/>
              </w:rPr>
            </w:pPr>
            <w:r>
              <w:rPr>
                <w:rFonts w:cs="Times New Roman"/>
              </w:rPr>
              <w:t>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8" w:type="pct"/>
            <w:vMerge w:val="continue"/>
            <w:vAlign w:val="center"/>
          </w:tcPr>
          <w:p>
            <w:pPr>
              <w:pStyle w:val="39"/>
              <w:rPr>
                <w:rFonts w:cs="Times New Roman"/>
              </w:rPr>
            </w:pPr>
          </w:p>
        </w:tc>
        <w:tc>
          <w:tcPr>
            <w:tcW w:w="1093" w:type="pct"/>
            <w:vAlign w:val="center"/>
          </w:tcPr>
          <w:p>
            <w:pPr>
              <w:pStyle w:val="39"/>
              <w:rPr>
                <w:rFonts w:cs="Times New Roman"/>
              </w:rPr>
            </w:pPr>
            <w:r>
              <w:rPr>
                <w:rFonts w:cs="Times New Roman"/>
              </w:rPr>
              <w:t>＞2</w:t>
            </w:r>
          </w:p>
        </w:tc>
        <w:tc>
          <w:tcPr>
            <w:tcW w:w="1160" w:type="pct"/>
            <w:gridSpan w:val="3"/>
            <w:vAlign w:val="center"/>
          </w:tcPr>
          <w:p>
            <w:pPr>
              <w:pStyle w:val="39"/>
              <w:rPr>
                <w:rFonts w:cs="Times New Roman"/>
              </w:rPr>
            </w:pPr>
            <w:r>
              <w:rPr>
                <w:rFonts w:cs="Times New Roman"/>
              </w:rPr>
              <w:t>0.84</w:t>
            </w:r>
          </w:p>
        </w:tc>
        <w:tc>
          <w:tcPr>
            <w:tcW w:w="1161" w:type="pct"/>
            <w:gridSpan w:val="3"/>
            <w:vAlign w:val="center"/>
          </w:tcPr>
          <w:p>
            <w:pPr>
              <w:pStyle w:val="39"/>
              <w:rPr>
                <w:rFonts w:cs="Times New Roman"/>
              </w:rPr>
            </w:pPr>
            <w:r>
              <w:rPr>
                <w:rFonts w:cs="Times New Roman"/>
              </w:rPr>
              <w:t>0.84</w:t>
            </w:r>
          </w:p>
        </w:tc>
        <w:tc>
          <w:tcPr>
            <w:tcW w:w="1158" w:type="pct"/>
            <w:gridSpan w:val="3"/>
            <w:vAlign w:val="center"/>
          </w:tcPr>
          <w:p>
            <w:pPr>
              <w:pStyle w:val="39"/>
              <w:rPr>
                <w:rFonts w:cs="Times New Roman"/>
              </w:rPr>
            </w:pPr>
            <w:r>
              <w:rPr>
                <w:rFonts w:cs="Times New Roman"/>
              </w:rPr>
              <w:t>0.76</w:t>
            </w:r>
          </w:p>
        </w:tc>
      </w:tr>
    </w:tbl>
    <w:p>
      <w:pPr>
        <w:pStyle w:val="3"/>
        <w:ind w:firstLine="480"/>
        <w:rPr>
          <w:rFonts w:cs="Times New Roman"/>
        </w:rPr>
      </w:pPr>
    </w:p>
    <w:p>
      <w:pPr>
        <w:pStyle w:val="3"/>
        <w:ind w:firstLine="480"/>
        <w:rPr>
          <w:rFonts w:cs="Times New Roman"/>
          <w:u w:val="single"/>
        </w:rPr>
      </w:pPr>
      <w:r>
        <w:rPr>
          <w:rFonts w:cs="Times New Roman"/>
          <w:u w:val="single"/>
        </w:rPr>
        <w:t>计算参数A、B、C、D：分别为400、0.01、1.85和0.78。</w:t>
      </w:r>
    </w:p>
    <w:p>
      <w:pPr>
        <w:pStyle w:val="3"/>
        <w:ind w:firstLine="480"/>
        <w:rPr>
          <w:rFonts w:cs="Times New Roman"/>
          <w:u w:val="single"/>
        </w:rPr>
      </w:pPr>
      <w:r>
        <w:rPr>
          <w:rFonts w:cs="Times New Roman"/>
          <w:u w:val="single"/>
        </w:rPr>
        <w:t>本环评采用Screen3模式计算“卫生环境防护距离”计算，本次评价按恶臭无组织排放（鸡舍及</w:t>
      </w:r>
      <w:r>
        <w:rPr>
          <w:rFonts w:hint="eastAsia" w:cs="Times New Roman"/>
          <w:u w:val="single"/>
        </w:rPr>
        <w:t>鸡粪处理区</w:t>
      </w:r>
      <w:r>
        <w:rPr>
          <w:rFonts w:cs="Times New Roman"/>
          <w:u w:val="single"/>
        </w:rPr>
        <w:t>排放量）计算，具体参数见表5.2-</w:t>
      </w:r>
      <w:r>
        <w:rPr>
          <w:rFonts w:hint="eastAsia" w:cs="Times New Roman"/>
          <w:u w:val="single"/>
        </w:rPr>
        <w:t>6</w:t>
      </w:r>
      <w:r>
        <w:rPr>
          <w:rFonts w:cs="Times New Roman"/>
          <w:u w:val="single"/>
        </w:rPr>
        <w:t>，见图5.2-1。</w:t>
      </w:r>
    </w:p>
    <w:p>
      <w:pPr>
        <w:pStyle w:val="15"/>
        <w:rPr>
          <w:rFonts w:cs="Times New Roman"/>
          <w:u w:val="single"/>
        </w:rPr>
      </w:pPr>
      <w:r>
        <w:rPr>
          <w:rFonts w:cs="Times New Roman"/>
          <w:u w:val="single"/>
        </w:rPr>
        <w:t>表5.2-</w:t>
      </w:r>
      <w:r>
        <w:rPr>
          <w:rFonts w:hint="eastAsia" w:cs="Times New Roman"/>
          <w:u w:val="single"/>
        </w:rPr>
        <w:t>6</w:t>
      </w:r>
      <w:r>
        <w:rPr>
          <w:rFonts w:cs="Times New Roman"/>
          <w:u w:val="single"/>
        </w:rPr>
        <w:t xml:space="preserve">   无组织恶臭排放情况表</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9"/>
        <w:gridCol w:w="1352"/>
        <w:gridCol w:w="985"/>
        <w:gridCol w:w="1049"/>
        <w:gridCol w:w="1049"/>
        <w:gridCol w:w="1049"/>
        <w:gridCol w:w="1049"/>
        <w:gridCol w:w="955"/>
        <w:gridCol w:w="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03" w:type="pct"/>
            <w:vMerge w:val="restart"/>
            <w:vAlign w:val="center"/>
          </w:tcPr>
          <w:p>
            <w:pPr>
              <w:pStyle w:val="39"/>
              <w:rPr>
                <w:rFonts w:cs="Times New Roman"/>
                <w:u w:val="single"/>
              </w:rPr>
            </w:pPr>
            <w:r>
              <w:rPr>
                <w:rFonts w:cs="Times New Roman"/>
                <w:u w:val="single"/>
              </w:rPr>
              <w:t>污染物名称</w:t>
            </w:r>
          </w:p>
        </w:tc>
        <w:tc>
          <w:tcPr>
            <w:tcW w:w="737" w:type="pct"/>
            <w:vMerge w:val="restart"/>
            <w:vAlign w:val="center"/>
          </w:tcPr>
          <w:p>
            <w:pPr>
              <w:pStyle w:val="39"/>
              <w:rPr>
                <w:rFonts w:cs="Times New Roman"/>
                <w:u w:val="single"/>
              </w:rPr>
            </w:pPr>
            <w:r>
              <w:rPr>
                <w:rFonts w:cs="Times New Roman"/>
                <w:u w:val="single"/>
              </w:rPr>
              <w:t>污染源位置</w:t>
            </w:r>
          </w:p>
        </w:tc>
        <w:tc>
          <w:tcPr>
            <w:tcW w:w="537" w:type="pct"/>
            <w:vMerge w:val="restart"/>
            <w:vAlign w:val="center"/>
          </w:tcPr>
          <w:p>
            <w:pPr>
              <w:pStyle w:val="39"/>
              <w:rPr>
                <w:rFonts w:cs="Times New Roman"/>
                <w:u w:val="single"/>
              </w:rPr>
            </w:pPr>
            <w:r>
              <w:rPr>
                <w:rFonts w:cs="Times New Roman"/>
                <w:u w:val="single"/>
              </w:rPr>
              <w:t>污染因子</w:t>
            </w:r>
          </w:p>
        </w:tc>
        <w:tc>
          <w:tcPr>
            <w:tcW w:w="572" w:type="pct"/>
            <w:vMerge w:val="restart"/>
            <w:vAlign w:val="center"/>
          </w:tcPr>
          <w:p>
            <w:pPr>
              <w:pStyle w:val="39"/>
              <w:rPr>
                <w:rFonts w:cs="Times New Roman"/>
                <w:u w:val="single"/>
              </w:rPr>
            </w:pPr>
            <w:r>
              <w:rPr>
                <w:rFonts w:cs="Times New Roman"/>
                <w:u w:val="single"/>
              </w:rPr>
              <w:t>平均源强（t/a）</w:t>
            </w:r>
          </w:p>
        </w:tc>
        <w:tc>
          <w:tcPr>
            <w:tcW w:w="572" w:type="pct"/>
            <w:vMerge w:val="restart"/>
            <w:vAlign w:val="center"/>
          </w:tcPr>
          <w:p>
            <w:pPr>
              <w:pStyle w:val="39"/>
              <w:rPr>
                <w:rFonts w:cs="Times New Roman"/>
                <w:u w:val="single"/>
              </w:rPr>
            </w:pPr>
            <w:r>
              <w:rPr>
                <w:rFonts w:cs="Times New Roman"/>
                <w:u w:val="single"/>
              </w:rPr>
              <w:t>面源长度（m）</w:t>
            </w:r>
          </w:p>
        </w:tc>
        <w:tc>
          <w:tcPr>
            <w:tcW w:w="572" w:type="pct"/>
            <w:vMerge w:val="restart"/>
            <w:vAlign w:val="center"/>
          </w:tcPr>
          <w:p>
            <w:pPr>
              <w:pStyle w:val="39"/>
              <w:rPr>
                <w:rFonts w:cs="Times New Roman"/>
                <w:u w:val="single"/>
              </w:rPr>
            </w:pPr>
            <w:r>
              <w:rPr>
                <w:rFonts w:cs="Times New Roman"/>
                <w:u w:val="single"/>
              </w:rPr>
              <w:t>面源宽度（m）</w:t>
            </w:r>
          </w:p>
        </w:tc>
        <w:tc>
          <w:tcPr>
            <w:tcW w:w="572" w:type="pct"/>
            <w:vMerge w:val="restart"/>
            <w:vAlign w:val="center"/>
          </w:tcPr>
          <w:p>
            <w:pPr>
              <w:pStyle w:val="39"/>
              <w:rPr>
                <w:rFonts w:cs="Times New Roman"/>
                <w:u w:val="single"/>
              </w:rPr>
            </w:pPr>
            <w:r>
              <w:rPr>
                <w:rFonts w:cs="Times New Roman"/>
                <w:u w:val="single"/>
              </w:rPr>
              <w:t>面源高度（m）</w:t>
            </w:r>
          </w:p>
        </w:tc>
        <w:tc>
          <w:tcPr>
            <w:tcW w:w="1035" w:type="pct"/>
            <w:gridSpan w:val="2"/>
            <w:vAlign w:val="center"/>
          </w:tcPr>
          <w:p>
            <w:pPr>
              <w:pStyle w:val="39"/>
              <w:rPr>
                <w:rFonts w:cs="Times New Roman"/>
                <w:u w:val="single"/>
              </w:rPr>
            </w:pPr>
            <w:r>
              <w:rPr>
                <w:rFonts w:cs="Times New Roman"/>
                <w:u w:val="single"/>
              </w:rPr>
              <w:t>卫生防护距离（m）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03" w:type="pct"/>
            <w:vMerge w:val="continue"/>
            <w:vAlign w:val="center"/>
          </w:tcPr>
          <w:p>
            <w:pPr>
              <w:pStyle w:val="39"/>
              <w:rPr>
                <w:rFonts w:cs="Times New Roman"/>
                <w:u w:val="single"/>
              </w:rPr>
            </w:pPr>
          </w:p>
        </w:tc>
        <w:tc>
          <w:tcPr>
            <w:tcW w:w="737" w:type="pct"/>
            <w:vMerge w:val="continue"/>
            <w:vAlign w:val="center"/>
          </w:tcPr>
          <w:p>
            <w:pPr>
              <w:pStyle w:val="39"/>
              <w:rPr>
                <w:rFonts w:cs="Times New Roman"/>
                <w:u w:val="single"/>
              </w:rPr>
            </w:pPr>
          </w:p>
        </w:tc>
        <w:tc>
          <w:tcPr>
            <w:tcW w:w="537" w:type="pct"/>
            <w:vMerge w:val="continue"/>
            <w:vAlign w:val="center"/>
          </w:tcPr>
          <w:p>
            <w:pPr>
              <w:pStyle w:val="39"/>
              <w:rPr>
                <w:rFonts w:cs="Times New Roman"/>
                <w:u w:val="single"/>
              </w:rPr>
            </w:pPr>
          </w:p>
        </w:tc>
        <w:tc>
          <w:tcPr>
            <w:tcW w:w="572" w:type="pct"/>
            <w:vMerge w:val="continue"/>
            <w:vAlign w:val="center"/>
          </w:tcPr>
          <w:p>
            <w:pPr>
              <w:pStyle w:val="39"/>
              <w:rPr>
                <w:rFonts w:cs="Times New Roman"/>
                <w:u w:val="single"/>
              </w:rPr>
            </w:pPr>
          </w:p>
        </w:tc>
        <w:tc>
          <w:tcPr>
            <w:tcW w:w="572" w:type="pct"/>
            <w:vMerge w:val="continue"/>
            <w:vAlign w:val="center"/>
          </w:tcPr>
          <w:p>
            <w:pPr>
              <w:pStyle w:val="39"/>
              <w:rPr>
                <w:rFonts w:cs="Times New Roman"/>
                <w:u w:val="single"/>
              </w:rPr>
            </w:pPr>
          </w:p>
        </w:tc>
        <w:tc>
          <w:tcPr>
            <w:tcW w:w="572" w:type="pct"/>
            <w:vMerge w:val="continue"/>
            <w:vAlign w:val="center"/>
          </w:tcPr>
          <w:p>
            <w:pPr>
              <w:pStyle w:val="39"/>
              <w:rPr>
                <w:rFonts w:cs="Times New Roman"/>
                <w:u w:val="single"/>
              </w:rPr>
            </w:pPr>
          </w:p>
        </w:tc>
        <w:tc>
          <w:tcPr>
            <w:tcW w:w="572" w:type="pct"/>
            <w:vMerge w:val="continue"/>
            <w:vAlign w:val="center"/>
          </w:tcPr>
          <w:p>
            <w:pPr>
              <w:pStyle w:val="39"/>
              <w:rPr>
                <w:rFonts w:cs="Times New Roman"/>
                <w:u w:val="single"/>
              </w:rPr>
            </w:pPr>
          </w:p>
        </w:tc>
        <w:tc>
          <w:tcPr>
            <w:tcW w:w="520" w:type="pct"/>
            <w:vAlign w:val="center"/>
          </w:tcPr>
          <w:p>
            <w:pPr>
              <w:pStyle w:val="39"/>
              <w:rPr>
                <w:rFonts w:cs="Times New Roman"/>
                <w:u w:val="single"/>
              </w:rPr>
            </w:pPr>
            <w:r>
              <w:rPr>
                <w:rFonts w:cs="Times New Roman"/>
                <w:u w:val="single"/>
              </w:rPr>
              <w:t>计算值</w:t>
            </w:r>
          </w:p>
        </w:tc>
        <w:tc>
          <w:tcPr>
            <w:tcW w:w="515" w:type="pct"/>
            <w:vAlign w:val="center"/>
          </w:tcPr>
          <w:p>
            <w:pPr>
              <w:pStyle w:val="39"/>
              <w:rPr>
                <w:rFonts w:cs="Times New Roman"/>
                <w:u w:val="single"/>
              </w:rPr>
            </w:pPr>
            <w:r>
              <w:rPr>
                <w:rFonts w:cs="Times New Roman"/>
                <w:u w:val="single"/>
              </w:rPr>
              <w:t>取值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03" w:type="pct"/>
            <w:vMerge w:val="restart"/>
            <w:vAlign w:val="center"/>
          </w:tcPr>
          <w:p>
            <w:pPr>
              <w:pStyle w:val="39"/>
              <w:rPr>
                <w:rFonts w:cs="Times New Roman"/>
                <w:u w:val="single"/>
              </w:rPr>
            </w:pPr>
            <w:r>
              <w:rPr>
                <w:rFonts w:cs="Times New Roman"/>
                <w:u w:val="single"/>
              </w:rPr>
              <w:t>恶臭</w:t>
            </w:r>
          </w:p>
        </w:tc>
        <w:tc>
          <w:tcPr>
            <w:tcW w:w="737" w:type="pct"/>
            <w:vMerge w:val="restart"/>
            <w:vAlign w:val="center"/>
          </w:tcPr>
          <w:p>
            <w:pPr>
              <w:pStyle w:val="39"/>
              <w:rPr>
                <w:rFonts w:cs="Times New Roman"/>
                <w:u w:val="single"/>
              </w:rPr>
            </w:pPr>
            <w:r>
              <w:rPr>
                <w:rFonts w:cs="Times New Roman"/>
                <w:u w:val="single"/>
              </w:rPr>
              <w:t>鸡舍及鸡粪混合区</w:t>
            </w:r>
          </w:p>
        </w:tc>
        <w:tc>
          <w:tcPr>
            <w:tcW w:w="537" w:type="pct"/>
            <w:vAlign w:val="center"/>
          </w:tcPr>
          <w:p>
            <w:pPr>
              <w:pStyle w:val="39"/>
              <w:rPr>
                <w:rFonts w:cs="Times New Roman"/>
                <w:u w:val="single"/>
              </w:rPr>
            </w:pPr>
            <w:r>
              <w:rPr>
                <w:rFonts w:cs="Times New Roman"/>
                <w:u w:val="single"/>
              </w:rPr>
              <w:t>H</w:t>
            </w:r>
            <w:r>
              <w:rPr>
                <w:rFonts w:cs="Times New Roman"/>
                <w:u w:val="single"/>
                <w:vertAlign w:val="subscript"/>
              </w:rPr>
              <w:t>2</w:t>
            </w:r>
            <w:r>
              <w:rPr>
                <w:rFonts w:cs="Times New Roman"/>
                <w:u w:val="single"/>
              </w:rPr>
              <w:t>S</w:t>
            </w:r>
          </w:p>
        </w:tc>
        <w:tc>
          <w:tcPr>
            <w:tcW w:w="572" w:type="pct"/>
            <w:vAlign w:val="center"/>
          </w:tcPr>
          <w:p>
            <w:pPr>
              <w:jc w:val="center"/>
              <w:rPr>
                <w:rFonts w:ascii="Times New Roman" w:hAnsi="Times New Roman" w:eastAsia="等线" w:cs="Times New Roman"/>
                <w:color w:val="000000"/>
                <w:u w:val="single"/>
              </w:rPr>
            </w:pPr>
            <w:r>
              <w:rPr>
                <w:rFonts w:ascii="Times New Roman" w:hAnsi="Times New Roman" w:eastAsia="等线" w:cs="Times New Roman"/>
                <w:color w:val="000000"/>
                <w:u w:val="single"/>
              </w:rPr>
              <w:t>0.019</w:t>
            </w:r>
          </w:p>
        </w:tc>
        <w:tc>
          <w:tcPr>
            <w:tcW w:w="572" w:type="pct"/>
            <w:vMerge w:val="restart"/>
            <w:vAlign w:val="center"/>
          </w:tcPr>
          <w:p>
            <w:pPr>
              <w:pStyle w:val="39"/>
              <w:rPr>
                <w:rFonts w:cs="Times New Roman"/>
                <w:u w:val="single"/>
              </w:rPr>
            </w:pPr>
            <w:r>
              <w:rPr>
                <w:rFonts w:hint="eastAsia" w:cs="Times New Roman"/>
                <w:u w:val="single"/>
              </w:rPr>
              <w:t>3</w:t>
            </w:r>
            <w:r>
              <w:rPr>
                <w:rFonts w:cs="Times New Roman"/>
                <w:u w:val="single"/>
              </w:rPr>
              <w:t>00</w:t>
            </w:r>
          </w:p>
        </w:tc>
        <w:tc>
          <w:tcPr>
            <w:tcW w:w="572" w:type="pct"/>
            <w:vMerge w:val="restart"/>
            <w:vAlign w:val="center"/>
          </w:tcPr>
          <w:p>
            <w:pPr>
              <w:pStyle w:val="39"/>
              <w:rPr>
                <w:rFonts w:cs="Times New Roman"/>
                <w:u w:val="single"/>
              </w:rPr>
            </w:pPr>
            <w:r>
              <w:rPr>
                <w:rFonts w:hint="eastAsia" w:cs="Times New Roman"/>
                <w:u w:val="single"/>
              </w:rPr>
              <w:t>12</w:t>
            </w:r>
            <w:r>
              <w:rPr>
                <w:rFonts w:cs="Times New Roman"/>
                <w:u w:val="single"/>
              </w:rPr>
              <w:t>0</w:t>
            </w:r>
          </w:p>
        </w:tc>
        <w:tc>
          <w:tcPr>
            <w:tcW w:w="572" w:type="pct"/>
            <w:vMerge w:val="restart"/>
            <w:vAlign w:val="center"/>
          </w:tcPr>
          <w:p>
            <w:pPr>
              <w:pStyle w:val="39"/>
              <w:rPr>
                <w:rFonts w:cs="Times New Roman"/>
                <w:u w:val="single"/>
              </w:rPr>
            </w:pPr>
            <w:r>
              <w:rPr>
                <w:rFonts w:hint="eastAsia" w:cs="Times New Roman"/>
                <w:u w:val="single"/>
              </w:rPr>
              <w:t>8</w:t>
            </w:r>
          </w:p>
        </w:tc>
        <w:tc>
          <w:tcPr>
            <w:tcW w:w="520" w:type="pct"/>
            <w:vAlign w:val="center"/>
          </w:tcPr>
          <w:p>
            <w:pPr>
              <w:pStyle w:val="39"/>
              <w:rPr>
                <w:u w:val="single"/>
              </w:rPr>
            </w:pPr>
            <w:r>
              <w:rPr>
                <w:u w:val="single"/>
              </w:rPr>
              <w:t>1.516</w:t>
            </w:r>
          </w:p>
        </w:tc>
        <w:tc>
          <w:tcPr>
            <w:tcW w:w="515" w:type="pct"/>
            <w:vAlign w:val="center"/>
          </w:tcPr>
          <w:p>
            <w:pPr>
              <w:pStyle w:val="39"/>
              <w:rPr>
                <w:rFonts w:cs="Times New Roman"/>
                <w:u w:val="single"/>
              </w:rPr>
            </w:pPr>
            <w:r>
              <w:rPr>
                <w:rFonts w:cs="Times New Roman"/>
                <w:u w:val="singl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03" w:type="pct"/>
            <w:vMerge w:val="continue"/>
            <w:vAlign w:val="center"/>
          </w:tcPr>
          <w:p>
            <w:pPr>
              <w:pStyle w:val="39"/>
              <w:rPr>
                <w:rFonts w:cs="Times New Roman"/>
                <w:u w:val="single"/>
              </w:rPr>
            </w:pPr>
          </w:p>
        </w:tc>
        <w:tc>
          <w:tcPr>
            <w:tcW w:w="737" w:type="pct"/>
            <w:vMerge w:val="continue"/>
            <w:vAlign w:val="center"/>
          </w:tcPr>
          <w:p>
            <w:pPr>
              <w:pStyle w:val="39"/>
              <w:rPr>
                <w:rFonts w:cs="Times New Roman"/>
                <w:u w:val="single"/>
              </w:rPr>
            </w:pPr>
          </w:p>
        </w:tc>
        <w:tc>
          <w:tcPr>
            <w:tcW w:w="537" w:type="pct"/>
            <w:vAlign w:val="center"/>
          </w:tcPr>
          <w:p>
            <w:pPr>
              <w:pStyle w:val="39"/>
              <w:rPr>
                <w:rFonts w:cs="Times New Roman"/>
                <w:u w:val="single"/>
              </w:rPr>
            </w:pPr>
            <w:r>
              <w:rPr>
                <w:rFonts w:cs="Times New Roman"/>
                <w:u w:val="single"/>
              </w:rPr>
              <w:t>NH</w:t>
            </w:r>
            <w:r>
              <w:rPr>
                <w:rFonts w:cs="Times New Roman"/>
                <w:u w:val="single"/>
                <w:vertAlign w:val="subscript"/>
              </w:rPr>
              <w:t>3</w:t>
            </w:r>
          </w:p>
        </w:tc>
        <w:tc>
          <w:tcPr>
            <w:tcW w:w="572" w:type="pct"/>
            <w:vAlign w:val="center"/>
          </w:tcPr>
          <w:p>
            <w:pPr>
              <w:jc w:val="center"/>
              <w:rPr>
                <w:rFonts w:ascii="Times New Roman" w:hAnsi="Times New Roman" w:eastAsia="等线" w:cs="Times New Roman"/>
                <w:color w:val="000000"/>
                <w:u w:val="single"/>
              </w:rPr>
            </w:pPr>
            <w:r>
              <w:rPr>
                <w:rFonts w:ascii="Times New Roman" w:hAnsi="Times New Roman" w:eastAsia="等线" w:cs="Times New Roman"/>
                <w:color w:val="000000"/>
                <w:u w:val="single"/>
              </w:rPr>
              <w:t>0.475</w:t>
            </w:r>
          </w:p>
        </w:tc>
        <w:tc>
          <w:tcPr>
            <w:tcW w:w="572" w:type="pct"/>
            <w:vMerge w:val="continue"/>
            <w:vAlign w:val="center"/>
          </w:tcPr>
          <w:p>
            <w:pPr>
              <w:pStyle w:val="39"/>
              <w:rPr>
                <w:rFonts w:cs="Times New Roman"/>
                <w:u w:val="single"/>
              </w:rPr>
            </w:pPr>
          </w:p>
        </w:tc>
        <w:tc>
          <w:tcPr>
            <w:tcW w:w="572" w:type="pct"/>
            <w:vMerge w:val="continue"/>
            <w:vAlign w:val="center"/>
          </w:tcPr>
          <w:p>
            <w:pPr>
              <w:pStyle w:val="39"/>
              <w:rPr>
                <w:rFonts w:cs="Times New Roman"/>
                <w:u w:val="single"/>
              </w:rPr>
            </w:pPr>
          </w:p>
        </w:tc>
        <w:tc>
          <w:tcPr>
            <w:tcW w:w="572" w:type="pct"/>
            <w:vMerge w:val="continue"/>
            <w:vAlign w:val="center"/>
          </w:tcPr>
          <w:p>
            <w:pPr>
              <w:pStyle w:val="39"/>
              <w:rPr>
                <w:rFonts w:cs="Times New Roman"/>
                <w:u w:val="single"/>
              </w:rPr>
            </w:pPr>
          </w:p>
        </w:tc>
        <w:tc>
          <w:tcPr>
            <w:tcW w:w="520" w:type="pct"/>
            <w:vAlign w:val="center"/>
          </w:tcPr>
          <w:p>
            <w:pPr>
              <w:pStyle w:val="39"/>
              <w:rPr>
                <w:u w:val="single"/>
              </w:rPr>
            </w:pPr>
            <w:r>
              <w:rPr>
                <w:u w:val="single"/>
              </w:rPr>
              <w:t>1.977</w:t>
            </w:r>
          </w:p>
        </w:tc>
        <w:tc>
          <w:tcPr>
            <w:tcW w:w="515" w:type="pct"/>
            <w:vAlign w:val="center"/>
          </w:tcPr>
          <w:p>
            <w:pPr>
              <w:pStyle w:val="39"/>
              <w:rPr>
                <w:rFonts w:cs="Times New Roman"/>
                <w:u w:val="single"/>
              </w:rPr>
            </w:pPr>
            <w:r>
              <w:rPr>
                <w:rFonts w:cs="Times New Roman"/>
                <w:u w:val="single"/>
              </w:rPr>
              <w:t>50</w:t>
            </w:r>
          </w:p>
        </w:tc>
      </w:tr>
    </w:tbl>
    <w:p>
      <w:pPr>
        <w:pStyle w:val="3"/>
        <w:ind w:firstLine="480"/>
        <w:rPr>
          <w:rFonts w:cs="Times New Roman"/>
          <w:u w:val="single"/>
        </w:rPr>
      </w:pPr>
    </w:p>
    <w:p>
      <w:pPr>
        <w:pStyle w:val="3"/>
        <w:ind w:firstLine="0" w:firstLineChars="0"/>
        <w:jc w:val="center"/>
        <w:rPr>
          <w:rFonts w:cs="Times New Roman"/>
          <w:u w:val="single"/>
        </w:rPr>
      </w:pPr>
      <w:r>
        <w:rPr>
          <w:u w:val="single"/>
        </w:rPr>
        <w:drawing>
          <wp:inline distT="0" distB="0" distL="0" distR="0">
            <wp:extent cx="5687695" cy="2617470"/>
            <wp:effectExtent l="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8"/>
                    <a:stretch>
                      <a:fillRect/>
                    </a:stretch>
                  </pic:blipFill>
                  <pic:spPr>
                    <a:xfrm>
                      <a:off x="0" y="0"/>
                      <a:ext cx="5687695" cy="2617470"/>
                    </a:xfrm>
                    <a:prstGeom prst="rect">
                      <a:avLst/>
                    </a:prstGeom>
                  </pic:spPr>
                </pic:pic>
              </a:graphicData>
            </a:graphic>
          </wp:inline>
        </w:drawing>
      </w:r>
    </w:p>
    <w:p>
      <w:pPr>
        <w:pStyle w:val="15"/>
        <w:rPr>
          <w:rFonts w:cs="Times New Roman"/>
          <w:u w:val="single"/>
        </w:rPr>
      </w:pPr>
      <w:r>
        <w:rPr>
          <w:rFonts w:cs="Times New Roman"/>
          <w:u w:val="single"/>
        </w:rPr>
        <w:t>图5.2-1  项目鸡舍及鸡粪混合区卫生防护距离运算结果图</w:t>
      </w:r>
    </w:p>
    <w:p>
      <w:pPr>
        <w:pStyle w:val="3"/>
        <w:ind w:firstLine="480"/>
        <w:rPr>
          <w:rFonts w:cs="Times New Roman"/>
          <w:u w:val="single"/>
        </w:rPr>
      </w:pPr>
      <w:r>
        <w:rPr>
          <w:rFonts w:cs="Times New Roman"/>
          <w:u w:val="single"/>
        </w:rPr>
        <w:t>根据卫生防护距离的计算结果及《制定地方大气污染物排放标准的技术方法》中卫生防护距离的取值方法（卫生防护距离在100m以内时，级差为50m；超过100m，但小于或等于1000m时，级差为100m；超过1000m以上，级差为200m），经计算本项目鸡舍的NH</w:t>
      </w:r>
      <w:r>
        <w:rPr>
          <w:rFonts w:cs="Times New Roman"/>
          <w:u w:val="single"/>
          <w:vertAlign w:val="subscript"/>
        </w:rPr>
        <w:t>3</w:t>
      </w:r>
      <w:r>
        <w:rPr>
          <w:rFonts w:cs="Times New Roman"/>
          <w:u w:val="single"/>
        </w:rPr>
        <w:t>、H</w:t>
      </w:r>
      <w:r>
        <w:rPr>
          <w:rFonts w:cs="Times New Roman"/>
          <w:u w:val="single"/>
          <w:vertAlign w:val="subscript"/>
        </w:rPr>
        <w:t>2</w:t>
      </w:r>
      <w:r>
        <w:rPr>
          <w:rFonts w:cs="Times New Roman"/>
          <w:u w:val="single"/>
        </w:rPr>
        <w:t>S防护距离均为50m，根据《制定地方大气污染物排放标准的技术方法》（GB/T13201-91），无组织排放多种有害气体的工业企业，按Qc/Cm的最大值计算其所需卫生防护距离；但当按两种或两种以上的有害气体的Qc/Cm值计算的卫生防护距离在同一级别时，该类工业企业的卫生防护距离级别应该高一级，则本项目卫生防护距离为100m。</w:t>
      </w:r>
    </w:p>
    <w:p>
      <w:pPr>
        <w:pStyle w:val="3"/>
        <w:ind w:firstLine="480"/>
        <w:rPr>
          <w:rFonts w:cs="Times New Roman"/>
          <w:u w:val="single"/>
        </w:rPr>
      </w:pPr>
      <w:r>
        <w:rPr>
          <w:rFonts w:hint="eastAsia" w:cs="Times New Roman"/>
          <w:u w:val="single"/>
        </w:rPr>
        <w:t>考虑</w:t>
      </w:r>
      <w:r>
        <w:rPr>
          <w:rFonts w:cs="Times New Roman"/>
          <w:u w:val="single"/>
        </w:rPr>
        <w:t>本项目</w:t>
      </w:r>
      <w:r>
        <w:rPr>
          <w:rFonts w:hint="eastAsia" w:cs="Times New Roman"/>
          <w:u w:val="single"/>
        </w:rPr>
        <w:t>涉及两个</w:t>
      </w:r>
      <w:r>
        <w:rPr>
          <w:rFonts w:cs="Times New Roman"/>
          <w:u w:val="single"/>
        </w:rPr>
        <w:t>污染源，本次</w:t>
      </w:r>
      <w:r>
        <w:rPr>
          <w:rFonts w:hint="eastAsia" w:cs="Times New Roman"/>
          <w:u w:val="single"/>
        </w:rPr>
        <w:t>评价</w:t>
      </w:r>
      <w:r>
        <w:rPr>
          <w:rFonts w:cs="Times New Roman"/>
          <w:u w:val="single"/>
        </w:rPr>
        <w:t>通过</w:t>
      </w:r>
      <w:r>
        <w:rPr>
          <w:rFonts w:hint="eastAsia" w:cs="Times New Roman"/>
          <w:u w:val="single"/>
        </w:rPr>
        <w:t>计算各</w:t>
      </w:r>
      <w:r>
        <w:rPr>
          <w:rFonts w:cs="Times New Roman"/>
          <w:u w:val="single"/>
        </w:rPr>
        <w:t>污染源</w:t>
      </w:r>
      <w:r>
        <w:rPr>
          <w:rFonts w:hint="eastAsia" w:cs="Times New Roman"/>
          <w:u w:val="single"/>
        </w:rPr>
        <w:t>的</w:t>
      </w:r>
      <w:r>
        <w:rPr>
          <w:rFonts w:cs="Times New Roman"/>
          <w:u w:val="single"/>
        </w:rPr>
        <w:t>污染物等标排放量来</w:t>
      </w:r>
      <w:r>
        <w:rPr>
          <w:rFonts w:hint="eastAsia" w:cs="Times New Roman"/>
          <w:u w:val="single"/>
        </w:rPr>
        <w:t>确定本项目</w:t>
      </w:r>
      <w:r>
        <w:rPr>
          <w:rFonts w:cs="Times New Roman"/>
          <w:u w:val="single"/>
        </w:rPr>
        <w:t>污染源的坐标</w:t>
      </w:r>
      <w:r>
        <w:rPr>
          <w:rFonts w:hint="eastAsia" w:cs="Times New Roman"/>
          <w:u w:val="single"/>
        </w:rPr>
        <w:t>位置点，具体</w:t>
      </w:r>
      <w:r>
        <w:rPr>
          <w:rFonts w:cs="Times New Roman"/>
          <w:u w:val="single"/>
        </w:rPr>
        <w:t>见下表。</w:t>
      </w:r>
    </w:p>
    <w:p>
      <w:pPr>
        <w:pStyle w:val="15"/>
        <w:rPr>
          <w:u w:val="single"/>
        </w:rPr>
      </w:pPr>
      <w:r>
        <w:rPr>
          <w:rFonts w:hint="eastAsia"/>
          <w:u w:val="single"/>
        </w:rPr>
        <w:t>表5.2-7</w:t>
      </w:r>
      <w:r>
        <w:rPr>
          <w:u w:val="single"/>
        </w:rPr>
        <w:t xml:space="preserve">  </w:t>
      </w:r>
      <w:r>
        <w:rPr>
          <w:rFonts w:hint="eastAsia"/>
          <w:u w:val="single"/>
        </w:rPr>
        <w:t>各</w:t>
      </w:r>
      <w:r>
        <w:rPr>
          <w:u w:val="single"/>
        </w:rPr>
        <w:t>污染源</w:t>
      </w:r>
      <w:r>
        <w:rPr>
          <w:rFonts w:hint="eastAsia"/>
          <w:u w:val="single"/>
        </w:rPr>
        <w:t>的</w:t>
      </w:r>
      <w:r>
        <w:rPr>
          <w:u w:val="single"/>
        </w:rPr>
        <w:t>污染物等标排放量</w:t>
      </w:r>
      <w:r>
        <w:rPr>
          <w:rFonts w:hint="eastAsia"/>
          <w:u w:val="single"/>
        </w:rPr>
        <w:t>计算</w:t>
      </w:r>
      <w:r>
        <w:rPr>
          <w:u w:val="single"/>
        </w:rPr>
        <w:t>一览表</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708"/>
        <w:gridCol w:w="1134"/>
        <w:gridCol w:w="1134"/>
        <w:gridCol w:w="1844"/>
        <w:gridCol w:w="1842"/>
        <w:gridCol w:w="1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9" w:type="pct"/>
            <w:gridSpan w:val="2"/>
            <w:shd w:val="clear" w:color="auto" w:fill="auto"/>
            <w:vAlign w:val="center"/>
          </w:tcPr>
          <w:p>
            <w:pPr>
              <w:pStyle w:val="39"/>
              <w:rPr>
                <w:u w:val="single"/>
              </w:rPr>
            </w:pPr>
            <w:r>
              <w:rPr>
                <w:u w:val="single"/>
              </w:rPr>
              <w:t>污染物名称</w:t>
            </w:r>
          </w:p>
        </w:tc>
        <w:tc>
          <w:tcPr>
            <w:tcW w:w="618" w:type="pct"/>
            <w:shd w:val="clear" w:color="auto" w:fill="auto"/>
            <w:vAlign w:val="center"/>
          </w:tcPr>
          <w:p>
            <w:pPr>
              <w:pStyle w:val="39"/>
              <w:rPr>
                <w:u w:val="single"/>
              </w:rPr>
            </w:pPr>
            <w:r>
              <w:rPr>
                <w:u w:val="single"/>
              </w:rPr>
              <w:t>功能区</w:t>
            </w:r>
          </w:p>
        </w:tc>
        <w:tc>
          <w:tcPr>
            <w:tcW w:w="618" w:type="pct"/>
            <w:shd w:val="clear" w:color="auto" w:fill="auto"/>
            <w:vAlign w:val="center"/>
          </w:tcPr>
          <w:p>
            <w:pPr>
              <w:pStyle w:val="39"/>
              <w:rPr>
                <w:u w:val="single"/>
              </w:rPr>
            </w:pPr>
            <w:r>
              <w:rPr>
                <w:u w:val="single"/>
              </w:rPr>
              <w:t>取值时间</w:t>
            </w:r>
          </w:p>
        </w:tc>
        <w:tc>
          <w:tcPr>
            <w:tcW w:w="1005" w:type="pct"/>
            <w:shd w:val="clear" w:color="auto" w:fill="auto"/>
            <w:vAlign w:val="center"/>
          </w:tcPr>
          <w:p>
            <w:pPr>
              <w:pStyle w:val="39"/>
              <w:rPr>
                <w:u w:val="single"/>
              </w:rPr>
            </w:pPr>
            <w:r>
              <w:rPr>
                <w:rFonts w:hint="eastAsia"/>
                <w:i/>
                <w:u w:val="single"/>
              </w:rPr>
              <w:t>C</w:t>
            </w:r>
            <w:r>
              <w:rPr>
                <w:i/>
                <w:u w:val="single"/>
                <w:vertAlign w:val="subscript"/>
              </w:rPr>
              <w:t>0</w:t>
            </w:r>
            <w:r>
              <w:rPr>
                <w:u w:val="single"/>
              </w:rPr>
              <w:t>标准值(μg/m</w:t>
            </w:r>
            <w:r>
              <w:rPr>
                <w:u w:val="single"/>
                <w:vertAlign w:val="superscript"/>
              </w:rPr>
              <w:t>3</w:t>
            </w:r>
            <w:r>
              <w:rPr>
                <w:u w:val="single"/>
              </w:rPr>
              <w:t>)</w:t>
            </w:r>
          </w:p>
        </w:tc>
        <w:tc>
          <w:tcPr>
            <w:tcW w:w="1004" w:type="pct"/>
            <w:vAlign w:val="center"/>
          </w:tcPr>
          <w:p>
            <w:pPr>
              <w:pStyle w:val="39"/>
              <w:rPr>
                <w:u w:val="single"/>
              </w:rPr>
            </w:pPr>
            <w:r>
              <w:rPr>
                <w:i/>
                <w:u w:val="single"/>
              </w:rPr>
              <w:t>Q</w:t>
            </w:r>
            <w:r>
              <w:rPr>
                <w:rFonts w:hint="eastAsia"/>
                <w:u w:val="single"/>
              </w:rPr>
              <w:t>年</w:t>
            </w:r>
            <w:r>
              <w:rPr>
                <w:u w:val="single"/>
              </w:rPr>
              <w:t>排放量（</w:t>
            </w:r>
            <w:r>
              <w:rPr>
                <w:rFonts w:hint="eastAsia"/>
                <w:u w:val="single"/>
              </w:rPr>
              <w:t>t/</w:t>
            </w:r>
            <w:r>
              <w:rPr>
                <w:u w:val="single"/>
              </w:rPr>
              <w:t>a）</w:t>
            </w:r>
          </w:p>
        </w:tc>
        <w:tc>
          <w:tcPr>
            <w:tcW w:w="846" w:type="pct"/>
            <w:vAlign w:val="center"/>
          </w:tcPr>
          <w:p>
            <w:pPr>
              <w:pStyle w:val="39"/>
              <w:rPr>
                <w:u w:val="single"/>
              </w:rPr>
            </w:pPr>
            <w:r>
              <w:rPr>
                <w:rFonts w:hint="eastAsia"/>
                <w:i/>
                <w:u w:val="single"/>
              </w:rPr>
              <w:t>P</w:t>
            </w:r>
            <w:r>
              <w:rPr>
                <w:rFonts w:hint="eastAsia"/>
                <w:i/>
                <w:u w:val="single"/>
                <w:vertAlign w:val="subscript"/>
              </w:rPr>
              <w:t>0</w:t>
            </w:r>
            <w:r>
              <w:rPr>
                <w:rFonts w:hint="eastAsia"/>
                <w:u w:val="single"/>
              </w:rPr>
              <w:t>等标</w:t>
            </w:r>
            <w:r>
              <w:rPr>
                <w:u w:val="single"/>
              </w:rPr>
              <w:t>排放量</w:t>
            </w:r>
          </w:p>
          <w:p>
            <w:pPr>
              <w:pStyle w:val="39"/>
              <w:rPr>
                <w:u w:val="single"/>
              </w:rPr>
            </w:pPr>
            <w:r>
              <w:rPr>
                <w:rFonts w:hint="eastAsia"/>
                <w:u w:val="single"/>
              </w:rPr>
              <w:t>（m</w:t>
            </w:r>
            <w:r>
              <w:rPr>
                <w:u w:val="single"/>
                <w:vertAlign w:val="superscript"/>
              </w:rPr>
              <w:t>3</w:t>
            </w:r>
            <w:r>
              <w:rPr>
                <w:u w:val="single"/>
              </w:rPr>
              <w:t>/a</w:t>
            </w:r>
            <w:r>
              <w:rPr>
                <w:rFonts w:hint="eastAsia"/>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23" w:type="pct"/>
            <w:vMerge w:val="restart"/>
            <w:shd w:val="clear" w:color="auto" w:fill="auto"/>
            <w:vAlign w:val="center"/>
          </w:tcPr>
          <w:p>
            <w:pPr>
              <w:pStyle w:val="39"/>
              <w:rPr>
                <w:u w:val="single"/>
              </w:rPr>
            </w:pPr>
            <w:r>
              <w:rPr>
                <w:rFonts w:hint="eastAsia"/>
                <w:u w:val="single"/>
              </w:rPr>
              <w:t>鸡舍</w:t>
            </w:r>
            <w:r>
              <w:rPr>
                <w:u w:val="single"/>
              </w:rPr>
              <w:t>及</w:t>
            </w:r>
            <w:r>
              <w:rPr>
                <w:rFonts w:hint="eastAsia"/>
                <w:u w:val="single"/>
              </w:rPr>
              <w:t>鸡粪处理区</w:t>
            </w:r>
          </w:p>
        </w:tc>
        <w:tc>
          <w:tcPr>
            <w:tcW w:w="386" w:type="pct"/>
            <w:shd w:val="clear" w:color="auto" w:fill="auto"/>
            <w:vAlign w:val="center"/>
          </w:tcPr>
          <w:p>
            <w:pPr>
              <w:pStyle w:val="39"/>
              <w:rPr>
                <w:u w:val="single"/>
              </w:rPr>
            </w:pPr>
            <w:r>
              <w:rPr>
                <w:u w:val="single"/>
              </w:rPr>
              <w:t>H</w:t>
            </w:r>
            <w:r>
              <w:rPr>
                <w:u w:val="single"/>
                <w:vertAlign w:val="subscript"/>
              </w:rPr>
              <w:t>2</w:t>
            </w:r>
            <w:r>
              <w:rPr>
                <w:u w:val="single"/>
              </w:rPr>
              <w:t>S</w:t>
            </w:r>
          </w:p>
        </w:tc>
        <w:tc>
          <w:tcPr>
            <w:tcW w:w="618" w:type="pct"/>
            <w:shd w:val="clear" w:color="auto" w:fill="auto"/>
            <w:vAlign w:val="center"/>
          </w:tcPr>
          <w:p>
            <w:pPr>
              <w:pStyle w:val="39"/>
              <w:rPr>
                <w:u w:val="single"/>
              </w:rPr>
            </w:pPr>
            <w:r>
              <w:rPr>
                <w:u w:val="single"/>
              </w:rPr>
              <w:t>二类限区</w:t>
            </w:r>
          </w:p>
        </w:tc>
        <w:tc>
          <w:tcPr>
            <w:tcW w:w="618" w:type="pct"/>
            <w:shd w:val="clear" w:color="auto" w:fill="auto"/>
            <w:vAlign w:val="center"/>
          </w:tcPr>
          <w:p>
            <w:pPr>
              <w:pStyle w:val="39"/>
              <w:rPr>
                <w:u w:val="single"/>
              </w:rPr>
            </w:pPr>
            <w:r>
              <w:rPr>
                <w:u w:val="single"/>
              </w:rPr>
              <w:t>1小时</w:t>
            </w:r>
          </w:p>
        </w:tc>
        <w:tc>
          <w:tcPr>
            <w:tcW w:w="1005" w:type="pct"/>
            <w:shd w:val="clear" w:color="auto" w:fill="auto"/>
            <w:vAlign w:val="center"/>
          </w:tcPr>
          <w:p>
            <w:pPr>
              <w:pStyle w:val="39"/>
              <w:rPr>
                <w:u w:val="single"/>
              </w:rPr>
            </w:pPr>
            <w:r>
              <w:rPr>
                <w:u w:val="single"/>
              </w:rPr>
              <w:t>10</w:t>
            </w:r>
          </w:p>
        </w:tc>
        <w:tc>
          <w:tcPr>
            <w:tcW w:w="1004" w:type="pct"/>
            <w:vAlign w:val="center"/>
          </w:tcPr>
          <w:p>
            <w:pPr>
              <w:pStyle w:val="39"/>
              <w:rPr>
                <w:u w:val="single"/>
              </w:rPr>
            </w:pPr>
            <w:r>
              <w:rPr>
                <w:u w:val="single"/>
              </w:rPr>
              <w:t>0.019</w:t>
            </w:r>
          </w:p>
        </w:tc>
        <w:tc>
          <w:tcPr>
            <w:tcW w:w="846" w:type="pct"/>
            <w:vAlign w:val="center"/>
          </w:tcPr>
          <w:p>
            <w:pPr>
              <w:adjustRightInd/>
              <w:snapToGrid/>
              <w:jc w:val="center"/>
              <w:rPr>
                <w:rFonts w:ascii="Times New Roman" w:hAnsi="Times New Roman" w:eastAsia="等线" w:cs="Times New Roman"/>
                <w:color w:val="000000"/>
                <w:u w:val="single"/>
              </w:rPr>
            </w:pPr>
            <w:r>
              <w:rPr>
                <w:rFonts w:ascii="Times New Roman" w:hAnsi="Times New Roman" w:eastAsia="等线" w:cs="Times New Roman"/>
                <w:color w:val="000000"/>
                <w:u w:val="single"/>
              </w:rPr>
              <w:t>1900000000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23" w:type="pct"/>
            <w:vMerge w:val="continue"/>
            <w:shd w:val="clear" w:color="auto" w:fill="auto"/>
            <w:vAlign w:val="center"/>
          </w:tcPr>
          <w:p>
            <w:pPr>
              <w:pStyle w:val="39"/>
              <w:rPr>
                <w:u w:val="single"/>
              </w:rPr>
            </w:pPr>
          </w:p>
        </w:tc>
        <w:tc>
          <w:tcPr>
            <w:tcW w:w="386" w:type="pct"/>
            <w:shd w:val="clear" w:color="auto" w:fill="auto"/>
            <w:vAlign w:val="center"/>
          </w:tcPr>
          <w:p>
            <w:pPr>
              <w:pStyle w:val="39"/>
              <w:rPr>
                <w:u w:val="single"/>
              </w:rPr>
            </w:pPr>
            <w:r>
              <w:rPr>
                <w:u w:val="single"/>
              </w:rPr>
              <w:t>NH</w:t>
            </w:r>
            <w:r>
              <w:rPr>
                <w:u w:val="single"/>
                <w:vertAlign w:val="subscript"/>
              </w:rPr>
              <w:t>3</w:t>
            </w:r>
          </w:p>
        </w:tc>
        <w:tc>
          <w:tcPr>
            <w:tcW w:w="618" w:type="pct"/>
            <w:shd w:val="clear" w:color="auto" w:fill="auto"/>
            <w:vAlign w:val="center"/>
          </w:tcPr>
          <w:p>
            <w:pPr>
              <w:pStyle w:val="39"/>
              <w:rPr>
                <w:u w:val="single"/>
              </w:rPr>
            </w:pPr>
            <w:r>
              <w:rPr>
                <w:u w:val="single"/>
              </w:rPr>
              <w:t>二类限区</w:t>
            </w:r>
          </w:p>
        </w:tc>
        <w:tc>
          <w:tcPr>
            <w:tcW w:w="618" w:type="pct"/>
            <w:shd w:val="clear" w:color="auto" w:fill="auto"/>
            <w:vAlign w:val="center"/>
          </w:tcPr>
          <w:p>
            <w:pPr>
              <w:pStyle w:val="39"/>
              <w:rPr>
                <w:u w:val="single"/>
              </w:rPr>
            </w:pPr>
            <w:r>
              <w:rPr>
                <w:u w:val="single"/>
              </w:rPr>
              <w:t>1小时</w:t>
            </w:r>
          </w:p>
        </w:tc>
        <w:tc>
          <w:tcPr>
            <w:tcW w:w="1005" w:type="pct"/>
            <w:shd w:val="clear" w:color="auto" w:fill="auto"/>
            <w:vAlign w:val="center"/>
          </w:tcPr>
          <w:p>
            <w:pPr>
              <w:pStyle w:val="39"/>
              <w:rPr>
                <w:u w:val="single"/>
              </w:rPr>
            </w:pPr>
            <w:r>
              <w:rPr>
                <w:u w:val="single"/>
              </w:rPr>
              <w:t>200</w:t>
            </w:r>
          </w:p>
        </w:tc>
        <w:tc>
          <w:tcPr>
            <w:tcW w:w="1004" w:type="pct"/>
            <w:vAlign w:val="center"/>
          </w:tcPr>
          <w:p>
            <w:pPr>
              <w:pStyle w:val="39"/>
              <w:rPr>
                <w:u w:val="single"/>
              </w:rPr>
            </w:pPr>
            <w:r>
              <w:rPr>
                <w:u w:val="single"/>
              </w:rPr>
              <w:t>0.475</w:t>
            </w:r>
          </w:p>
        </w:tc>
        <w:tc>
          <w:tcPr>
            <w:tcW w:w="846" w:type="pct"/>
            <w:vAlign w:val="center"/>
          </w:tcPr>
          <w:p>
            <w:pPr>
              <w:jc w:val="center"/>
              <w:rPr>
                <w:rFonts w:ascii="Times New Roman" w:hAnsi="Times New Roman" w:eastAsia="等线" w:cs="Times New Roman"/>
                <w:color w:val="000000"/>
                <w:u w:val="single"/>
              </w:rPr>
            </w:pPr>
            <w:r>
              <w:rPr>
                <w:rFonts w:ascii="Times New Roman" w:hAnsi="Times New Roman" w:eastAsia="等线" w:cs="Times New Roman"/>
                <w:color w:val="000000"/>
                <w:u w:val="single"/>
              </w:rPr>
              <w:t>2375000000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23" w:type="pct"/>
            <w:vMerge w:val="restart"/>
            <w:shd w:val="clear" w:color="auto" w:fill="auto"/>
            <w:vAlign w:val="center"/>
          </w:tcPr>
          <w:p>
            <w:pPr>
              <w:pStyle w:val="39"/>
              <w:rPr>
                <w:u w:val="single"/>
              </w:rPr>
            </w:pPr>
            <w:r>
              <w:rPr>
                <w:rFonts w:hint="eastAsia"/>
                <w:u w:val="single"/>
              </w:rPr>
              <w:t>生物质</w:t>
            </w:r>
            <w:r>
              <w:rPr>
                <w:u w:val="single"/>
              </w:rPr>
              <w:t>锅炉排气筒</w:t>
            </w:r>
          </w:p>
        </w:tc>
        <w:tc>
          <w:tcPr>
            <w:tcW w:w="386" w:type="pct"/>
            <w:shd w:val="clear" w:color="auto" w:fill="auto"/>
            <w:vAlign w:val="center"/>
          </w:tcPr>
          <w:p>
            <w:pPr>
              <w:pStyle w:val="39"/>
              <w:rPr>
                <w:u w:val="single"/>
              </w:rPr>
            </w:pPr>
            <w:r>
              <w:rPr>
                <w:u w:val="single"/>
              </w:rPr>
              <w:t>SO</w:t>
            </w:r>
            <w:r>
              <w:rPr>
                <w:u w:val="single"/>
                <w:vertAlign w:val="subscript"/>
              </w:rPr>
              <w:t>2</w:t>
            </w:r>
          </w:p>
        </w:tc>
        <w:tc>
          <w:tcPr>
            <w:tcW w:w="618" w:type="pct"/>
            <w:shd w:val="clear" w:color="auto" w:fill="auto"/>
            <w:vAlign w:val="center"/>
          </w:tcPr>
          <w:p>
            <w:pPr>
              <w:pStyle w:val="39"/>
              <w:rPr>
                <w:u w:val="single"/>
              </w:rPr>
            </w:pPr>
            <w:r>
              <w:rPr>
                <w:u w:val="single"/>
              </w:rPr>
              <w:t>二类限区</w:t>
            </w:r>
          </w:p>
        </w:tc>
        <w:tc>
          <w:tcPr>
            <w:tcW w:w="618" w:type="pct"/>
            <w:shd w:val="clear" w:color="auto" w:fill="auto"/>
            <w:vAlign w:val="center"/>
          </w:tcPr>
          <w:p>
            <w:pPr>
              <w:pStyle w:val="39"/>
              <w:rPr>
                <w:u w:val="single"/>
              </w:rPr>
            </w:pPr>
            <w:r>
              <w:rPr>
                <w:u w:val="single"/>
              </w:rPr>
              <w:t>1小时</w:t>
            </w:r>
          </w:p>
        </w:tc>
        <w:tc>
          <w:tcPr>
            <w:tcW w:w="1005" w:type="pct"/>
            <w:shd w:val="clear" w:color="auto" w:fill="auto"/>
            <w:vAlign w:val="center"/>
          </w:tcPr>
          <w:p>
            <w:pPr>
              <w:pStyle w:val="39"/>
              <w:rPr>
                <w:u w:val="single"/>
              </w:rPr>
            </w:pPr>
            <w:r>
              <w:rPr>
                <w:u w:val="single"/>
              </w:rPr>
              <w:t>500</w:t>
            </w:r>
          </w:p>
        </w:tc>
        <w:tc>
          <w:tcPr>
            <w:tcW w:w="1004" w:type="pct"/>
            <w:vAlign w:val="center"/>
          </w:tcPr>
          <w:p>
            <w:pPr>
              <w:pStyle w:val="39"/>
              <w:rPr>
                <w:u w:val="single"/>
              </w:rPr>
            </w:pPr>
            <w:r>
              <w:rPr>
                <w:u w:val="single"/>
              </w:rPr>
              <w:t>0.22</w:t>
            </w:r>
          </w:p>
        </w:tc>
        <w:tc>
          <w:tcPr>
            <w:tcW w:w="846" w:type="pct"/>
            <w:vAlign w:val="center"/>
          </w:tcPr>
          <w:p>
            <w:pPr>
              <w:jc w:val="center"/>
              <w:rPr>
                <w:rFonts w:ascii="Times New Roman" w:hAnsi="Times New Roman" w:eastAsia="等线" w:cs="Times New Roman"/>
                <w:color w:val="000000"/>
                <w:u w:val="single"/>
              </w:rPr>
            </w:pPr>
            <w:r>
              <w:rPr>
                <w:rFonts w:ascii="Times New Roman" w:hAnsi="Times New Roman" w:eastAsia="等线" w:cs="Times New Roman"/>
                <w:color w:val="000000"/>
                <w:u w:val="single"/>
              </w:rPr>
              <w:t>440000000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23" w:type="pct"/>
            <w:vMerge w:val="continue"/>
            <w:shd w:val="clear" w:color="auto" w:fill="auto"/>
            <w:vAlign w:val="center"/>
          </w:tcPr>
          <w:p>
            <w:pPr>
              <w:pStyle w:val="39"/>
              <w:rPr>
                <w:u w:val="single"/>
              </w:rPr>
            </w:pPr>
          </w:p>
        </w:tc>
        <w:tc>
          <w:tcPr>
            <w:tcW w:w="386" w:type="pct"/>
            <w:shd w:val="clear" w:color="auto" w:fill="auto"/>
            <w:vAlign w:val="center"/>
          </w:tcPr>
          <w:p>
            <w:pPr>
              <w:pStyle w:val="39"/>
              <w:rPr>
                <w:u w:val="single"/>
              </w:rPr>
            </w:pPr>
            <w:r>
              <w:rPr>
                <w:rFonts w:hint="eastAsia"/>
                <w:u w:val="single"/>
              </w:rPr>
              <w:t>NO</w:t>
            </w:r>
            <w:r>
              <w:rPr>
                <w:rFonts w:hint="eastAsia"/>
                <w:u w:val="single"/>
                <w:vertAlign w:val="subscript"/>
              </w:rPr>
              <w:t>X</w:t>
            </w:r>
          </w:p>
        </w:tc>
        <w:tc>
          <w:tcPr>
            <w:tcW w:w="618" w:type="pct"/>
            <w:shd w:val="clear" w:color="auto" w:fill="auto"/>
            <w:vAlign w:val="center"/>
          </w:tcPr>
          <w:p>
            <w:pPr>
              <w:pStyle w:val="39"/>
              <w:rPr>
                <w:u w:val="single"/>
              </w:rPr>
            </w:pPr>
            <w:r>
              <w:rPr>
                <w:u w:val="single"/>
              </w:rPr>
              <w:t>二类限区</w:t>
            </w:r>
          </w:p>
        </w:tc>
        <w:tc>
          <w:tcPr>
            <w:tcW w:w="618" w:type="pct"/>
            <w:shd w:val="clear" w:color="auto" w:fill="auto"/>
            <w:vAlign w:val="center"/>
          </w:tcPr>
          <w:p>
            <w:pPr>
              <w:pStyle w:val="39"/>
              <w:rPr>
                <w:u w:val="single"/>
              </w:rPr>
            </w:pPr>
            <w:r>
              <w:rPr>
                <w:rFonts w:hint="eastAsia"/>
                <w:u w:val="single"/>
              </w:rPr>
              <w:t>1</w:t>
            </w:r>
            <w:r>
              <w:rPr>
                <w:u w:val="single"/>
              </w:rPr>
              <w:t>小时</w:t>
            </w:r>
          </w:p>
        </w:tc>
        <w:tc>
          <w:tcPr>
            <w:tcW w:w="1005" w:type="pct"/>
            <w:shd w:val="clear" w:color="auto" w:fill="auto"/>
            <w:vAlign w:val="center"/>
          </w:tcPr>
          <w:p>
            <w:pPr>
              <w:pStyle w:val="39"/>
              <w:rPr>
                <w:u w:val="single"/>
              </w:rPr>
            </w:pPr>
            <w:r>
              <w:rPr>
                <w:rFonts w:hint="eastAsia"/>
                <w:u w:val="single"/>
              </w:rPr>
              <w:t>250</w:t>
            </w:r>
          </w:p>
        </w:tc>
        <w:tc>
          <w:tcPr>
            <w:tcW w:w="1004" w:type="pct"/>
            <w:vAlign w:val="center"/>
          </w:tcPr>
          <w:p>
            <w:pPr>
              <w:pStyle w:val="39"/>
              <w:rPr>
                <w:u w:val="single"/>
              </w:rPr>
            </w:pPr>
            <w:r>
              <w:rPr>
                <w:u w:val="single"/>
              </w:rPr>
              <w:t>0.66</w:t>
            </w:r>
          </w:p>
        </w:tc>
        <w:tc>
          <w:tcPr>
            <w:tcW w:w="846" w:type="pct"/>
            <w:vAlign w:val="center"/>
          </w:tcPr>
          <w:p>
            <w:pPr>
              <w:jc w:val="center"/>
              <w:rPr>
                <w:rFonts w:ascii="Times New Roman" w:hAnsi="Times New Roman" w:eastAsia="等线" w:cs="Times New Roman"/>
                <w:color w:val="000000"/>
                <w:u w:val="single"/>
              </w:rPr>
            </w:pPr>
            <w:r>
              <w:rPr>
                <w:rFonts w:ascii="Times New Roman" w:hAnsi="Times New Roman" w:eastAsia="等线" w:cs="Times New Roman"/>
                <w:color w:val="000000"/>
                <w:u w:val="single"/>
              </w:rPr>
              <w:t>2640000000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23" w:type="pct"/>
            <w:vMerge w:val="continue"/>
            <w:shd w:val="clear" w:color="auto" w:fill="auto"/>
            <w:vAlign w:val="center"/>
          </w:tcPr>
          <w:p>
            <w:pPr>
              <w:pStyle w:val="39"/>
              <w:rPr>
                <w:u w:val="single"/>
              </w:rPr>
            </w:pPr>
          </w:p>
        </w:tc>
        <w:tc>
          <w:tcPr>
            <w:tcW w:w="386" w:type="pct"/>
            <w:shd w:val="clear" w:color="auto" w:fill="auto"/>
            <w:vAlign w:val="center"/>
          </w:tcPr>
          <w:p>
            <w:pPr>
              <w:pStyle w:val="39"/>
              <w:rPr>
                <w:u w:val="single"/>
              </w:rPr>
            </w:pPr>
            <w:r>
              <w:rPr>
                <w:rFonts w:hint="eastAsia"/>
                <w:u w:val="single"/>
              </w:rPr>
              <w:t>TSP</w:t>
            </w:r>
          </w:p>
        </w:tc>
        <w:tc>
          <w:tcPr>
            <w:tcW w:w="618" w:type="pct"/>
            <w:shd w:val="clear" w:color="auto" w:fill="auto"/>
            <w:vAlign w:val="center"/>
          </w:tcPr>
          <w:p>
            <w:pPr>
              <w:pStyle w:val="39"/>
              <w:rPr>
                <w:u w:val="single"/>
              </w:rPr>
            </w:pPr>
            <w:r>
              <w:rPr>
                <w:u w:val="single"/>
              </w:rPr>
              <w:t>二类限区</w:t>
            </w:r>
          </w:p>
        </w:tc>
        <w:tc>
          <w:tcPr>
            <w:tcW w:w="618" w:type="pct"/>
            <w:shd w:val="clear" w:color="auto" w:fill="auto"/>
            <w:vAlign w:val="center"/>
          </w:tcPr>
          <w:p>
            <w:pPr>
              <w:pStyle w:val="39"/>
              <w:rPr>
                <w:u w:val="single"/>
              </w:rPr>
            </w:pPr>
            <w:r>
              <w:rPr>
                <w:rFonts w:hint="eastAsia"/>
                <w:u w:val="single"/>
              </w:rPr>
              <w:t>1</w:t>
            </w:r>
            <w:r>
              <w:rPr>
                <w:u w:val="single"/>
              </w:rPr>
              <w:t>小时</w:t>
            </w:r>
          </w:p>
        </w:tc>
        <w:tc>
          <w:tcPr>
            <w:tcW w:w="1005" w:type="pct"/>
            <w:shd w:val="clear" w:color="auto" w:fill="auto"/>
            <w:vAlign w:val="center"/>
          </w:tcPr>
          <w:p>
            <w:pPr>
              <w:pStyle w:val="39"/>
              <w:rPr>
                <w:u w:val="single"/>
              </w:rPr>
            </w:pPr>
            <w:r>
              <w:rPr>
                <w:rFonts w:hint="eastAsia"/>
                <w:u w:val="single"/>
              </w:rPr>
              <w:t>900</w:t>
            </w:r>
          </w:p>
        </w:tc>
        <w:tc>
          <w:tcPr>
            <w:tcW w:w="1004" w:type="pct"/>
            <w:vAlign w:val="center"/>
          </w:tcPr>
          <w:p>
            <w:pPr>
              <w:pStyle w:val="39"/>
              <w:rPr>
                <w:u w:val="single"/>
              </w:rPr>
            </w:pPr>
            <w:r>
              <w:rPr>
                <w:rFonts w:hint="eastAsia"/>
                <w:u w:val="single"/>
              </w:rPr>
              <w:t>0.</w:t>
            </w:r>
            <w:r>
              <w:rPr>
                <w:u w:val="single"/>
              </w:rPr>
              <w:t>002</w:t>
            </w:r>
          </w:p>
        </w:tc>
        <w:tc>
          <w:tcPr>
            <w:tcW w:w="846" w:type="pct"/>
            <w:vAlign w:val="center"/>
          </w:tcPr>
          <w:p>
            <w:pPr>
              <w:jc w:val="center"/>
              <w:rPr>
                <w:rFonts w:ascii="Times New Roman" w:hAnsi="Times New Roman" w:eastAsia="等线" w:cs="Times New Roman"/>
                <w:color w:val="000000"/>
                <w:u w:val="single"/>
              </w:rPr>
            </w:pPr>
            <w:r>
              <w:rPr>
                <w:rFonts w:ascii="Times New Roman" w:hAnsi="Times New Roman" w:eastAsia="等线" w:cs="Times New Roman"/>
                <w:color w:val="000000"/>
                <w:u w:val="single"/>
              </w:rPr>
              <w:t>2222222.222</w:t>
            </w:r>
          </w:p>
        </w:tc>
      </w:tr>
    </w:tbl>
    <w:p>
      <w:pPr>
        <w:pStyle w:val="3"/>
        <w:ind w:firstLine="480"/>
        <w:rPr>
          <w:u w:val="single"/>
        </w:rPr>
      </w:pPr>
    </w:p>
    <w:p>
      <w:pPr>
        <w:pStyle w:val="3"/>
        <w:ind w:firstLine="480"/>
        <w:rPr>
          <w:rFonts w:cs="Times New Roman"/>
          <w:u w:val="single"/>
        </w:rPr>
      </w:pPr>
      <w:r>
        <w:rPr>
          <w:rFonts w:hint="eastAsia"/>
          <w:u w:val="single"/>
        </w:rPr>
        <w:t>通过本项目两个</w:t>
      </w:r>
      <w:r>
        <w:rPr>
          <w:u w:val="single"/>
        </w:rPr>
        <w:t>污染源，其中污染物等标</w:t>
      </w:r>
      <w:r>
        <w:rPr>
          <w:rFonts w:hint="eastAsia"/>
          <w:u w:val="single"/>
        </w:rPr>
        <w:t>量</w:t>
      </w:r>
      <w:r>
        <w:rPr>
          <w:u w:val="single"/>
        </w:rPr>
        <w:t>最大的为</w:t>
      </w:r>
      <w:r>
        <w:rPr>
          <w:rFonts w:hint="eastAsia"/>
          <w:u w:val="single"/>
        </w:rPr>
        <w:t>NO</w:t>
      </w:r>
      <w:r>
        <w:rPr>
          <w:u w:val="single"/>
        </w:rPr>
        <w:t>x</w:t>
      </w:r>
      <w:r>
        <w:rPr>
          <w:rFonts w:hint="eastAsia"/>
          <w:u w:val="single"/>
        </w:rPr>
        <w:t>，</w:t>
      </w:r>
      <w:r>
        <w:rPr>
          <w:u w:val="single"/>
        </w:rPr>
        <w:t>因此以生物质锅炉排放源</w:t>
      </w:r>
      <w:r>
        <w:rPr>
          <w:rFonts w:hint="eastAsia"/>
          <w:u w:val="single"/>
        </w:rPr>
        <w:t>的</w:t>
      </w:r>
      <w:r>
        <w:rPr>
          <w:u w:val="single"/>
        </w:rPr>
        <w:t>位置作为项目的污染源位置点</w:t>
      </w:r>
      <w:r>
        <w:rPr>
          <w:rFonts w:hint="eastAsia"/>
          <w:u w:val="single"/>
        </w:rPr>
        <w:t>。</w:t>
      </w:r>
    </w:p>
    <w:p>
      <w:pPr>
        <w:pStyle w:val="3"/>
        <w:ind w:firstLine="480"/>
        <w:rPr>
          <w:rFonts w:cs="Times New Roman"/>
          <w:u w:val="single"/>
        </w:rPr>
      </w:pPr>
      <w:r>
        <w:rPr>
          <w:rFonts w:cs="Times New Roman"/>
          <w:u w:val="single"/>
        </w:rPr>
        <w:t>根据现场踏勘结合建设单位提供的平面布置图</w:t>
      </w:r>
      <w:r>
        <w:rPr>
          <w:rFonts w:hint="eastAsia" w:cs="Times New Roman"/>
          <w:u w:val="single"/>
        </w:rPr>
        <w:t>及</w:t>
      </w:r>
      <w:r>
        <w:rPr>
          <w:rFonts w:cs="Times New Roman"/>
          <w:u w:val="single"/>
        </w:rPr>
        <w:t>考虑以生物质锅炉</w:t>
      </w:r>
      <w:r>
        <w:rPr>
          <w:rFonts w:hint="eastAsia" w:cs="Times New Roman"/>
          <w:u w:val="single"/>
        </w:rPr>
        <w:t>排气筒</w:t>
      </w:r>
      <w:r>
        <w:rPr>
          <w:rFonts w:cs="Times New Roman"/>
          <w:u w:val="single"/>
        </w:rPr>
        <w:t>为</w:t>
      </w:r>
      <w:r>
        <w:rPr>
          <w:rFonts w:hint="eastAsia" w:cs="Times New Roman"/>
          <w:u w:val="single"/>
        </w:rPr>
        <w:t>污染源的</w:t>
      </w:r>
      <w:r>
        <w:rPr>
          <w:rFonts w:cs="Times New Roman"/>
          <w:u w:val="single"/>
        </w:rPr>
        <w:t>情况下，</w:t>
      </w:r>
      <w:r>
        <w:rPr>
          <w:rFonts w:hint="eastAsia" w:cs="Times New Roman"/>
          <w:u w:val="single"/>
        </w:rPr>
        <w:t>100m卫生防护距离内有</w:t>
      </w:r>
      <w:r>
        <w:rPr>
          <w:rFonts w:cs="Times New Roman"/>
          <w:u w:val="single"/>
        </w:rPr>
        <w:t>5</w:t>
      </w:r>
      <w:r>
        <w:rPr>
          <w:rFonts w:hint="eastAsia" w:cs="Times New Roman"/>
          <w:u w:val="single"/>
        </w:rPr>
        <w:t>户居民，评价要求建设单位与卫生防护距离内的居民签订房屋租赁协议，可用作项目劳保用房</w:t>
      </w:r>
      <w:r>
        <w:rPr>
          <w:rFonts w:cs="Times New Roman"/>
          <w:u w:val="single"/>
        </w:rPr>
        <w:t>。</w:t>
      </w:r>
      <w:r>
        <w:rPr>
          <w:rFonts w:hint="eastAsia" w:cs="Times New Roman"/>
          <w:u w:val="single"/>
        </w:rPr>
        <w:t>待签订房租租赁协议后</w:t>
      </w:r>
      <w:r>
        <w:rPr>
          <w:rFonts w:cs="Times New Roman"/>
          <w:u w:val="single"/>
        </w:rPr>
        <w:t>，项目卫生防护距离100m范围内无居民居住</w:t>
      </w:r>
      <w:r>
        <w:rPr>
          <w:rFonts w:hint="eastAsia" w:cs="Times New Roman"/>
          <w:u w:val="single"/>
        </w:rPr>
        <w:t>；</w:t>
      </w:r>
      <w:r>
        <w:rPr>
          <w:rFonts w:cs="Times New Roman"/>
          <w:u w:val="single"/>
        </w:rPr>
        <w:t>。</w:t>
      </w:r>
    </w:p>
    <w:p>
      <w:pPr>
        <w:pStyle w:val="3"/>
        <w:ind w:firstLine="480"/>
        <w:rPr>
          <w:rFonts w:cs="Times New Roman"/>
          <w:u w:val="single"/>
        </w:rPr>
      </w:pPr>
      <w:r>
        <w:rPr>
          <w:rFonts w:cs="Times New Roman"/>
          <w:u w:val="single"/>
        </w:rPr>
        <w:t>同时，本环评要求：在项目卫生防护距离内，今后不宜开发为“城市和城镇居民区，包括文教科研区、医疗区、商业区、工业区、游览区等人口集中”等禁建设施，但如果政府在该区域有新的规划与开发，则本项目应服从整体规划要求。除此外，建设单位应加强对臭气的治理，减少臭气的产生。</w:t>
      </w:r>
    </w:p>
    <w:p>
      <w:pPr>
        <w:pStyle w:val="7"/>
        <w:rPr>
          <w:rFonts w:cs="Times New Roman"/>
        </w:rPr>
      </w:pPr>
      <w:r>
        <w:rPr>
          <w:rFonts w:cs="Times New Roman"/>
        </w:rPr>
        <w:t>污染物排放总量核算</w:t>
      </w:r>
    </w:p>
    <w:p>
      <w:pPr>
        <w:pStyle w:val="3"/>
        <w:ind w:firstLine="480"/>
        <w:rPr>
          <w:rFonts w:cs="Times New Roman"/>
        </w:rPr>
      </w:pPr>
      <w:r>
        <w:rPr>
          <w:rFonts w:cs="Times New Roman"/>
        </w:rPr>
        <w:t>（1）正常放核算</w:t>
      </w:r>
    </w:p>
    <w:p>
      <w:pPr>
        <w:pStyle w:val="15"/>
        <w:rPr>
          <w:rFonts w:cs="Times New Roman"/>
        </w:rPr>
      </w:pPr>
      <w:r>
        <w:rPr>
          <w:rFonts w:cs="Times New Roman"/>
        </w:rPr>
        <w:t>表5.2-8   大气污染物有组织排放核算表</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9"/>
        <w:gridCol w:w="1640"/>
        <w:gridCol w:w="2150"/>
        <w:gridCol w:w="1559"/>
        <w:gridCol w:w="1559"/>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03" w:type="pct"/>
            <w:shd w:val="clear" w:color="auto" w:fill="auto"/>
            <w:vAlign w:val="center"/>
          </w:tcPr>
          <w:p>
            <w:pPr>
              <w:pStyle w:val="39"/>
              <w:rPr>
                <w:rFonts w:cs="Times New Roman"/>
              </w:rPr>
            </w:pPr>
            <w:r>
              <w:rPr>
                <w:rFonts w:cs="Times New Roman"/>
              </w:rPr>
              <w:t>序号</w:t>
            </w:r>
          </w:p>
        </w:tc>
        <w:tc>
          <w:tcPr>
            <w:tcW w:w="894" w:type="pct"/>
            <w:shd w:val="clear" w:color="auto" w:fill="auto"/>
            <w:vAlign w:val="center"/>
          </w:tcPr>
          <w:p>
            <w:pPr>
              <w:pStyle w:val="39"/>
              <w:rPr>
                <w:rFonts w:cs="Times New Roman"/>
              </w:rPr>
            </w:pPr>
            <w:r>
              <w:rPr>
                <w:rFonts w:cs="Times New Roman"/>
              </w:rPr>
              <w:t>排放口编号</w:t>
            </w:r>
          </w:p>
        </w:tc>
        <w:tc>
          <w:tcPr>
            <w:tcW w:w="1172" w:type="pct"/>
            <w:shd w:val="clear" w:color="auto" w:fill="auto"/>
            <w:vAlign w:val="center"/>
          </w:tcPr>
          <w:p>
            <w:pPr>
              <w:pStyle w:val="39"/>
              <w:rPr>
                <w:rFonts w:cs="Times New Roman"/>
              </w:rPr>
            </w:pPr>
            <w:r>
              <w:rPr>
                <w:rFonts w:cs="Times New Roman"/>
              </w:rPr>
              <w:t>污染物</w:t>
            </w:r>
          </w:p>
        </w:tc>
        <w:tc>
          <w:tcPr>
            <w:tcW w:w="850" w:type="pct"/>
            <w:shd w:val="clear" w:color="auto" w:fill="auto"/>
            <w:vAlign w:val="center"/>
          </w:tcPr>
          <w:p>
            <w:pPr>
              <w:pStyle w:val="39"/>
              <w:rPr>
                <w:rFonts w:cs="Times New Roman"/>
              </w:rPr>
            </w:pPr>
            <w:r>
              <w:rPr>
                <w:rFonts w:cs="Times New Roman"/>
              </w:rPr>
              <w:t>核算排放浓度</w:t>
            </w:r>
          </w:p>
          <w:p>
            <w:pPr>
              <w:pStyle w:val="39"/>
              <w:rPr>
                <w:rFonts w:cs="Times New Roman"/>
              </w:rPr>
            </w:pPr>
            <w:r>
              <w:rPr>
                <w:rFonts w:cs="Times New Roman"/>
              </w:rPr>
              <w:t>（mg/m</w:t>
            </w:r>
            <w:r>
              <w:rPr>
                <w:rFonts w:cs="Times New Roman"/>
                <w:vertAlign w:val="superscript"/>
              </w:rPr>
              <w:t>3</w:t>
            </w:r>
            <w:r>
              <w:rPr>
                <w:rFonts w:cs="Times New Roman"/>
              </w:rPr>
              <w:t>）</w:t>
            </w:r>
          </w:p>
        </w:tc>
        <w:tc>
          <w:tcPr>
            <w:tcW w:w="850" w:type="pct"/>
            <w:vAlign w:val="center"/>
          </w:tcPr>
          <w:p>
            <w:pPr>
              <w:pStyle w:val="39"/>
              <w:rPr>
                <w:rFonts w:cs="Times New Roman"/>
              </w:rPr>
            </w:pPr>
            <w:r>
              <w:rPr>
                <w:rFonts w:cs="Times New Roman"/>
              </w:rPr>
              <w:t>核算排放速率</w:t>
            </w:r>
          </w:p>
          <w:p>
            <w:pPr>
              <w:pStyle w:val="39"/>
              <w:rPr>
                <w:rFonts w:cs="Times New Roman"/>
              </w:rPr>
            </w:pPr>
            <w:r>
              <w:rPr>
                <w:rFonts w:cs="Times New Roman"/>
              </w:rPr>
              <w:t>（kg/h）</w:t>
            </w:r>
          </w:p>
        </w:tc>
        <w:tc>
          <w:tcPr>
            <w:tcW w:w="831" w:type="pct"/>
            <w:shd w:val="clear" w:color="auto" w:fill="auto"/>
            <w:vAlign w:val="center"/>
          </w:tcPr>
          <w:p>
            <w:pPr>
              <w:pStyle w:val="39"/>
              <w:rPr>
                <w:rFonts w:cs="Times New Roman"/>
              </w:rPr>
            </w:pPr>
            <w:r>
              <w:rPr>
                <w:rFonts w:cs="Times New Roman"/>
              </w:rPr>
              <w:t>核算年排放量</w:t>
            </w:r>
          </w:p>
          <w:p>
            <w:pPr>
              <w:pStyle w:val="39"/>
              <w:rPr>
                <w:rFonts w:cs="Times New Roman"/>
              </w:rPr>
            </w:pPr>
            <w:r>
              <w:rPr>
                <w:rFonts w:cs="Times New Roman"/>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03" w:type="pct"/>
            <w:vMerge w:val="restart"/>
            <w:shd w:val="clear" w:color="auto" w:fill="auto"/>
            <w:vAlign w:val="center"/>
          </w:tcPr>
          <w:p>
            <w:pPr>
              <w:pStyle w:val="39"/>
              <w:rPr>
                <w:rFonts w:cs="Times New Roman"/>
              </w:rPr>
            </w:pPr>
            <w:r>
              <w:rPr>
                <w:rFonts w:cs="Times New Roman"/>
              </w:rPr>
              <w:t>1</w:t>
            </w:r>
          </w:p>
        </w:tc>
        <w:tc>
          <w:tcPr>
            <w:tcW w:w="894" w:type="pct"/>
            <w:vMerge w:val="restart"/>
            <w:shd w:val="clear" w:color="auto" w:fill="auto"/>
            <w:vAlign w:val="center"/>
          </w:tcPr>
          <w:p>
            <w:pPr>
              <w:pStyle w:val="39"/>
              <w:rPr>
                <w:rFonts w:cs="Times New Roman"/>
              </w:rPr>
            </w:pPr>
            <w:r>
              <w:rPr>
                <w:rFonts w:hint="eastAsia" w:cs="Times New Roman"/>
              </w:rPr>
              <w:t>锅炉燃烧废气</w:t>
            </w:r>
          </w:p>
        </w:tc>
        <w:tc>
          <w:tcPr>
            <w:tcW w:w="1172" w:type="pct"/>
            <w:shd w:val="clear" w:color="auto" w:fill="auto"/>
            <w:vAlign w:val="center"/>
          </w:tcPr>
          <w:p>
            <w:pPr>
              <w:pStyle w:val="39"/>
              <w:rPr>
                <w:rFonts w:cs="Times New Roman"/>
              </w:rPr>
            </w:pPr>
            <w:r>
              <w:rPr>
                <w:rFonts w:eastAsia="TimesNewRomanPSMT" w:cs="Times New Roman"/>
                <w:kern w:val="0"/>
              </w:rPr>
              <w:t>SO</w:t>
            </w:r>
            <w:r>
              <w:rPr>
                <w:rFonts w:eastAsia="TimesNewRomanPSMT" w:cs="Times New Roman"/>
                <w:kern w:val="0"/>
                <w:sz w:val="14"/>
                <w:szCs w:val="14"/>
              </w:rPr>
              <w:t>2</w:t>
            </w:r>
          </w:p>
        </w:tc>
        <w:tc>
          <w:tcPr>
            <w:tcW w:w="850" w:type="pct"/>
            <w:shd w:val="clear" w:color="auto" w:fill="auto"/>
            <w:vAlign w:val="center"/>
          </w:tcPr>
          <w:p>
            <w:pPr>
              <w:adjustRightInd/>
              <w:snapToGrid/>
              <w:jc w:val="center"/>
              <w:rPr>
                <w:rFonts w:ascii="Times New Roman" w:hAnsi="Times New Roman" w:eastAsia="等线" w:cs="Times New Roman"/>
                <w:color w:val="000000"/>
              </w:rPr>
            </w:pPr>
            <w:r>
              <w:rPr>
                <w:rFonts w:ascii="Times New Roman" w:hAnsi="Times New Roman" w:eastAsia="等线" w:cs="Times New Roman"/>
                <w:color w:val="000000"/>
              </w:rPr>
              <w:t xml:space="preserve">54.48 </w:t>
            </w:r>
          </w:p>
        </w:tc>
        <w:tc>
          <w:tcPr>
            <w:tcW w:w="850" w:type="pct"/>
            <w:vAlign w:val="center"/>
          </w:tcPr>
          <w:p>
            <w:pPr>
              <w:pStyle w:val="39"/>
              <w:rPr>
                <w:rFonts w:ascii="宋体" w:hAnsi="宋体" w:cs="宋体"/>
              </w:rPr>
            </w:pPr>
            <w:r>
              <w:rPr>
                <w:rFonts w:hint="eastAsia"/>
              </w:rPr>
              <w:t>0.</w:t>
            </w:r>
            <w:r>
              <w:t>102</w:t>
            </w:r>
          </w:p>
        </w:tc>
        <w:tc>
          <w:tcPr>
            <w:tcW w:w="831" w:type="pct"/>
            <w:shd w:val="clear" w:color="auto" w:fill="auto"/>
            <w:vAlign w:val="center"/>
          </w:tcPr>
          <w:p>
            <w:pPr>
              <w:pStyle w:val="39"/>
            </w:pPr>
            <w: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03" w:type="pct"/>
            <w:vMerge w:val="continue"/>
            <w:shd w:val="clear" w:color="auto" w:fill="auto"/>
            <w:vAlign w:val="center"/>
          </w:tcPr>
          <w:p>
            <w:pPr>
              <w:pStyle w:val="39"/>
              <w:rPr>
                <w:rFonts w:cs="Times New Roman"/>
              </w:rPr>
            </w:pPr>
          </w:p>
        </w:tc>
        <w:tc>
          <w:tcPr>
            <w:tcW w:w="894" w:type="pct"/>
            <w:vMerge w:val="continue"/>
            <w:shd w:val="clear" w:color="auto" w:fill="auto"/>
            <w:vAlign w:val="center"/>
          </w:tcPr>
          <w:p>
            <w:pPr>
              <w:pStyle w:val="39"/>
              <w:rPr>
                <w:rFonts w:cs="Times New Roman"/>
              </w:rPr>
            </w:pPr>
          </w:p>
        </w:tc>
        <w:tc>
          <w:tcPr>
            <w:tcW w:w="1172" w:type="pct"/>
            <w:shd w:val="clear" w:color="auto" w:fill="auto"/>
            <w:vAlign w:val="center"/>
          </w:tcPr>
          <w:p>
            <w:pPr>
              <w:pStyle w:val="39"/>
              <w:rPr>
                <w:rFonts w:cs="Times New Roman"/>
              </w:rPr>
            </w:pPr>
            <w:r>
              <w:rPr>
                <w:rFonts w:cs="Times New Roman"/>
              </w:rPr>
              <w:t>烟尘</w:t>
            </w:r>
          </w:p>
        </w:tc>
        <w:tc>
          <w:tcPr>
            <w:tcW w:w="850" w:type="pct"/>
            <w:shd w:val="clear" w:color="auto" w:fill="auto"/>
            <w:vAlign w:val="center"/>
          </w:tcPr>
          <w:p>
            <w:pPr>
              <w:jc w:val="center"/>
              <w:rPr>
                <w:rFonts w:ascii="Times New Roman" w:hAnsi="Times New Roman" w:eastAsia="等线" w:cs="Times New Roman"/>
                <w:color w:val="000000"/>
              </w:rPr>
            </w:pPr>
            <w:r>
              <w:rPr>
                <w:rFonts w:ascii="Times New Roman" w:hAnsi="Times New Roman" w:eastAsia="等线" w:cs="Times New Roman"/>
                <w:color w:val="000000"/>
              </w:rPr>
              <w:t xml:space="preserve">0.40 </w:t>
            </w:r>
          </w:p>
        </w:tc>
        <w:tc>
          <w:tcPr>
            <w:tcW w:w="850" w:type="pct"/>
            <w:vAlign w:val="center"/>
          </w:tcPr>
          <w:p>
            <w:pPr>
              <w:pStyle w:val="39"/>
              <w:rPr>
                <w:rFonts w:ascii="宋体" w:hAnsi="宋体" w:cs="宋体"/>
              </w:rPr>
            </w:pPr>
            <w:r>
              <w:rPr>
                <w:rFonts w:hint="eastAsia"/>
              </w:rPr>
              <w:t>0.</w:t>
            </w:r>
            <w:r>
              <w:t>00075</w:t>
            </w:r>
          </w:p>
        </w:tc>
        <w:tc>
          <w:tcPr>
            <w:tcW w:w="831" w:type="pct"/>
            <w:shd w:val="clear" w:color="auto" w:fill="auto"/>
            <w:vAlign w:val="center"/>
          </w:tcPr>
          <w:p>
            <w:pPr>
              <w:pStyle w:val="39"/>
            </w:pPr>
            <w:r>
              <w:t>0.00</w:t>
            </w: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03" w:type="pct"/>
            <w:vMerge w:val="continue"/>
            <w:shd w:val="clear" w:color="auto" w:fill="auto"/>
            <w:vAlign w:val="center"/>
          </w:tcPr>
          <w:p>
            <w:pPr>
              <w:pStyle w:val="39"/>
              <w:rPr>
                <w:rFonts w:cs="Times New Roman"/>
              </w:rPr>
            </w:pPr>
          </w:p>
        </w:tc>
        <w:tc>
          <w:tcPr>
            <w:tcW w:w="894" w:type="pct"/>
            <w:vMerge w:val="continue"/>
            <w:shd w:val="clear" w:color="auto" w:fill="auto"/>
            <w:vAlign w:val="center"/>
          </w:tcPr>
          <w:p>
            <w:pPr>
              <w:pStyle w:val="39"/>
              <w:rPr>
                <w:rFonts w:cs="Times New Roman"/>
              </w:rPr>
            </w:pPr>
          </w:p>
        </w:tc>
        <w:tc>
          <w:tcPr>
            <w:tcW w:w="1172" w:type="pct"/>
            <w:shd w:val="clear" w:color="auto" w:fill="auto"/>
            <w:vAlign w:val="center"/>
          </w:tcPr>
          <w:p>
            <w:pPr>
              <w:pStyle w:val="39"/>
              <w:rPr>
                <w:rFonts w:cs="Times New Roman"/>
              </w:rPr>
            </w:pPr>
            <w:r>
              <w:rPr>
                <w:rFonts w:eastAsia="TimesNewRomanPSMT" w:cs="Times New Roman"/>
                <w:kern w:val="0"/>
              </w:rPr>
              <w:t>NOx</w:t>
            </w:r>
          </w:p>
        </w:tc>
        <w:tc>
          <w:tcPr>
            <w:tcW w:w="850" w:type="pct"/>
            <w:shd w:val="clear" w:color="auto" w:fill="auto"/>
            <w:vAlign w:val="center"/>
          </w:tcPr>
          <w:p>
            <w:pPr>
              <w:pStyle w:val="39"/>
            </w:pPr>
            <w:r>
              <w:t>163.44</w:t>
            </w:r>
          </w:p>
        </w:tc>
        <w:tc>
          <w:tcPr>
            <w:tcW w:w="850" w:type="pct"/>
            <w:vAlign w:val="center"/>
          </w:tcPr>
          <w:p>
            <w:pPr>
              <w:pStyle w:val="39"/>
              <w:rPr>
                <w:rFonts w:ascii="宋体" w:hAnsi="宋体" w:cs="宋体"/>
              </w:rPr>
            </w:pPr>
            <w:r>
              <w:rPr>
                <w:rFonts w:hint="eastAsia"/>
              </w:rPr>
              <w:t>0.3</w:t>
            </w:r>
            <w:r>
              <w:t>06</w:t>
            </w:r>
            <w:r>
              <w:rPr>
                <w:rFonts w:hint="eastAsia"/>
              </w:rPr>
              <w:t xml:space="preserve"> </w:t>
            </w:r>
          </w:p>
        </w:tc>
        <w:tc>
          <w:tcPr>
            <w:tcW w:w="831" w:type="pct"/>
            <w:shd w:val="clear" w:color="auto" w:fill="auto"/>
            <w:vAlign w:val="center"/>
          </w:tcPr>
          <w:p>
            <w:pPr>
              <w:pStyle w:val="39"/>
            </w:pPr>
            <w:r>
              <w:t>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97" w:type="pct"/>
            <w:gridSpan w:val="2"/>
            <w:vMerge w:val="restart"/>
            <w:shd w:val="clear" w:color="auto" w:fill="auto"/>
            <w:vAlign w:val="center"/>
          </w:tcPr>
          <w:p>
            <w:pPr>
              <w:pStyle w:val="39"/>
              <w:rPr>
                <w:rFonts w:cs="Times New Roman"/>
              </w:rPr>
            </w:pPr>
            <w:r>
              <w:rPr>
                <w:rFonts w:cs="Times New Roman"/>
              </w:rPr>
              <w:t>有组织排放总计</w:t>
            </w:r>
          </w:p>
        </w:tc>
        <w:tc>
          <w:tcPr>
            <w:tcW w:w="1172" w:type="pct"/>
            <w:shd w:val="clear" w:color="auto" w:fill="auto"/>
            <w:vAlign w:val="center"/>
          </w:tcPr>
          <w:p>
            <w:pPr>
              <w:pStyle w:val="39"/>
              <w:rPr>
                <w:rFonts w:cs="Times New Roman"/>
              </w:rPr>
            </w:pPr>
            <w:r>
              <w:rPr>
                <w:rFonts w:eastAsia="TimesNewRomanPSMT" w:cs="Times New Roman"/>
                <w:kern w:val="0"/>
              </w:rPr>
              <w:t>SO</w:t>
            </w:r>
            <w:r>
              <w:rPr>
                <w:rFonts w:eastAsia="TimesNewRomanPSMT" w:cs="Times New Roman"/>
                <w:kern w:val="0"/>
                <w:sz w:val="14"/>
                <w:szCs w:val="14"/>
              </w:rPr>
              <w:t>2</w:t>
            </w:r>
          </w:p>
        </w:tc>
        <w:tc>
          <w:tcPr>
            <w:tcW w:w="850" w:type="pct"/>
            <w:shd w:val="clear" w:color="auto" w:fill="auto"/>
            <w:vAlign w:val="center"/>
          </w:tcPr>
          <w:p>
            <w:pPr>
              <w:adjustRightInd/>
              <w:snapToGrid/>
              <w:jc w:val="center"/>
              <w:rPr>
                <w:rFonts w:ascii="Times New Roman" w:hAnsi="Times New Roman" w:eastAsia="等线" w:cs="Times New Roman"/>
                <w:color w:val="000000"/>
              </w:rPr>
            </w:pPr>
            <w:r>
              <w:rPr>
                <w:rFonts w:ascii="Times New Roman" w:hAnsi="Times New Roman" w:eastAsia="等线" w:cs="Times New Roman"/>
                <w:color w:val="000000"/>
              </w:rPr>
              <w:t xml:space="preserve">54.48 </w:t>
            </w:r>
          </w:p>
        </w:tc>
        <w:tc>
          <w:tcPr>
            <w:tcW w:w="850" w:type="pct"/>
            <w:vAlign w:val="center"/>
          </w:tcPr>
          <w:p>
            <w:pPr>
              <w:pStyle w:val="39"/>
              <w:rPr>
                <w:rFonts w:ascii="宋体" w:hAnsi="宋体" w:cs="宋体"/>
              </w:rPr>
            </w:pPr>
            <w:r>
              <w:rPr>
                <w:rFonts w:hint="eastAsia"/>
              </w:rPr>
              <w:t>0.</w:t>
            </w:r>
            <w:r>
              <w:t>102</w:t>
            </w:r>
          </w:p>
        </w:tc>
        <w:tc>
          <w:tcPr>
            <w:tcW w:w="831" w:type="pct"/>
            <w:shd w:val="clear" w:color="auto" w:fill="auto"/>
            <w:vAlign w:val="center"/>
          </w:tcPr>
          <w:p>
            <w:pPr>
              <w:pStyle w:val="39"/>
            </w:pPr>
            <w: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97" w:type="pct"/>
            <w:gridSpan w:val="2"/>
            <w:vMerge w:val="continue"/>
            <w:shd w:val="clear" w:color="auto" w:fill="auto"/>
            <w:vAlign w:val="center"/>
          </w:tcPr>
          <w:p>
            <w:pPr>
              <w:pStyle w:val="39"/>
              <w:rPr>
                <w:rFonts w:cs="Times New Roman"/>
              </w:rPr>
            </w:pPr>
          </w:p>
        </w:tc>
        <w:tc>
          <w:tcPr>
            <w:tcW w:w="1172" w:type="pct"/>
            <w:shd w:val="clear" w:color="auto" w:fill="auto"/>
            <w:vAlign w:val="center"/>
          </w:tcPr>
          <w:p>
            <w:pPr>
              <w:pStyle w:val="39"/>
              <w:rPr>
                <w:rFonts w:cs="Times New Roman"/>
              </w:rPr>
            </w:pPr>
            <w:r>
              <w:rPr>
                <w:rFonts w:cs="Times New Roman"/>
              </w:rPr>
              <w:t>烟尘</w:t>
            </w:r>
          </w:p>
        </w:tc>
        <w:tc>
          <w:tcPr>
            <w:tcW w:w="850" w:type="pct"/>
            <w:shd w:val="clear" w:color="auto" w:fill="auto"/>
            <w:vAlign w:val="center"/>
          </w:tcPr>
          <w:p>
            <w:pPr>
              <w:jc w:val="center"/>
              <w:rPr>
                <w:rFonts w:ascii="Times New Roman" w:hAnsi="Times New Roman" w:eastAsia="等线" w:cs="Times New Roman"/>
                <w:color w:val="000000"/>
              </w:rPr>
            </w:pPr>
            <w:r>
              <w:rPr>
                <w:rFonts w:ascii="Times New Roman" w:hAnsi="Times New Roman" w:eastAsia="等线" w:cs="Times New Roman"/>
                <w:color w:val="000000"/>
              </w:rPr>
              <w:t xml:space="preserve">0.40 </w:t>
            </w:r>
          </w:p>
        </w:tc>
        <w:tc>
          <w:tcPr>
            <w:tcW w:w="850" w:type="pct"/>
            <w:vAlign w:val="center"/>
          </w:tcPr>
          <w:p>
            <w:pPr>
              <w:pStyle w:val="39"/>
              <w:rPr>
                <w:rFonts w:ascii="宋体" w:hAnsi="宋体" w:cs="宋体"/>
              </w:rPr>
            </w:pPr>
            <w:r>
              <w:rPr>
                <w:rFonts w:hint="eastAsia"/>
              </w:rPr>
              <w:t>0.</w:t>
            </w:r>
            <w:r>
              <w:t>00075</w:t>
            </w:r>
          </w:p>
        </w:tc>
        <w:tc>
          <w:tcPr>
            <w:tcW w:w="831" w:type="pct"/>
            <w:shd w:val="clear" w:color="auto" w:fill="auto"/>
            <w:vAlign w:val="center"/>
          </w:tcPr>
          <w:p>
            <w:pPr>
              <w:pStyle w:val="39"/>
            </w:pPr>
            <w:r>
              <w:t>0.00</w:t>
            </w: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97" w:type="pct"/>
            <w:gridSpan w:val="2"/>
            <w:vMerge w:val="continue"/>
            <w:shd w:val="clear" w:color="auto" w:fill="auto"/>
            <w:vAlign w:val="center"/>
          </w:tcPr>
          <w:p>
            <w:pPr>
              <w:pStyle w:val="39"/>
              <w:rPr>
                <w:rFonts w:cs="Times New Roman"/>
              </w:rPr>
            </w:pPr>
          </w:p>
        </w:tc>
        <w:tc>
          <w:tcPr>
            <w:tcW w:w="1172" w:type="pct"/>
            <w:shd w:val="clear" w:color="auto" w:fill="auto"/>
            <w:vAlign w:val="center"/>
          </w:tcPr>
          <w:p>
            <w:pPr>
              <w:pStyle w:val="39"/>
              <w:rPr>
                <w:rFonts w:cs="Times New Roman"/>
              </w:rPr>
            </w:pPr>
            <w:r>
              <w:rPr>
                <w:rFonts w:eastAsia="TimesNewRomanPSMT" w:cs="Times New Roman"/>
                <w:kern w:val="0"/>
              </w:rPr>
              <w:t>NOx</w:t>
            </w:r>
          </w:p>
        </w:tc>
        <w:tc>
          <w:tcPr>
            <w:tcW w:w="850" w:type="pct"/>
            <w:shd w:val="clear" w:color="auto" w:fill="auto"/>
            <w:vAlign w:val="center"/>
          </w:tcPr>
          <w:p>
            <w:pPr>
              <w:pStyle w:val="39"/>
            </w:pPr>
            <w:r>
              <w:t>163.44</w:t>
            </w:r>
          </w:p>
        </w:tc>
        <w:tc>
          <w:tcPr>
            <w:tcW w:w="850" w:type="pct"/>
            <w:vAlign w:val="center"/>
          </w:tcPr>
          <w:p>
            <w:pPr>
              <w:pStyle w:val="39"/>
              <w:rPr>
                <w:rFonts w:ascii="宋体" w:hAnsi="宋体" w:cs="宋体"/>
              </w:rPr>
            </w:pPr>
            <w:r>
              <w:rPr>
                <w:rFonts w:hint="eastAsia"/>
              </w:rPr>
              <w:t>0.3</w:t>
            </w:r>
            <w:r>
              <w:t>06</w:t>
            </w:r>
            <w:r>
              <w:rPr>
                <w:rFonts w:hint="eastAsia"/>
              </w:rPr>
              <w:t xml:space="preserve"> </w:t>
            </w:r>
          </w:p>
        </w:tc>
        <w:tc>
          <w:tcPr>
            <w:tcW w:w="831" w:type="pct"/>
            <w:shd w:val="clear" w:color="auto" w:fill="auto"/>
            <w:vAlign w:val="center"/>
          </w:tcPr>
          <w:p>
            <w:pPr>
              <w:pStyle w:val="39"/>
            </w:pPr>
            <w:r>
              <w:t>0.66</w:t>
            </w:r>
          </w:p>
        </w:tc>
      </w:tr>
    </w:tbl>
    <w:p>
      <w:pPr>
        <w:pStyle w:val="3"/>
        <w:ind w:firstLine="480"/>
        <w:rPr>
          <w:rFonts w:cs="Times New Roman"/>
        </w:rPr>
      </w:pPr>
    </w:p>
    <w:p>
      <w:pPr>
        <w:pStyle w:val="15"/>
        <w:rPr>
          <w:rFonts w:cs="Times New Roman"/>
        </w:rPr>
      </w:pPr>
      <w:r>
        <w:rPr>
          <w:rFonts w:cs="Times New Roman"/>
        </w:rPr>
        <w:t>表5.2-9   大气污染物无组织排放核算表</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2"/>
        <w:gridCol w:w="994"/>
        <w:gridCol w:w="992"/>
        <w:gridCol w:w="700"/>
        <w:gridCol w:w="1130"/>
        <w:gridCol w:w="2404"/>
        <w:gridCol w:w="1440"/>
        <w:gridCol w:w="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32" w:type="dxa"/>
            <w:vMerge w:val="restart"/>
            <w:shd w:val="clear" w:color="auto" w:fill="auto"/>
            <w:vAlign w:val="center"/>
          </w:tcPr>
          <w:p>
            <w:pPr>
              <w:pStyle w:val="39"/>
              <w:rPr>
                <w:rFonts w:cs="Times New Roman"/>
                <w:sz w:val="18"/>
                <w:szCs w:val="18"/>
              </w:rPr>
            </w:pPr>
            <w:r>
              <w:rPr>
                <w:rFonts w:cs="Times New Roman"/>
                <w:sz w:val="18"/>
                <w:szCs w:val="18"/>
              </w:rPr>
              <w:t>序号</w:t>
            </w:r>
          </w:p>
        </w:tc>
        <w:tc>
          <w:tcPr>
            <w:tcW w:w="994" w:type="dxa"/>
            <w:vMerge w:val="restart"/>
            <w:shd w:val="clear" w:color="auto" w:fill="auto"/>
            <w:vAlign w:val="center"/>
          </w:tcPr>
          <w:p>
            <w:pPr>
              <w:pStyle w:val="39"/>
              <w:rPr>
                <w:rFonts w:cs="Times New Roman"/>
                <w:sz w:val="18"/>
                <w:szCs w:val="18"/>
              </w:rPr>
            </w:pPr>
            <w:r>
              <w:rPr>
                <w:rFonts w:cs="Times New Roman"/>
                <w:sz w:val="18"/>
                <w:szCs w:val="18"/>
              </w:rPr>
              <w:t>排放口编号</w:t>
            </w:r>
          </w:p>
        </w:tc>
        <w:tc>
          <w:tcPr>
            <w:tcW w:w="992" w:type="dxa"/>
            <w:vMerge w:val="restart"/>
            <w:shd w:val="clear" w:color="auto" w:fill="auto"/>
            <w:vAlign w:val="center"/>
          </w:tcPr>
          <w:p>
            <w:pPr>
              <w:pStyle w:val="39"/>
              <w:rPr>
                <w:rFonts w:cs="Times New Roman"/>
                <w:sz w:val="18"/>
                <w:szCs w:val="18"/>
              </w:rPr>
            </w:pPr>
            <w:r>
              <w:rPr>
                <w:rFonts w:cs="Times New Roman"/>
                <w:sz w:val="18"/>
                <w:szCs w:val="18"/>
              </w:rPr>
              <w:t>产物环节</w:t>
            </w:r>
          </w:p>
        </w:tc>
        <w:tc>
          <w:tcPr>
            <w:tcW w:w="700" w:type="dxa"/>
            <w:vMerge w:val="restart"/>
            <w:shd w:val="clear" w:color="auto" w:fill="auto"/>
            <w:vAlign w:val="center"/>
          </w:tcPr>
          <w:p>
            <w:pPr>
              <w:pStyle w:val="39"/>
              <w:rPr>
                <w:rFonts w:cs="Times New Roman"/>
                <w:sz w:val="18"/>
                <w:szCs w:val="18"/>
              </w:rPr>
            </w:pPr>
            <w:r>
              <w:rPr>
                <w:rFonts w:cs="Times New Roman"/>
                <w:sz w:val="18"/>
                <w:szCs w:val="18"/>
              </w:rPr>
              <w:t>污染物</w:t>
            </w:r>
          </w:p>
        </w:tc>
        <w:tc>
          <w:tcPr>
            <w:tcW w:w="1130" w:type="dxa"/>
            <w:vMerge w:val="restart"/>
            <w:shd w:val="clear" w:color="auto" w:fill="auto"/>
            <w:vAlign w:val="center"/>
          </w:tcPr>
          <w:p>
            <w:pPr>
              <w:pStyle w:val="39"/>
              <w:rPr>
                <w:rFonts w:cs="Times New Roman"/>
                <w:sz w:val="18"/>
                <w:szCs w:val="18"/>
              </w:rPr>
            </w:pPr>
            <w:r>
              <w:rPr>
                <w:rFonts w:cs="Times New Roman"/>
                <w:sz w:val="18"/>
                <w:szCs w:val="18"/>
              </w:rPr>
              <w:t>主要污染防治措施</w:t>
            </w:r>
          </w:p>
        </w:tc>
        <w:tc>
          <w:tcPr>
            <w:tcW w:w="3844" w:type="dxa"/>
            <w:gridSpan w:val="2"/>
            <w:shd w:val="clear" w:color="auto" w:fill="auto"/>
            <w:vAlign w:val="center"/>
          </w:tcPr>
          <w:p>
            <w:pPr>
              <w:pStyle w:val="39"/>
              <w:rPr>
                <w:rFonts w:cs="Times New Roman"/>
                <w:sz w:val="18"/>
                <w:szCs w:val="18"/>
              </w:rPr>
            </w:pPr>
            <w:r>
              <w:rPr>
                <w:rFonts w:cs="Times New Roman"/>
                <w:sz w:val="18"/>
                <w:szCs w:val="18"/>
              </w:rPr>
              <w:t>国家或地方污染物排放标准</w:t>
            </w:r>
          </w:p>
        </w:tc>
        <w:tc>
          <w:tcPr>
            <w:tcW w:w="981" w:type="dxa"/>
            <w:vMerge w:val="restart"/>
            <w:shd w:val="clear" w:color="auto" w:fill="auto"/>
            <w:vAlign w:val="center"/>
          </w:tcPr>
          <w:p>
            <w:pPr>
              <w:pStyle w:val="39"/>
              <w:rPr>
                <w:rFonts w:cs="Times New Roman"/>
                <w:sz w:val="18"/>
                <w:szCs w:val="18"/>
              </w:rPr>
            </w:pPr>
            <w:r>
              <w:rPr>
                <w:rFonts w:cs="Times New Roman"/>
                <w:sz w:val="18"/>
                <w:szCs w:val="18"/>
              </w:rPr>
              <w:t>核算年排放量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32" w:type="dxa"/>
            <w:vMerge w:val="continue"/>
            <w:shd w:val="clear" w:color="auto" w:fill="auto"/>
            <w:vAlign w:val="center"/>
          </w:tcPr>
          <w:p>
            <w:pPr>
              <w:pStyle w:val="39"/>
              <w:rPr>
                <w:rFonts w:cs="Times New Roman"/>
                <w:sz w:val="18"/>
                <w:szCs w:val="18"/>
              </w:rPr>
            </w:pPr>
          </w:p>
        </w:tc>
        <w:tc>
          <w:tcPr>
            <w:tcW w:w="994" w:type="dxa"/>
            <w:vMerge w:val="continue"/>
            <w:shd w:val="clear" w:color="auto" w:fill="auto"/>
            <w:vAlign w:val="center"/>
          </w:tcPr>
          <w:p>
            <w:pPr>
              <w:pStyle w:val="39"/>
              <w:rPr>
                <w:rFonts w:cs="Times New Roman"/>
                <w:sz w:val="18"/>
                <w:szCs w:val="18"/>
              </w:rPr>
            </w:pPr>
          </w:p>
        </w:tc>
        <w:tc>
          <w:tcPr>
            <w:tcW w:w="992" w:type="dxa"/>
            <w:vMerge w:val="continue"/>
            <w:shd w:val="clear" w:color="auto" w:fill="auto"/>
            <w:vAlign w:val="center"/>
          </w:tcPr>
          <w:p>
            <w:pPr>
              <w:pStyle w:val="39"/>
              <w:rPr>
                <w:rFonts w:cs="Times New Roman"/>
                <w:sz w:val="18"/>
                <w:szCs w:val="18"/>
              </w:rPr>
            </w:pPr>
          </w:p>
        </w:tc>
        <w:tc>
          <w:tcPr>
            <w:tcW w:w="700" w:type="dxa"/>
            <w:vMerge w:val="continue"/>
            <w:shd w:val="clear" w:color="auto" w:fill="auto"/>
            <w:vAlign w:val="center"/>
          </w:tcPr>
          <w:p>
            <w:pPr>
              <w:pStyle w:val="39"/>
              <w:rPr>
                <w:rFonts w:cs="Times New Roman"/>
                <w:sz w:val="18"/>
                <w:szCs w:val="18"/>
              </w:rPr>
            </w:pPr>
          </w:p>
        </w:tc>
        <w:tc>
          <w:tcPr>
            <w:tcW w:w="1130" w:type="dxa"/>
            <w:vMerge w:val="continue"/>
            <w:shd w:val="clear" w:color="auto" w:fill="auto"/>
            <w:vAlign w:val="center"/>
          </w:tcPr>
          <w:p>
            <w:pPr>
              <w:pStyle w:val="39"/>
              <w:rPr>
                <w:rFonts w:cs="Times New Roman"/>
                <w:sz w:val="18"/>
                <w:szCs w:val="18"/>
              </w:rPr>
            </w:pPr>
          </w:p>
        </w:tc>
        <w:tc>
          <w:tcPr>
            <w:tcW w:w="2404" w:type="dxa"/>
            <w:shd w:val="clear" w:color="auto" w:fill="auto"/>
            <w:vAlign w:val="center"/>
          </w:tcPr>
          <w:p>
            <w:pPr>
              <w:pStyle w:val="39"/>
              <w:rPr>
                <w:rFonts w:cs="Times New Roman"/>
                <w:sz w:val="18"/>
                <w:szCs w:val="18"/>
              </w:rPr>
            </w:pPr>
            <w:r>
              <w:rPr>
                <w:rFonts w:cs="Times New Roman"/>
                <w:sz w:val="18"/>
                <w:szCs w:val="18"/>
              </w:rPr>
              <w:t>标准名称</w:t>
            </w:r>
          </w:p>
        </w:tc>
        <w:tc>
          <w:tcPr>
            <w:tcW w:w="1440" w:type="dxa"/>
            <w:shd w:val="clear" w:color="auto" w:fill="auto"/>
            <w:vAlign w:val="center"/>
          </w:tcPr>
          <w:p>
            <w:pPr>
              <w:pStyle w:val="39"/>
              <w:rPr>
                <w:rFonts w:cs="Times New Roman"/>
                <w:sz w:val="18"/>
                <w:szCs w:val="18"/>
              </w:rPr>
            </w:pPr>
            <w:r>
              <w:rPr>
                <w:rFonts w:cs="Times New Roman"/>
                <w:sz w:val="18"/>
                <w:szCs w:val="18"/>
              </w:rPr>
              <w:t>浓度限值</w:t>
            </w:r>
          </w:p>
        </w:tc>
        <w:tc>
          <w:tcPr>
            <w:tcW w:w="981" w:type="dxa"/>
            <w:vMerge w:val="continue"/>
            <w:shd w:val="clear" w:color="auto" w:fill="auto"/>
            <w:vAlign w:val="center"/>
          </w:tcPr>
          <w:p>
            <w:pPr>
              <w:pStyle w:val="39"/>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32" w:type="dxa"/>
            <w:vMerge w:val="restart"/>
            <w:shd w:val="clear" w:color="auto" w:fill="auto"/>
            <w:vAlign w:val="center"/>
          </w:tcPr>
          <w:p>
            <w:pPr>
              <w:pStyle w:val="39"/>
              <w:rPr>
                <w:rFonts w:cs="Times New Roman"/>
                <w:sz w:val="18"/>
                <w:szCs w:val="18"/>
              </w:rPr>
            </w:pPr>
            <w:r>
              <w:rPr>
                <w:rFonts w:cs="Times New Roman"/>
                <w:sz w:val="18"/>
                <w:szCs w:val="18"/>
              </w:rPr>
              <w:t>1</w:t>
            </w:r>
          </w:p>
        </w:tc>
        <w:tc>
          <w:tcPr>
            <w:tcW w:w="994" w:type="dxa"/>
            <w:vMerge w:val="restart"/>
            <w:shd w:val="clear" w:color="auto" w:fill="auto"/>
            <w:vAlign w:val="center"/>
          </w:tcPr>
          <w:p>
            <w:pPr>
              <w:pStyle w:val="39"/>
              <w:rPr>
                <w:rFonts w:cs="Times New Roman"/>
                <w:sz w:val="18"/>
                <w:szCs w:val="18"/>
              </w:rPr>
            </w:pPr>
            <w:r>
              <w:rPr>
                <w:rFonts w:cs="Times New Roman"/>
                <w:sz w:val="18"/>
                <w:szCs w:val="18"/>
              </w:rPr>
              <w:t>鸡舍及鸡粪混合区</w:t>
            </w:r>
          </w:p>
        </w:tc>
        <w:tc>
          <w:tcPr>
            <w:tcW w:w="992" w:type="dxa"/>
            <w:vMerge w:val="restart"/>
            <w:shd w:val="clear" w:color="auto" w:fill="auto"/>
            <w:vAlign w:val="center"/>
          </w:tcPr>
          <w:p>
            <w:pPr>
              <w:pStyle w:val="39"/>
              <w:rPr>
                <w:rFonts w:cs="Times New Roman"/>
                <w:sz w:val="18"/>
                <w:szCs w:val="18"/>
              </w:rPr>
            </w:pPr>
            <w:r>
              <w:rPr>
                <w:rFonts w:cs="Times New Roman"/>
                <w:sz w:val="18"/>
                <w:szCs w:val="18"/>
              </w:rPr>
              <w:t>蛋鸡养殖及鸡粪处理</w:t>
            </w:r>
          </w:p>
        </w:tc>
        <w:tc>
          <w:tcPr>
            <w:tcW w:w="700" w:type="dxa"/>
            <w:shd w:val="clear" w:color="auto" w:fill="auto"/>
            <w:vAlign w:val="center"/>
          </w:tcPr>
          <w:p>
            <w:pPr>
              <w:pStyle w:val="39"/>
              <w:rPr>
                <w:rFonts w:cs="Times New Roman"/>
                <w:sz w:val="18"/>
                <w:szCs w:val="18"/>
              </w:rPr>
            </w:pPr>
            <w:r>
              <w:rPr>
                <w:rFonts w:cs="Times New Roman"/>
                <w:sz w:val="18"/>
                <w:szCs w:val="18"/>
              </w:rPr>
              <w:t>NH</w:t>
            </w:r>
            <w:r>
              <w:rPr>
                <w:rFonts w:cs="Times New Roman"/>
                <w:sz w:val="18"/>
                <w:szCs w:val="18"/>
                <w:vertAlign w:val="subscript"/>
              </w:rPr>
              <w:t>3</w:t>
            </w:r>
          </w:p>
        </w:tc>
        <w:tc>
          <w:tcPr>
            <w:tcW w:w="1130" w:type="dxa"/>
            <w:vMerge w:val="restart"/>
            <w:shd w:val="clear" w:color="auto" w:fill="auto"/>
            <w:vAlign w:val="center"/>
          </w:tcPr>
          <w:p>
            <w:pPr>
              <w:pStyle w:val="39"/>
              <w:rPr>
                <w:rFonts w:cs="Times New Roman"/>
                <w:sz w:val="18"/>
                <w:szCs w:val="18"/>
              </w:rPr>
            </w:pPr>
            <w:r>
              <w:rPr>
                <w:rFonts w:cs="Times New Roman"/>
                <w:sz w:val="18"/>
                <w:szCs w:val="18"/>
              </w:rPr>
              <w:t>喷洒除臭剂，加强鸡舍通排风</w:t>
            </w:r>
          </w:p>
        </w:tc>
        <w:tc>
          <w:tcPr>
            <w:tcW w:w="2404" w:type="dxa"/>
            <w:vMerge w:val="restart"/>
            <w:shd w:val="clear" w:color="auto" w:fill="auto"/>
            <w:vAlign w:val="center"/>
          </w:tcPr>
          <w:p>
            <w:pPr>
              <w:pStyle w:val="39"/>
              <w:rPr>
                <w:rFonts w:cs="Times New Roman"/>
                <w:sz w:val="18"/>
                <w:szCs w:val="18"/>
              </w:rPr>
            </w:pPr>
            <w:r>
              <w:rPr>
                <w:rFonts w:cs="Times New Roman"/>
                <w:sz w:val="18"/>
                <w:szCs w:val="18"/>
              </w:rPr>
              <w:t>《恶臭污染物排放标准》（GB14554-93）中无组织排放厂界标准值二级新建要求</w:t>
            </w:r>
          </w:p>
        </w:tc>
        <w:tc>
          <w:tcPr>
            <w:tcW w:w="1440" w:type="dxa"/>
            <w:shd w:val="clear" w:color="auto" w:fill="auto"/>
            <w:vAlign w:val="center"/>
          </w:tcPr>
          <w:p>
            <w:pPr>
              <w:pStyle w:val="39"/>
              <w:rPr>
                <w:rFonts w:cs="Times New Roman"/>
                <w:sz w:val="18"/>
                <w:szCs w:val="18"/>
              </w:rPr>
            </w:pPr>
            <w:r>
              <w:rPr>
                <w:rFonts w:cs="Times New Roman"/>
                <w:sz w:val="18"/>
                <w:szCs w:val="18"/>
              </w:rPr>
              <w:t>1.5mg/m</w:t>
            </w:r>
            <w:r>
              <w:rPr>
                <w:rFonts w:cs="Times New Roman"/>
                <w:sz w:val="18"/>
                <w:szCs w:val="18"/>
                <w:vertAlign w:val="superscript"/>
              </w:rPr>
              <w:t>3</w:t>
            </w:r>
          </w:p>
        </w:tc>
        <w:tc>
          <w:tcPr>
            <w:tcW w:w="981" w:type="dxa"/>
            <w:shd w:val="clear" w:color="auto" w:fill="auto"/>
            <w:vAlign w:val="center"/>
          </w:tcPr>
          <w:p>
            <w:pPr>
              <w:pStyle w:val="39"/>
              <w:rPr>
                <w:rFonts w:cs="Times New Roman"/>
                <w:sz w:val="18"/>
                <w:szCs w:val="18"/>
              </w:rPr>
            </w:pPr>
            <w:r>
              <w:rPr>
                <w:rFonts w:cs="Times New Roman"/>
                <w:sz w:val="18"/>
                <w:szCs w:val="18"/>
              </w:rPr>
              <w:t>0.475t/a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32" w:type="dxa"/>
            <w:vMerge w:val="continue"/>
            <w:shd w:val="clear" w:color="auto" w:fill="auto"/>
            <w:vAlign w:val="center"/>
          </w:tcPr>
          <w:p>
            <w:pPr>
              <w:pStyle w:val="39"/>
              <w:rPr>
                <w:rFonts w:cs="Times New Roman"/>
                <w:sz w:val="18"/>
                <w:szCs w:val="18"/>
              </w:rPr>
            </w:pPr>
          </w:p>
        </w:tc>
        <w:tc>
          <w:tcPr>
            <w:tcW w:w="994" w:type="dxa"/>
            <w:vMerge w:val="continue"/>
            <w:shd w:val="clear" w:color="auto" w:fill="auto"/>
            <w:vAlign w:val="center"/>
          </w:tcPr>
          <w:p>
            <w:pPr>
              <w:pStyle w:val="39"/>
              <w:rPr>
                <w:rFonts w:cs="Times New Roman"/>
                <w:sz w:val="18"/>
                <w:szCs w:val="18"/>
              </w:rPr>
            </w:pPr>
          </w:p>
        </w:tc>
        <w:tc>
          <w:tcPr>
            <w:tcW w:w="992" w:type="dxa"/>
            <w:vMerge w:val="continue"/>
            <w:shd w:val="clear" w:color="auto" w:fill="auto"/>
            <w:vAlign w:val="center"/>
          </w:tcPr>
          <w:p>
            <w:pPr>
              <w:pStyle w:val="39"/>
              <w:rPr>
                <w:rFonts w:cs="Times New Roman"/>
                <w:sz w:val="18"/>
                <w:szCs w:val="18"/>
              </w:rPr>
            </w:pPr>
          </w:p>
        </w:tc>
        <w:tc>
          <w:tcPr>
            <w:tcW w:w="700" w:type="dxa"/>
            <w:shd w:val="clear" w:color="auto" w:fill="auto"/>
            <w:vAlign w:val="center"/>
          </w:tcPr>
          <w:p>
            <w:pPr>
              <w:pStyle w:val="39"/>
              <w:rPr>
                <w:rFonts w:cs="Times New Roman"/>
                <w:sz w:val="18"/>
                <w:szCs w:val="18"/>
              </w:rPr>
            </w:pPr>
            <w:r>
              <w:rPr>
                <w:rFonts w:cs="Times New Roman"/>
                <w:sz w:val="18"/>
                <w:szCs w:val="18"/>
              </w:rPr>
              <w:t>H</w:t>
            </w:r>
            <w:r>
              <w:rPr>
                <w:rFonts w:cs="Times New Roman"/>
                <w:sz w:val="18"/>
                <w:szCs w:val="18"/>
                <w:vertAlign w:val="subscript"/>
              </w:rPr>
              <w:t>2</w:t>
            </w:r>
            <w:r>
              <w:rPr>
                <w:rFonts w:cs="Times New Roman"/>
                <w:sz w:val="18"/>
                <w:szCs w:val="18"/>
              </w:rPr>
              <w:t>S</w:t>
            </w:r>
          </w:p>
        </w:tc>
        <w:tc>
          <w:tcPr>
            <w:tcW w:w="1130" w:type="dxa"/>
            <w:vMerge w:val="continue"/>
            <w:shd w:val="clear" w:color="auto" w:fill="auto"/>
            <w:vAlign w:val="center"/>
          </w:tcPr>
          <w:p>
            <w:pPr>
              <w:pStyle w:val="39"/>
              <w:rPr>
                <w:rFonts w:cs="Times New Roman"/>
                <w:sz w:val="18"/>
                <w:szCs w:val="18"/>
              </w:rPr>
            </w:pPr>
          </w:p>
        </w:tc>
        <w:tc>
          <w:tcPr>
            <w:tcW w:w="2404" w:type="dxa"/>
            <w:vMerge w:val="continue"/>
            <w:shd w:val="clear" w:color="auto" w:fill="auto"/>
            <w:vAlign w:val="center"/>
          </w:tcPr>
          <w:p>
            <w:pPr>
              <w:pStyle w:val="39"/>
              <w:rPr>
                <w:rFonts w:cs="Times New Roman"/>
                <w:sz w:val="18"/>
                <w:szCs w:val="18"/>
              </w:rPr>
            </w:pPr>
          </w:p>
        </w:tc>
        <w:tc>
          <w:tcPr>
            <w:tcW w:w="1440" w:type="dxa"/>
            <w:shd w:val="clear" w:color="auto" w:fill="auto"/>
            <w:vAlign w:val="center"/>
          </w:tcPr>
          <w:p>
            <w:pPr>
              <w:pStyle w:val="39"/>
              <w:rPr>
                <w:rFonts w:cs="Times New Roman"/>
                <w:sz w:val="18"/>
                <w:szCs w:val="18"/>
              </w:rPr>
            </w:pPr>
            <w:r>
              <w:rPr>
                <w:rFonts w:cs="Times New Roman"/>
                <w:sz w:val="18"/>
                <w:szCs w:val="18"/>
              </w:rPr>
              <w:t>0.06mg/m</w:t>
            </w:r>
            <w:r>
              <w:rPr>
                <w:rFonts w:cs="Times New Roman"/>
                <w:sz w:val="18"/>
                <w:szCs w:val="18"/>
                <w:vertAlign w:val="superscript"/>
              </w:rPr>
              <w:t>3</w:t>
            </w:r>
          </w:p>
        </w:tc>
        <w:tc>
          <w:tcPr>
            <w:tcW w:w="981" w:type="dxa"/>
            <w:shd w:val="clear" w:color="auto" w:fill="auto"/>
            <w:vAlign w:val="center"/>
          </w:tcPr>
          <w:p>
            <w:pPr>
              <w:pStyle w:val="39"/>
              <w:rPr>
                <w:rFonts w:cs="Times New Roman"/>
                <w:sz w:val="18"/>
                <w:szCs w:val="18"/>
              </w:rPr>
            </w:pPr>
            <w:r>
              <w:rPr>
                <w:rFonts w:cs="Times New Roman"/>
                <w:sz w:val="18"/>
                <w:szCs w:val="18"/>
              </w:rPr>
              <w:t>0.019t/a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32" w:type="dxa"/>
            <w:vMerge w:val="restart"/>
            <w:shd w:val="clear" w:color="auto" w:fill="auto"/>
            <w:vAlign w:val="center"/>
          </w:tcPr>
          <w:p>
            <w:pPr>
              <w:pStyle w:val="39"/>
              <w:rPr>
                <w:rFonts w:cs="Times New Roman"/>
                <w:sz w:val="18"/>
                <w:szCs w:val="18"/>
              </w:rPr>
            </w:pPr>
            <w:r>
              <w:rPr>
                <w:rFonts w:cs="Times New Roman"/>
                <w:sz w:val="18"/>
                <w:szCs w:val="18"/>
              </w:rPr>
              <w:t>2</w:t>
            </w:r>
          </w:p>
        </w:tc>
        <w:tc>
          <w:tcPr>
            <w:tcW w:w="994" w:type="dxa"/>
            <w:vMerge w:val="restart"/>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柴油发电机</w:t>
            </w:r>
          </w:p>
        </w:tc>
        <w:tc>
          <w:tcPr>
            <w:tcW w:w="992" w:type="dxa"/>
            <w:vMerge w:val="restart"/>
            <w:shd w:val="clear" w:color="auto" w:fill="auto"/>
            <w:vAlign w:val="center"/>
          </w:tcPr>
          <w:p>
            <w:pPr>
              <w:jc w:val="center"/>
              <w:rPr>
                <w:rFonts w:ascii="Times New Roman" w:hAnsi="Times New Roman" w:cs="Times New Roman"/>
                <w:sz w:val="18"/>
                <w:szCs w:val="18"/>
              </w:rPr>
            </w:pPr>
            <w:r>
              <w:rPr>
                <w:rFonts w:ascii="Times New Roman" w:hAnsi="Times New Roman" w:cs="Times New Roman"/>
                <w:bCs/>
                <w:sz w:val="18"/>
                <w:szCs w:val="18"/>
              </w:rPr>
              <w:t>启动</w:t>
            </w:r>
          </w:p>
        </w:tc>
        <w:tc>
          <w:tcPr>
            <w:tcW w:w="700" w:type="dxa"/>
            <w:shd w:val="clear" w:color="auto" w:fill="auto"/>
            <w:vAlign w:val="center"/>
          </w:tcPr>
          <w:p>
            <w:pPr>
              <w:pStyle w:val="39"/>
              <w:rPr>
                <w:rFonts w:cs="Times New Roman"/>
                <w:sz w:val="18"/>
                <w:szCs w:val="18"/>
              </w:rPr>
            </w:pPr>
            <w:r>
              <w:rPr>
                <w:rFonts w:eastAsia="TimesNewRomanPSMT" w:cs="Times New Roman"/>
                <w:kern w:val="0"/>
                <w:sz w:val="18"/>
                <w:szCs w:val="18"/>
              </w:rPr>
              <w:t>SO2</w:t>
            </w:r>
          </w:p>
        </w:tc>
        <w:tc>
          <w:tcPr>
            <w:tcW w:w="1130" w:type="dxa"/>
            <w:vMerge w:val="restart"/>
            <w:shd w:val="clear" w:color="auto" w:fill="auto"/>
            <w:vAlign w:val="center"/>
          </w:tcPr>
          <w:p>
            <w:pPr>
              <w:rPr>
                <w:rFonts w:ascii="Times New Roman" w:hAnsi="Times New Roman" w:cs="Times New Roman"/>
                <w:sz w:val="18"/>
                <w:szCs w:val="18"/>
              </w:rPr>
            </w:pPr>
            <w:r>
              <w:rPr>
                <w:rFonts w:ascii="Times New Roman" w:hAnsi="Times New Roman" w:cs="Times New Roman"/>
                <w:sz w:val="18"/>
                <w:szCs w:val="18"/>
              </w:rPr>
              <w:t>专用排烟通道屋顶排放</w:t>
            </w:r>
          </w:p>
        </w:tc>
        <w:tc>
          <w:tcPr>
            <w:tcW w:w="2404" w:type="dxa"/>
            <w:vMerge w:val="restart"/>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《大气污染物综合排放标准》(GB16297-1996)二级标准</w:t>
            </w:r>
          </w:p>
        </w:tc>
        <w:tc>
          <w:tcPr>
            <w:tcW w:w="1440" w:type="dxa"/>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550 mg/m</w:t>
            </w:r>
            <w:r>
              <w:rPr>
                <w:rFonts w:ascii="Times New Roman" w:hAnsi="Times New Roman" w:cs="Times New Roman"/>
                <w:sz w:val="18"/>
                <w:szCs w:val="18"/>
                <w:vertAlign w:val="superscript"/>
              </w:rPr>
              <w:t>3</w:t>
            </w:r>
          </w:p>
        </w:tc>
        <w:tc>
          <w:tcPr>
            <w:tcW w:w="981" w:type="dxa"/>
            <w:shd w:val="clear" w:color="auto" w:fill="auto"/>
            <w:vAlign w:val="center"/>
          </w:tcPr>
          <w:p>
            <w:pPr>
              <w:pStyle w:val="39"/>
              <w:rPr>
                <w:rFonts w:cs="Times New Roman"/>
                <w:sz w:val="18"/>
                <w:szCs w:val="18"/>
              </w:rPr>
            </w:pPr>
            <w:r>
              <w:rPr>
                <w:rFonts w:eastAsia="等线" w:cs="Times New Roman"/>
                <w:sz w:val="18"/>
                <w:szCs w:val="18"/>
              </w:rPr>
              <w:t>0.05</w:t>
            </w:r>
            <w:r>
              <w:rPr>
                <w:rFonts w:cs="Times New Roman"/>
                <w:sz w:val="18"/>
                <w:szCs w:val="18"/>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32" w:type="dxa"/>
            <w:vMerge w:val="continue"/>
            <w:shd w:val="clear" w:color="auto" w:fill="auto"/>
            <w:vAlign w:val="center"/>
          </w:tcPr>
          <w:p>
            <w:pPr>
              <w:pStyle w:val="39"/>
              <w:rPr>
                <w:rFonts w:cs="Times New Roman"/>
                <w:sz w:val="18"/>
                <w:szCs w:val="18"/>
              </w:rPr>
            </w:pPr>
          </w:p>
        </w:tc>
        <w:tc>
          <w:tcPr>
            <w:tcW w:w="994" w:type="dxa"/>
            <w:vMerge w:val="continue"/>
            <w:shd w:val="clear" w:color="auto" w:fill="auto"/>
            <w:vAlign w:val="center"/>
          </w:tcPr>
          <w:p>
            <w:pPr>
              <w:jc w:val="center"/>
              <w:rPr>
                <w:rFonts w:ascii="Times New Roman" w:hAnsi="Times New Roman" w:cs="Times New Roman"/>
                <w:sz w:val="18"/>
                <w:szCs w:val="18"/>
              </w:rPr>
            </w:pPr>
          </w:p>
        </w:tc>
        <w:tc>
          <w:tcPr>
            <w:tcW w:w="992" w:type="dxa"/>
            <w:vMerge w:val="continue"/>
            <w:shd w:val="clear" w:color="auto" w:fill="auto"/>
            <w:vAlign w:val="center"/>
          </w:tcPr>
          <w:p>
            <w:pPr>
              <w:jc w:val="center"/>
              <w:rPr>
                <w:rFonts w:ascii="Times New Roman" w:hAnsi="Times New Roman" w:cs="Times New Roman"/>
                <w:bCs/>
                <w:sz w:val="18"/>
                <w:szCs w:val="18"/>
              </w:rPr>
            </w:pPr>
          </w:p>
        </w:tc>
        <w:tc>
          <w:tcPr>
            <w:tcW w:w="700" w:type="dxa"/>
            <w:shd w:val="clear" w:color="auto" w:fill="auto"/>
            <w:vAlign w:val="center"/>
          </w:tcPr>
          <w:p>
            <w:pPr>
              <w:pStyle w:val="39"/>
              <w:rPr>
                <w:rFonts w:cs="Times New Roman"/>
                <w:sz w:val="18"/>
                <w:szCs w:val="18"/>
              </w:rPr>
            </w:pPr>
            <w:r>
              <w:rPr>
                <w:rFonts w:eastAsia="TimesNewRomanPSMT" w:cs="Times New Roman"/>
                <w:kern w:val="0"/>
                <w:sz w:val="18"/>
                <w:szCs w:val="18"/>
              </w:rPr>
              <w:t>NOx</w:t>
            </w:r>
          </w:p>
        </w:tc>
        <w:tc>
          <w:tcPr>
            <w:tcW w:w="1130" w:type="dxa"/>
            <w:vMerge w:val="continue"/>
            <w:shd w:val="clear" w:color="auto" w:fill="auto"/>
            <w:vAlign w:val="center"/>
          </w:tcPr>
          <w:p>
            <w:pPr>
              <w:pStyle w:val="39"/>
              <w:rPr>
                <w:rFonts w:cs="Times New Roman"/>
                <w:sz w:val="18"/>
                <w:szCs w:val="18"/>
              </w:rPr>
            </w:pPr>
          </w:p>
        </w:tc>
        <w:tc>
          <w:tcPr>
            <w:tcW w:w="2404" w:type="dxa"/>
            <w:vMerge w:val="continue"/>
            <w:shd w:val="clear" w:color="auto" w:fill="auto"/>
            <w:vAlign w:val="center"/>
          </w:tcPr>
          <w:p>
            <w:pPr>
              <w:pStyle w:val="39"/>
              <w:rPr>
                <w:rFonts w:cs="Times New Roman"/>
                <w:sz w:val="18"/>
                <w:szCs w:val="18"/>
              </w:rPr>
            </w:pPr>
          </w:p>
        </w:tc>
        <w:tc>
          <w:tcPr>
            <w:tcW w:w="1440" w:type="dxa"/>
            <w:shd w:val="clear" w:color="auto" w:fill="auto"/>
            <w:vAlign w:val="center"/>
          </w:tcPr>
          <w:p>
            <w:pPr>
              <w:pStyle w:val="39"/>
              <w:rPr>
                <w:rFonts w:cs="Times New Roman"/>
                <w:sz w:val="18"/>
                <w:szCs w:val="18"/>
              </w:rPr>
            </w:pPr>
            <w:r>
              <w:rPr>
                <w:rFonts w:cs="Times New Roman"/>
                <w:sz w:val="18"/>
                <w:szCs w:val="18"/>
              </w:rPr>
              <w:t>240 mg/m</w:t>
            </w:r>
            <w:r>
              <w:rPr>
                <w:rFonts w:cs="Times New Roman"/>
                <w:sz w:val="18"/>
                <w:szCs w:val="18"/>
                <w:vertAlign w:val="superscript"/>
              </w:rPr>
              <w:t>3</w:t>
            </w:r>
          </w:p>
        </w:tc>
        <w:tc>
          <w:tcPr>
            <w:tcW w:w="981" w:type="dxa"/>
            <w:shd w:val="clear" w:color="auto" w:fill="auto"/>
            <w:vAlign w:val="center"/>
          </w:tcPr>
          <w:p>
            <w:pPr>
              <w:pStyle w:val="39"/>
              <w:rPr>
                <w:rFonts w:cs="Times New Roman"/>
                <w:sz w:val="18"/>
                <w:szCs w:val="18"/>
              </w:rPr>
            </w:pPr>
            <w:r>
              <w:rPr>
                <w:rFonts w:eastAsia="等线" w:cs="Times New Roman"/>
                <w:color w:val="000000"/>
                <w:sz w:val="18"/>
                <w:szCs w:val="18"/>
              </w:rPr>
              <w:t>0.043</w:t>
            </w:r>
            <w:r>
              <w:rPr>
                <w:rFonts w:cs="Times New Roman"/>
                <w:sz w:val="18"/>
                <w:szCs w:val="18"/>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32" w:type="dxa"/>
            <w:vMerge w:val="continue"/>
            <w:shd w:val="clear" w:color="auto" w:fill="auto"/>
            <w:vAlign w:val="center"/>
          </w:tcPr>
          <w:p>
            <w:pPr>
              <w:pStyle w:val="39"/>
              <w:rPr>
                <w:rFonts w:cs="Times New Roman"/>
                <w:sz w:val="18"/>
                <w:szCs w:val="18"/>
              </w:rPr>
            </w:pPr>
          </w:p>
        </w:tc>
        <w:tc>
          <w:tcPr>
            <w:tcW w:w="994" w:type="dxa"/>
            <w:vMerge w:val="continue"/>
            <w:shd w:val="clear" w:color="auto" w:fill="auto"/>
            <w:vAlign w:val="center"/>
          </w:tcPr>
          <w:p>
            <w:pPr>
              <w:pStyle w:val="39"/>
              <w:rPr>
                <w:rFonts w:cs="Times New Roman"/>
                <w:sz w:val="18"/>
                <w:szCs w:val="18"/>
              </w:rPr>
            </w:pPr>
          </w:p>
        </w:tc>
        <w:tc>
          <w:tcPr>
            <w:tcW w:w="992" w:type="dxa"/>
            <w:vMerge w:val="continue"/>
            <w:shd w:val="clear" w:color="auto" w:fill="auto"/>
            <w:vAlign w:val="center"/>
          </w:tcPr>
          <w:p>
            <w:pPr>
              <w:jc w:val="center"/>
              <w:rPr>
                <w:rFonts w:ascii="Times New Roman" w:hAnsi="Times New Roman" w:cs="Times New Roman"/>
                <w:sz w:val="18"/>
                <w:szCs w:val="18"/>
              </w:rPr>
            </w:pPr>
          </w:p>
        </w:tc>
        <w:tc>
          <w:tcPr>
            <w:tcW w:w="700" w:type="dxa"/>
            <w:shd w:val="clear" w:color="auto" w:fill="auto"/>
            <w:vAlign w:val="center"/>
          </w:tcPr>
          <w:p>
            <w:pPr>
              <w:pStyle w:val="39"/>
              <w:rPr>
                <w:rFonts w:cs="Times New Roman"/>
                <w:sz w:val="18"/>
                <w:szCs w:val="18"/>
              </w:rPr>
            </w:pPr>
            <w:r>
              <w:rPr>
                <w:rFonts w:cs="Times New Roman"/>
                <w:sz w:val="18"/>
                <w:szCs w:val="18"/>
              </w:rPr>
              <w:t>烟尘</w:t>
            </w:r>
          </w:p>
        </w:tc>
        <w:tc>
          <w:tcPr>
            <w:tcW w:w="1130" w:type="dxa"/>
            <w:vMerge w:val="continue"/>
            <w:shd w:val="clear" w:color="auto" w:fill="auto"/>
            <w:vAlign w:val="center"/>
          </w:tcPr>
          <w:p>
            <w:pPr>
              <w:pStyle w:val="39"/>
              <w:rPr>
                <w:rFonts w:cs="Times New Roman"/>
                <w:sz w:val="18"/>
                <w:szCs w:val="18"/>
              </w:rPr>
            </w:pPr>
          </w:p>
        </w:tc>
        <w:tc>
          <w:tcPr>
            <w:tcW w:w="2404" w:type="dxa"/>
            <w:vMerge w:val="continue"/>
            <w:shd w:val="clear" w:color="auto" w:fill="auto"/>
            <w:vAlign w:val="center"/>
          </w:tcPr>
          <w:p>
            <w:pPr>
              <w:pStyle w:val="39"/>
              <w:rPr>
                <w:rFonts w:cs="Times New Roman"/>
                <w:sz w:val="18"/>
                <w:szCs w:val="18"/>
              </w:rPr>
            </w:pPr>
          </w:p>
        </w:tc>
        <w:tc>
          <w:tcPr>
            <w:tcW w:w="1440" w:type="dxa"/>
            <w:shd w:val="clear" w:color="auto" w:fill="auto"/>
            <w:vAlign w:val="center"/>
          </w:tcPr>
          <w:p>
            <w:pPr>
              <w:pStyle w:val="39"/>
              <w:rPr>
                <w:rFonts w:cs="Times New Roman"/>
                <w:sz w:val="18"/>
                <w:szCs w:val="18"/>
              </w:rPr>
            </w:pPr>
            <w:r>
              <w:rPr>
                <w:rFonts w:cs="Times New Roman"/>
                <w:sz w:val="18"/>
                <w:szCs w:val="18"/>
              </w:rPr>
              <w:t>120 mg/m</w:t>
            </w:r>
            <w:r>
              <w:rPr>
                <w:rFonts w:cs="Times New Roman"/>
                <w:sz w:val="18"/>
                <w:szCs w:val="18"/>
                <w:vertAlign w:val="superscript"/>
              </w:rPr>
              <w:t>3</w:t>
            </w:r>
          </w:p>
        </w:tc>
        <w:tc>
          <w:tcPr>
            <w:tcW w:w="981" w:type="dxa"/>
            <w:shd w:val="clear" w:color="auto" w:fill="auto"/>
            <w:vAlign w:val="center"/>
          </w:tcPr>
          <w:p>
            <w:pPr>
              <w:pStyle w:val="39"/>
              <w:rPr>
                <w:rFonts w:cs="Times New Roman"/>
                <w:sz w:val="18"/>
                <w:szCs w:val="18"/>
              </w:rPr>
            </w:pPr>
            <w:r>
              <w:rPr>
                <w:rFonts w:eastAsia="等线" w:cs="Times New Roman"/>
                <w:sz w:val="18"/>
                <w:szCs w:val="18"/>
              </w:rPr>
              <w:t>0.009</w:t>
            </w:r>
            <w:r>
              <w:rPr>
                <w:rFonts w:cs="Times New Roman"/>
                <w:sz w:val="18"/>
                <w:szCs w:val="18"/>
              </w:rPr>
              <w:t>t/a</w:t>
            </w:r>
          </w:p>
        </w:tc>
      </w:tr>
    </w:tbl>
    <w:p>
      <w:pPr>
        <w:pStyle w:val="15"/>
        <w:rPr>
          <w:rFonts w:cs="Times New Roman"/>
        </w:rPr>
      </w:pPr>
    </w:p>
    <w:p>
      <w:pPr>
        <w:pStyle w:val="15"/>
        <w:rPr>
          <w:rFonts w:cs="Times New Roman"/>
        </w:rPr>
      </w:pPr>
      <w:r>
        <w:rPr>
          <w:rFonts w:cs="Times New Roman"/>
        </w:rPr>
        <w:t>表5.2-10   大气污染物年排放量核算表</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4253"/>
        <w:gridCol w:w="3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1242" w:type="dxa"/>
            <w:vAlign w:val="center"/>
          </w:tcPr>
          <w:p>
            <w:pPr>
              <w:pStyle w:val="39"/>
              <w:rPr>
                <w:rFonts w:cs="Times New Roman"/>
              </w:rPr>
            </w:pPr>
            <w:r>
              <w:rPr>
                <w:rFonts w:cs="Times New Roman"/>
              </w:rPr>
              <w:t>序号</w:t>
            </w:r>
          </w:p>
        </w:tc>
        <w:tc>
          <w:tcPr>
            <w:tcW w:w="4253" w:type="dxa"/>
            <w:vAlign w:val="center"/>
          </w:tcPr>
          <w:p>
            <w:pPr>
              <w:pStyle w:val="39"/>
              <w:rPr>
                <w:rFonts w:cs="Times New Roman"/>
              </w:rPr>
            </w:pPr>
            <w:r>
              <w:rPr>
                <w:rFonts w:cs="Times New Roman"/>
              </w:rPr>
              <w:t>污染物</w:t>
            </w:r>
          </w:p>
        </w:tc>
        <w:tc>
          <w:tcPr>
            <w:tcW w:w="3678" w:type="dxa"/>
            <w:vAlign w:val="center"/>
          </w:tcPr>
          <w:p>
            <w:pPr>
              <w:pStyle w:val="39"/>
              <w:rPr>
                <w:rFonts w:cs="Times New Roman"/>
              </w:rPr>
            </w:pPr>
            <w:r>
              <w:rPr>
                <w:rFonts w:cs="Times New Roman"/>
              </w:rPr>
              <w:t>年排放量/（t/a）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42" w:type="dxa"/>
            <w:vAlign w:val="center"/>
          </w:tcPr>
          <w:p>
            <w:pPr>
              <w:pStyle w:val="39"/>
              <w:rPr>
                <w:rFonts w:cs="Times New Roman"/>
              </w:rPr>
            </w:pPr>
            <w:r>
              <w:rPr>
                <w:rFonts w:cs="Times New Roman"/>
              </w:rPr>
              <w:t>1</w:t>
            </w:r>
          </w:p>
        </w:tc>
        <w:tc>
          <w:tcPr>
            <w:tcW w:w="4253" w:type="dxa"/>
            <w:vAlign w:val="center"/>
          </w:tcPr>
          <w:p>
            <w:pPr>
              <w:pStyle w:val="39"/>
              <w:rPr>
                <w:rFonts w:cs="Times New Roman"/>
              </w:rPr>
            </w:pPr>
            <w:r>
              <w:rPr>
                <w:rFonts w:cs="Times New Roman"/>
              </w:rPr>
              <w:t>NH</w:t>
            </w:r>
            <w:r>
              <w:rPr>
                <w:rFonts w:cs="Times New Roman"/>
                <w:vertAlign w:val="subscript"/>
              </w:rPr>
              <w:t>3</w:t>
            </w:r>
          </w:p>
        </w:tc>
        <w:tc>
          <w:tcPr>
            <w:tcW w:w="3678" w:type="dxa"/>
            <w:vAlign w:val="center"/>
          </w:tcPr>
          <w:p>
            <w:pPr>
              <w:pStyle w:val="39"/>
              <w:rPr>
                <w:rFonts w:cs="Times New Roman"/>
                <w:kern w:val="0"/>
              </w:rPr>
            </w:pPr>
            <w:r>
              <w:rPr>
                <w:rFonts w:hint="eastAsia" w:cs="Times New Roman"/>
              </w:rPr>
              <w:t>0.</w:t>
            </w:r>
            <w:r>
              <w:rPr>
                <w:rFonts w:cs="Times New Roman"/>
              </w:rPr>
              <w:t>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42" w:type="dxa"/>
            <w:vAlign w:val="center"/>
          </w:tcPr>
          <w:p>
            <w:pPr>
              <w:pStyle w:val="39"/>
              <w:rPr>
                <w:rFonts w:cs="Times New Roman"/>
              </w:rPr>
            </w:pPr>
            <w:r>
              <w:rPr>
                <w:rFonts w:cs="Times New Roman"/>
              </w:rPr>
              <w:t>2</w:t>
            </w:r>
          </w:p>
        </w:tc>
        <w:tc>
          <w:tcPr>
            <w:tcW w:w="4253" w:type="dxa"/>
            <w:vAlign w:val="center"/>
          </w:tcPr>
          <w:p>
            <w:pPr>
              <w:pStyle w:val="39"/>
              <w:rPr>
                <w:rFonts w:cs="Times New Roman"/>
              </w:rPr>
            </w:pPr>
            <w:r>
              <w:rPr>
                <w:rFonts w:cs="Times New Roman"/>
              </w:rPr>
              <w:t>H</w:t>
            </w:r>
            <w:r>
              <w:rPr>
                <w:rFonts w:cs="Times New Roman"/>
                <w:vertAlign w:val="subscript"/>
              </w:rPr>
              <w:t>2</w:t>
            </w:r>
            <w:r>
              <w:rPr>
                <w:rFonts w:cs="Times New Roman"/>
              </w:rPr>
              <w:t>S</w:t>
            </w:r>
          </w:p>
        </w:tc>
        <w:tc>
          <w:tcPr>
            <w:tcW w:w="3678" w:type="dxa"/>
            <w:vAlign w:val="center"/>
          </w:tcPr>
          <w:p>
            <w:pPr>
              <w:pStyle w:val="39"/>
              <w:rPr>
                <w:rFonts w:cs="Times New Roman"/>
              </w:rPr>
            </w:pPr>
            <w:r>
              <w:rPr>
                <w:rFonts w:cs="Times New Roman"/>
              </w:rPr>
              <w:t>0.0</w:t>
            </w:r>
            <w:r>
              <w:rPr>
                <w:rFonts w:hint="eastAsia" w:cs="Times New Roman"/>
              </w:rPr>
              <w:t>1</w:t>
            </w:r>
            <w:r>
              <w:rPr>
                <w:rFonts w:cs="Times New Roma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42" w:type="dxa"/>
            <w:vAlign w:val="center"/>
          </w:tcPr>
          <w:p>
            <w:pPr>
              <w:pStyle w:val="39"/>
              <w:rPr>
                <w:rFonts w:cs="Times New Roman"/>
              </w:rPr>
            </w:pPr>
            <w:r>
              <w:rPr>
                <w:rFonts w:hint="eastAsia" w:cs="Times New Roman"/>
              </w:rPr>
              <w:t>3</w:t>
            </w:r>
          </w:p>
        </w:tc>
        <w:tc>
          <w:tcPr>
            <w:tcW w:w="4253" w:type="dxa"/>
            <w:vAlign w:val="center"/>
          </w:tcPr>
          <w:p>
            <w:pPr>
              <w:pStyle w:val="39"/>
              <w:rPr>
                <w:rFonts w:cs="Times New Roman"/>
              </w:rPr>
            </w:pPr>
            <w:r>
              <w:rPr>
                <w:rFonts w:eastAsia="TimesNewRomanPSMT" w:cs="Times New Roman"/>
                <w:kern w:val="0"/>
              </w:rPr>
              <w:t>SO</w:t>
            </w:r>
            <w:r>
              <w:rPr>
                <w:rFonts w:eastAsia="TimesNewRomanPSMT" w:cs="Times New Roman"/>
                <w:kern w:val="0"/>
                <w:sz w:val="14"/>
                <w:szCs w:val="14"/>
              </w:rPr>
              <w:t>2</w:t>
            </w:r>
          </w:p>
        </w:tc>
        <w:tc>
          <w:tcPr>
            <w:tcW w:w="3678" w:type="dxa"/>
            <w:vAlign w:val="center"/>
          </w:tcPr>
          <w:p>
            <w:pPr>
              <w:pStyle w:val="39"/>
              <w:rPr>
                <w:rFonts w:ascii="宋体" w:hAnsi="宋体" w:cs="宋体"/>
              </w:rPr>
            </w:pPr>
            <w:r>
              <w:rPr>
                <w:rFonts w:hint="eastAsia"/>
              </w:rPr>
              <w:t>0.</w:t>
            </w:r>
            <w:r>
              <w:t>2</w:t>
            </w:r>
            <w:r>
              <w:rPr>
                <w:rFonts w:hint="eastAsia"/>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42" w:type="dxa"/>
            <w:vAlign w:val="center"/>
          </w:tcPr>
          <w:p>
            <w:pPr>
              <w:pStyle w:val="39"/>
              <w:rPr>
                <w:rFonts w:cs="Times New Roman"/>
              </w:rPr>
            </w:pPr>
            <w:r>
              <w:rPr>
                <w:rFonts w:hint="eastAsia" w:cs="Times New Roman"/>
              </w:rPr>
              <w:t>4</w:t>
            </w:r>
          </w:p>
        </w:tc>
        <w:tc>
          <w:tcPr>
            <w:tcW w:w="4253" w:type="dxa"/>
            <w:vAlign w:val="center"/>
          </w:tcPr>
          <w:p>
            <w:pPr>
              <w:pStyle w:val="39"/>
              <w:rPr>
                <w:rFonts w:cs="Times New Roman"/>
              </w:rPr>
            </w:pPr>
            <w:r>
              <w:rPr>
                <w:rFonts w:cs="Times New Roman"/>
              </w:rPr>
              <w:t>烟尘</w:t>
            </w:r>
          </w:p>
        </w:tc>
        <w:tc>
          <w:tcPr>
            <w:tcW w:w="3678" w:type="dxa"/>
            <w:vAlign w:val="center"/>
          </w:tcPr>
          <w:p>
            <w:pPr>
              <w:pStyle w:val="39"/>
              <w:rPr>
                <w:rFonts w:ascii="宋体" w:hAnsi="宋体" w:cs="宋体"/>
              </w:rPr>
            </w:pPr>
            <w:r>
              <w:rPr>
                <w:rFonts w:hint="eastAsia"/>
              </w:rPr>
              <w:t>0.</w:t>
            </w:r>
            <w: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42" w:type="dxa"/>
            <w:vAlign w:val="center"/>
          </w:tcPr>
          <w:p>
            <w:pPr>
              <w:pStyle w:val="39"/>
              <w:rPr>
                <w:rFonts w:cs="Times New Roman"/>
              </w:rPr>
            </w:pPr>
            <w:r>
              <w:rPr>
                <w:rFonts w:hint="eastAsia" w:cs="Times New Roman"/>
              </w:rPr>
              <w:t>5</w:t>
            </w:r>
          </w:p>
        </w:tc>
        <w:tc>
          <w:tcPr>
            <w:tcW w:w="4253" w:type="dxa"/>
            <w:vAlign w:val="center"/>
          </w:tcPr>
          <w:p>
            <w:pPr>
              <w:pStyle w:val="39"/>
              <w:rPr>
                <w:rFonts w:cs="Times New Roman"/>
              </w:rPr>
            </w:pPr>
            <w:r>
              <w:rPr>
                <w:rFonts w:eastAsia="TimesNewRomanPSMT" w:cs="Times New Roman"/>
                <w:kern w:val="0"/>
              </w:rPr>
              <w:t>NOx</w:t>
            </w:r>
          </w:p>
        </w:tc>
        <w:tc>
          <w:tcPr>
            <w:tcW w:w="3678" w:type="dxa"/>
            <w:vAlign w:val="center"/>
          </w:tcPr>
          <w:p>
            <w:pPr>
              <w:pStyle w:val="39"/>
              <w:rPr>
                <w:rFonts w:ascii="宋体" w:hAnsi="宋体" w:cs="宋体"/>
              </w:rPr>
            </w:pPr>
            <w:r>
              <w:rPr>
                <w:rFonts w:hint="eastAsia"/>
              </w:rPr>
              <w:t>0.</w:t>
            </w:r>
            <w:r>
              <w:t>109</w:t>
            </w:r>
          </w:p>
        </w:tc>
      </w:tr>
    </w:tbl>
    <w:p>
      <w:pPr>
        <w:pStyle w:val="3"/>
        <w:ind w:firstLine="480"/>
        <w:rPr>
          <w:rFonts w:cs="Times New Roman"/>
        </w:rPr>
      </w:pPr>
    </w:p>
    <w:p>
      <w:pPr>
        <w:pStyle w:val="3"/>
        <w:ind w:firstLine="480"/>
        <w:rPr>
          <w:rFonts w:cs="Times New Roman"/>
        </w:rPr>
      </w:pPr>
      <w:r>
        <w:rPr>
          <w:rFonts w:cs="Times New Roman"/>
        </w:rPr>
        <w:t>（2）非正常排放核算</w:t>
      </w:r>
    </w:p>
    <w:p>
      <w:pPr>
        <w:pStyle w:val="15"/>
        <w:rPr>
          <w:rFonts w:cs="Times New Roman"/>
        </w:rPr>
      </w:pPr>
      <w:r>
        <w:rPr>
          <w:rFonts w:cs="Times New Roman"/>
        </w:rPr>
        <w:t>表5.2-11   污染物非正常排放量核算表</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
        <w:gridCol w:w="1018"/>
        <w:gridCol w:w="987"/>
        <w:gridCol w:w="901"/>
        <w:gridCol w:w="1057"/>
        <w:gridCol w:w="1024"/>
        <w:gridCol w:w="725"/>
        <w:gridCol w:w="853"/>
        <w:gridCol w:w="2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76" w:type="pct"/>
            <w:shd w:val="clear" w:color="auto" w:fill="auto"/>
            <w:vAlign w:val="center"/>
          </w:tcPr>
          <w:p>
            <w:pPr>
              <w:pStyle w:val="39"/>
              <w:rPr>
                <w:rFonts w:cs="Times New Roman"/>
                <w:sz w:val="18"/>
                <w:szCs w:val="18"/>
              </w:rPr>
            </w:pPr>
            <w:r>
              <w:rPr>
                <w:rFonts w:cs="Times New Roman"/>
                <w:sz w:val="18"/>
                <w:szCs w:val="18"/>
              </w:rPr>
              <w:t>序号</w:t>
            </w:r>
          </w:p>
        </w:tc>
        <w:tc>
          <w:tcPr>
            <w:tcW w:w="555" w:type="pct"/>
            <w:shd w:val="clear" w:color="auto" w:fill="auto"/>
            <w:vAlign w:val="center"/>
          </w:tcPr>
          <w:p>
            <w:pPr>
              <w:pStyle w:val="39"/>
              <w:rPr>
                <w:rFonts w:cs="Times New Roman"/>
                <w:sz w:val="18"/>
                <w:szCs w:val="18"/>
              </w:rPr>
            </w:pPr>
            <w:r>
              <w:rPr>
                <w:rFonts w:cs="Times New Roman"/>
                <w:sz w:val="18"/>
                <w:szCs w:val="18"/>
              </w:rPr>
              <w:t>污染源</w:t>
            </w:r>
          </w:p>
        </w:tc>
        <w:tc>
          <w:tcPr>
            <w:tcW w:w="538" w:type="pct"/>
            <w:shd w:val="clear" w:color="auto" w:fill="auto"/>
            <w:vAlign w:val="center"/>
          </w:tcPr>
          <w:p>
            <w:pPr>
              <w:pStyle w:val="39"/>
              <w:rPr>
                <w:rFonts w:cs="Times New Roman"/>
                <w:sz w:val="18"/>
                <w:szCs w:val="18"/>
              </w:rPr>
            </w:pPr>
            <w:r>
              <w:rPr>
                <w:rFonts w:cs="Times New Roman"/>
                <w:sz w:val="18"/>
                <w:szCs w:val="18"/>
              </w:rPr>
              <w:t>非正常排放原因</w:t>
            </w:r>
          </w:p>
        </w:tc>
        <w:tc>
          <w:tcPr>
            <w:tcW w:w="491" w:type="pct"/>
            <w:shd w:val="clear" w:color="auto" w:fill="auto"/>
            <w:vAlign w:val="center"/>
          </w:tcPr>
          <w:p>
            <w:pPr>
              <w:pStyle w:val="39"/>
              <w:rPr>
                <w:rFonts w:cs="Times New Roman"/>
                <w:sz w:val="18"/>
                <w:szCs w:val="18"/>
              </w:rPr>
            </w:pPr>
            <w:r>
              <w:rPr>
                <w:rFonts w:cs="Times New Roman"/>
                <w:sz w:val="18"/>
                <w:szCs w:val="18"/>
              </w:rPr>
              <w:t>污染物</w:t>
            </w:r>
          </w:p>
        </w:tc>
        <w:tc>
          <w:tcPr>
            <w:tcW w:w="576" w:type="pct"/>
          </w:tcPr>
          <w:p>
            <w:pPr>
              <w:pStyle w:val="39"/>
              <w:rPr>
                <w:rFonts w:cs="Times New Roman"/>
                <w:sz w:val="18"/>
                <w:szCs w:val="18"/>
              </w:rPr>
            </w:pPr>
            <w:r>
              <w:rPr>
                <w:rFonts w:cs="Times New Roman"/>
                <w:sz w:val="18"/>
                <w:szCs w:val="18"/>
              </w:rPr>
              <w:t>非正常排放浓度</w:t>
            </w:r>
          </w:p>
          <w:p>
            <w:pPr>
              <w:pStyle w:val="39"/>
              <w:rPr>
                <w:rFonts w:cs="Times New Roman"/>
                <w:sz w:val="18"/>
                <w:szCs w:val="18"/>
              </w:rPr>
            </w:pPr>
            <w:r>
              <w:rPr>
                <w:rFonts w:cs="Times New Roman"/>
                <w:sz w:val="18"/>
                <w:szCs w:val="18"/>
              </w:rPr>
              <w:t>（mg/m</w:t>
            </w:r>
            <w:r>
              <w:rPr>
                <w:rFonts w:cs="Times New Roman"/>
                <w:sz w:val="18"/>
                <w:szCs w:val="18"/>
                <w:vertAlign w:val="superscript"/>
              </w:rPr>
              <w:t>3</w:t>
            </w:r>
            <w:r>
              <w:rPr>
                <w:rFonts w:cs="Times New Roman"/>
                <w:sz w:val="18"/>
                <w:szCs w:val="18"/>
              </w:rPr>
              <w:t>）</w:t>
            </w:r>
          </w:p>
        </w:tc>
        <w:tc>
          <w:tcPr>
            <w:tcW w:w="558" w:type="pct"/>
            <w:shd w:val="clear" w:color="auto" w:fill="auto"/>
            <w:vAlign w:val="center"/>
          </w:tcPr>
          <w:p>
            <w:pPr>
              <w:pStyle w:val="39"/>
              <w:rPr>
                <w:rFonts w:cs="Times New Roman"/>
                <w:sz w:val="18"/>
                <w:szCs w:val="18"/>
              </w:rPr>
            </w:pPr>
            <w:r>
              <w:rPr>
                <w:rFonts w:cs="Times New Roman"/>
                <w:sz w:val="18"/>
                <w:szCs w:val="18"/>
              </w:rPr>
              <w:t>非正常排放速率（kg/h）</w:t>
            </w:r>
          </w:p>
        </w:tc>
        <w:tc>
          <w:tcPr>
            <w:tcW w:w="395" w:type="pct"/>
            <w:shd w:val="clear" w:color="auto" w:fill="auto"/>
            <w:vAlign w:val="center"/>
          </w:tcPr>
          <w:p>
            <w:pPr>
              <w:pStyle w:val="39"/>
              <w:rPr>
                <w:rFonts w:cs="Times New Roman"/>
                <w:sz w:val="18"/>
                <w:szCs w:val="18"/>
              </w:rPr>
            </w:pPr>
            <w:r>
              <w:rPr>
                <w:rFonts w:cs="Times New Roman"/>
                <w:sz w:val="18"/>
                <w:szCs w:val="18"/>
              </w:rPr>
              <w:t>单次持续时间/h</w:t>
            </w:r>
          </w:p>
        </w:tc>
        <w:tc>
          <w:tcPr>
            <w:tcW w:w="465" w:type="pct"/>
            <w:shd w:val="clear" w:color="auto" w:fill="auto"/>
            <w:vAlign w:val="center"/>
          </w:tcPr>
          <w:p>
            <w:pPr>
              <w:pStyle w:val="39"/>
              <w:rPr>
                <w:rFonts w:cs="Times New Roman"/>
                <w:sz w:val="18"/>
                <w:szCs w:val="18"/>
              </w:rPr>
            </w:pPr>
            <w:r>
              <w:rPr>
                <w:rFonts w:cs="Times New Roman"/>
                <w:sz w:val="18"/>
                <w:szCs w:val="18"/>
              </w:rPr>
              <w:t>单次发生频率（次）</w:t>
            </w:r>
          </w:p>
        </w:tc>
        <w:tc>
          <w:tcPr>
            <w:tcW w:w="1145" w:type="pct"/>
            <w:shd w:val="clear" w:color="auto" w:fill="auto"/>
            <w:vAlign w:val="center"/>
          </w:tcPr>
          <w:p>
            <w:pPr>
              <w:pStyle w:val="39"/>
              <w:rPr>
                <w:rFonts w:cs="Times New Roman"/>
                <w:sz w:val="18"/>
                <w:szCs w:val="18"/>
              </w:rPr>
            </w:pPr>
            <w:r>
              <w:rPr>
                <w:rFonts w:cs="Times New Roman"/>
                <w:sz w:val="18"/>
                <w:szCs w:val="18"/>
              </w:rPr>
              <w:t>应对措施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76" w:type="pct"/>
            <w:vMerge w:val="restart"/>
            <w:shd w:val="clear" w:color="auto" w:fill="auto"/>
            <w:vAlign w:val="center"/>
          </w:tcPr>
          <w:p>
            <w:pPr>
              <w:pStyle w:val="39"/>
              <w:rPr>
                <w:rFonts w:cs="Times New Roman"/>
                <w:sz w:val="18"/>
                <w:szCs w:val="18"/>
              </w:rPr>
            </w:pPr>
            <w:r>
              <w:rPr>
                <w:rFonts w:cs="Times New Roman"/>
                <w:sz w:val="18"/>
                <w:szCs w:val="18"/>
              </w:rPr>
              <w:t>1</w:t>
            </w:r>
          </w:p>
        </w:tc>
        <w:tc>
          <w:tcPr>
            <w:tcW w:w="555" w:type="pct"/>
            <w:vMerge w:val="restart"/>
            <w:shd w:val="clear" w:color="auto" w:fill="auto"/>
            <w:vAlign w:val="center"/>
          </w:tcPr>
          <w:p>
            <w:pPr>
              <w:pStyle w:val="39"/>
              <w:rPr>
                <w:rFonts w:cs="Times New Roman"/>
                <w:sz w:val="18"/>
                <w:szCs w:val="18"/>
              </w:rPr>
            </w:pPr>
            <w:r>
              <w:rPr>
                <w:rFonts w:cs="Times New Roman"/>
                <w:sz w:val="18"/>
                <w:szCs w:val="18"/>
              </w:rPr>
              <w:t>排气筒</w:t>
            </w:r>
          </w:p>
          <w:p>
            <w:pPr>
              <w:pStyle w:val="39"/>
              <w:rPr>
                <w:rFonts w:cs="Times New Roman"/>
                <w:sz w:val="18"/>
                <w:szCs w:val="18"/>
              </w:rPr>
            </w:pPr>
            <w:r>
              <w:rPr>
                <w:rFonts w:cs="Times New Roman"/>
                <w:sz w:val="18"/>
                <w:szCs w:val="18"/>
              </w:rPr>
              <w:t>（</w:t>
            </w:r>
            <w:r>
              <w:rPr>
                <w:rFonts w:hint="eastAsia" w:cs="Times New Roman"/>
                <w:sz w:val="18"/>
                <w:szCs w:val="18"/>
              </w:rPr>
              <w:t>锅炉燃烧废气</w:t>
            </w:r>
            <w:r>
              <w:rPr>
                <w:rFonts w:cs="Times New Roman"/>
                <w:sz w:val="18"/>
                <w:szCs w:val="18"/>
              </w:rPr>
              <w:t>）</w:t>
            </w:r>
          </w:p>
        </w:tc>
        <w:tc>
          <w:tcPr>
            <w:tcW w:w="538" w:type="pct"/>
            <w:vMerge w:val="restart"/>
            <w:shd w:val="clear" w:color="auto" w:fill="auto"/>
            <w:vAlign w:val="center"/>
          </w:tcPr>
          <w:p>
            <w:pPr>
              <w:pStyle w:val="39"/>
              <w:rPr>
                <w:rFonts w:cs="Times New Roman"/>
                <w:sz w:val="18"/>
                <w:szCs w:val="18"/>
              </w:rPr>
            </w:pPr>
            <w:r>
              <w:rPr>
                <w:rFonts w:hint="eastAsia" w:cs="Times New Roman"/>
                <w:sz w:val="18"/>
                <w:szCs w:val="18"/>
              </w:rPr>
              <w:t>布袋除尘失效</w:t>
            </w:r>
          </w:p>
        </w:tc>
        <w:tc>
          <w:tcPr>
            <w:tcW w:w="491" w:type="pct"/>
            <w:shd w:val="clear" w:color="auto" w:fill="auto"/>
            <w:vAlign w:val="center"/>
          </w:tcPr>
          <w:p>
            <w:pPr>
              <w:pStyle w:val="39"/>
              <w:rPr>
                <w:rFonts w:cs="Times New Roman"/>
              </w:rPr>
            </w:pPr>
            <w:r>
              <w:rPr>
                <w:rFonts w:eastAsia="TimesNewRomanPSMT" w:cs="Times New Roman"/>
                <w:kern w:val="0"/>
              </w:rPr>
              <w:t>SO</w:t>
            </w:r>
            <w:r>
              <w:rPr>
                <w:rFonts w:eastAsia="TimesNewRomanPSMT" w:cs="Times New Roman"/>
                <w:kern w:val="0"/>
                <w:sz w:val="14"/>
                <w:szCs w:val="14"/>
              </w:rPr>
              <w:t>2</w:t>
            </w:r>
          </w:p>
        </w:tc>
        <w:tc>
          <w:tcPr>
            <w:tcW w:w="576" w:type="pct"/>
            <w:vAlign w:val="center"/>
          </w:tcPr>
          <w:p>
            <w:pPr>
              <w:pStyle w:val="39"/>
            </w:pPr>
            <w:r>
              <w:t xml:space="preserve">54.48 </w:t>
            </w:r>
          </w:p>
        </w:tc>
        <w:tc>
          <w:tcPr>
            <w:tcW w:w="558" w:type="pct"/>
            <w:shd w:val="clear" w:color="auto" w:fill="auto"/>
            <w:vAlign w:val="center"/>
          </w:tcPr>
          <w:p>
            <w:pPr>
              <w:pStyle w:val="39"/>
            </w:pPr>
            <w:r>
              <w:rPr>
                <w:rFonts w:hint="eastAsia"/>
              </w:rPr>
              <w:t>0.102</w:t>
            </w:r>
          </w:p>
        </w:tc>
        <w:tc>
          <w:tcPr>
            <w:tcW w:w="395" w:type="pct"/>
            <w:vMerge w:val="restart"/>
            <w:shd w:val="clear" w:color="auto" w:fill="auto"/>
            <w:vAlign w:val="center"/>
          </w:tcPr>
          <w:p>
            <w:pPr>
              <w:pStyle w:val="39"/>
              <w:rPr>
                <w:rFonts w:cs="Times New Roman"/>
                <w:sz w:val="18"/>
                <w:szCs w:val="18"/>
              </w:rPr>
            </w:pPr>
            <w:r>
              <w:rPr>
                <w:rFonts w:cs="Times New Roman"/>
                <w:sz w:val="18"/>
                <w:szCs w:val="18"/>
              </w:rPr>
              <w:t>0.5</w:t>
            </w:r>
          </w:p>
        </w:tc>
        <w:tc>
          <w:tcPr>
            <w:tcW w:w="465" w:type="pct"/>
            <w:vMerge w:val="restart"/>
            <w:shd w:val="clear" w:color="auto" w:fill="auto"/>
            <w:vAlign w:val="center"/>
          </w:tcPr>
          <w:p>
            <w:pPr>
              <w:pStyle w:val="39"/>
              <w:rPr>
                <w:rFonts w:cs="Times New Roman"/>
                <w:sz w:val="18"/>
                <w:szCs w:val="18"/>
              </w:rPr>
            </w:pPr>
            <w:r>
              <w:rPr>
                <w:rFonts w:cs="Times New Roman"/>
                <w:sz w:val="18"/>
                <w:szCs w:val="18"/>
              </w:rPr>
              <w:t>≤1</w:t>
            </w:r>
          </w:p>
        </w:tc>
        <w:tc>
          <w:tcPr>
            <w:tcW w:w="1145" w:type="pct"/>
            <w:vMerge w:val="restart"/>
            <w:shd w:val="clear" w:color="auto" w:fill="auto"/>
            <w:vAlign w:val="center"/>
          </w:tcPr>
          <w:p>
            <w:pPr>
              <w:pStyle w:val="39"/>
              <w:rPr>
                <w:rFonts w:cs="Times New Roman"/>
                <w:sz w:val="18"/>
                <w:szCs w:val="18"/>
              </w:rPr>
            </w:pPr>
            <w:r>
              <w:rPr>
                <w:rFonts w:hint="eastAsia" w:ascii="宋体" w:hAnsi="宋体" w:cs="宋体"/>
                <w:sz w:val="18"/>
                <w:szCs w:val="18"/>
              </w:rPr>
              <w:t>①</w:t>
            </w:r>
            <w:r>
              <w:rPr>
                <w:rFonts w:cs="Times New Roman"/>
                <w:sz w:val="18"/>
                <w:szCs w:val="18"/>
              </w:rPr>
              <w:t>安排专人日常维护和管理；</w:t>
            </w:r>
            <w:r>
              <w:rPr>
                <w:rFonts w:hint="eastAsia" w:ascii="宋体" w:hAnsi="宋体" w:cs="宋体"/>
                <w:sz w:val="18"/>
                <w:szCs w:val="18"/>
              </w:rPr>
              <w:t>②</w:t>
            </w:r>
            <w:r>
              <w:rPr>
                <w:rFonts w:cs="Times New Roman"/>
                <w:sz w:val="18"/>
                <w:szCs w:val="18"/>
              </w:rPr>
              <w:t>停止生产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76" w:type="pct"/>
            <w:vMerge w:val="continue"/>
            <w:shd w:val="clear" w:color="auto" w:fill="auto"/>
            <w:vAlign w:val="center"/>
          </w:tcPr>
          <w:p>
            <w:pPr>
              <w:pStyle w:val="39"/>
              <w:rPr>
                <w:rFonts w:cs="Times New Roman"/>
                <w:sz w:val="18"/>
                <w:szCs w:val="18"/>
              </w:rPr>
            </w:pPr>
          </w:p>
        </w:tc>
        <w:tc>
          <w:tcPr>
            <w:tcW w:w="555" w:type="pct"/>
            <w:vMerge w:val="continue"/>
            <w:shd w:val="clear" w:color="auto" w:fill="auto"/>
            <w:vAlign w:val="center"/>
          </w:tcPr>
          <w:p>
            <w:pPr>
              <w:pStyle w:val="39"/>
              <w:rPr>
                <w:rFonts w:cs="Times New Roman"/>
                <w:sz w:val="18"/>
                <w:szCs w:val="18"/>
              </w:rPr>
            </w:pPr>
          </w:p>
        </w:tc>
        <w:tc>
          <w:tcPr>
            <w:tcW w:w="538" w:type="pct"/>
            <w:vMerge w:val="continue"/>
            <w:shd w:val="clear" w:color="auto" w:fill="auto"/>
            <w:vAlign w:val="center"/>
          </w:tcPr>
          <w:p>
            <w:pPr>
              <w:pStyle w:val="39"/>
              <w:rPr>
                <w:rFonts w:cs="Times New Roman"/>
                <w:sz w:val="18"/>
                <w:szCs w:val="18"/>
              </w:rPr>
            </w:pPr>
          </w:p>
        </w:tc>
        <w:tc>
          <w:tcPr>
            <w:tcW w:w="491" w:type="pct"/>
            <w:shd w:val="clear" w:color="auto" w:fill="auto"/>
            <w:vAlign w:val="center"/>
          </w:tcPr>
          <w:p>
            <w:pPr>
              <w:pStyle w:val="39"/>
              <w:rPr>
                <w:rFonts w:cs="Times New Roman"/>
              </w:rPr>
            </w:pPr>
            <w:r>
              <w:rPr>
                <w:rFonts w:cs="Times New Roman"/>
              </w:rPr>
              <w:t>烟尘</w:t>
            </w:r>
          </w:p>
        </w:tc>
        <w:tc>
          <w:tcPr>
            <w:tcW w:w="576" w:type="pct"/>
            <w:vAlign w:val="center"/>
          </w:tcPr>
          <w:p>
            <w:pPr>
              <w:pStyle w:val="39"/>
            </w:pPr>
            <w:r>
              <w:t>80.12</w:t>
            </w:r>
          </w:p>
        </w:tc>
        <w:tc>
          <w:tcPr>
            <w:tcW w:w="558" w:type="pct"/>
            <w:shd w:val="clear" w:color="auto" w:fill="auto"/>
            <w:vAlign w:val="center"/>
          </w:tcPr>
          <w:p>
            <w:pPr>
              <w:pStyle w:val="39"/>
            </w:pPr>
            <w:r>
              <w:rPr>
                <w:rFonts w:hint="eastAsia"/>
              </w:rPr>
              <w:t>0.15</w:t>
            </w:r>
          </w:p>
        </w:tc>
        <w:tc>
          <w:tcPr>
            <w:tcW w:w="395" w:type="pct"/>
            <w:vMerge w:val="continue"/>
            <w:shd w:val="clear" w:color="auto" w:fill="auto"/>
            <w:vAlign w:val="center"/>
          </w:tcPr>
          <w:p>
            <w:pPr>
              <w:pStyle w:val="39"/>
              <w:rPr>
                <w:rFonts w:cs="Times New Roman"/>
                <w:sz w:val="18"/>
                <w:szCs w:val="18"/>
              </w:rPr>
            </w:pPr>
          </w:p>
        </w:tc>
        <w:tc>
          <w:tcPr>
            <w:tcW w:w="465" w:type="pct"/>
            <w:vMerge w:val="continue"/>
            <w:shd w:val="clear" w:color="auto" w:fill="auto"/>
            <w:vAlign w:val="center"/>
          </w:tcPr>
          <w:p>
            <w:pPr>
              <w:pStyle w:val="39"/>
              <w:rPr>
                <w:rFonts w:cs="Times New Roman"/>
                <w:sz w:val="18"/>
                <w:szCs w:val="18"/>
              </w:rPr>
            </w:pPr>
          </w:p>
        </w:tc>
        <w:tc>
          <w:tcPr>
            <w:tcW w:w="1145" w:type="pct"/>
            <w:vMerge w:val="continue"/>
            <w:shd w:val="clear" w:color="auto" w:fill="auto"/>
            <w:vAlign w:val="center"/>
          </w:tcPr>
          <w:p>
            <w:pPr>
              <w:pStyle w:val="39"/>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76" w:type="pct"/>
            <w:vMerge w:val="continue"/>
            <w:shd w:val="clear" w:color="auto" w:fill="auto"/>
            <w:vAlign w:val="center"/>
          </w:tcPr>
          <w:p>
            <w:pPr>
              <w:pStyle w:val="39"/>
              <w:rPr>
                <w:rFonts w:cs="Times New Roman"/>
                <w:sz w:val="18"/>
                <w:szCs w:val="18"/>
              </w:rPr>
            </w:pPr>
          </w:p>
        </w:tc>
        <w:tc>
          <w:tcPr>
            <w:tcW w:w="555" w:type="pct"/>
            <w:vMerge w:val="continue"/>
            <w:shd w:val="clear" w:color="auto" w:fill="auto"/>
            <w:vAlign w:val="center"/>
          </w:tcPr>
          <w:p>
            <w:pPr>
              <w:pStyle w:val="39"/>
              <w:rPr>
                <w:rFonts w:cs="Times New Roman"/>
                <w:sz w:val="18"/>
                <w:szCs w:val="18"/>
              </w:rPr>
            </w:pPr>
          </w:p>
        </w:tc>
        <w:tc>
          <w:tcPr>
            <w:tcW w:w="538" w:type="pct"/>
            <w:vMerge w:val="continue"/>
            <w:shd w:val="clear" w:color="auto" w:fill="auto"/>
            <w:vAlign w:val="center"/>
          </w:tcPr>
          <w:p>
            <w:pPr>
              <w:pStyle w:val="39"/>
              <w:rPr>
                <w:rFonts w:cs="Times New Roman"/>
                <w:sz w:val="18"/>
                <w:szCs w:val="18"/>
              </w:rPr>
            </w:pPr>
          </w:p>
        </w:tc>
        <w:tc>
          <w:tcPr>
            <w:tcW w:w="491" w:type="pct"/>
            <w:shd w:val="clear" w:color="auto" w:fill="auto"/>
            <w:vAlign w:val="center"/>
          </w:tcPr>
          <w:p>
            <w:pPr>
              <w:pStyle w:val="39"/>
              <w:rPr>
                <w:rFonts w:cs="Times New Roman"/>
              </w:rPr>
            </w:pPr>
            <w:r>
              <w:rPr>
                <w:rFonts w:eastAsia="TimesNewRomanPSMT" w:cs="Times New Roman"/>
                <w:kern w:val="0"/>
              </w:rPr>
              <w:t>NOx</w:t>
            </w:r>
          </w:p>
        </w:tc>
        <w:tc>
          <w:tcPr>
            <w:tcW w:w="576" w:type="pct"/>
            <w:vAlign w:val="center"/>
          </w:tcPr>
          <w:p>
            <w:pPr>
              <w:pStyle w:val="39"/>
            </w:pPr>
            <w:r>
              <w:t xml:space="preserve">163.44 </w:t>
            </w:r>
          </w:p>
        </w:tc>
        <w:tc>
          <w:tcPr>
            <w:tcW w:w="558" w:type="pct"/>
            <w:shd w:val="clear" w:color="auto" w:fill="auto"/>
            <w:vAlign w:val="center"/>
          </w:tcPr>
          <w:p>
            <w:pPr>
              <w:pStyle w:val="39"/>
            </w:pPr>
            <w:r>
              <w:rPr>
                <w:rFonts w:hint="eastAsia"/>
              </w:rPr>
              <w:t>0.306</w:t>
            </w:r>
          </w:p>
        </w:tc>
        <w:tc>
          <w:tcPr>
            <w:tcW w:w="395" w:type="pct"/>
            <w:vMerge w:val="continue"/>
            <w:shd w:val="clear" w:color="auto" w:fill="auto"/>
            <w:vAlign w:val="center"/>
          </w:tcPr>
          <w:p>
            <w:pPr>
              <w:pStyle w:val="39"/>
              <w:rPr>
                <w:rFonts w:cs="Times New Roman"/>
                <w:sz w:val="18"/>
                <w:szCs w:val="18"/>
              </w:rPr>
            </w:pPr>
          </w:p>
        </w:tc>
        <w:tc>
          <w:tcPr>
            <w:tcW w:w="465" w:type="pct"/>
            <w:vMerge w:val="continue"/>
            <w:shd w:val="clear" w:color="auto" w:fill="auto"/>
            <w:vAlign w:val="center"/>
          </w:tcPr>
          <w:p>
            <w:pPr>
              <w:pStyle w:val="39"/>
              <w:rPr>
                <w:rFonts w:cs="Times New Roman"/>
                <w:sz w:val="18"/>
                <w:szCs w:val="18"/>
              </w:rPr>
            </w:pPr>
          </w:p>
        </w:tc>
        <w:tc>
          <w:tcPr>
            <w:tcW w:w="1145" w:type="pct"/>
            <w:vMerge w:val="continue"/>
            <w:shd w:val="clear" w:color="auto" w:fill="auto"/>
            <w:vAlign w:val="center"/>
          </w:tcPr>
          <w:p>
            <w:pPr>
              <w:pStyle w:val="39"/>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76" w:type="pct"/>
            <w:vMerge w:val="restart"/>
            <w:shd w:val="clear" w:color="auto" w:fill="auto"/>
            <w:vAlign w:val="center"/>
          </w:tcPr>
          <w:p>
            <w:pPr>
              <w:pStyle w:val="39"/>
              <w:rPr>
                <w:rFonts w:cs="Times New Roman"/>
                <w:sz w:val="18"/>
                <w:szCs w:val="18"/>
              </w:rPr>
            </w:pPr>
            <w:r>
              <w:rPr>
                <w:rFonts w:cs="Times New Roman"/>
                <w:sz w:val="18"/>
                <w:szCs w:val="18"/>
              </w:rPr>
              <w:t>2</w:t>
            </w:r>
          </w:p>
        </w:tc>
        <w:tc>
          <w:tcPr>
            <w:tcW w:w="555" w:type="pct"/>
            <w:vMerge w:val="restart"/>
            <w:shd w:val="clear" w:color="auto" w:fill="auto"/>
            <w:vAlign w:val="center"/>
          </w:tcPr>
          <w:p>
            <w:pPr>
              <w:pStyle w:val="39"/>
              <w:rPr>
                <w:rFonts w:cs="Times New Roman"/>
                <w:sz w:val="18"/>
                <w:szCs w:val="18"/>
              </w:rPr>
            </w:pPr>
            <w:r>
              <w:rPr>
                <w:rFonts w:cs="Times New Roman"/>
                <w:sz w:val="18"/>
                <w:szCs w:val="18"/>
              </w:rPr>
              <w:t>鸡舍</w:t>
            </w:r>
            <w:r>
              <w:rPr>
                <w:rFonts w:hint="eastAsia" w:cs="Times New Roman"/>
                <w:sz w:val="18"/>
                <w:szCs w:val="18"/>
              </w:rPr>
              <w:t>及</w:t>
            </w:r>
            <w:r>
              <w:rPr>
                <w:rFonts w:cs="Times New Roman"/>
                <w:sz w:val="18"/>
                <w:szCs w:val="18"/>
              </w:rPr>
              <w:t>鸡粪混合区</w:t>
            </w:r>
          </w:p>
        </w:tc>
        <w:tc>
          <w:tcPr>
            <w:tcW w:w="538" w:type="pct"/>
            <w:vMerge w:val="restart"/>
            <w:shd w:val="clear" w:color="auto" w:fill="auto"/>
            <w:vAlign w:val="center"/>
          </w:tcPr>
          <w:p>
            <w:pPr>
              <w:pStyle w:val="39"/>
              <w:rPr>
                <w:rFonts w:cs="Times New Roman"/>
                <w:sz w:val="18"/>
                <w:szCs w:val="18"/>
              </w:rPr>
            </w:pPr>
            <w:r>
              <w:rPr>
                <w:rFonts w:cs="Times New Roman"/>
                <w:sz w:val="18"/>
                <w:szCs w:val="18"/>
              </w:rPr>
              <w:t>未喷洒除臭剂</w:t>
            </w:r>
          </w:p>
        </w:tc>
        <w:tc>
          <w:tcPr>
            <w:tcW w:w="491" w:type="pct"/>
            <w:shd w:val="clear" w:color="auto" w:fill="auto"/>
            <w:vAlign w:val="center"/>
          </w:tcPr>
          <w:p>
            <w:pPr>
              <w:pStyle w:val="39"/>
              <w:rPr>
                <w:rFonts w:cs="Times New Roman"/>
              </w:rPr>
            </w:pPr>
            <w:r>
              <w:rPr>
                <w:rFonts w:cs="Times New Roman"/>
              </w:rPr>
              <w:t>NH</w:t>
            </w:r>
            <w:r>
              <w:rPr>
                <w:rFonts w:cs="Times New Roman"/>
                <w:vertAlign w:val="subscript"/>
              </w:rPr>
              <w:t>3</w:t>
            </w:r>
          </w:p>
        </w:tc>
        <w:tc>
          <w:tcPr>
            <w:tcW w:w="576" w:type="pct"/>
            <w:vAlign w:val="center"/>
          </w:tcPr>
          <w:p>
            <w:pPr>
              <w:pStyle w:val="39"/>
              <w:rPr>
                <w:rFonts w:cs="Times New Roman"/>
              </w:rPr>
            </w:pPr>
            <w:r>
              <w:rPr>
                <w:rFonts w:cs="Times New Roman"/>
              </w:rPr>
              <w:t>/</w:t>
            </w:r>
          </w:p>
        </w:tc>
        <w:tc>
          <w:tcPr>
            <w:tcW w:w="558" w:type="pct"/>
            <w:shd w:val="clear" w:color="auto" w:fill="auto"/>
            <w:vAlign w:val="center"/>
          </w:tcPr>
          <w:p>
            <w:pPr>
              <w:pStyle w:val="39"/>
              <w:rPr>
                <w:rFonts w:cs="Times New Roman"/>
                <w:u w:val="single"/>
              </w:rPr>
            </w:pPr>
            <w:r>
              <w:rPr>
                <w:rFonts w:cs="Times New Roman"/>
                <w:u w:val="single"/>
              </w:rPr>
              <w:t>1.59</w:t>
            </w:r>
          </w:p>
        </w:tc>
        <w:tc>
          <w:tcPr>
            <w:tcW w:w="395" w:type="pct"/>
            <w:vMerge w:val="restart"/>
            <w:shd w:val="clear" w:color="auto" w:fill="auto"/>
            <w:vAlign w:val="center"/>
          </w:tcPr>
          <w:p>
            <w:pPr>
              <w:pStyle w:val="39"/>
              <w:rPr>
                <w:rFonts w:cs="Times New Roman"/>
                <w:sz w:val="18"/>
                <w:szCs w:val="18"/>
              </w:rPr>
            </w:pPr>
            <w:r>
              <w:rPr>
                <w:rFonts w:cs="Times New Roman"/>
                <w:sz w:val="18"/>
                <w:szCs w:val="18"/>
              </w:rPr>
              <w:t>0.5</w:t>
            </w:r>
          </w:p>
        </w:tc>
        <w:tc>
          <w:tcPr>
            <w:tcW w:w="465" w:type="pct"/>
            <w:vMerge w:val="restart"/>
            <w:shd w:val="clear" w:color="auto" w:fill="auto"/>
            <w:vAlign w:val="center"/>
          </w:tcPr>
          <w:p>
            <w:pPr>
              <w:pStyle w:val="39"/>
              <w:rPr>
                <w:rFonts w:cs="Times New Roman"/>
                <w:sz w:val="18"/>
                <w:szCs w:val="18"/>
              </w:rPr>
            </w:pPr>
            <w:r>
              <w:rPr>
                <w:rFonts w:cs="Times New Roman"/>
                <w:sz w:val="18"/>
                <w:szCs w:val="18"/>
              </w:rPr>
              <w:t>≤1</w:t>
            </w:r>
          </w:p>
        </w:tc>
        <w:tc>
          <w:tcPr>
            <w:tcW w:w="1145" w:type="pct"/>
            <w:vMerge w:val="restart"/>
            <w:shd w:val="clear" w:color="auto" w:fill="auto"/>
            <w:vAlign w:val="center"/>
          </w:tcPr>
          <w:p>
            <w:pPr>
              <w:pStyle w:val="39"/>
              <w:rPr>
                <w:rFonts w:cs="Times New Roman"/>
                <w:sz w:val="18"/>
                <w:szCs w:val="18"/>
              </w:rPr>
            </w:pPr>
            <w:r>
              <w:rPr>
                <w:rFonts w:cs="Times New Roman"/>
                <w:sz w:val="18"/>
                <w:szCs w:val="18"/>
              </w:rPr>
              <w:t>及时喷洒除臭剂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76" w:type="pct"/>
            <w:vMerge w:val="continue"/>
            <w:shd w:val="clear" w:color="auto" w:fill="auto"/>
            <w:vAlign w:val="center"/>
          </w:tcPr>
          <w:p>
            <w:pPr>
              <w:pStyle w:val="39"/>
              <w:rPr>
                <w:rFonts w:cs="Times New Roman"/>
                <w:sz w:val="18"/>
                <w:szCs w:val="18"/>
              </w:rPr>
            </w:pPr>
          </w:p>
        </w:tc>
        <w:tc>
          <w:tcPr>
            <w:tcW w:w="555" w:type="pct"/>
            <w:vMerge w:val="continue"/>
            <w:shd w:val="clear" w:color="auto" w:fill="auto"/>
            <w:vAlign w:val="center"/>
          </w:tcPr>
          <w:p>
            <w:pPr>
              <w:pStyle w:val="39"/>
              <w:rPr>
                <w:rFonts w:cs="Times New Roman"/>
                <w:sz w:val="18"/>
                <w:szCs w:val="18"/>
              </w:rPr>
            </w:pPr>
          </w:p>
        </w:tc>
        <w:tc>
          <w:tcPr>
            <w:tcW w:w="538" w:type="pct"/>
            <w:vMerge w:val="continue"/>
            <w:shd w:val="clear" w:color="auto" w:fill="auto"/>
            <w:vAlign w:val="center"/>
          </w:tcPr>
          <w:p>
            <w:pPr>
              <w:pStyle w:val="39"/>
              <w:rPr>
                <w:rFonts w:cs="Times New Roman"/>
                <w:sz w:val="18"/>
                <w:szCs w:val="18"/>
              </w:rPr>
            </w:pPr>
          </w:p>
        </w:tc>
        <w:tc>
          <w:tcPr>
            <w:tcW w:w="491" w:type="pct"/>
            <w:shd w:val="clear" w:color="auto" w:fill="auto"/>
            <w:vAlign w:val="center"/>
          </w:tcPr>
          <w:p>
            <w:pPr>
              <w:pStyle w:val="39"/>
              <w:rPr>
                <w:rFonts w:cs="Times New Roman"/>
              </w:rPr>
            </w:pPr>
            <w:r>
              <w:rPr>
                <w:rFonts w:cs="Times New Roman"/>
              </w:rPr>
              <w:t>H</w:t>
            </w:r>
            <w:r>
              <w:rPr>
                <w:rFonts w:cs="Times New Roman"/>
                <w:vertAlign w:val="subscript"/>
              </w:rPr>
              <w:t>2</w:t>
            </w:r>
            <w:r>
              <w:rPr>
                <w:rFonts w:cs="Times New Roman"/>
              </w:rPr>
              <w:t>S</w:t>
            </w:r>
          </w:p>
        </w:tc>
        <w:tc>
          <w:tcPr>
            <w:tcW w:w="576" w:type="pct"/>
            <w:vAlign w:val="center"/>
          </w:tcPr>
          <w:p>
            <w:pPr>
              <w:pStyle w:val="39"/>
              <w:rPr>
                <w:rFonts w:cs="Times New Roman"/>
              </w:rPr>
            </w:pPr>
            <w:r>
              <w:rPr>
                <w:rFonts w:cs="Times New Roman"/>
              </w:rPr>
              <w:t>/</w:t>
            </w:r>
          </w:p>
        </w:tc>
        <w:tc>
          <w:tcPr>
            <w:tcW w:w="558" w:type="pct"/>
            <w:shd w:val="clear" w:color="auto" w:fill="auto"/>
            <w:vAlign w:val="center"/>
          </w:tcPr>
          <w:p>
            <w:pPr>
              <w:pStyle w:val="39"/>
              <w:rPr>
                <w:rFonts w:cs="Times New Roman"/>
                <w:u w:val="single"/>
              </w:rPr>
            </w:pPr>
            <w:r>
              <w:rPr>
                <w:rFonts w:cs="Times New Roman"/>
                <w:u w:val="single"/>
              </w:rPr>
              <w:t>0.10</w:t>
            </w:r>
          </w:p>
        </w:tc>
        <w:tc>
          <w:tcPr>
            <w:tcW w:w="395" w:type="pct"/>
            <w:vMerge w:val="continue"/>
            <w:shd w:val="clear" w:color="auto" w:fill="auto"/>
            <w:vAlign w:val="center"/>
          </w:tcPr>
          <w:p>
            <w:pPr>
              <w:pStyle w:val="39"/>
              <w:rPr>
                <w:rFonts w:cs="Times New Roman"/>
                <w:sz w:val="18"/>
                <w:szCs w:val="18"/>
              </w:rPr>
            </w:pPr>
          </w:p>
        </w:tc>
        <w:tc>
          <w:tcPr>
            <w:tcW w:w="465" w:type="pct"/>
            <w:vMerge w:val="continue"/>
            <w:shd w:val="clear" w:color="auto" w:fill="auto"/>
            <w:vAlign w:val="center"/>
          </w:tcPr>
          <w:p>
            <w:pPr>
              <w:pStyle w:val="39"/>
              <w:rPr>
                <w:rFonts w:cs="Times New Roman"/>
                <w:sz w:val="18"/>
                <w:szCs w:val="18"/>
              </w:rPr>
            </w:pPr>
          </w:p>
        </w:tc>
        <w:tc>
          <w:tcPr>
            <w:tcW w:w="1145" w:type="pct"/>
            <w:vMerge w:val="continue"/>
            <w:shd w:val="clear" w:color="auto" w:fill="auto"/>
            <w:vAlign w:val="center"/>
          </w:tcPr>
          <w:p>
            <w:pPr>
              <w:pStyle w:val="39"/>
              <w:rPr>
                <w:rFonts w:cs="Times New Roman"/>
                <w:sz w:val="18"/>
                <w:szCs w:val="18"/>
              </w:rPr>
            </w:pPr>
          </w:p>
        </w:tc>
      </w:tr>
    </w:tbl>
    <w:p>
      <w:pPr>
        <w:pStyle w:val="3"/>
        <w:ind w:firstLine="480"/>
      </w:pPr>
    </w:p>
    <w:p>
      <w:pPr>
        <w:pStyle w:val="6"/>
      </w:pPr>
      <w:r>
        <w:t>地表水环境影响预测与评价</w:t>
      </w:r>
    </w:p>
    <w:p>
      <w:pPr>
        <w:spacing w:line="360" w:lineRule="auto"/>
        <w:ind w:firstLine="480" w:firstLineChars="200"/>
        <w:rPr>
          <w:sz w:val="24"/>
          <w:szCs w:val="24"/>
        </w:rPr>
      </w:pPr>
      <w:r>
        <w:rPr>
          <w:rFonts w:hint="eastAsia"/>
          <w:sz w:val="24"/>
          <w:szCs w:val="24"/>
        </w:rPr>
        <w:t>本项目废水污染源主要为鸡舍冲洗废水和员工生活产生的少量生活废水。</w:t>
      </w:r>
    </w:p>
    <w:p>
      <w:pPr>
        <w:pStyle w:val="3"/>
        <w:ind w:firstLine="480"/>
        <w:rPr>
          <w:szCs w:val="24"/>
        </w:rPr>
      </w:pPr>
      <w:r>
        <w:rPr>
          <w:szCs w:val="24"/>
        </w:rPr>
        <w:t>根据工程分析有关内容，本项目为水污染影响型建设项目，依据本项目</w:t>
      </w:r>
      <w:r>
        <w:rPr>
          <w:rFonts w:hint="eastAsia"/>
          <w:szCs w:val="24"/>
        </w:rPr>
        <w:t>分析，本项目每栋鸡舍旁设置一个废水收集池，鸡舍冲洗废水经废水收集池收集后，用泵将废水抽至化粪池，鸡舍冲洗废水和生活污水一起经化粪池处理后用作农肥。</w:t>
      </w:r>
    </w:p>
    <w:p>
      <w:pPr>
        <w:pStyle w:val="3"/>
        <w:ind w:firstLine="480"/>
        <w:rPr>
          <w:rFonts w:cs="Times New Roman"/>
        </w:rPr>
      </w:pPr>
      <w:r>
        <w:rPr>
          <w:rFonts w:cs="Times New Roman"/>
        </w:rPr>
        <w:t>根据《环境影响评价技术导则 地表水环境》（HJ2.3-2018），本项目三级B仅对生产废水通过处理后回水利用的可行性进行分析。</w:t>
      </w:r>
    </w:p>
    <w:p>
      <w:pPr>
        <w:pStyle w:val="7"/>
        <w:rPr>
          <w:rFonts w:cs="Times New Roman"/>
        </w:rPr>
      </w:pPr>
      <w:r>
        <w:rPr>
          <w:rFonts w:cs="Times New Roman"/>
        </w:rPr>
        <w:t>项目废水</w:t>
      </w:r>
      <w:r>
        <w:rPr>
          <w:rFonts w:hint="eastAsia" w:cs="Times New Roman"/>
        </w:rPr>
        <w:t>用作农肥</w:t>
      </w:r>
      <w:r>
        <w:rPr>
          <w:rFonts w:cs="Times New Roman"/>
        </w:rPr>
        <w:t>的可行性分析</w:t>
      </w:r>
    </w:p>
    <w:p>
      <w:pPr>
        <w:pStyle w:val="3"/>
        <w:ind w:firstLine="480"/>
      </w:pPr>
      <w:r>
        <w:rPr>
          <w:rFonts w:hint="eastAsia"/>
        </w:rPr>
        <w:t>通过查阅资料</w:t>
      </w:r>
      <w:r>
        <w:t>，</w:t>
      </w:r>
      <w:r>
        <w:rPr>
          <w:rFonts w:hint="eastAsia"/>
        </w:rPr>
        <w:t>经过化粪池池处理后的生活废水</w:t>
      </w:r>
      <w:r>
        <w:t>养分组成与含量</w:t>
      </w:r>
      <w:r>
        <w:rPr>
          <w:rFonts w:hint="eastAsia"/>
        </w:rPr>
        <w:t>约</w:t>
      </w:r>
      <w:r>
        <w:t>为：氨氮0.056%，速效磷0.067%，速效钾0.113%，10m</w:t>
      </w:r>
      <w:r>
        <w:rPr>
          <w:vertAlign w:val="superscript"/>
        </w:rPr>
        <w:t>3</w:t>
      </w:r>
      <w:r>
        <w:rPr>
          <w:rFonts w:hint="eastAsia"/>
        </w:rPr>
        <w:t>农肥</w:t>
      </w:r>
      <w:r>
        <w:t>所含有的氮、磷、钾养分量分别为：氨氮5.6kg，速效磷6.7kg，速效钾11.30kg。</w:t>
      </w:r>
      <w:r>
        <w:rPr>
          <w:rFonts w:hint="eastAsia"/>
        </w:rPr>
        <w:t>根据建设单位提供的资料</w:t>
      </w:r>
      <w:r>
        <w:t>，</w:t>
      </w:r>
      <w:r>
        <w:rPr>
          <w:rFonts w:hint="eastAsia"/>
        </w:rPr>
        <w:t>目前已流转项目周边约300亩地作为公司同期发展的种植区</w:t>
      </w:r>
      <w:r>
        <w:rPr>
          <w:rFonts w:hint="eastAsia"/>
          <w:u w:val="single"/>
        </w:rPr>
        <w:t>，包括果园区：以柑橘类为主的果园约100亩，主要位于</w:t>
      </w:r>
      <w:r>
        <w:rPr>
          <w:u w:val="single"/>
        </w:rPr>
        <w:t>项目</w:t>
      </w:r>
      <w:r>
        <w:rPr>
          <w:rFonts w:hint="eastAsia"/>
          <w:u w:val="single"/>
        </w:rPr>
        <w:t>东南约500</w:t>
      </w:r>
      <w:r>
        <w:rPr>
          <w:u w:val="single"/>
        </w:rPr>
        <w:t>m</w:t>
      </w:r>
      <w:r>
        <w:rPr>
          <w:rFonts w:hint="eastAsia"/>
          <w:u w:val="single"/>
        </w:rPr>
        <w:t>处</w:t>
      </w:r>
      <w:r>
        <w:rPr>
          <w:u w:val="single"/>
        </w:rPr>
        <w:t>的荷叶冲及东湖村；</w:t>
      </w:r>
      <w:r>
        <w:rPr>
          <w:rFonts w:hint="eastAsia"/>
          <w:u w:val="single"/>
        </w:rPr>
        <w:t>蔬菜区：四季蔬菜水果约100亩，</w:t>
      </w:r>
      <w:r>
        <w:rPr>
          <w:u w:val="single"/>
        </w:rPr>
        <w:t>主要位于</w:t>
      </w:r>
      <w:r>
        <w:rPr>
          <w:rFonts w:hint="eastAsia"/>
          <w:u w:val="single"/>
        </w:rPr>
        <w:t>项目</w:t>
      </w:r>
      <w:r>
        <w:rPr>
          <w:u w:val="single"/>
        </w:rPr>
        <w:t>东北</w:t>
      </w:r>
      <w:r>
        <w:rPr>
          <w:rFonts w:hint="eastAsia"/>
          <w:u w:val="single"/>
        </w:rPr>
        <w:t>200</w:t>
      </w:r>
      <w:r>
        <w:rPr>
          <w:u w:val="single"/>
        </w:rPr>
        <w:t>m~500</w:t>
      </w:r>
      <w:r>
        <w:rPr>
          <w:rFonts w:hint="eastAsia"/>
          <w:u w:val="single"/>
        </w:rPr>
        <w:t>m处</w:t>
      </w:r>
      <w:r>
        <w:rPr>
          <w:u w:val="single"/>
        </w:rPr>
        <w:t>的陈家门小组及寺山村</w:t>
      </w:r>
      <w:r>
        <w:rPr>
          <w:rFonts w:hint="eastAsia"/>
          <w:u w:val="single"/>
        </w:rPr>
        <w:t>；及正在</w:t>
      </w:r>
      <w:r>
        <w:rPr>
          <w:u w:val="single"/>
        </w:rPr>
        <w:t>规划中的</w:t>
      </w:r>
      <w:r>
        <w:rPr>
          <w:rFonts w:hint="eastAsia"/>
          <w:u w:val="single"/>
        </w:rPr>
        <w:t>中药材种植区100亩等，本次</w:t>
      </w:r>
      <w:r>
        <w:rPr>
          <w:u w:val="single"/>
        </w:rPr>
        <w:t>评价</w:t>
      </w:r>
      <w:r>
        <w:rPr>
          <w:rFonts w:hint="eastAsia"/>
          <w:u w:val="single"/>
        </w:rPr>
        <w:t>以</w:t>
      </w:r>
      <w:r>
        <w:rPr>
          <w:u w:val="single"/>
        </w:rPr>
        <w:t>柑橘类施肥限值进行计算，</w:t>
      </w:r>
      <w:r>
        <w:rPr>
          <w:rFonts w:hint="eastAsia"/>
          <w:u w:val="single"/>
        </w:rPr>
        <w:t>经查阅</w:t>
      </w:r>
      <w:r>
        <w:rPr>
          <w:u w:val="single"/>
        </w:rPr>
        <w:t>资料，</w:t>
      </w:r>
      <w:r>
        <w:rPr>
          <w:rFonts w:hint="eastAsia"/>
          <w:u w:val="single"/>
        </w:rPr>
        <w:t>按</w:t>
      </w:r>
      <w:r>
        <w:rPr>
          <w:u w:val="single"/>
        </w:rPr>
        <w:t>已</w:t>
      </w:r>
      <w:r>
        <w:rPr>
          <w:rFonts w:hint="eastAsia"/>
          <w:u w:val="single"/>
        </w:rPr>
        <w:t>成年</w:t>
      </w:r>
      <w:r>
        <w:rPr>
          <w:u w:val="single"/>
        </w:rPr>
        <w:t>橘树，一年施肥</w:t>
      </w:r>
      <w:r>
        <w:rPr>
          <w:rFonts w:hint="eastAsia"/>
          <w:u w:val="single"/>
        </w:rPr>
        <w:t>6</w:t>
      </w:r>
      <w:r>
        <w:rPr>
          <w:u w:val="single"/>
        </w:rPr>
        <w:t>~8</w:t>
      </w:r>
      <w:r>
        <w:rPr>
          <w:rFonts w:hint="eastAsia"/>
          <w:u w:val="single"/>
        </w:rPr>
        <w:t>次</w:t>
      </w:r>
      <w:r>
        <w:rPr>
          <w:u w:val="single"/>
        </w:rPr>
        <w:t>，</w:t>
      </w:r>
      <w:r>
        <w:rPr>
          <w:rFonts w:hint="eastAsia"/>
          <w:u w:val="single"/>
        </w:rPr>
        <w:t>一般</w:t>
      </w:r>
      <w:r>
        <w:rPr>
          <w:u w:val="single"/>
        </w:rPr>
        <w:t>橘园每亩</w:t>
      </w:r>
      <w:r>
        <w:rPr>
          <w:rFonts w:hint="eastAsia"/>
          <w:u w:val="single"/>
        </w:rPr>
        <w:t>每次施氮25</w:t>
      </w:r>
      <w:r>
        <w:rPr>
          <w:u w:val="single"/>
        </w:rPr>
        <w:t>~30kg</w:t>
      </w:r>
      <w:r>
        <w:rPr>
          <w:rFonts w:hint="eastAsia"/>
          <w:u w:val="single"/>
        </w:rPr>
        <w:t>，</w:t>
      </w:r>
      <w:r>
        <w:rPr>
          <w:u w:val="single"/>
        </w:rPr>
        <w:t>磷13~15kg，钾18kg</w:t>
      </w:r>
      <w:r>
        <w:rPr>
          <w:rFonts w:hint="eastAsia"/>
          <w:u w:val="single"/>
        </w:rPr>
        <w:t>。</w:t>
      </w:r>
    </w:p>
    <w:p>
      <w:pPr>
        <w:pStyle w:val="3"/>
        <w:ind w:firstLine="480"/>
      </w:pPr>
      <w:r>
        <w:t>10m</w:t>
      </w:r>
      <w:r>
        <w:rPr>
          <w:vertAlign w:val="superscript"/>
        </w:rPr>
        <w:t>3</w:t>
      </w:r>
      <w:r>
        <w:rPr>
          <w:rFonts w:hint="eastAsia"/>
        </w:rPr>
        <w:t>农肥</w:t>
      </w:r>
      <w:r>
        <w:t>所含养分需要的承载土地量分别为：氮</w:t>
      </w:r>
      <w:r>
        <w:rPr>
          <w:rFonts w:hint="eastAsia"/>
        </w:rPr>
        <w:t>0.187</w:t>
      </w:r>
      <w:r>
        <w:t>~0.224</w:t>
      </w:r>
      <w:r>
        <w:rPr>
          <w:rFonts w:hint="eastAsia"/>
        </w:rPr>
        <w:t>亩</w:t>
      </w:r>
      <w:r>
        <w:t>，磷0.447~0.515</w:t>
      </w:r>
      <w:r>
        <w:rPr>
          <w:rFonts w:hint="eastAsia"/>
        </w:rPr>
        <w:t>亩</w:t>
      </w:r>
      <w:r>
        <w:t>，钾0.628</w:t>
      </w:r>
      <w:r>
        <w:rPr>
          <w:rFonts w:hint="eastAsia"/>
        </w:rPr>
        <w:t>亩</w:t>
      </w:r>
      <w:r>
        <w:t>，最大需0.628</w:t>
      </w:r>
      <w:r>
        <w:rPr>
          <w:rFonts w:hint="eastAsia"/>
        </w:rPr>
        <w:t>亩</w:t>
      </w:r>
      <w:r>
        <w:t>的土地，即10m</w:t>
      </w:r>
      <w:r>
        <w:rPr>
          <w:vertAlign w:val="superscript"/>
        </w:rPr>
        <w:t>3</w:t>
      </w:r>
      <w:r>
        <w:rPr>
          <w:rFonts w:hint="eastAsia"/>
        </w:rPr>
        <w:t>农</w:t>
      </w:r>
      <w:r>
        <w:t>肥需要0.628</w:t>
      </w:r>
      <w:r>
        <w:rPr>
          <w:rFonts w:hint="eastAsia"/>
        </w:rPr>
        <w:t>亩</w:t>
      </w:r>
      <w:r>
        <w:t>的土地消纳，即每亩每</w:t>
      </w:r>
      <w:r>
        <w:rPr>
          <w:rFonts w:hint="eastAsia"/>
        </w:rPr>
        <w:t>次</w:t>
      </w:r>
      <w:r>
        <w:t>可消纳的</w:t>
      </w:r>
      <w:r>
        <w:rPr>
          <w:rFonts w:hint="eastAsia"/>
        </w:rPr>
        <w:t>农肥</w:t>
      </w:r>
      <w:r>
        <w:t>量</w:t>
      </w:r>
      <w:r>
        <w:rPr>
          <w:rFonts w:hint="eastAsia"/>
        </w:rPr>
        <w:t>约</w:t>
      </w:r>
      <w:r>
        <w:t>为15.9m</w:t>
      </w:r>
      <w:r>
        <w:rPr>
          <w:vertAlign w:val="superscript"/>
        </w:rPr>
        <w:t>3</w:t>
      </w:r>
      <w:r>
        <w:rPr>
          <w:rFonts w:hint="eastAsia"/>
        </w:rPr>
        <w:t>农</w:t>
      </w:r>
      <w:r>
        <w:t>肥</w:t>
      </w:r>
      <w:r>
        <w:rPr>
          <w:rFonts w:hint="eastAsia"/>
        </w:rPr>
        <w:t>；项目果园种植区</w:t>
      </w:r>
      <w:r>
        <w:rPr>
          <w:rFonts w:hint="eastAsia" w:cs="Times New Roman"/>
        </w:rPr>
        <w:t>100亩可</w:t>
      </w:r>
      <w:r>
        <w:rPr>
          <w:rFonts w:cs="Times New Roman"/>
        </w:rPr>
        <w:t>消纳</w:t>
      </w:r>
      <w:r>
        <w:rPr>
          <w:rFonts w:hint="eastAsia" w:cs="Times New Roman"/>
        </w:rPr>
        <w:t>农肥1590</w:t>
      </w:r>
      <w:r>
        <w:t>m</w:t>
      </w:r>
      <w:r>
        <w:rPr>
          <w:vertAlign w:val="superscript"/>
        </w:rPr>
        <w:t>3</w:t>
      </w:r>
      <w:r>
        <w:t>/</w:t>
      </w:r>
      <w:r>
        <w:rPr>
          <w:rFonts w:hint="eastAsia"/>
        </w:rPr>
        <w:t>次，按</w:t>
      </w:r>
      <w:r>
        <w:t>最少量</w:t>
      </w:r>
      <w:r>
        <w:rPr>
          <w:rFonts w:hint="eastAsia"/>
        </w:rPr>
        <w:t>6次/</w:t>
      </w:r>
      <w:r>
        <w:t>a</w:t>
      </w:r>
      <w:r>
        <w:rPr>
          <w:rFonts w:hint="eastAsia"/>
        </w:rPr>
        <w:t>计算</w:t>
      </w:r>
      <w:r>
        <w:t>，</w:t>
      </w:r>
      <w:r>
        <w:rPr>
          <w:rFonts w:hint="eastAsia"/>
        </w:rPr>
        <w:t>则</w:t>
      </w:r>
      <w:r>
        <w:t>每年</w:t>
      </w:r>
      <w:r>
        <w:rPr>
          <w:rFonts w:hint="eastAsia"/>
        </w:rPr>
        <w:t>仅果园种植区至少</w:t>
      </w:r>
      <w:r>
        <w:t>可消纳</w:t>
      </w:r>
      <w:r>
        <w:rPr>
          <w:rFonts w:hint="eastAsia"/>
        </w:rPr>
        <w:t>农肥9540</w:t>
      </w:r>
      <w:r>
        <w:t>m</w:t>
      </w:r>
      <w:r>
        <w:rPr>
          <w:vertAlign w:val="superscript"/>
        </w:rPr>
        <w:t>3</w:t>
      </w:r>
      <w:r>
        <w:rPr>
          <w:rFonts w:hint="eastAsia"/>
        </w:rPr>
        <w:t>＞</w:t>
      </w:r>
      <w:r>
        <w:rPr>
          <w:rFonts w:cs="Times New Roman"/>
        </w:rPr>
        <w:t>2010.22</w:t>
      </w:r>
      <w:r>
        <w:rPr>
          <w:rFonts w:hint="eastAsia"/>
        </w:rPr>
        <w:t>m</w:t>
      </w:r>
      <w:r>
        <w:rPr>
          <w:rFonts w:hint="eastAsia"/>
          <w:vertAlign w:val="superscript"/>
        </w:rPr>
        <w:t>3</w:t>
      </w:r>
      <w:r>
        <w:rPr>
          <w:rFonts w:hint="eastAsia"/>
        </w:rPr>
        <w:t>/</w:t>
      </w:r>
      <w:r>
        <w:t>a</w:t>
      </w:r>
      <w:r>
        <w:rPr>
          <w:rFonts w:hint="eastAsia"/>
        </w:rPr>
        <w:t>，另有蔬果水果区及中药材区可消纳本项目的废水，因此建设单位的种植区可完全消纳项目的</w:t>
      </w:r>
      <w:r>
        <w:t>废水</w:t>
      </w:r>
      <w:r>
        <w:rPr>
          <w:rFonts w:hint="eastAsia"/>
        </w:rPr>
        <w:t>。</w:t>
      </w:r>
    </w:p>
    <w:p>
      <w:pPr>
        <w:pStyle w:val="3"/>
        <w:ind w:firstLine="480"/>
      </w:pPr>
      <w:r>
        <w:rPr>
          <w:rFonts w:hint="eastAsia"/>
        </w:rPr>
        <w:t>项目废水用于项目种植区域的农肥，可减少项目废水污染物排放对纳污水域的影响，符合国家节能减排，废弃物资源化的政策。</w:t>
      </w:r>
    </w:p>
    <w:p>
      <w:pPr>
        <w:pStyle w:val="3"/>
        <w:ind w:firstLine="480"/>
        <w:rPr>
          <w:u w:val="single"/>
        </w:rPr>
      </w:pPr>
      <w:r>
        <w:rPr>
          <w:u w:val="single"/>
        </w:rPr>
        <w:t>项目</w:t>
      </w:r>
      <w:r>
        <w:rPr>
          <w:rFonts w:hint="eastAsia"/>
          <w:u w:val="single"/>
        </w:rPr>
        <w:t>日</w:t>
      </w:r>
      <w:r>
        <w:rPr>
          <w:rFonts w:cs="Times New Roman" w:eastAsiaTheme="minorEastAsia"/>
          <w:u w:val="single"/>
        </w:rPr>
        <w:t>平均</w:t>
      </w:r>
      <w:r>
        <w:rPr>
          <w:rFonts w:hint="eastAsia" w:cs="Times New Roman" w:eastAsiaTheme="minorEastAsia"/>
          <w:u w:val="single"/>
        </w:rPr>
        <w:t>排水量</w:t>
      </w:r>
      <w:r>
        <w:rPr>
          <w:rFonts w:cs="Times New Roman" w:eastAsiaTheme="minorEastAsia"/>
          <w:u w:val="single"/>
        </w:rPr>
        <w:t>约</w:t>
      </w:r>
      <w:r>
        <w:rPr>
          <w:rFonts w:hint="eastAsia" w:cs="Times New Roman" w:eastAsiaTheme="minorEastAsia"/>
          <w:u w:val="single"/>
        </w:rPr>
        <w:t>5.5</w:t>
      </w:r>
      <w:r>
        <w:rPr>
          <w:rFonts w:cs="Times New Roman" w:eastAsiaTheme="minorEastAsia"/>
          <w:u w:val="single"/>
          <w:lang w:eastAsia="ja-JP"/>
        </w:rPr>
        <w:t>m</w:t>
      </w:r>
      <w:r>
        <w:rPr>
          <w:rFonts w:cs="Times New Roman" w:eastAsiaTheme="minorEastAsia"/>
          <w:u w:val="single"/>
          <w:vertAlign w:val="superscript"/>
          <w:lang w:eastAsia="ja-JP"/>
        </w:rPr>
        <w:t>3</w:t>
      </w:r>
      <w:r>
        <w:rPr>
          <w:rFonts w:cs="Times New Roman" w:eastAsiaTheme="minorEastAsia"/>
          <w:u w:val="single"/>
          <w:lang w:eastAsia="ja-JP"/>
        </w:rPr>
        <w:t>/d</w:t>
      </w:r>
      <w:r>
        <w:rPr>
          <w:rFonts w:hint="eastAsia" w:cs="Times New Roman" w:eastAsiaTheme="minorEastAsia"/>
          <w:u w:val="single"/>
        </w:rPr>
        <w:t>，其中每天产生的生活污水约4.6m</w:t>
      </w:r>
      <w:r>
        <w:rPr>
          <w:rFonts w:hint="eastAsia" w:cs="Times New Roman" w:eastAsiaTheme="minorEastAsia"/>
          <w:u w:val="single"/>
          <w:vertAlign w:val="superscript"/>
        </w:rPr>
        <w:t>3</w:t>
      </w:r>
      <w:r>
        <w:rPr>
          <w:rFonts w:hint="eastAsia" w:cs="Times New Roman" w:eastAsiaTheme="minorEastAsia"/>
          <w:u w:val="single"/>
        </w:rPr>
        <w:t>/d，鸡舍冲洗废水一次最大为36.2m</w:t>
      </w:r>
      <w:r>
        <w:rPr>
          <w:rFonts w:hint="eastAsia" w:cs="Times New Roman" w:eastAsiaTheme="minorEastAsia"/>
          <w:u w:val="single"/>
          <w:vertAlign w:val="superscript"/>
        </w:rPr>
        <w:t>3</w:t>
      </w:r>
      <w:r>
        <w:rPr>
          <w:rFonts w:hint="eastAsia" w:cs="Times New Roman" w:eastAsiaTheme="minorEastAsia"/>
          <w:u w:val="single"/>
        </w:rPr>
        <w:t>/次，可分批次抽至化粪池处理。评价建议建设单位在果园、蔬菜、药材等各种植区域设置农肥贮存池</w:t>
      </w:r>
      <w:r>
        <w:rPr>
          <w:rFonts w:cs="Times New Roman" w:eastAsiaTheme="minorEastAsia"/>
          <w:u w:val="single"/>
        </w:rPr>
        <w:t>，</w:t>
      </w:r>
      <w:r>
        <w:rPr>
          <w:rFonts w:hint="eastAsia" w:cs="Times New Roman" w:eastAsiaTheme="minorEastAsia"/>
          <w:u w:val="single"/>
        </w:rPr>
        <w:t>处理好的废水及时通过粪污槽罐车运至各种植区，</w:t>
      </w:r>
      <w:r>
        <w:rPr>
          <w:rFonts w:hint="eastAsia"/>
          <w:u w:val="single"/>
        </w:rPr>
        <w:t>可</w:t>
      </w:r>
      <w:r>
        <w:rPr>
          <w:u w:val="single"/>
        </w:rPr>
        <w:t>有效</w:t>
      </w:r>
      <w:r>
        <w:rPr>
          <w:rFonts w:hint="eastAsia"/>
          <w:u w:val="single"/>
        </w:rPr>
        <w:t>避免废水产生高峰期厂区废水收集过久的情况，同时也可避免雨季或非</w:t>
      </w:r>
      <w:r>
        <w:rPr>
          <w:u w:val="single"/>
        </w:rPr>
        <w:t>灌溉季节的</w:t>
      </w:r>
      <w:r>
        <w:rPr>
          <w:rFonts w:hint="eastAsia"/>
          <w:u w:val="single"/>
        </w:rPr>
        <w:t>暂存及消纳农肥区域用肥过度造成地表水污染的问题。</w:t>
      </w:r>
    </w:p>
    <w:p>
      <w:pPr>
        <w:pStyle w:val="3"/>
        <w:ind w:firstLine="480"/>
        <w:rPr>
          <w:rFonts w:cs="Times New Roman"/>
        </w:rPr>
      </w:pPr>
      <w:r>
        <w:rPr>
          <w:rFonts w:hint="eastAsia"/>
        </w:rPr>
        <w:t>由于</w:t>
      </w:r>
      <w:r>
        <w:rPr>
          <w:rFonts w:hint="eastAsia" w:cs="Times New Roman"/>
        </w:rPr>
        <w:t>本项目废水采用的措施为三级化粪池，基本不存在设备故障，因此项目不考虑废水事故排放</w:t>
      </w:r>
      <w:r>
        <w:rPr>
          <w:rFonts w:cs="Times New Roman"/>
        </w:rPr>
        <w:t>。</w:t>
      </w:r>
    </w:p>
    <w:p>
      <w:pPr>
        <w:pStyle w:val="7"/>
        <w:rPr>
          <w:rFonts w:cs="Times New Roman"/>
        </w:rPr>
      </w:pPr>
      <w:r>
        <w:rPr>
          <w:rFonts w:cs="Times New Roman"/>
        </w:rPr>
        <w:t>项目水污染物排放信息表</w:t>
      </w:r>
    </w:p>
    <w:p>
      <w:pPr>
        <w:pStyle w:val="3"/>
        <w:ind w:firstLine="480"/>
        <w:rPr>
          <w:rFonts w:cs="Times New Roman"/>
        </w:rPr>
      </w:pPr>
      <w:r>
        <w:rPr>
          <w:rFonts w:cs="Times New Roman"/>
        </w:rPr>
        <w:t>项目产生的废水经厂区</w:t>
      </w:r>
      <w:r>
        <w:rPr>
          <w:rFonts w:hint="eastAsia" w:cs="Times New Roman"/>
        </w:rPr>
        <w:t>化粪池处理后用做农肥</w:t>
      </w:r>
      <w:r>
        <w:rPr>
          <w:rFonts w:cs="Times New Roman"/>
        </w:rPr>
        <w:t>，实现废水综合利用零排放，不会外排至外围水体环境。</w:t>
      </w:r>
    </w:p>
    <w:p>
      <w:pPr>
        <w:pStyle w:val="15"/>
      </w:pPr>
      <w:r>
        <w:rPr>
          <w:rFonts w:hint="eastAsia"/>
        </w:rPr>
        <w:t>表5.2-1</w:t>
      </w:r>
      <w:r>
        <w:t>2</w:t>
      </w:r>
      <w:r>
        <w:rPr>
          <w:rFonts w:hint="eastAsia"/>
        </w:rPr>
        <w:t xml:space="preserve">   废水</w:t>
      </w:r>
      <w:r>
        <w:t>类别、污染物及污染治理设施信息表</w:t>
      </w:r>
    </w:p>
    <w:tbl>
      <w:tblPr>
        <w:tblStyle w:val="27"/>
        <w:tblW w:w="9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684"/>
        <w:gridCol w:w="983"/>
        <w:gridCol w:w="567"/>
        <w:gridCol w:w="709"/>
        <w:gridCol w:w="708"/>
        <w:gridCol w:w="709"/>
        <w:gridCol w:w="1418"/>
        <w:gridCol w:w="567"/>
        <w:gridCol w:w="708"/>
        <w:gridCol w:w="1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6" w:type="dxa"/>
            <w:vMerge w:val="restart"/>
            <w:vAlign w:val="center"/>
          </w:tcPr>
          <w:p>
            <w:pPr>
              <w:pStyle w:val="39"/>
            </w:pPr>
            <w:r>
              <w:rPr>
                <w:rFonts w:hint="eastAsia"/>
              </w:rPr>
              <w:t>序号</w:t>
            </w:r>
          </w:p>
        </w:tc>
        <w:tc>
          <w:tcPr>
            <w:tcW w:w="684" w:type="dxa"/>
            <w:vMerge w:val="restart"/>
            <w:vAlign w:val="center"/>
          </w:tcPr>
          <w:p>
            <w:pPr>
              <w:pStyle w:val="39"/>
            </w:pPr>
            <w:r>
              <w:rPr>
                <w:rFonts w:hint="eastAsia"/>
              </w:rPr>
              <w:t>废水</w:t>
            </w:r>
            <w:r>
              <w:t>类别</w:t>
            </w:r>
          </w:p>
        </w:tc>
        <w:tc>
          <w:tcPr>
            <w:tcW w:w="983" w:type="dxa"/>
            <w:vMerge w:val="restart"/>
            <w:vAlign w:val="center"/>
          </w:tcPr>
          <w:p>
            <w:pPr>
              <w:pStyle w:val="39"/>
            </w:pPr>
            <w:r>
              <w:rPr>
                <w:rFonts w:hint="eastAsia"/>
              </w:rPr>
              <w:t>污染物</w:t>
            </w:r>
            <w:r>
              <w:t>种类</w:t>
            </w:r>
          </w:p>
        </w:tc>
        <w:tc>
          <w:tcPr>
            <w:tcW w:w="567" w:type="dxa"/>
            <w:vMerge w:val="restart"/>
            <w:vAlign w:val="center"/>
          </w:tcPr>
          <w:p>
            <w:pPr>
              <w:pStyle w:val="39"/>
            </w:pPr>
            <w:r>
              <w:rPr>
                <w:rFonts w:hint="eastAsia"/>
              </w:rPr>
              <w:t>排放</w:t>
            </w:r>
            <w:r>
              <w:t>去向</w:t>
            </w:r>
          </w:p>
        </w:tc>
        <w:tc>
          <w:tcPr>
            <w:tcW w:w="709" w:type="dxa"/>
            <w:vMerge w:val="restart"/>
            <w:vAlign w:val="center"/>
          </w:tcPr>
          <w:p>
            <w:pPr>
              <w:pStyle w:val="39"/>
            </w:pPr>
            <w:r>
              <w:rPr>
                <w:rFonts w:hint="eastAsia"/>
              </w:rPr>
              <w:t>排放</w:t>
            </w:r>
            <w:r>
              <w:t>规律</w:t>
            </w:r>
          </w:p>
        </w:tc>
        <w:tc>
          <w:tcPr>
            <w:tcW w:w="2835" w:type="dxa"/>
            <w:gridSpan w:val="3"/>
            <w:vAlign w:val="center"/>
          </w:tcPr>
          <w:p>
            <w:pPr>
              <w:pStyle w:val="39"/>
            </w:pPr>
            <w:r>
              <w:rPr>
                <w:rFonts w:hint="eastAsia"/>
              </w:rPr>
              <w:t>污染</w:t>
            </w:r>
            <w:r>
              <w:t>治理设施</w:t>
            </w:r>
          </w:p>
        </w:tc>
        <w:tc>
          <w:tcPr>
            <w:tcW w:w="567" w:type="dxa"/>
            <w:vMerge w:val="restart"/>
            <w:vAlign w:val="center"/>
          </w:tcPr>
          <w:p>
            <w:pPr>
              <w:pStyle w:val="39"/>
            </w:pPr>
            <w:r>
              <w:rPr>
                <w:rFonts w:hint="eastAsia"/>
              </w:rPr>
              <w:t>排放口</w:t>
            </w:r>
            <w:r>
              <w:t>编号</w:t>
            </w:r>
          </w:p>
        </w:tc>
        <w:tc>
          <w:tcPr>
            <w:tcW w:w="708" w:type="dxa"/>
            <w:vMerge w:val="restart"/>
            <w:vAlign w:val="center"/>
          </w:tcPr>
          <w:p>
            <w:pPr>
              <w:pStyle w:val="39"/>
            </w:pPr>
            <w:r>
              <w:rPr>
                <w:rFonts w:hint="eastAsia"/>
              </w:rPr>
              <w:t>排放口</w:t>
            </w:r>
            <w:r>
              <w:t>设置是否符合要求</w:t>
            </w:r>
          </w:p>
        </w:tc>
        <w:tc>
          <w:tcPr>
            <w:tcW w:w="1694" w:type="dxa"/>
            <w:vMerge w:val="restart"/>
            <w:vAlign w:val="center"/>
          </w:tcPr>
          <w:p>
            <w:pPr>
              <w:pStyle w:val="39"/>
            </w:pPr>
            <w:r>
              <w:rPr>
                <w:rFonts w:hint="eastAsia"/>
              </w:rPr>
              <w:t>排放口</w:t>
            </w:r>
            <w: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6" w:type="dxa"/>
            <w:vMerge w:val="continue"/>
            <w:vAlign w:val="center"/>
          </w:tcPr>
          <w:p>
            <w:pPr>
              <w:pStyle w:val="39"/>
            </w:pPr>
          </w:p>
        </w:tc>
        <w:tc>
          <w:tcPr>
            <w:tcW w:w="684" w:type="dxa"/>
            <w:vMerge w:val="continue"/>
            <w:vAlign w:val="center"/>
          </w:tcPr>
          <w:p>
            <w:pPr>
              <w:pStyle w:val="39"/>
            </w:pPr>
          </w:p>
        </w:tc>
        <w:tc>
          <w:tcPr>
            <w:tcW w:w="983" w:type="dxa"/>
            <w:vMerge w:val="continue"/>
            <w:vAlign w:val="center"/>
          </w:tcPr>
          <w:p>
            <w:pPr>
              <w:pStyle w:val="39"/>
            </w:pPr>
          </w:p>
        </w:tc>
        <w:tc>
          <w:tcPr>
            <w:tcW w:w="567" w:type="dxa"/>
            <w:vMerge w:val="continue"/>
            <w:vAlign w:val="center"/>
          </w:tcPr>
          <w:p>
            <w:pPr>
              <w:pStyle w:val="39"/>
            </w:pPr>
          </w:p>
        </w:tc>
        <w:tc>
          <w:tcPr>
            <w:tcW w:w="709" w:type="dxa"/>
            <w:vMerge w:val="continue"/>
            <w:vAlign w:val="center"/>
          </w:tcPr>
          <w:p>
            <w:pPr>
              <w:pStyle w:val="39"/>
            </w:pPr>
          </w:p>
        </w:tc>
        <w:tc>
          <w:tcPr>
            <w:tcW w:w="708" w:type="dxa"/>
            <w:vAlign w:val="center"/>
          </w:tcPr>
          <w:p>
            <w:pPr>
              <w:pStyle w:val="39"/>
            </w:pPr>
            <w:r>
              <w:rPr>
                <w:rFonts w:hint="eastAsia"/>
              </w:rPr>
              <w:t>污染</w:t>
            </w:r>
            <w:r>
              <w:t>治理设施编号</w:t>
            </w:r>
          </w:p>
        </w:tc>
        <w:tc>
          <w:tcPr>
            <w:tcW w:w="709" w:type="dxa"/>
            <w:vAlign w:val="center"/>
          </w:tcPr>
          <w:p>
            <w:pPr>
              <w:pStyle w:val="39"/>
            </w:pPr>
            <w:r>
              <w:rPr>
                <w:rFonts w:hint="eastAsia"/>
              </w:rPr>
              <w:t>污染</w:t>
            </w:r>
            <w:r>
              <w:t>治理</w:t>
            </w:r>
            <w:r>
              <w:rPr>
                <w:rFonts w:hint="eastAsia"/>
              </w:rPr>
              <w:t>设施</w:t>
            </w:r>
            <w:r>
              <w:t>名称</w:t>
            </w:r>
          </w:p>
        </w:tc>
        <w:tc>
          <w:tcPr>
            <w:tcW w:w="1418" w:type="dxa"/>
            <w:vAlign w:val="center"/>
          </w:tcPr>
          <w:p>
            <w:pPr>
              <w:pStyle w:val="39"/>
            </w:pPr>
            <w:r>
              <w:rPr>
                <w:rFonts w:hint="eastAsia"/>
              </w:rPr>
              <w:t>污染</w:t>
            </w:r>
            <w:r>
              <w:t>治理设施工艺</w:t>
            </w:r>
          </w:p>
        </w:tc>
        <w:tc>
          <w:tcPr>
            <w:tcW w:w="567" w:type="dxa"/>
            <w:vMerge w:val="continue"/>
            <w:vAlign w:val="center"/>
          </w:tcPr>
          <w:p>
            <w:pPr>
              <w:pStyle w:val="39"/>
            </w:pPr>
          </w:p>
        </w:tc>
        <w:tc>
          <w:tcPr>
            <w:tcW w:w="708" w:type="dxa"/>
            <w:vMerge w:val="continue"/>
            <w:vAlign w:val="center"/>
          </w:tcPr>
          <w:p>
            <w:pPr>
              <w:pStyle w:val="39"/>
            </w:pPr>
          </w:p>
        </w:tc>
        <w:tc>
          <w:tcPr>
            <w:tcW w:w="1694" w:type="dxa"/>
            <w:vMerge w:val="continue"/>
            <w:vAlign w:val="center"/>
          </w:tcPr>
          <w:p>
            <w:pPr>
              <w:pStyle w:val="3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6" w:type="dxa"/>
            <w:vAlign w:val="center"/>
          </w:tcPr>
          <w:p>
            <w:pPr>
              <w:pStyle w:val="39"/>
            </w:pPr>
            <w:r>
              <w:rPr>
                <w:rFonts w:hint="eastAsia"/>
              </w:rPr>
              <w:t>1</w:t>
            </w:r>
          </w:p>
        </w:tc>
        <w:tc>
          <w:tcPr>
            <w:tcW w:w="684" w:type="dxa"/>
            <w:vAlign w:val="center"/>
          </w:tcPr>
          <w:p>
            <w:pPr>
              <w:pStyle w:val="39"/>
            </w:pPr>
            <w:r>
              <w:rPr>
                <w:rFonts w:hint="eastAsia"/>
              </w:rPr>
              <w:t>生活</w:t>
            </w:r>
            <w:r>
              <w:t>污水</w:t>
            </w:r>
            <w:r>
              <w:rPr>
                <w:rFonts w:hint="eastAsia"/>
              </w:rPr>
              <w:t>及鸡舍冲洗废水</w:t>
            </w:r>
          </w:p>
        </w:tc>
        <w:tc>
          <w:tcPr>
            <w:tcW w:w="983" w:type="dxa"/>
            <w:vAlign w:val="center"/>
          </w:tcPr>
          <w:p>
            <w:pPr>
              <w:pStyle w:val="39"/>
            </w:pPr>
            <w:r>
              <w:rPr>
                <w:rFonts w:cs="Times New Roman"/>
              </w:rPr>
              <w:t>CODcr</w:t>
            </w:r>
            <w:r>
              <w:rPr>
                <w:rFonts w:hint="eastAsia" w:cs="Times New Roman"/>
              </w:rPr>
              <w:t>、</w:t>
            </w:r>
            <w:r>
              <w:rPr>
                <w:rFonts w:cs="Times New Roman"/>
              </w:rPr>
              <w:t>BOD</w:t>
            </w:r>
            <w:r>
              <w:rPr>
                <w:rFonts w:cs="Times New Roman"/>
                <w:vertAlign w:val="subscript"/>
              </w:rPr>
              <w:t>5</w:t>
            </w:r>
            <w:r>
              <w:rPr>
                <w:rFonts w:hint="eastAsia" w:cs="Times New Roman"/>
              </w:rPr>
              <w:t>、</w:t>
            </w:r>
            <w:r>
              <w:rPr>
                <w:rFonts w:cs="Times New Roman"/>
              </w:rPr>
              <w:t>NH</w:t>
            </w:r>
            <w:r>
              <w:rPr>
                <w:rFonts w:cs="Times New Roman"/>
                <w:vertAlign w:val="subscript"/>
              </w:rPr>
              <w:t>3</w:t>
            </w:r>
            <w:r>
              <w:rPr>
                <w:rFonts w:cs="Times New Roman"/>
              </w:rPr>
              <w:t>-N</w:t>
            </w:r>
            <w:r>
              <w:rPr>
                <w:rFonts w:hint="eastAsia" w:cs="Times New Roman"/>
              </w:rPr>
              <w:t>、</w:t>
            </w:r>
            <w:r>
              <w:rPr>
                <w:rFonts w:cs="Times New Roman"/>
              </w:rPr>
              <w:t>TP</w:t>
            </w:r>
            <w:r>
              <w:rPr>
                <w:rFonts w:hint="eastAsia" w:cs="Times New Roman"/>
              </w:rPr>
              <w:t>、</w:t>
            </w:r>
            <w:r>
              <w:rPr>
                <w:rFonts w:cs="Times New Roman"/>
              </w:rPr>
              <w:t>SS</w:t>
            </w:r>
          </w:p>
        </w:tc>
        <w:tc>
          <w:tcPr>
            <w:tcW w:w="567" w:type="dxa"/>
            <w:vAlign w:val="center"/>
          </w:tcPr>
          <w:p>
            <w:pPr>
              <w:pStyle w:val="39"/>
            </w:pPr>
            <w:r>
              <w:rPr>
                <w:rFonts w:hint="eastAsia"/>
              </w:rPr>
              <w:t>不排放</w:t>
            </w:r>
          </w:p>
        </w:tc>
        <w:tc>
          <w:tcPr>
            <w:tcW w:w="709" w:type="dxa"/>
            <w:vAlign w:val="center"/>
          </w:tcPr>
          <w:p>
            <w:pPr>
              <w:pStyle w:val="39"/>
            </w:pPr>
            <w:r>
              <w:rPr>
                <w:rFonts w:hint="eastAsia"/>
              </w:rPr>
              <w:t>/</w:t>
            </w:r>
          </w:p>
        </w:tc>
        <w:tc>
          <w:tcPr>
            <w:tcW w:w="708" w:type="dxa"/>
            <w:vAlign w:val="center"/>
          </w:tcPr>
          <w:p>
            <w:pPr>
              <w:pStyle w:val="39"/>
            </w:pPr>
            <w:r>
              <w:rPr>
                <w:rFonts w:hint="eastAsia"/>
              </w:rPr>
              <w:t>TW</w:t>
            </w:r>
          </w:p>
          <w:p>
            <w:pPr>
              <w:pStyle w:val="39"/>
            </w:pPr>
            <w:r>
              <w:rPr>
                <w:rFonts w:hint="eastAsia"/>
              </w:rPr>
              <w:t>001</w:t>
            </w:r>
          </w:p>
        </w:tc>
        <w:tc>
          <w:tcPr>
            <w:tcW w:w="709" w:type="dxa"/>
            <w:vAlign w:val="center"/>
          </w:tcPr>
          <w:p>
            <w:pPr>
              <w:jc w:val="center"/>
              <w:rPr>
                <w:rFonts w:ascii="Times New Roman" w:hAnsi="Times New Roman" w:eastAsia="宋体"/>
              </w:rPr>
            </w:pPr>
            <w:r>
              <w:rPr>
                <w:rFonts w:hint="eastAsia" w:ascii="Times New Roman" w:hAnsi="Times New Roman" w:eastAsia="宋体"/>
              </w:rPr>
              <w:t>三级化粪池</w:t>
            </w:r>
          </w:p>
        </w:tc>
        <w:tc>
          <w:tcPr>
            <w:tcW w:w="1418" w:type="dxa"/>
            <w:vAlign w:val="center"/>
          </w:tcPr>
          <w:p>
            <w:pPr>
              <w:adjustRightInd/>
              <w:snapToGrid/>
              <w:jc w:val="center"/>
              <w:rPr>
                <w:rFonts w:ascii="Times New Roman" w:hAnsi="Times New Roman" w:eastAsia="宋体"/>
              </w:rPr>
            </w:pPr>
            <w:r>
              <w:rPr>
                <w:rFonts w:hint="eastAsia" w:ascii="Times New Roman" w:hAnsi="Times New Roman" w:eastAsia="宋体" w:cs="Times New Roman"/>
              </w:rPr>
              <w:t>发酵分解</w:t>
            </w:r>
          </w:p>
        </w:tc>
        <w:tc>
          <w:tcPr>
            <w:tcW w:w="567" w:type="dxa"/>
            <w:vAlign w:val="center"/>
          </w:tcPr>
          <w:p>
            <w:pPr>
              <w:pStyle w:val="39"/>
            </w:pPr>
            <w:r>
              <w:rPr>
                <w:rFonts w:hint="eastAsia"/>
              </w:rPr>
              <w:t>/</w:t>
            </w:r>
          </w:p>
        </w:tc>
        <w:tc>
          <w:tcPr>
            <w:tcW w:w="708" w:type="dxa"/>
            <w:vAlign w:val="center"/>
          </w:tcPr>
          <w:p>
            <w:pPr>
              <w:pStyle w:val="39"/>
              <w:jc w:val="both"/>
            </w:pPr>
            <w:r>
              <w:rPr>
                <w:rFonts w:hint="eastAsia"/>
                <w:sz w:val="24"/>
                <w:szCs w:val="24"/>
              </w:rPr>
              <w:t>/</w:t>
            </w:r>
          </w:p>
        </w:tc>
        <w:tc>
          <w:tcPr>
            <w:tcW w:w="1694" w:type="dxa"/>
            <w:vAlign w:val="center"/>
          </w:tcPr>
          <w:p>
            <w:pPr>
              <w:pStyle w:val="39"/>
              <w:jc w:val="both"/>
            </w:pPr>
            <w:r>
              <w:rPr>
                <w:rFonts w:hint="eastAsia"/>
              </w:rPr>
              <w:t>/</w:t>
            </w:r>
          </w:p>
        </w:tc>
      </w:tr>
    </w:tbl>
    <w:p>
      <w:pPr>
        <w:pStyle w:val="3"/>
        <w:ind w:firstLine="480"/>
        <w:rPr>
          <w:rFonts w:cs="Times New Roman"/>
        </w:rPr>
      </w:pPr>
    </w:p>
    <w:p>
      <w:pPr>
        <w:pStyle w:val="7"/>
        <w:rPr>
          <w:rFonts w:cs="Times New Roman"/>
        </w:rPr>
      </w:pPr>
      <w:r>
        <w:rPr>
          <w:rFonts w:cs="Times New Roman"/>
        </w:rPr>
        <w:t>初期雨水</w:t>
      </w:r>
    </w:p>
    <w:p>
      <w:pPr>
        <w:pStyle w:val="3"/>
        <w:ind w:firstLine="480"/>
        <w:rPr>
          <w:rFonts w:cs="Times New Roman"/>
          <w:kern w:val="0"/>
          <w:szCs w:val="24"/>
        </w:rPr>
      </w:pPr>
      <w:r>
        <w:rPr>
          <w:rFonts w:cs="Times New Roman"/>
          <w:kern w:val="0"/>
          <w:szCs w:val="24"/>
        </w:rPr>
        <w:t>项目采取雨、污分流制排水，建立独立的雨水收集管网系统和污水收集管网系统。</w:t>
      </w:r>
    </w:p>
    <w:p>
      <w:pPr>
        <w:pStyle w:val="3"/>
        <w:ind w:firstLine="480"/>
      </w:pPr>
      <w:r>
        <w:rPr>
          <w:rFonts w:cs="Times New Roman"/>
        </w:rPr>
        <w:t>初期雨水考虑降雨形成地面径流后15min内，收集的项目地面雨水。</w:t>
      </w:r>
      <w:r>
        <w:rPr>
          <w:rFonts w:cs="Times New Roman"/>
          <w:bCs/>
        </w:rPr>
        <w:t>初期雨水经管渠汇入初期雨水收集池。</w:t>
      </w:r>
      <w:r>
        <w:rPr>
          <w:rFonts w:cs="Times New Roman"/>
        </w:rPr>
        <w:t>降雨初期地面水与气象条件密切相关，具有间歇性、时间间隔的变化大等特点。</w:t>
      </w:r>
      <w:r>
        <w:t>本环评根据</w:t>
      </w:r>
      <w:r>
        <w:rPr>
          <w:rFonts w:hint="eastAsia"/>
        </w:rPr>
        <w:t>衡阳市</w:t>
      </w:r>
      <w:r>
        <w:t>暴雨强度公式计算初期雨水量。</w:t>
      </w:r>
    </w:p>
    <w:p>
      <w:pPr>
        <w:pStyle w:val="3"/>
        <w:ind w:firstLine="480"/>
        <w:jc w:val="center"/>
      </w:pPr>
      <w:r>
        <w:t>q=</w:t>
      </w:r>
      <w:r>
        <w:rPr>
          <w:rFonts w:hint="eastAsia"/>
        </w:rPr>
        <w:t>2150.5</w:t>
      </w:r>
      <w:r>
        <w:t>（1+</w:t>
      </w:r>
      <w:r>
        <w:rPr>
          <w:rFonts w:hint="eastAsia"/>
        </w:rPr>
        <w:t>0.41</w:t>
      </w:r>
      <w:r>
        <w:t>lgP</w:t>
      </w:r>
      <w:r>
        <w:rPr>
          <w:rFonts w:hint="eastAsia"/>
        </w:rPr>
        <w:t>）</w:t>
      </w:r>
      <w:r>
        <w:t>/</w:t>
      </w:r>
      <w:r>
        <w:rPr>
          <w:rFonts w:hint="eastAsia"/>
        </w:rPr>
        <w:t>（</w:t>
      </w:r>
      <w:r>
        <w:t>t</w:t>
      </w:r>
      <w:r>
        <w:rPr>
          <w:rFonts w:hint="eastAsia"/>
        </w:rPr>
        <w:t>+13.275）</w:t>
      </w:r>
      <w:r>
        <w:rPr>
          <w:rFonts w:hint="eastAsia"/>
          <w:vertAlign w:val="superscript"/>
        </w:rPr>
        <w:t>0.6846</w:t>
      </w:r>
    </w:p>
    <w:p>
      <w:pPr>
        <w:pStyle w:val="3"/>
        <w:ind w:firstLine="480"/>
      </w:pPr>
      <w:r>
        <w:t>其中：q</w:t>
      </w:r>
      <w:r>
        <w:rPr>
          <w:rFonts w:hint="eastAsia"/>
        </w:rPr>
        <w:t>——</w:t>
      </w:r>
      <w:r>
        <w:t>暴雨强度（L/s·万m</w:t>
      </w:r>
      <w:r>
        <w:rPr>
          <w:vertAlign w:val="superscript"/>
        </w:rPr>
        <w:t>2</w:t>
      </w:r>
      <w:r>
        <w:t>）</w:t>
      </w:r>
    </w:p>
    <w:p>
      <w:pPr>
        <w:pStyle w:val="3"/>
        <w:ind w:firstLine="480"/>
      </w:pPr>
      <w:r>
        <w:t xml:space="preserve">      P</w:t>
      </w:r>
      <w:r>
        <w:rPr>
          <w:rFonts w:hint="eastAsia"/>
        </w:rPr>
        <w:t>——</w:t>
      </w:r>
      <w:r>
        <w:t>重现期，本项目取</w:t>
      </w:r>
      <w:r>
        <w:rPr>
          <w:rFonts w:hint="eastAsia"/>
        </w:rPr>
        <w:t>2</w:t>
      </w:r>
      <w:r>
        <w:t>年</w:t>
      </w:r>
    </w:p>
    <w:p>
      <w:pPr>
        <w:pStyle w:val="3"/>
        <w:ind w:firstLine="480"/>
      </w:pPr>
      <w:r>
        <w:t xml:space="preserve">      T</w:t>
      </w:r>
      <w:r>
        <w:rPr>
          <w:rFonts w:hint="eastAsia"/>
        </w:rPr>
        <w:t>——</w:t>
      </w:r>
      <w:r>
        <w:t>降雨历时（min），本项目按15min计算。</w:t>
      </w:r>
    </w:p>
    <w:p>
      <w:pPr>
        <w:pStyle w:val="3"/>
        <w:ind w:firstLine="480"/>
      </w:pPr>
      <w:r>
        <w:t>根据计算，本项目的暴雨强度为</w:t>
      </w:r>
      <w:r>
        <w:rPr>
          <w:rFonts w:hint="eastAsia"/>
        </w:rPr>
        <w:t>283.7</w:t>
      </w:r>
      <w:r>
        <w:t>L/s·万m</w:t>
      </w:r>
      <w:r>
        <w:rPr>
          <w:vertAlign w:val="superscript"/>
        </w:rPr>
        <w:t>2</w:t>
      </w:r>
      <w:r>
        <w:t>。</w:t>
      </w:r>
    </w:p>
    <w:p>
      <w:pPr>
        <w:pStyle w:val="3"/>
        <w:ind w:firstLine="480"/>
      </w:pPr>
      <w:r>
        <w:t xml:space="preserve">       Q=q× ψ×F</w:t>
      </w:r>
    </w:p>
    <w:p>
      <w:pPr>
        <w:pStyle w:val="3"/>
        <w:ind w:firstLine="480"/>
      </w:pPr>
      <w:r>
        <w:t>其中： Q</w:t>
      </w:r>
      <w:r>
        <w:rPr>
          <w:rFonts w:hint="eastAsia"/>
        </w:rPr>
        <w:t>——</w:t>
      </w:r>
      <w:r>
        <w:t>雨量（L/s）；</w:t>
      </w:r>
    </w:p>
    <w:p>
      <w:pPr>
        <w:pStyle w:val="3"/>
        <w:ind w:firstLine="480"/>
      </w:pPr>
      <w:r>
        <w:t xml:space="preserve">       Ψ</w:t>
      </w:r>
      <w:r>
        <w:rPr>
          <w:rFonts w:hint="eastAsia"/>
        </w:rPr>
        <w:t>——</w:t>
      </w:r>
      <w:r>
        <w:t>综合径流系数，本环评取0.5；</w:t>
      </w:r>
    </w:p>
    <w:p>
      <w:pPr>
        <w:pStyle w:val="3"/>
        <w:ind w:firstLine="480"/>
      </w:pPr>
      <w:r>
        <w:t xml:space="preserve">       F</w:t>
      </w:r>
      <w:r>
        <w:rPr>
          <w:rFonts w:hint="eastAsia"/>
        </w:rPr>
        <w:t>——</w:t>
      </w:r>
      <w:r>
        <w:t>汇水面积</w:t>
      </w:r>
      <w:r>
        <w:rPr>
          <w:rFonts w:hint="eastAsia"/>
        </w:rPr>
        <w:t>，取12.65hm</w:t>
      </w:r>
      <w:r>
        <w:rPr>
          <w:vertAlign w:val="superscript"/>
        </w:rPr>
        <w:t>2</w:t>
      </w:r>
      <w:r>
        <w:t>。</w:t>
      </w:r>
    </w:p>
    <w:p>
      <w:pPr>
        <w:pStyle w:val="3"/>
        <w:ind w:firstLine="480"/>
      </w:pPr>
      <w:r>
        <w:rPr>
          <w:rFonts w:hint="eastAsia"/>
        </w:rPr>
        <w:t>本项目初期雨水集水经计算，暴雨</w:t>
      </w:r>
      <w:r>
        <w:t>强度</w:t>
      </w:r>
      <w:r>
        <w:rPr>
          <w:rFonts w:hint="eastAsia"/>
        </w:rPr>
        <w:t>雨水量约为283.7L/S</w:t>
      </w:r>
      <w:r>
        <w:t>万m</w:t>
      </w:r>
      <w:r>
        <w:rPr>
          <w:vertAlign w:val="superscript"/>
        </w:rPr>
        <w:t>2</w:t>
      </w:r>
      <w:r>
        <w:rPr>
          <w:rFonts w:hint="eastAsia"/>
        </w:rPr>
        <w:t>。初期雨水集水时间取15分钟，则初期雨水量为1615m³/次；本项目拟设置雨水管网，初期雨水排入项目北侧水塘。</w:t>
      </w:r>
    </w:p>
    <w:p>
      <w:pPr>
        <w:pStyle w:val="6"/>
      </w:pPr>
      <w:r>
        <w:rPr>
          <w:rFonts w:hint="eastAsia"/>
        </w:rPr>
        <w:t>地下水环境</w:t>
      </w:r>
      <w:r>
        <w:t>影响预测与评价</w:t>
      </w:r>
    </w:p>
    <w:p>
      <w:pPr>
        <w:pStyle w:val="7"/>
      </w:pPr>
      <w:r>
        <w:rPr>
          <w:rFonts w:hint="eastAsia"/>
        </w:rPr>
        <w:t>区域水文地质条件</w:t>
      </w:r>
    </w:p>
    <w:p>
      <w:pPr>
        <w:pStyle w:val="3"/>
        <w:ind w:firstLine="480"/>
        <w:rPr>
          <w:rFonts w:cs="Times New Roman"/>
          <w:u w:val="single"/>
        </w:rPr>
      </w:pPr>
      <w:r>
        <w:rPr>
          <w:rFonts w:cs="Times New Roman"/>
          <w:u w:val="single"/>
        </w:rPr>
        <w:t>本项目区域地下水类型主要为基岩裂隙水和第四系孔隙潜水。地下水的主要来源为大气降水、地表水的补给，排泄方式为蒸发、人工开采及向下游径流。本项目区域地下水主要接受大气降水、坑塘水面的补给。整体区域地下水缓慢向</w:t>
      </w:r>
      <w:r>
        <w:rPr>
          <w:rFonts w:hint="eastAsia" w:cs="Times New Roman"/>
          <w:u w:val="single"/>
        </w:rPr>
        <w:t>东</w:t>
      </w:r>
      <w:r>
        <w:rPr>
          <w:rFonts w:cs="Times New Roman"/>
          <w:u w:val="single"/>
        </w:rPr>
        <w:t>北流向。</w:t>
      </w:r>
    </w:p>
    <w:p>
      <w:pPr>
        <w:pStyle w:val="3"/>
        <w:ind w:firstLine="480"/>
        <w:rPr>
          <w:rFonts w:cs="Times New Roman"/>
          <w:u w:val="single"/>
        </w:rPr>
      </w:pPr>
      <w:r>
        <w:rPr>
          <w:rFonts w:cs="Times New Roman"/>
          <w:u w:val="single"/>
        </w:rPr>
        <w:t>项目所在地周边分布有少量散居农户，根据现场踏勘了解，目前居民饮用</w:t>
      </w:r>
      <w:r>
        <w:rPr>
          <w:kern w:val="0"/>
          <w:u w:val="single"/>
        </w:rPr>
        <w:t>项目周边</w:t>
      </w:r>
      <w:r>
        <w:rPr>
          <w:rFonts w:hint="eastAsia"/>
          <w:kern w:val="0"/>
          <w:u w:val="single"/>
        </w:rPr>
        <w:t>居民暂时</w:t>
      </w:r>
      <w:r>
        <w:rPr>
          <w:kern w:val="0"/>
          <w:u w:val="single"/>
        </w:rPr>
        <w:t>采用水井，目前正在</w:t>
      </w:r>
      <w:r>
        <w:rPr>
          <w:rFonts w:hint="eastAsia"/>
          <w:kern w:val="0"/>
          <w:u w:val="single"/>
        </w:rPr>
        <w:t>铺设</w:t>
      </w:r>
      <w:r>
        <w:rPr>
          <w:kern w:val="0"/>
          <w:u w:val="single"/>
        </w:rPr>
        <w:t>自来水管道</w:t>
      </w:r>
      <w:r>
        <w:rPr>
          <w:rFonts w:cs="Times New Roman"/>
          <w:u w:val="single"/>
        </w:rPr>
        <w:t>。</w:t>
      </w:r>
    </w:p>
    <w:p>
      <w:pPr>
        <w:pStyle w:val="3"/>
        <w:ind w:firstLine="480"/>
        <w:rPr>
          <w:rFonts w:cs="Times New Roman"/>
          <w:u w:val="single"/>
        </w:rPr>
      </w:pPr>
      <w:r>
        <w:rPr>
          <w:rFonts w:cs="Times New Roman"/>
          <w:u w:val="single"/>
        </w:rPr>
        <w:t>根据项目地下水监测结果和评价结果，项目地周边地下水监测因子均满足《地下水质量标准》（</w:t>
      </w:r>
      <w:r>
        <w:rPr>
          <w:rFonts w:eastAsia="TimesNewRomanPSMT" w:cs="Times New Roman"/>
          <w:u w:val="single"/>
        </w:rPr>
        <w:t>GB/T14848-2017</w:t>
      </w:r>
      <w:r>
        <w:rPr>
          <w:rFonts w:cs="Times New Roman"/>
          <w:u w:val="single"/>
        </w:rPr>
        <w:t>）中</w:t>
      </w:r>
      <w:r>
        <w:rPr>
          <w:rFonts w:eastAsia="TimesNewRomanPSMT" w:cs="Times New Roman"/>
          <w:u w:val="single"/>
        </w:rPr>
        <w:t xml:space="preserve">III </w:t>
      </w:r>
      <w:r>
        <w:rPr>
          <w:rFonts w:cs="Times New Roman"/>
          <w:u w:val="single"/>
        </w:rPr>
        <w:t>类标准要求。本评价要求建设单位将场区内废水经过</w:t>
      </w:r>
      <w:r>
        <w:rPr>
          <w:rFonts w:hint="eastAsia" w:cs="Times New Roman"/>
          <w:u w:val="single"/>
        </w:rPr>
        <w:t>化粪池处理后用做农肥</w:t>
      </w:r>
      <w:r>
        <w:rPr>
          <w:rFonts w:cs="Times New Roman"/>
          <w:u w:val="single"/>
        </w:rPr>
        <w:t>。场区内按照重点污染防治区、一般污染防治区以及简单防治区进行分区防渗，杜绝对地下水产生不利影响。</w:t>
      </w:r>
    </w:p>
    <w:p>
      <w:pPr>
        <w:pStyle w:val="7"/>
        <w:rPr>
          <w:u w:val="single"/>
        </w:rPr>
      </w:pPr>
      <w:r>
        <w:rPr>
          <w:rFonts w:hint="eastAsia"/>
          <w:u w:val="single"/>
        </w:rPr>
        <w:t>地下水污染途径</w:t>
      </w:r>
    </w:p>
    <w:p>
      <w:pPr>
        <w:pStyle w:val="3"/>
        <w:ind w:firstLine="480"/>
        <w:rPr>
          <w:u w:val="single"/>
        </w:rPr>
      </w:pPr>
      <w:r>
        <w:rPr>
          <w:rFonts w:hint="eastAsia"/>
          <w:u w:val="single"/>
        </w:rPr>
        <w:t>污染物对地下水的影响主要是由于降雨或废水排放等通过垂直渗透进入包气带，进入包气带的污染物在物理、化学和生物作用下经吸附、转化、迁移和分解后输入地下水。因此，包气带是联接地面污染物与地下含水层的主要通道和过渡带，既是污染物媒介体，又是污染物的净化场所和防护层。地下水能否被污染以及污染物的种类和性质。一般说来，土壤粒细而紧密，渗透性差，则污染慢；反之，颗粒大松散，渗透性能良好则污染重。</w:t>
      </w:r>
    </w:p>
    <w:p>
      <w:pPr>
        <w:pStyle w:val="7"/>
        <w:rPr>
          <w:u w:val="single"/>
        </w:rPr>
      </w:pPr>
      <w:r>
        <w:rPr>
          <w:rFonts w:hint="eastAsia"/>
          <w:u w:val="single"/>
        </w:rPr>
        <w:t>地下水环境影响分析</w:t>
      </w:r>
    </w:p>
    <w:p>
      <w:pPr>
        <w:pStyle w:val="3"/>
        <w:ind w:firstLine="480"/>
        <w:rPr>
          <w:rFonts w:cs="Times New Roman"/>
          <w:u w:val="single"/>
        </w:rPr>
      </w:pPr>
      <w:r>
        <w:rPr>
          <w:rFonts w:cs="Times New Roman"/>
          <w:u w:val="single"/>
        </w:rPr>
        <w:t>本项目地下水潜在的污染源主要是</w:t>
      </w:r>
      <w:r>
        <w:rPr>
          <w:rFonts w:hint="eastAsia" w:cs="Times New Roman"/>
          <w:u w:val="single"/>
        </w:rPr>
        <w:t>鸡舍</w:t>
      </w:r>
      <w:r>
        <w:rPr>
          <w:rFonts w:cs="Times New Roman"/>
          <w:u w:val="single"/>
        </w:rPr>
        <w:t>冲洗废水及生活污水，以及</w:t>
      </w:r>
      <w:r>
        <w:rPr>
          <w:rFonts w:hint="eastAsia" w:cs="Times New Roman"/>
          <w:u w:val="single"/>
        </w:rPr>
        <w:t>鸡</w:t>
      </w:r>
      <w:r>
        <w:rPr>
          <w:rFonts w:cs="Times New Roman"/>
          <w:u w:val="single"/>
        </w:rPr>
        <w:t>粪处理区，主要可能导致地下水污染的原因有生产管理不善、风险事故等，如废水池及管道维护不当，导致污水泄漏，渗入土壤内进入地下水引起污染。</w:t>
      </w:r>
    </w:p>
    <w:p>
      <w:pPr>
        <w:pStyle w:val="3"/>
        <w:ind w:firstLine="480"/>
        <w:rPr>
          <w:rFonts w:cs="Times New Roman"/>
          <w:u w:val="single"/>
        </w:rPr>
      </w:pPr>
      <w:r>
        <w:rPr>
          <w:rFonts w:cs="Times New Roman"/>
          <w:u w:val="single"/>
        </w:rPr>
        <w:t>（1）正常情况下地下水环境影响分析</w:t>
      </w:r>
    </w:p>
    <w:p>
      <w:pPr>
        <w:pStyle w:val="3"/>
        <w:ind w:firstLine="480"/>
        <w:rPr>
          <w:rFonts w:cs="Times New Roman"/>
          <w:u w:val="single"/>
        </w:rPr>
      </w:pPr>
      <w:r>
        <w:rPr>
          <w:rFonts w:cs="Times New Roman"/>
          <w:bCs/>
          <w:u w:val="single"/>
        </w:rPr>
        <w:t>项目营运期废水主要包括</w:t>
      </w:r>
      <w:r>
        <w:rPr>
          <w:rFonts w:hint="eastAsia" w:cs="Times New Roman"/>
          <w:bCs/>
          <w:u w:val="single"/>
        </w:rPr>
        <w:t>鸡</w:t>
      </w:r>
      <w:r>
        <w:rPr>
          <w:rFonts w:cs="Times New Roman"/>
          <w:bCs/>
          <w:u w:val="single"/>
        </w:rPr>
        <w:t>舍冲洗废水和生活污水，</w:t>
      </w:r>
      <w:r>
        <w:rPr>
          <w:rFonts w:cs="Times New Roman"/>
          <w:u w:val="single"/>
        </w:rPr>
        <w:t>年废水量为2010.22</w:t>
      </w:r>
      <w:r>
        <w:rPr>
          <w:rFonts w:cs="Times New Roman"/>
          <w:szCs w:val="20"/>
          <w:u w:val="single"/>
        </w:rPr>
        <w:t>m</w:t>
      </w:r>
      <w:r>
        <w:rPr>
          <w:rFonts w:cs="Times New Roman"/>
          <w:szCs w:val="20"/>
          <w:u w:val="single"/>
          <w:vertAlign w:val="superscript"/>
        </w:rPr>
        <w:t>3</w:t>
      </w:r>
      <w:r>
        <w:rPr>
          <w:rFonts w:cs="Times New Roman"/>
          <w:u w:val="single"/>
        </w:rPr>
        <w:t>/a。项目</w:t>
      </w:r>
      <w:r>
        <w:rPr>
          <w:rFonts w:cs="Times New Roman"/>
          <w:bCs/>
          <w:u w:val="single"/>
        </w:rPr>
        <w:t>鸡舍冲洗废水</w:t>
      </w:r>
      <w:r>
        <w:rPr>
          <w:rFonts w:cs="Times New Roman"/>
          <w:kern w:val="0"/>
          <w:u w:val="single"/>
        </w:rPr>
        <w:t>经</w:t>
      </w:r>
      <w:r>
        <w:rPr>
          <w:rFonts w:hint="eastAsia" w:cs="Times New Roman"/>
          <w:kern w:val="0"/>
          <w:u w:val="single"/>
        </w:rPr>
        <w:t>水泵</w:t>
      </w:r>
      <w:r>
        <w:rPr>
          <w:rFonts w:cs="Times New Roman"/>
          <w:kern w:val="0"/>
          <w:u w:val="single"/>
        </w:rPr>
        <w:t>抽至</w:t>
      </w:r>
      <w:r>
        <w:rPr>
          <w:rFonts w:hint="eastAsia" w:cs="Times New Roman"/>
          <w:kern w:val="0"/>
          <w:u w:val="single"/>
        </w:rPr>
        <w:t>化粪池</w:t>
      </w:r>
      <w:r>
        <w:rPr>
          <w:rFonts w:cs="Times New Roman"/>
          <w:kern w:val="0"/>
          <w:u w:val="single"/>
        </w:rPr>
        <w:t>，生活污水经化粪池处理后</w:t>
      </w:r>
      <w:r>
        <w:rPr>
          <w:rFonts w:hint="eastAsia" w:cs="Times New Roman"/>
          <w:kern w:val="0"/>
          <w:u w:val="single"/>
        </w:rPr>
        <w:t>用作农肥</w:t>
      </w:r>
      <w:r>
        <w:rPr>
          <w:rFonts w:cs="Times New Roman"/>
          <w:bCs/>
          <w:u w:val="single"/>
        </w:rPr>
        <w:t>。</w:t>
      </w:r>
      <w:r>
        <w:rPr>
          <w:rFonts w:cs="Times New Roman"/>
          <w:u w:val="single"/>
        </w:rPr>
        <w:t>项目鸡舍、化粪池等均采用防渗处理，防渗系数高于1×10</w:t>
      </w:r>
      <w:r>
        <w:rPr>
          <w:rFonts w:cs="Times New Roman"/>
          <w:u w:val="single"/>
          <w:vertAlign w:val="superscript"/>
        </w:rPr>
        <w:t>-7</w:t>
      </w:r>
      <w:r>
        <w:rPr>
          <w:rFonts w:cs="Times New Roman"/>
          <w:u w:val="single"/>
        </w:rPr>
        <w:t>cm/s，可有效防止废液渗漏污染地下水。采取以上措施后，本项目废水可得到妥善处理，正常情况下对周边区域地下水的环境影响可得到有效避免。</w:t>
      </w:r>
    </w:p>
    <w:p>
      <w:pPr>
        <w:pStyle w:val="3"/>
        <w:ind w:firstLine="480"/>
        <w:rPr>
          <w:rFonts w:cs="Times New Roman"/>
          <w:u w:val="single"/>
        </w:rPr>
      </w:pPr>
      <w:r>
        <w:rPr>
          <w:rFonts w:cs="Times New Roman"/>
          <w:u w:val="single"/>
        </w:rPr>
        <w:t>（3）事故情况下废水渗漏对地下水环境影响预测分析</w:t>
      </w:r>
    </w:p>
    <w:p>
      <w:pPr>
        <w:pStyle w:val="3"/>
        <w:ind w:firstLine="480"/>
        <w:rPr>
          <w:rFonts w:cs="Times New Roman"/>
          <w:u w:val="single"/>
        </w:rPr>
      </w:pPr>
      <w:r>
        <w:rPr>
          <w:rFonts w:hint="eastAsia" w:ascii="宋体" w:hAnsi="宋体" w:cs="宋体"/>
          <w:u w:val="single"/>
          <w:lang w:eastAsia="ja-JP"/>
        </w:rPr>
        <w:t>①</w:t>
      </w:r>
      <w:r>
        <w:rPr>
          <w:rFonts w:cs="Times New Roman"/>
          <w:u w:val="single"/>
        </w:rPr>
        <w:t>预测范围</w:t>
      </w:r>
    </w:p>
    <w:p>
      <w:pPr>
        <w:pStyle w:val="3"/>
        <w:ind w:firstLine="480"/>
        <w:rPr>
          <w:rFonts w:cs="Times New Roman"/>
          <w:u w:val="single"/>
        </w:rPr>
      </w:pPr>
      <w:r>
        <w:rPr>
          <w:rFonts w:cs="Times New Roman"/>
          <w:u w:val="single"/>
        </w:rPr>
        <w:t>根据《环境影响评价技术导则地下水环境》（</w:t>
      </w:r>
      <w:r>
        <w:rPr>
          <w:rFonts w:eastAsia="TimesNewRomanPSMT" w:cs="Times New Roman"/>
          <w:u w:val="single"/>
        </w:rPr>
        <w:t>HJ610-2016</w:t>
      </w:r>
      <w:r>
        <w:rPr>
          <w:rFonts w:cs="Times New Roman"/>
          <w:u w:val="single"/>
        </w:rPr>
        <w:t>），本项目属于</w:t>
      </w:r>
      <w:r>
        <w:rPr>
          <w:rFonts w:hint="eastAsia" w:ascii="宋体" w:hAnsi="宋体" w:cs="宋体"/>
          <w:u w:val="single"/>
        </w:rPr>
        <w:t>Ⅲ</w:t>
      </w:r>
      <w:r>
        <w:rPr>
          <w:rFonts w:cs="Times New Roman"/>
          <w:u w:val="single"/>
        </w:rPr>
        <w:t>类建设项目，本次地下水环境影响评价预测范围与地下水现状调查范围一致，预测层位为地下水的潜水含水层。</w:t>
      </w:r>
    </w:p>
    <w:p>
      <w:pPr>
        <w:pStyle w:val="3"/>
        <w:ind w:firstLine="480"/>
        <w:rPr>
          <w:rFonts w:cs="Times New Roman"/>
          <w:u w:val="single"/>
        </w:rPr>
      </w:pPr>
      <w:r>
        <w:rPr>
          <w:rFonts w:hint="eastAsia" w:ascii="宋体" w:hAnsi="宋体" w:cs="宋体"/>
          <w:u w:val="single"/>
          <w:lang w:eastAsia="ja-JP"/>
        </w:rPr>
        <w:t>②</w:t>
      </w:r>
      <w:r>
        <w:rPr>
          <w:rFonts w:cs="Times New Roman"/>
          <w:u w:val="single"/>
        </w:rPr>
        <w:t>预测时段</w:t>
      </w:r>
    </w:p>
    <w:p>
      <w:pPr>
        <w:pStyle w:val="3"/>
        <w:ind w:firstLine="480"/>
        <w:rPr>
          <w:rFonts w:cs="Times New Roman"/>
          <w:u w:val="single"/>
        </w:rPr>
      </w:pPr>
      <w:r>
        <w:rPr>
          <w:rFonts w:cs="Times New Roman"/>
          <w:u w:val="single"/>
        </w:rPr>
        <w:t>根据导则要求，对泄露污染物扩散的第5、10、20、50、100、150、300天进行预测。</w:t>
      </w:r>
    </w:p>
    <w:p>
      <w:pPr>
        <w:pStyle w:val="3"/>
        <w:ind w:firstLine="480"/>
        <w:rPr>
          <w:rFonts w:cs="Times New Roman"/>
          <w:u w:val="single"/>
        </w:rPr>
      </w:pPr>
      <w:r>
        <w:rPr>
          <w:rFonts w:hint="eastAsia" w:ascii="宋体" w:hAnsi="宋体" w:cs="宋体"/>
          <w:u w:val="single"/>
          <w:lang w:eastAsia="ja-JP"/>
        </w:rPr>
        <w:t>③</w:t>
      </w:r>
      <w:r>
        <w:rPr>
          <w:rFonts w:cs="Times New Roman"/>
          <w:u w:val="single"/>
        </w:rPr>
        <w:t>预测源强及预测因子</w:t>
      </w:r>
    </w:p>
    <w:p>
      <w:pPr>
        <w:pStyle w:val="3"/>
        <w:ind w:firstLine="480"/>
        <w:rPr>
          <w:rFonts w:cs="Times New Roman"/>
          <w:u w:val="single"/>
        </w:rPr>
      </w:pPr>
      <w:r>
        <w:rPr>
          <w:rFonts w:cs="Times New Roman"/>
          <w:u w:val="single"/>
        </w:rPr>
        <w:t>本项目应重点关注污水处理站泄漏对地下水的影响，正常运营状态下不会有泄漏情况发生，当因地址塌陷、防渗层破裂等突发情况和事故状态下可能造成</w:t>
      </w:r>
      <w:r>
        <w:rPr>
          <w:rFonts w:hint="eastAsia" w:cs="Times New Roman"/>
          <w:u w:val="single"/>
        </w:rPr>
        <w:t>化粪池</w:t>
      </w:r>
      <w:r>
        <w:rPr>
          <w:rFonts w:cs="Times New Roman"/>
          <w:u w:val="single"/>
        </w:rPr>
        <w:t>废水泄漏，由于泄露是偶然发生的，预计本项目污水泄漏的概率为1%，泄漏的污水量按1天（5.5</w:t>
      </w:r>
      <w:r>
        <w:rPr>
          <w:rFonts w:cs="Times New Roman"/>
          <w:szCs w:val="20"/>
          <w:u w:val="single"/>
        </w:rPr>
        <w:t>m</w:t>
      </w:r>
      <w:r>
        <w:rPr>
          <w:rFonts w:cs="Times New Roman"/>
          <w:szCs w:val="20"/>
          <w:u w:val="single"/>
          <w:vertAlign w:val="superscript"/>
        </w:rPr>
        <w:t>3</w:t>
      </w:r>
      <w:r>
        <w:rPr>
          <w:rFonts w:cs="Times New Roman"/>
          <w:u w:val="single"/>
        </w:rPr>
        <w:t>/d）污水量的10%，则本项目泄漏污染物主要为</w:t>
      </w:r>
      <w:r>
        <w:rPr>
          <w:rFonts w:eastAsia="TimesNewRomanPSMT" w:cs="Times New Roman"/>
          <w:u w:val="single"/>
        </w:rPr>
        <w:t>COD</w:t>
      </w:r>
      <w:r>
        <w:rPr>
          <w:rFonts w:eastAsia="TimesNewRomanPSMT" w:cs="Times New Roman"/>
          <w:sz w:val="16"/>
          <w:u w:val="single"/>
          <w:vertAlign w:val="subscript"/>
        </w:rPr>
        <w:t>Cr</w:t>
      </w:r>
      <w:r>
        <w:rPr>
          <w:rFonts w:cs="Times New Roman"/>
          <w:u w:val="single"/>
        </w:rPr>
        <w:t>、NH</w:t>
      </w:r>
      <w:r>
        <w:rPr>
          <w:rFonts w:cs="Times New Roman"/>
          <w:u w:val="single"/>
          <w:vertAlign w:val="subscript"/>
        </w:rPr>
        <w:t>3</w:t>
      </w:r>
      <w:r>
        <w:rPr>
          <w:rFonts w:cs="Times New Roman"/>
          <w:u w:val="single"/>
        </w:rPr>
        <w:t>-N等，以NH</w:t>
      </w:r>
      <w:r>
        <w:rPr>
          <w:rFonts w:cs="Times New Roman"/>
          <w:u w:val="single"/>
          <w:vertAlign w:val="subscript"/>
        </w:rPr>
        <w:t>3</w:t>
      </w:r>
      <w:r>
        <w:rPr>
          <w:rFonts w:cs="Times New Roman"/>
          <w:u w:val="single"/>
        </w:rPr>
        <w:t>-N作为特征污染物进行预测，泄漏量约为0.04kg/次。</w:t>
      </w:r>
    </w:p>
    <w:p>
      <w:pPr>
        <w:pStyle w:val="3"/>
        <w:ind w:firstLine="480"/>
        <w:rPr>
          <w:rFonts w:cs="Times New Roman"/>
          <w:u w:val="single"/>
        </w:rPr>
      </w:pPr>
      <w:r>
        <w:rPr>
          <w:rFonts w:hint="eastAsia" w:ascii="宋体" w:hAnsi="宋体" w:cs="宋体"/>
          <w:u w:val="single"/>
        </w:rPr>
        <w:t>④</w:t>
      </w:r>
      <w:r>
        <w:rPr>
          <w:rFonts w:cs="Times New Roman"/>
          <w:u w:val="single"/>
        </w:rPr>
        <w:t>预测模式</w:t>
      </w:r>
    </w:p>
    <w:p>
      <w:pPr>
        <w:pStyle w:val="3"/>
        <w:ind w:firstLine="480"/>
        <w:rPr>
          <w:rFonts w:cs="Times New Roman"/>
          <w:u w:val="single"/>
        </w:rPr>
      </w:pPr>
      <w:r>
        <w:rPr>
          <w:rFonts w:cs="Times New Roman"/>
          <w:u w:val="single"/>
        </w:rPr>
        <w:t>根据《环境影响评价技术导则地下水环境》（HJ610-2016）要求，地下水环境影响评价三级评价预测方法可以选用解析法。根据本项目地下水的污染特性选用“一维水动力弥散解析法”，计算瞬时污染源对地下水形成的污染影响，具体模式公式如下。</w:t>
      </w:r>
    </w:p>
    <w:p>
      <w:pPr>
        <w:pStyle w:val="15"/>
        <w:rPr>
          <w:rFonts w:cs="Times New Roman"/>
          <w:u w:val="single"/>
        </w:rPr>
      </w:pPr>
      <w:r>
        <w:rPr>
          <w:rFonts w:cs="Times New Roman"/>
          <w:u w:val="single"/>
        </w:rPr>
        <w:drawing>
          <wp:inline distT="0" distB="0" distL="0" distR="0">
            <wp:extent cx="2506980" cy="719455"/>
            <wp:effectExtent l="0" t="0" r="7620" b="4445"/>
            <wp:docPr id="212" name="图片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图片 212"/>
                    <pic:cNvPicPr>
                      <a:picLocks noChangeAspect="1"/>
                    </pic:cNvPicPr>
                  </pic:nvPicPr>
                  <pic:blipFill>
                    <a:blip r:embed="rId29"/>
                    <a:srcRect t="20699"/>
                    <a:stretch>
                      <a:fillRect/>
                    </a:stretch>
                  </pic:blipFill>
                  <pic:spPr>
                    <a:xfrm>
                      <a:off x="0" y="0"/>
                      <a:ext cx="2507415" cy="720000"/>
                    </a:xfrm>
                    <a:prstGeom prst="rect">
                      <a:avLst/>
                    </a:prstGeom>
                    <a:ln>
                      <a:noFill/>
                    </a:ln>
                  </pic:spPr>
                </pic:pic>
              </a:graphicData>
            </a:graphic>
          </wp:inline>
        </w:drawing>
      </w:r>
    </w:p>
    <w:p>
      <w:pPr>
        <w:pStyle w:val="3"/>
        <w:ind w:firstLine="480"/>
        <w:rPr>
          <w:rFonts w:cs="Times New Roman"/>
          <w:u w:val="single"/>
        </w:rPr>
      </w:pPr>
      <w:r>
        <w:rPr>
          <w:rFonts w:cs="Times New Roman"/>
          <w:u w:val="single"/>
        </w:rPr>
        <w:t>式中：</w:t>
      </w:r>
    </w:p>
    <w:p>
      <w:pPr>
        <w:pStyle w:val="3"/>
        <w:ind w:firstLine="1080" w:firstLineChars="450"/>
        <w:rPr>
          <w:rFonts w:cs="Times New Roman"/>
          <w:u w:val="single"/>
        </w:rPr>
      </w:pPr>
      <w:r>
        <w:rPr>
          <w:rFonts w:cs="Times New Roman"/>
          <w:i/>
          <w:u w:val="single"/>
        </w:rPr>
        <w:t>X</w:t>
      </w:r>
      <w:r>
        <w:rPr>
          <w:rFonts w:cs="Times New Roman"/>
          <w:u w:val="single"/>
        </w:rPr>
        <w:t>—距注入点的距离，m；</w:t>
      </w:r>
    </w:p>
    <w:p>
      <w:pPr>
        <w:pStyle w:val="3"/>
        <w:ind w:firstLine="1080" w:firstLineChars="450"/>
        <w:rPr>
          <w:rFonts w:cs="Times New Roman"/>
          <w:u w:val="single"/>
        </w:rPr>
      </w:pPr>
      <w:r>
        <w:rPr>
          <w:rFonts w:cs="Times New Roman"/>
          <w:i/>
          <w:u w:val="single"/>
        </w:rPr>
        <w:t>t</w:t>
      </w:r>
      <w:r>
        <w:rPr>
          <w:rFonts w:cs="Times New Roman"/>
          <w:u w:val="single"/>
        </w:rPr>
        <w:t>—时间，d；</w:t>
      </w:r>
    </w:p>
    <w:p>
      <w:pPr>
        <w:pStyle w:val="3"/>
        <w:ind w:firstLine="1080" w:firstLineChars="450"/>
        <w:rPr>
          <w:rFonts w:cs="Times New Roman"/>
          <w:u w:val="single"/>
        </w:rPr>
      </w:pPr>
      <w:r>
        <w:rPr>
          <w:rFonts w:cs="Times New Roman"/>
          <w:i/>
          <w:u w:val="single"/>
        </w:rPr>
        <w:t>C</w:t>
      </w:r>
      <w:r>
        <w:rPr>
          <w:rFonts w:cs="Times New Roman"/>
          <w:u w:val="single"/>
        </w:rPr>
        <w:t>（x,t）—t 时刻点x 处的示踪剂浓度，g/L；</w:t>
      </w:r>
    </w:p>
    <w:p>
      <w:pPr>
        <w:pStyle w:val="3"/>
        <w:ind w:firstLine="1080" w:firstLineChars="450"/>
        <w:rPr>
          <w:rFonts w:cs="Times New Roman"/>
          <w:u w:val="single"/>
        </w:rPr>
      </w:pPr>
      <w:r>
        <w:rPr>
          <w:rFonts w:cs="Times New Roman"/>
          <w:i/>
          <w:u w:val="single"/>
        </w:rPr>
        <w:t>m</w:t>
      </w:r>
      <w:r>
        <w:rPr>
          <w:rFonts w:cs="Times New Roman"/>
          <w:u w:val="single"/>
        </w:rPr>
        <w:t>—注入的示踪剂质量，kg；</w:t>
      </w:r>
    </w:p>
    <w:p>
      <w:pPr>
        <w:pStyle w:val="3"/>
        <w:ind w:firstLine="1080" w:firstLineChars="450"/>
        <w:rPr>
          <w:rFonts w:cs="Times New Roman"/>
          <w:u w:val="single"/>
        </w:rPr>
      </w:pPr>
      <w:r>
        <w:rPr>
          <w:rFonts w:cs="Times New Roman"/>
          <w:i/>
          <w:u w:val="single"/>
        </w:rPr>
        <w:t>W—</w:t>
      </w:r>
      <w:r>
        <w:rPr>
          <w:rFonts w:cs="Times New Roman"/>
          <w:u w:val="single"/>
        </w:rPr>
        <w:t>横截面面积，m</w:t>
      </w:r>
      <w:r>
        <w:rPr>
          <w:rFonts w:cs="Times New Roman"/>
          <w:u w:val="single"/>
          <w:vertAlign w:val="superscript"/>
        </w:rPr>
        <w:t>2</w:t>
      </w:r>
      <w:r>
        <w:rPr>
          <w:rFonts w:cs="Times New Roman"/>
          <w:u w:val="single"/>
        </w:rPr>
        <w:t>；</w:t>
      </w:r>
    </w:p>
    <w:p>
      <w:pPr>
        <w:pStyle w:val="3"/>
        <w:ind w:firstLine="1080" w:firstLineChars="450"/>
        <w:rPr>
          <w:rFonts w:cs="Times New Roman"/>
          <w:u w:val="single"/>
        </w:rPr>
      </w:pPr>
      <w:r>
        <w:rPr>
          <w:rFonts w:cs="Times New Roman"/>
          <w:i/>
          <w:u w:val="single"/>
        </w:rPr>
        <w:t>u</w:t>
      </w:r>
      <w:r>
        <w:rPr>
          <w:rFonts w:cs="Times New Roman"/>
          <w:u w:val="single"/>
        </w:rPr>
        <w:t>—水流速度，m/d；</w:t>
      </w:r>
    </w:p>
    <w:p>
      <w:pPr>
        <w:pStyle w:val="3"/>
        <w:ind w:firstLine="1080" w:firstLineChars="450"/>
        <w:rPr>
          <w:rFonts w:cs="Times New Roman"/>
          <w:u w:val="single"/>
        </w:rPr>
      </w:pPr>
      <w:r>
        <w:rPr>
          <w:rFonts w:cs="Times New Roman"/>
          <w:i/>
          <w:u w:val="single"/>
        </w:rPr>
        <w:t>n</w:t>
      </w:r>
      <w:r>
        <w:rPr>
          <w:rFonts w:cs="Times New Roman"/>
          <w:i/>
          <w:u w:val="single"/>
          <w:vertAlign w:val="subscript"/>
        </w:rPr>
        <w:t>e</w:t>
      </w:r>
      <w:r>
        <w:rPr>
          <w:rFonts w:cs="Times New Roman"/>
          <w:i/>
          <w:u w:val="single"/>
        </w:rPr>
        <w:t>—</w:t>
      </w:r>
      <w:r>
        <w:rPr>
          <w:rFonts w:cs="Times New Roman"/>
          <w:u w:val="single"/>
        </w:rPr>
        <w:t>有效孔隙度，无量纲</w:t>
      </w:r>
    </w:p>
    <w:p>
      <w:pPr>
        <w:pStyle w:val="3"/>
        <w:ind w:firstLine="1080" w:firstLineChars="450"/>
        <w:rPr>
          <w:rFonts w:cs="Times New Roman"/>
          <w:u w:val="single"/>
        </w:rPr>
      </w:pPr>
      <w:r>
        <w:rPr>
          <w:rFonts w:cs="Times New Roman"/>
          <w:i/>
          <w:u w:val="single"/>
        </w:rPr>
        <w:t>D</w:t>
      </w:r>
      <w:r>
        <w:rPr>
          <w:rFonts w:cs="Times New Roman"/>
          <w:i/>
          <w:u w:val="single"/>
          <w:vertAlign w:val="subscript"/>
        </w:rPr>
        <w:t>L</w:t>
      </w:r>
      <w:r>
        <w:rPr>
          <w:rFonts w:cs="Times New Roman"/>
          <w:u w:val="single"/>
        </w:rPr>
        <w:t>—纵向弥散系数，m</w:t>
      </w:r>
      <w:r>
        <w:rPr>
          <w:rFonts w:cs="Times New Roman"/>
          <w:u w:val="single"/>
          <w:vertAlign w:val="superscript"/>
        </w:rPr>
        <w:t>2</w:t>
      </w:r>
      <w:r>
        <w:rPr>
          <w:rFonts w:cs="Times New Roman"/>
          <w:u w:val="single"/>
        </w:rPr>
        <w:t>/d；</w:t>
      </w:r>
    </w:p>
    <w:p>
      <w:pPr>
        <w:pStyle w:val="3"/>
        <w:ind w:firstLine="960" w:firstLineChars="400"/>
        <w:rPr>
          <w:rFonts w:cs="Times New Roman"/>
          <w:u w:val="single"/>
        </w:rPr>
      </w:pPr>
      <w:r>
        <w:rPr>
          <w:rFonts w:cs="Times New Roman"/>
          <w:i/>
          <w:u w:val="single"/>
        </w:rPr>
        <w:t>π—</w:t>
      </w:r>
      <w:r>
        <w:rPr>
          <w:rFonts w:cs="Times New Roman"/>
          <w:u w:val="single"/>
        </w:rPr>
        <w:t>圆周率。</w:t>
      </w:r>
    </w:p>
    <w:p>
      <w:pPr>
        <w:pStyle w:val="15"/>
        <w:rPr>
          <w:rFonts w:cs="Times New Roman"/>
          <w:u w:val="single"/>
        </w:rPr>
      </w:pPr>
      <w:r>
        <w:rPr>
          <w:rFonts w:cs="Times New Roman"/>
          <w:u w:val="single"/>
        </w:rPr>
        <w:t>5.2-1</w:t>
      </w:r>
      <w:r>
        <w:rPr>
          <w:rFonts w:hint="eastAsia" w:cs="Times New Roman"/>
          <w:u w:val="single"/>
        </w:rPr>
        <w:t>2</w:t>
      </w:r>
      <w:r>
        <w:rPr>
          <w:rFonts w:cs="Times New Roman"/>
          <w:u w:val="single"/>
        </w:rPr>
        <w:t xml:space="preserve">   预测参数一览表</w:t>
      </w:r>
    </w:p>
    <w:tbl>
      <w:tblPr>
        <w:tblStyle w:val="2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9"/>
        <w:gridCol w:w="1787"/>
        <w:gridCol w:w="1343"/>
        <w:gridCol w:w="1119"/>
        <w:gridCol w:w="1343"/>
        <w:gridCol w:w="1565"/>
        <w:gridCol w:w="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10" w:type="pct"/>
            <w:vAlign w:val="center"/>
          </w:tcPr>
          <w:p>
            <w:pPr>
              <w:pStyle w:val="39"/>
              <w:rPr>
                <w:rFonts w:cs="Times New Roman"/>
                <w:u w:val="single"/>
              </w:rPr>
            </w:pPr>
            <w:r>
              <w:rPr>
                <w:rFonts w:cs="Times New Roman"/>
                <w:u w:val="single"/>
              </w:rPr>
              <w:t>参数</w:t>
            </w:r>
          </w:p>
        </w:tc>
        <w:tc>
          <w:tcPr>
            <w:tcW w:w="974" w:type="pct"/>
            <w:vAlign w:val="center"/>
          </w:tcPr>
          <w:p>
            <w:pPr>
              <w:pStyle w:val="39"/>
              <w:rPr>
                <w:rFonts w:cs="Times New Roman"/>
                <w:u w:val="single"/>
              </w:rPr>
            </w:pPr>
            <w:r>
              <w:rPr>
                <w:rFonts w:cs="Times New Roman"/>
                <w:i/>
                <w:u w:val="single"/>
              </w:rPr>
              <w:t>m</w:t>
            </w:r>
          </w:p>
        </w:tc>
        <w:tc>
          <w:tcPr>
            <w:tcW w:w="732" w:type="pct"/>
            <w:vAlign w:val="center"/>
          </w:tcPr>
          <w:p>
            <w:pPr>
              <w:pStyle w:val="39"/>
              <w:rPr>
                <w:rFonts w:cs="Times New Roman"/>
                <w:u w:val="single"/>
              </w:rPr>
            </w:pPr>
            <w:r>
              <w:rPr>
                <w:rFonts w:cs="Times New Roman"/>
                <w:i/>
                <w:u w:val="single"/>
              </w:rPr>
              <w:t>W</w:t>
            </w:r>
          </w:p>
        </w:tc>
        <w:tc>
          <w:tcPr>
            <w:tcW w:w="610" w:type="pct"/>
            <w:vAlign w:val="center"/>
          </w:tcPr>
          <w:p>
            <w:pPr>
              <w:pStyle w:val="39"/>
              <w:rPr>
                <w:rFonts w:cs="Times New Roman"/>
                <w:u w:val="single"/>
              </w:rPr>
            </w:pPr>
            <w:r>
              <w:rPr>
                <w:rFonts w:cs="Times New Roman"/>
                <w:i/>
                <w:u w:val="single"/>
              </w:rPr>
              <w:t>u</w:t>
            </w:r>
          </w:p>
        </w:tc>
        <w:tc>
          <w:tcPr>
            <w:tcW w:w="732" w:type="pct"/>
            <w:vAlign w:val="center"/>
          </w:tcPr>
          <w:p>
            <w:pPr>
              <w:pStyle w:val="39"/>
              <w:rPr>
                <w:rFonts w:cs="Times New Roman"/>
                <w:u w:val="single"/>
              </w:rPr>
            </w:pPr>
            <w:r>
              <w:rPr>
                <w:rFonts w:cs="Times New Roman"/>
                <w:i/>
                <w:u w:val="single"/>
              </w:rPr>
              <w:t>n</w:t>
            </w:r>
            <w:r>
              <w:rPr>
                <w:rFonts w:cs="Times New Roman"/>
                <w:i/>
                <w:u w:val="single"/>
                <w:vertAlign w:val="subscript"/>
              </w:rPr>
              <w:t>e</w:t>
            </w:r>
          </w:p>
        </w:tc>
        <w:tc>
          <w:tcPr>
            <w:tcW w:w="853" w:type="pct"/>
            <w:vAlign w:val="center"/>
          </w:tcPr>
          <w:p>
            <w:pPr>
              <w:pStyle w:val="39"/>
              <w:rPr>
                <w:rFonts w:cs="Times New Roman"/>
                <w:u w:val="single"/>
              </w:rPr>
            </w:pPr>
            <w:r>
              <w:rPr>
                <w:rFonts w:cs="Times New Roman"/>
                <w:i/>
                <w:u w:val="single"/>
              </w:rPr>
              <w:t>D</w:t>
            </w:r>
            <w:r>
              <w:rPr>
                <w:rFonts w:cs="Times New Roman"/>
                <w:i/>
                <w:u w:val="single"/>
                <w:vertAlign w:val="subscript"/>
              </w:rPr>
              <w:t>L</w:t>
            </w:r>
          </w:p>
        </w:tc>
        <w:tc>
          <w:tcPr>
            <w:tcW w:w="489" w:type="pct"/>
            <w:vAlign w:val="center"/>
          </w:tcPr>
          <w:p>
            <w:pPr>
              <w:pStyle w:val="39"/>
              <w:rPr>
                <w:rFonts w:cs="Times New Roman"/>
                <w:u w:val="single"/>
              </w:rPr>
            </w:pPr>
            <w:r>
              <w:rPr>
                <w:rFonts w:cs="Times New Roman"/>
                <w:i/>
                <w:u w:val="single"/>
              </w:rPr>
              <w:t>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10" w:type="pct"/>
            <w:vAlign w:val="center"/>
          </w:tcPr>
          <w:p>
            <w:pPr>
              <w:pStyle w:val="39"/>
              <w:rPr>
                <w:rFonts w:cs="Times New Roman"/>
                <w:u w:val="single"/>
              </w:rPr>
            </w:pPr>
            <w:r>
              <w:rPr>
                <w:rFonts w:cs="Times New Roman"/>
                <w:u w:val="single"/>
              </w:rPr>
              <w:t>代表意义</w:t>
            </w:r>
          </w:p>
        </w:tc>
        <w:tc>
          <w:tcPr>
            <w:tcW w:w="974" w:type="pct"/>
            <w:vAlign w:val="center"/>
          </w:tcPr>
          <w:p>
            <w:pPr>
              <w:pStyle w:val="39"/>
              <w:rPr>
                <w:rFonts w:cs="Times New Roman"/>
                <w:u w:val="single"/>
              </w:rPr>
            </w:pPr>
            <w:r>
              <w:rPr>
                <w:rFonts w:cs="Times New Roman"/>
                <w:u w:val="single"/>
              </w:rPr>
              <w:t>注入示踪剂质量</w:t>
            </w:r>
          </w:p>
        </w:tc>
        <w:tc>
          <w:tcPr>
            <w:tcW w:w="732" w:type="pct"/>
            <w:vAlign w:val="center"/>
          </w:tcPr>
          <w:p>
            <w:pPr>
              <w:pStyle w:val="39"/>
              <w:rPr>
                <w:rFonts w:cs="Times New Roman"/>
                <w:u w:val="single"/>
              </w:rPr>
            </w:pPr>
            <w:r>
              <w:rPr>
                <w:rFonts w:cs="Times New Roman"/>
                <w:u w:val="single"/>
              </w:rPr>
              <w:t>横截面面积</w:t>
            </w:r>
          </w:p>
        </w:tc>
        <w:tc>
          <w:tcPr>
            <w:tcW w:w="610" w:type="pct"/>
            <w:vAlign w:val="center"/>
          </w:tcPr>
          <w:p>
            <w:pPr>
              <w:pStyle w:val="39"/>
              <w:rPr>
                <w:rFonts w:cs="Times New Roman"/>
                <w:u w:val="single"/>
              </w:rPr>
            </w:pPr>
            <w:r>
              <w:rPr>
                <w:rFonts w:cs="Times New Roman"/>
                <w:u w:val="single"/>
              </w:rPr>
              <w:t>水流速度</w:t>
            </w:r>
          </w:p>
        </w:tc>
        <w:tc>
          <w:tcPr>
            <w:tcW w:w="732" w:type="pct"/>
            <w:vAlign w:val="center"/>
          </w:tcPr>
          <w:p>
            <w:pPr>
              <w:pStyle w:val="39"/>
              <w:rPr>
                <w:rFonts w:cs="Times New Roman"/>
                <w:u w:val="single"/>
              </w:rPr>
            </w:pPr>
            <w:r>
              <w:rPr>
                <w:rFonts w:cs="Times New Roman"/>
                <w:u w:val="single"/>
              </w:rPr>
              <w:t>有效孔隙度</w:t>
            </w:r>
          </w:p>
        </w:tc>
        <w:tc>
          <w:tcPr>
            <w:tcW w:w="853" w:type="pct"/>
            <w:vAlign w:val="center"/>
          </w:tcPr>
          <w:p>
            <w:pPr>
              <w:pStyle w:val="39"/>
              <w:rPr>
                <w:rFonts w:cs="Times New Roman"/>
                <w:u w:val="single"/>
              </w:rPr>
            </w:pPr>
            <w:r>
              <w:rPr>
                <w:rFonts w:cs="Times New Roman"/>
                <w:u w:val="single"/>
              </w:rPr>
              <w:t>纵向弥散系数</w:t>
            </w:r>
          </w:p>
        </w:tc>
        <w:tc>
          <w:tcPr>
            <w:tcW w:w="489" w:type="pct"/>
            <w:vAlign w:val="center"/>
          </w:tcPr>
          <w:p>
            <w:pPr>
              <w:pStyle w:val="39"/>
              <w:rPr>
                <w:rFonts w:cs="Times New Roman"/>
                <w:u w:val="single"/>
              </w:rPr>
            </w:pPr>
            <w:r>
              <w:rPr>
                <w:rFonts w:cs="Times New Roman"/>
                <w:u w:val="single"/>
              </w:rPr>
              <w:t>圆周率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10" w:type="pct"/>
            <w:vAlign w:val="center"/>
          </w:tcPr>
          <w:p>
            <w:pPr>
              <w:pStyle w:val="39"/>
              <w:rPr>
                <w:rFonts w:cs="Times New Roman"/>
                <w:u w:val="single"/>
              </w:rPr>
            </w:pPr>
            <w:r>
              <w:rPr>
                <w:rFonts w:cs="Times New Roman"/>
                <w:u w:val="single"/>
              </w:rPr>
              <w:t>单位</w:t>
            </w:r>
          </w:p>
        </w:tc>
        <w:tc>
          <w:tcPr>
            <w:tcW w:w="974" w:type="pct"/>
            <w:vAlign w:val="center"/>
          </w:tcPr>
          <w:p>
            <w:pPr>
              <w:pStyle w:val="39"/>
              <w:rPr>
                <w:rFonts w:cs="Times New Roman"/>
                <w:u w:val="single"/>
              </w:rPr>
            </w:pPr>
            <w:r>
              <w:rPr>
                <w:rFonts w:cs="Times New Roman"/>
                <w:u w:val="single"/>
              </w:rPr>
              <w:t>kg</w:t>
            </w:r>
          </w:p>
        </w:tc>
        <w:tc>
          <w:tcPr>
            <w:tcW w:w="732" w:type="pct"/>
            <w:vAlign w:val="center"/>
          </w:tcPr>
          <w:p>
            <w:pPr>
              <w:pStyle w:val="39"/>
              <w:rPr>
                <w:rFonts w:cs="Times New Roman"/>
                <w:u w:val="single"/>
              </w:rPr>
            </w:pPr>
            <w:r>
              <w:rPr>
                <w:rFonts w:cs="Times New Roman"/>
                <w:u w:val="single"/>
              </w:rPr>
              <w:t>m</w:t>
            </w:r>
            <w:r>
              <w:rPr>
                <w:rFonts w:cs="Times New Roman"/>
                <w:u w:val="single"/>
                <w:vertAlign w:val="superscript"/>
              </w:rPr>
              <w:t>2</w:t>
            </w:r>
          </w:p>
        </w:tc>
        <w:tc>
          <w:tcPr>
            <w:tcW w:w="610" w:type="pct"/>
            <w:vAlign w:val="center"/>
          </w:tcPr>
          <w:p>
            <w:pPr>
              <w:pStyle w:val="39"/>
              <w:rPr>
                <w:rFonts w:cs="Times New Roman"/>
                <w:u w:val="single"/>
              </w:rPr>
            </w:pPr>
            <w:r>
              <w:rPr>
                <w:rFonts w:cs="Times New Roman"/>
                <w:u w:val="single"/>
              </w:rPr>
              <w:t>m/d</w:t>
            </w:r>
          </w:p>
        </w:tc>
        <w:tc>
          <w:tcPr>
            <w:tcW w:w="732" w:type="pct"/>
            <w:vAlign w:val="center"/>
          </w:tcPr>
          <w:p>
            <w:pPr>
              <w:pStyle w:val="39"/>
              <w:rPr>
                <w:rFonts w:cs="Times New Roman"/>
                <w:u w:val="single"/>
              </w:rPr>
            </w:pPr>
            <w:r>
              <w:rPr>
                <w:rFonts w:cs="Times New Roman"/>
                <w:u w:val="single"/>
              </w:rPr>
              <w:t>无量纲</w:t>
            </w:r>
          </w:p>
        </w:tc>
        <w:tc>
          <w:tcPr>
            <w:tcW w:w="853" w:type="pct"/>
            <w:vAlign w:val="center"/>
          </w:tcPr>
          <w:p>
            <w:pPr>
              <w:pStyle w:val="39"/>
              <w:rPr>
                <w:rFonts w:cs="Times New Roman"/>
                <w:u w:val="single"/>
              </w:rPr>
            </w:pPr>
            <w:r>
              <w:rPr>
                <w:rFonts w:cs="Times New Roman"/>
                <w:u w:val="single"/>
              </w:rPr>
              <w:t>m</w:t>
            </w:r>
            <w:r>
              <w:rPr>
                <w:rFonts w:cs="Times New Roman"/>
                <w:u w:val="single"/>
                <w:vertAlign w:val="superscript"/>
              </w:rPr>
              <w:t>2</w:t>
            </w:r>
            <w:r>
              <w:rPr>
                <w:rFonts w:cs="Times New Roman"/>
                <w:u w:val="single"/>
              </w:rPr>
              <w:t>/d</w:t>
            </w:r>
          </w:p>
        </w:tc>
        <w:tc>
          <w:tcPr>
            <w:tcW w:w="489" w:type="pct"/>
            <w:vAlign w:val="center"/>
          </w:tcPr>
          <w:p>
            <w:pPr>
              <w:pStyle w:val="39"/>
              <w:rPr>
                <w:rFonts w:cs="Times New Roman"/>
                <w:u w:val="single"/>
              </w:rPr>
            </w:pPr>
            <w:r>
              <w:rPr>
                <w:rFonts w:cs="Times New Roman"/>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10" w:type="pct"/>
            <w:vAlign w:val="center"/>
          </w:tcPr>
          <w:p>
            <w:pPr>
              <w:pStyle w:val="39"/>
              <w:rPr>
                <w:rFonts w:cs="Times New Roman"/>
                <w:u w:val="single"/>
              </w:rPr>
            </w:pPr>
            <w:r>
              <w:rPr>
                <w:rFonts w:cs="Times New Roman"/>
                <w:u w:val="single"/>
              </w:rPr>
              <w:t>取值</w:t>
            </w:r>
          </w:p>
        </w:tc>
        <w:tc>
          <w:tcPr>
            <w:tcW w:w="974" w:type="pct"/>
            <w:vAlign w:val="center"/>
          </w:tcPr>
          <w:p>
            <w:pPr>
              <w:pStyle w:val="39"/>
              <w:rPr>
                <w:rFonts w:cs="Times New Roman"/>
                <w:u w:val="single"/>
              </w:rPr>
            </w:pPr>
            <w:r>
              <w:rPr>
                <w:rFonts w:cs="Times New Roman"/>
                <w:u w:val="single"/>
              </w:rPr>
              <w:t>NH</w:t>
            </w:r>
            <w:r>
              <w:rPr>
                <w:rFonts w:cs="Times New Roman"/>
                <w:u w:val="single"/>
                <w:vertAlign w:val="subscript"/>
              </w:rPr>
              <w:t>3</w:t>
            </w:r>
            <w:r>
              <w:rPr>
                <w:rFonts w:cs="Times New Roman"/>
                <w:u w:val="single"/>
              </w:rPr>
              <w:t>-N：0.04</w:t>
            </w:r>
          </w:p>
        </w:tc>
        <w:tc>
          <w:tcPr>
            <w:tcW w:w="732" w:type="pct"/>
            <w:vAlign w:val="center"/>
          </w:tcPr>
          <w:p>
            <w:pPr>
              <w:pStyle w:val="39"/>
              <w:rPr>
                <w:rFonts w:cs="Times New Roman"/>
                <w:u w:val="single"/>
              </w:rPr>
            </w:pPr>
            <w:r>
              <w:rPr>
                <w:rFonts w:cs="Times New Roman"/>
                <w:u w:val="single"/>
              </w:rPr>
              <w:t>0.3</w:t>
            </w:r>
          </w:p>
        </w:tc>
        <w:tc>
          <w:tcPr>
            <w:tcW w:w="610" w:type="pct"/>
            <w:vAlign w:val="center"/>
          </w:tcPr>
          <w:p>
            <w:pPr>
              <w:pStyle w:val="39"/>
              <w:rPr>
                <w:rFonts w:cs="Times New Roman"/>
                <w:u w:val="single"/>
              </w:rPr>
            </w:pPr>
            <w:r>
              <w:rPr>
                <w:rFonts w:cs="Times New Roman"/>
                <w:u w:val="single"/>
              </w:rPr>
              <w:t>0.28</w:t>
            </w:r>
          </w:p>
        </w:tc>
        <w:tc>
          <w:tcPr>
            <w:tcW w:w="732" w:type="pct"/>
            <w:vAlign w:val="center"/>
          </w:tcPr>
          <w:p>
            <w:pPr>
              <w:pStyle w:val="39"/>
              <w:rPr>
                <w:rFonts w:cs="Times New Roman"/>
                <w:u w:val="single"/>
              </w:rPr>
            </w:pPr>
            <w:r>
              <w:rPr>
                <w:rFonts w:cs="Times New Roman"/>
                <w:u w:val="single"/>
              </w:rPr>
              <w:t>0.2</w:t>
            </w:r>
          </w:p>
        </w:tc>
        <w:tc>
          <w:tcPr>
            <w:tcW w:w="853" w:type="pct"/>
            <w:vAlign w:val="center"/>
          </w:tcPr>
          <w:p>
            <w:pPr>
              <w:pStyle w:val="39"/>
              <w:rPr>
                <w:rFonts w:cs="Times New Roman"/>
                <w:u w:val="single"/>
              </w:rPr>
            </w:pPr>
            <w:r>
              <w:rPr>
                <w:rFonts w:cs="Times New Roman"/>
                <w:u w:val="single"/>
              </w:rPr>
              <w:t>0.5</w:t>
            </w:r>
          </w:p>
        </w:tc>
        <w:tc>
          <w:tcPr>
            <w:tcW w:w="489" w:type="pct"/>
            <w:vAlign w:val="center"/>
          </w:tcPr>
          <w:p>
            <w:pPr>
              <w:pStyle w:val="39"/>
              <w:rPr>
                <w:rFonts w:cs="Times New Roman"/>
                <w:u w:val="single"/>
              </w:rPr>
            </w:pPr>
            <w:r>
              <w:rPr>
                <w:rFonts w:cs="Times New Roman"/>
                <w:u w:val="single"/>
              </w:rPr>
              <w:t>3.14</w:t>
            </w:r>
          </w:p>
        </w:tc>
      </w:tr>
    </w:tbl>
    <w:p>
      <w:pPr>
        <w:pStyle w:val="3"/>
        <w:ind w:firstLine="480"/>
        <w:rPr>
          <w:rFonts w:cs="Times New Roman"/>
          <w:u w:val="single"/>
        </w:rPr>
      </w:pPr>
    </w:p>
    <w:p>
      <w:pPr>
        <w:pStyle w:val="3"/>
        <w:ind w:firstLine="480"/>
        <w:rPr>
          <w:rFonts w:cs="Times New Roman"/>
          <w:u w:val="single"/>
        </w:rPr>
      </w:pPr>
      <w:r>
        <w:rPr>
          <w:rFonts w:hint="eastAsia" w:ascii="宋体" w:hAnsi="宋体" w:cs="宋体"/>
          <w:u w:val="single"/>
        </w:rPr>
        <w:t>⑤</w:t>
      </w:r>
      <w:r>
        <w:rPr>
          <w:rFonts w:cs="Times New Roman"/>
          <w:u w:val="single"/>
        </w:rPr>
        <w:t>预测结果</w:t>
      </w:r>
    </w:p>
    <w:p>
      <w:pPr>
        <w:pStyle w:val="15"/>
        <w:rPr>
          <w:rFonts w:cs="Times New Roman"/>
          <w:u w:val="single"/>
        </w:rPr>
      </w:pPr>
      <w:r>
        <w:rPr>
          <w:rFonts w:cs="Times New Roman"/>
          <w:u w:val="single"/>
        </w:rPr>
        <w:t>表5.2-1</w:t>
      </w:r>
      <w:r>
        <w:rPr>
          <w:rFonts w:hint="eastAsia" w:cs="Times New Roman"/>
          <w:u w:val="single"/>
        </w:rPr>
        <w:t>3</w:t>
      </w:r>
      <w:r>
        <w:rPr>
          <w:rFonts w:cs="Times New Roman"/>
          <w:u w:val="single"/>
        </w:rPr>
        <w:t xml:space="preserve">  瞬时排放废水污染物NH</w:t>
      </w:r>
      <w:r>
        <w:rPr>
          <w:rFonts w:cs="Times New Roman"/>
          <w:u w:val="single"/>
          <w:vertAlign w:val="subscript"/>
        </w:rPr>
        <w:t>3</w:t>
      </w:r>
      <w:r>
        <w:rPr>
          <w:rFonts w:cs="Times New Roman"/>
          <w:u w:val="single"/>
        </w:rPr>
        <w:t>-N预测结果  单位：mg/L</w:t>
      </w:r>
    </w:p>
    <w:tbl>
      <w:tblPr>
        <w:tblStyle w:val="26"/>
        <w:tblW w:w="5000" w:type="pct"/>
        <w:tblInd w:w="0" w:type="dxa"/>
        <w:tblLayout w:type="autofit"/>
        <w:tblCellMar>
          <w:top w:w="0" w:type="dxa"/>
          <w:left w:w="108" w:type="dxa"/>
          <w:bottom w:w="0" w:type="dxa"/>
          <w:right w:w="108" w:type="dxa"/>
        </w:tblCellMar>
      </w:tblPr>
      <w:tblGrid>
        <w:gridCol w:w="752"/>
        <w:gridCol w:w="1354"/>
        <w:gridCol w:w="1204"/>
        <w:gridCol w:w="1275"/>
        <w:gridCol w:w="1147"/>
        <w:gridCol w:w="1147"/>
        <w:gridCol w:w="1147"/>
        <w:gridCol w:w="1147"/>
      </w:tblGrid>
      <w:tr>
        <w:tblPrEx>
          <w:tblCellMar>
            <w:top w:w="0" w:type="dxa"/>
            <w:left w:w="108" w:type="dxa"/>
            <w:bottom w:w="0" w:type="dxa"/>
            <w:right w:w="108" w:type="dxa"/>
          </w:tblCellMar>
        </w:tblPrEx>
        <w:trPr>
          <w:trHeight w:val="386" w:hRule="atLeast"/>
          <w:tblHeader/>
        </w:trPr>
        <w:tc>
          <w:tcPr>
            <w:tcW w:w="410" w:type="pct"/>
            <w:tcBorders>
              <w:top w:val="single" w:color="auto" w:sz="4" w:space="0"/>
              <w:left w:val="single" w:color="auto" w:sz="4" w:space="0"/>
              <w:bottom w:val="single" w:color="auto" w:sz="4" w:space="0"/>
              <w:right w:val="single" w:color="auto" w:sz="4" w:space="0"/>
            </w:tcBorders>
            <w:shd w:val="clear" w:color="auto" w:fill="auto"/>
            <w:noWrap/>
            <w:vAlign w:val="center"/>
          </w:tcPr>
          <w:p>
            <w:pPr>
              <w:pStyle w:val="39"/>
              <w:rPr>
                <w:rFonts w:cs="Times New Roman"/>
                <w:sz w:val="18"/>
                <w:szCs w:val="18"/>
                <w:u w:val="single"/>
              </w:rPr>
            </w:pPr>
            <w:r>
              <w:rPr>
                <w:rFonts w:cs="Times New Roman"/>
                <w:sz w:val="18"/>
                <w:szCs w:val="18"/>
                <w:u w:val="single"/>
              </w:rPr>
              <w:t>x</w:t>
            </w:r>
          </w:p>
        </w:tc>
        <w:tc>
          <w:tcPr>
            <w:tcW w:w="738" w:type="pct"/>
            <w:tcBorders>
              <w:top w:val="single" w:color="auto" w:sz="4" w:space="0"/>
              <w:left w:val="nil"/>
              <w:bottom w:val="single" w:color="auto" w:sz="4" w:space="0"/>
              <w:right w:val="single" w:color="auto" w:sz="4" w:space="0"/>
            </w:tcBorders>
            <w:shd w:val="clear" w:color="auto" w:fill="auto"/>
            <w:noWrap/>
            <w:vAlign w:val="center"/>
          </w:tcPr>
          <w:p>
            <w:pPr>
              <w:pStyle w:val="39"/>
              <w:rPr>
                <w:rFonts w:cs="Times New Roman"/>
                <w:sz w:val="18"/>
                <w:szCs w:val="18"/>
                <w:u w:val="single"/>
              </w:rPr>
            </w:pPr>
            <w:r>
              <w:rPr>
                <w:rFonts w:cs="Times New Roman"/>
                <w:sz w:val="18"/>
                <w:szCs w:val="18"/>
                <w:u w:val="single"/>
              </w:rPr>
              <w:t>5d</w:t>
            </w:r>
          </w:p>
        </w:tc>
        <w:tc>
          <w:tcPr>
            <w:tcW w:w="656" w:type="pct"/>
            <w:tcBorders>
              <w:top w:val="single" w:color="auto" w:sz="4" w:space="0"/>
              <w:left w:val="nil"/>
              <w:bottom w:val="single" w:color="auto" w:sz="4" w:space="0"/>
              <w:right w:val="single" w:color="auto" w:sz="4" w:space="0"/>
            </w:tcBorders>
            <w:shd w:val="clear" w:color="auto" w:fill="auto"/>
            <w:noWrap/>
            <w:vAlign w:val="center"/>
          </w:tcPr>
          <w:p>
            <w:pPr>
              <w:pStyle w:val="39"/>
              <w:rPr>
                <w:rFonts w:cs="Times New Roman"/>
                <w:sz w:val="18"/>
                <w:szCs w:val="18"/>
                <w:u w:val="single"/>
              </w:rPr>
            </w:pPr>
            <w:r>
              <w:rPr>
                <w:rFonts w:cs="Times New Roman"/>
                <w:sz w:val="18"/>
                <w:szCs w:val="18"/>
                <w:u w:val="single"/>
              </w:rPr>
              <w:t>10d</w:t>
            </w:r>
          </w:p>
        </w:tc>
        <w:tc>
          <w:tcPr>
            <w:tcW w:w="695" w:type="pct"/>
            <w:tcBorders>
              <w:top w:val="single" w:color="auto" w:sz="4" w:space="0"/>
              <w:left w:val="nil"/>
              <w:bottom w:val="single" w:color="auto" w:sz="4" w:space="0"/>
              <w:right w:val="single" w:color="auto" w:sz="4" w:space="0"/>
            </w:tcBorders>
            <w:shd w:val="clear" w:color="auto" w:fill="auto"/>
            <w:noWrap/>
            <w:vAlign w:val="center"/>
          </w:tcPr>
          <w:p>
            <w:pPr>
              <w:pStyle w:val="39"/>
              <w:rPr>
                <w:rFonts w:cs="Times New Roman"/>
                <w:sz w:val="18"/>
                <w:szCs w:val="18"/>
                <w:u w:val="single"/>
              </w:rPr>
            </w:pPr>
            <w:r>
              <w:rPr>
                <w:rFonts w:cs="Times New Roman"/>
                <w:sz w:val="18"/>
                <w:szCs w:val="18"/>
                <w:u w:val="single"/>
              </w:rPr>
              <w:t>20d</w:t>
            </w:r>
          </w:p>
        </w:tc>
        <w:tc>
          <w:tcPr>
            <w:tcW w:w="625" w:type="pct"/>
            <w:tcBorders>
              <w:top w:val="single" w:color="auto" w:sz="4" w:space="0"/>
              <w:left w:val="nil"/>
              <w:bottom w:val="single" w:color="auto" w:sz="4" w:space="0"/>
              <w:right w:val="single" w:color="auto" w:sz="4" w:space="0"/>
            </w:tcBorders>
            <w:shd w:val="clear" w:color="auto" w:fill="auto"/>
            <w:noWrap/>
            <w:vAlign w:val="center"/>
          </w:tcPr>
          <w:p>
            <w:pPr>
              <w:pStyle w:val="39"/>
              <w:rPr>
                <w:rFonts w:cs="Times New Roman"/>
                <w:sz w:val="18"/>
                <w:szCs w:val="18"/>
                <w:u w:val="single"/>
              </w:rPr>
            </w:pPr>
            <w:r>
              <w:rPr>
                <w:rFonts w:cs="Times New Roman"/>
                <w:sz w:val="18"/>
                <w:szCs w:val="18"/>
                <w:u w:val="single"/>
              </w:rPr>
              <w:t>50d</w:t>
            </w:r>
          </w:p>
        </w:tc>
        <w:tc>
          <w:tcPr>
            <w:tcW w:w="625" w:type="pct"/>
            <w:tcBorders>
              <w:top w:val="single" w:color="auto" w:sz="4" w:space="0"/>
              <w:left w:val="nil"/>
              <w:bottom w:val="single" w:color="auto" w:sz="4" w:space="0"/>
              <w:right w:val="single" w:color="auto" w:sz="4" w:space="0"/>
            </w:tcBorders>
            <w:shd w:val="clear" w:color="auto" w:fill="auto"/>
            <w:noWrap/>
            <w:vAlign w:val="center"/>
          </w:tcPr>
          <w:p>
            <w:pPr>
              <w:pStyle w:val="39"/>
              <w:rPr>
                <w:rFonts w:cs="Times New Roman"/>
                <w:sz w:val="18"/>
                <w:szCs w:val="18"/>
                <w:u w:val="single"/>
              </w:rPr>
            </w:pPr>
            <w:r>
              <w:rPr>
                <w:rFonts w:cs="Times New Roman"/>
                <w:sz w:val="18"/>
                <w:szCs w:val="18"/>
                <w:u w:val="single"/>
              </w:rPr>
              <w:t>100d</w:t>
            </w:r>
          </w:p>
        </w:tc>
        <w:tc>
          <w:tcPr>
            <w:tcW w:w="625" w:type="pct"/>
            <w:tcBorders>
              <w:top w:val="single" w:color="auto" w:sz="4" w:space="0"/>
              <w:left w:val="nil"/>
              <w:bottom w:val="single" w:color="auto" w:sz="4" w:space="0"/>
              <w:right w:val="single" w:color="auto" w:sz="4" w:space="0"/>
            </w:tcBorders>
            <w:shd w:val="clear" w:color="auto" w:fill="auto"/>
            <w:noWrap/>
            <w:vAlign w:val="center"/>
          </w:tcPr>
          <w:p>
            <w:pPr>
              <w:pStyle w:val="39"/>
              <w:rPr>
                <w:rFonts w:cs="Times New Roman"/>
                <w:sz w:val="18"/>
                <w:szCs w:val="18"/>
                <w:u w:val="single"/>
              </w:rPr>
            </w:pPr>
            <w:r>
              <w:rPr>
                <w:rFonts w:cs="Times New Roman"/>
                <w:sz w:val="18"/>
                <w:szCs w:val="18"/>
                <w:u w:val="single"/>
              </w:rPr>
              <w:t>150d</w:t>
            </w:r>
          </w:p>
        </w:tc>
        <w:tc>
          <w:tcPr>
            <w:tcW w:w="625" w:type="pct"/>
            <w:tcBorders>
              <w:top w:val="single" w:color="auto" w:sz="4" w:space="0"/>
              <w:left w:val="nil"/>
              <w:bottom w:val="single" w:color="auto" w:sz="4" w:space="0"/>
              <w:right w:val="single" w:color="auto" w:sz="4" w:space="0"/>
            </w:tcBorders>
            <w:shd w:val="clear" w:color="auto" w:fill="auto"/>
            <w:noWrap/>
            <w:vAlign w:val="center"/>
          </w:tcPr>
          <w:p>
            <w:pPr>
              <w:pStyle w:val="39"/>
              <w:rPr>
                <w:rFonts w:cs="Times New Roman"/>
                <w:sz w:val="18"/>
                <w:szCs w:val="18"/>
                <w:u w:val="single"/>
              </w:rPr>
            </w:pPr>
            <w:r>
              <w:rPr>
                <w:rFonts w:cs="Times New Roman"/>
                <w:sz w:val="18"/>
                <w:szCs w:val="18"/>
                <w:u w:val="single"/>
              </w:rPr>
              <w:t>300d</w:t>
            </w:r>
          </w:p>
        </w:tc>
      </w:tr>
      <w:tr>
        <w:tblPrEx>
          <w:tblCellMar>
            <w:top w:w="0" w:type="dxa"/>
            <w:left w:w="108" w:type="dxa"/>
            <w:bottom w:w="0" w:type="dxa"/>
            <w:right w:w="108" w:type="dxa"/>
          </w:tblCellMar>
        </w:tblPrEx>
        <w:trPr>
          <w:trHeight w:val="386" w:hRule="atLeast"/>
        </w:trPr>
        <w:tc>
          <w:tcPr>
            <w:tcW w:w="410" w:type="pct"/>
            <w:tcBorders>
              <w:top w:val="nil"/>
              <w:left w:val="single" w:color="auto" w:sz="4" w:space="0"/>
              <w:bottom w:val="single" w:color="auto" w:sz="4" w:space="0"/>
              <w:right w:val="single" w:color="auto" w:sz="4" w:space="0"/>
            </w:tcBorders>
            <w:shd w:val="clear" w:color="auto" w:fill="auto"/>
            <w:noWrap/>
            <w:vAlign w:val="center"/>
          </w:tcPr>
          <w:p>
            <w:pPr>
              <w:pStyle w:val="39"/>
              <w:rPr>
                <w:rFonts w:cs="Times New Roman"/>
                <w:sz w:val="18"/>
                <w:szCs w:val="18"/>
                <w:u w:val="single"/>
              </w:rPr>
            </w:pPr>
            <w:r>
              <w:rPr>
                <w:rFonts w:cs="Times New Roman"/>
                <w:sz w:val="18"/>
                <w:szCs w:val="18"/>
                <w:u w:val="single"/>
              </w:rPr>
              <w:t>0m</w:t>
            </w:r>
          </w:p>
        </w:tc>
        <w:tc>
          <w:tcPr>
            <w:tcW w:w="738" w:type="pct"/>
            <w:tcBorders>
              <w:top w:val="nil"/>
              <w:left w:val="nil"/>
              <w:bottom w:val="single" w:color="auto" w:sz="4" w:space="0"/>
              <w:right w:val="single" w:color="auto" w:sz="4" w:space="0"/>
            </w:tcBorders>
            <w:shd w:val="clear" w:color="auto" w:fill="auto"/>
            <w:noWrap/>
            <w:vAlign w:val="center"/>
          </w:tcPr>
          <w:p>
            <w:pPr>
              <w:pStyle w:val="39"/>
              <w:rPr>
                <w:u w:val="single"/>
              </w:rPr>
            </w:pPr>
            <w:r>
              <w:rPr>
                <w:rFonts w:hint="eastAsia"/>
                <w:u w:val="single"/>
              </w:rPr>
              <w:t xml:space="preserve">97.800 </w:t>
            </w:r>
          </w:p>
        </w:tc>
        <w:tc>
          <w:tcPr>
            <w:tcW w:w="656" w:type="pct"/>
            <w:tcBorders>
              <w:top w:val="nil"/>
              <w:left w:val="nil"/>
              <w:bottom w:val="single" w:color="auto" w:sz="4" w:space="0"/>
              <w:right w:val="single" w:color="auto" w:sz="4" w:space="0"/>
            </w:tcBorders>
            <w:shd w:val="clear" w:color="auto" w:fill="auto"/>
            <w:noWrap/>
            <w:vAlign w:val="center"/>
          </w:tcPr>
          <w:p>
            <w:pPr>
              <w:pStyle w:val="39"/>
              <w:rPr>
                <w:u w:val="single"/>
              </w:rPr>
            </w:pPr>
            <w:r>
              <w:rPr>
                <w:rFonts w:hint="eastAsia"/>
                <w:u w:val="single"/>
              </w:rPr>
              <w:t xml:space="preserve">56.800 </w:t>
            </w:r>
          </w:p>
        </w:tc>
        <w:tc>
          <w:tcPr>
            <w:tcW w:w="695" w:type="pct"/>
            <w:tcBorders>
              <w:top w:val="nil"/>
              <w:left w:val="nil"/>
              <w:bottom w:val="single" w:color="auto" w:sz="4" w:space="0"/>
              <w:right w:val="single" w:color="auto" w:sz="4" w:space="0"/>
            </w:tcBorders>
            <w:shd w:val="clear" w:color="auto" w:fill="auto"/>
            <w:noWrap/>
            <w:vAlign w:val="center"/>
          </w:tcPr>
          <w:p>
            <w:pPr>
              <w:pStyle w:val="39"/>
              <w:rPr>
                <w:u w:val="single"/>
              </w:rPr>
            </w:pPr>
            <w:r>
              <w:rPr>
                <w:rFonts w:hint="eastAsia"/>
                <w:u w:val="single"/>
              </w:rPr>
              <w:t xml:space="preserve">27.200 </w:t>
            </w:r>
          </w:p>
        </w:tc>
        <w:tc>
          <w:tcPr>
            <w:tcW w:w="625" w:type="pct"/>
            <w:tcBorders>
              <w:top w:val="nil"/>
              <w:left w:val="nil"/>
              <w:bottom w:val="single" w:color="auto" w:sz="4" w:space="0"/>
              <w:right w:val="single" w:color="auto" w:sz="4" w:space="0"/>
            </w:tcBorders>
            <w:shd w:val="clear" w:color="auto" w:fill="auto"/>
            <w:noWrap/>
            <w:vAlign w:val="center"/>
          </w:tcPr>
          <w:p>
            <w:pPr>
              <w:pStyle w:val="39"/>
              <w:rPr>
                <w:u w:val="single"/>
              </w:rPr>
            </w:pPr>
            <w:r>
              <w:rPr>
                <w:rFonts w:hint="eastAsia"/>
                <w:u w:val="single"/>
              </w:rPr>
              <w:t xml:space="preserve">5.300 </w:t>
            </w:r>
          </w:p>
        </w:tc>
        <w:tc>
          <w:tcPr>
            <w:tcW w:w="625" w:type="pct"/>
            <w:tcBorders>
              <w:top w:val="nil"/>
              <w:left w:val="nil"/>
              <w:bottom w:val="single" w:color="auto" w:sz="4" w:space="0"/>
              <w:right w:val="single" w:color="auto" w:sz="4" w:space="0"/>
            </w:tcBorders>
            <w:shd w:val="clear" w:color="auto" w:fill="auto"/>
            <w:noWrap/>
            <w:vAlign w:val="center"/>
          </w:tcPr>
          <w:p>
            <w:pPr>
              <w:pStyle w:val="39"/>
              <w:rPr>
                <w:u w:val="single"/>
              </w:rPr>
            </w:pPr>
            <w:r>
              <w:rPr>
                <w:rFonts w:hint="eastAsia"/>
                <w:u w:val="single"/>
              </w:rPr>
              <w:t xml:space="preserve">0.528 </w:t>
            </w:r>
          </w:p>
        </w:tc>
        <w:tc>
          <w:tcPr>
            <w:tcW w:w="625" w:type="pct"/>
            <w:tcBorders>
              <w:top w:val="nil"/>
              <w:left w:val="nil"/>
              <w:bottom w:val="single" w:color="auto" w:sz="4" w:space="0"/>
              <w:right w:val="single" w:color="auto" w:sz="4" w:space="0"/>
            </w:tcBorders>
            <w:shd w:val="clear" w:color="auto" w:fill="auto"/>
            <w:noWrap/>
            <w:vAlign w:val="center"/>
          </w:tcPr>
          <w:p>
            <w:pPr>
              <w:pStyle w:val="39"/>
              <w:rPr>
                <w:u w:val="single"/>
              </w:rPr>
            </w:pPr>
            <w:r>
              <w:rPr>
                <w:rFonts w:hint="eastAsia"/>
                <w:u w:val="single"/>
              </w:rPr>
              <w:t xml:space="preserve">0.061 </w:t>
            </w:r>
          </w:p>
        </w:tc>
        <w:tc>
          <w:tcPr>
            <w:tcW w:w="625" w:type="pct"/>
            <w:tcBorders>
              <w:top w:val="nil"/>
              <w:left w:val="nil"/>
              <w:bottom w:val="single" w:color="auto" w:sz="4" w:space="0"/>
              <w:right w:val="single" w:color="auto" w:sz="4" w:space="0"/>
            </w:tcBorders>
            <w:shd w:val="clear" w:color="auto" w:fill="auto"/>
            <w:noWrap/>
            <w:vAlign w:val="center"/>
          </w:tcPr>
          <w:p>
            <w:pPr>
              <w:pStyle w:val="39"/>
              <w:rPr>
                <w:u w:val="single"/>
              </w:rPr>
            </w:pPr>
            <w:r>
              <w:rPr>
                <w:rFonts w:hint="eastAsia"/>
                <w:u w:val="single"/>
              </w:rPr>
              <w:t xml:space="preserve">0.000 </w:t>
            </w:r>
          </w:p>
        </w:tc>
      </w:tr>
      <w:tr>
        <w:tblPrEx>
          <w:tblCellMar>
            <w:top w:w="0" w:type="dxa"/>
            <w:left w:w="108" w:type="dxa"/>
            <w:bottom w:w="0" w:type="dxa"/>
            <w:right w:w="108" w:type="dxa"/>
          </w:tblCellMar>
        </w:tblPrEx>
        <w:trPr>
          <w:trHeight w:val="386" w:hRule="atLeast"/>
        </w:trPr>
        <w:tc>
          <w:tcPr>
            <w:tcW w:w="410" w:type="pct"/>
            <w:tcBorders>
              <w:top w:val="nil"/>
              <w:left w:val="single" w:color="auto" w:sz="4" w:space="0"/>
              <w:bottom w:val="single" w:color="auto" w:sz="4" w:space="0"/>
              <w:right w:val="single" w:color="auto" w:sz="4" w:space="0"/>
            </w:tcBorders>
            <w:shd w:val="clear" w:color="auto" w:fill="auto"/>
            <w:noWrap/>
            <w:vAlign w:val="center"/>
          </w:tcPr>
          <w:p>
            <w:pPr>
              <w:pStyle w:val="39"/>
              <w:rPr>
                <w:rFonts w:cs="Times New Roman"/>
                <w:sz w:val="18"/>
                <w:szCs w:val="18"/>
                <w:u w:val="single"/>
              </w:rPr>
            </w:pPr>
            <w:r>
              <w:rPr>
                <w:rFonts w:cs="Times New Roman"/>
                <w:sz w:val="18"/>
                <w:szCs w:val="18"/>
                <w:u w:val="single"/>
              </w:rPr>
              <w:t>10m</w:t>
            </w:r>
          </w:p>
        </w:tc>
        <w:tc>
          <w:tcPr>
            <w:tcW w:w="738" w:type="pct"/>
            <w:tcBorders>
              <w:top w:val="nil"/>
              <w:left w:val="nil"/>
              <w:bottom w:val="single" w:color="auto" w:sz="4" w:space="0"/>
              <w:right w:val="single" w:color="auto" w:sz="4" w:space="0"/>
            </w:tcBorders>
            <w:shd w:val="clear" w:color="auto" w:fill="auto"/>
            <w:noWrap/>
            <w:vAlign w:val="center"/>
          </w:tcPr>
          <w:p>
            <w:pPr>
              <w:pStyle w:val="39"/>
              <w:rPr>
                <w:u w:val="single"/>
              </w:rPr>
            </w:pPr>
            <w:r>
              <w:rPr>
                <w:rFonts w:hint="eastAsia"/>
                <w:u w:val="single"/>
              </w:rPr>
              <w:t xml:space="preserve">0.073 </w:t>
            </w:r>
          </w:p>
        </w:tc>
        <w:tc>
          <w:tcPr>
            <w:tcW w:w="656" w:type="pct"/>
            <w:tcBorders>
              <w:top w:val="nil"/>
              <w:left w:val="nil"/>
              <w:bottom w:val="single" w:color="auto" w:sz="4" w:space="0"/>
              <w:right w:val="single" w:color="auto" w:sz="4" w:space="0"/>
            </w:tcBorders>
            <w:shd w:val="clear" w:color="auto" w:fill="auto"/>
            <w:noWrap/>
            <w:vAlign w:val="center"/>
          </w:tcPr>
          <w:p>
            <w:pPr>
              <w:pStyle w:val="39"/>
              <w:rPr>
                <w:u w:val="single"/>
              </w:rPr>
            </w:pPr>
            <w:r>
              <w:rPr>
                <w:rFonts w:hint="eastAsia"/>
                <w:u w:val="single"/>
              </w:rPr>
              <w:t xml:space="preserve">6.300 </w:t>
            </w:r>
          </w:p>
        </w:tc>
        <w:tc>
          <w:tcPr>
            <w:tcW w:w="695" w:type="pct"/>
            <w:tcBorders>
              <w:top w:val="nil"/>
              <w:left w:val="nil"/>
              <w:bottom w:val="single" w:color="auto" w:sz="4" w:space="0"/>
              <w:right w:val="single" w:color="auto" w:sz="4" w:space="0"/>
            </w:tcBorders>
            <w:shd w:val="clear" w:color="auto" w:fill="auto"/>
            <w:noWrap/>
            <w:vAlign w:val="center"/>
          </w:tcPr>
          <w:p>
            <w:pPr>
              <w:pStyle w:val="39"/>
              <w:rPr>
                <w:u w:val="single"/>
              </w:rPr>
            </w:pPr>
            <w:r>
              <w:rPr>
                <w:rFonts w:hint="eastAsia"/>
                <w:u w:val="single"/>
              </w:rPr>
              <w:t xml:space="preserve">36.700 </w:t>
            </w:r>
          </w:p>
        </w:tc>
        <w:tc>
          <w:tcPr>
            <w:tcW w:w="625" w:type="pct"/>
            <w:tcBorders>
              <w:top w:val="nil"/>
              <w:left w:val="nil"/>
              <w:bottom w:val="single" w:color="auto" w:sz="4" w:space="0"/>
              <w:right w:val="single" w:color="auto" w:sz="4" w:space="0"/>
            </w:tcBorders>
            <w:shd w:val="clear" w:color="auto" w:fill="auto"/>
            <w:noWrap/>
            <w:vAlign w:val="center"/>
          </w:tcPr>
          <w:p>
            <w:pPr>
              <w:pStyle w:val="39"/>
              <w:rPr>
                <w:u w:val="single"/>
              </w:rPr>
            </w:pPr>
            <w:r>
              <w:rPr>
                <w:rFonts w:hint="eastAsia"/>
                <w:u w:val="single"/>
              </w:rPr>
              <w:t xml:space="preserve">32.100 </w:t>
            </w:r>
          </w:p>
        </w:tc>
        <w:tc>
          <w:tcPr>
            <w:tcW w:w="625" w:type="pct"/>
            <w:tcBorders>
              <w:top w:val="nil"/>
              <w:left w:val="nil"/>
              <w:bottom w:val="single" w:color="auto" w:sz="4" w:space="0"/>
              <w:right w:val="single" w:color="auto" w:sz="4" w:space="0"/>
            </w:tcBorders>
            <w:shd w:val="clear" w:color="auto" w:fill="auto"/>
            <w:noWrap/>
            <w:vAlign w:val="center"/>
          </w:tcPr>
          <w:p>
            <w:pPr>
              <w:pStyle w:val="39"/>
              <w:rPr>
                <w:u w:val="single"/>
              </w:rPr>
            </w:pPr>
            <w:r>
              <w:rPr>
                <w:rFonts w:hint="eastAsia"/>
                <w:u w:val="single"/>
              </w:rPr>
              <w:t xml:space="preserve">5.260 </w:t>
            </w:r>
          </w:p>
        </w:tc>
        <w:tc>
          <w:tcPr>
            <w:tcW w:w="625" w:type="pct"/>
            <w:tcBorders>
              <w:top w:val="nil"/>
              <w:left w:val="nil"/>
              <w:bottom w:val="single" w:color="auto" w:sz="4" w:space="0"/>
              <w:right w:val="single" w:color="auto" w:sz="4" w:space="0"/>
            </w:tcBorders>
            <w:shd w:val="clear" w:color="auto" w:fill="auto"/>
            <w:noWrap/>
            <w:vAlign w:val="center"/>
          </w:tcPr>
          <w:p>
            <w:pPr>
              <w:pStyle w:val="39"/>
              <w:rPr>
                <w:u w:val="single"/>
              </w:rPr>
            </w:pPr>
            <w:r>
              <w:rPr>
                <w:rFonts w:hint="eastAsia"/>
                <w:u w:val="single"/>
              </w:rPr>
              <w:t xml:space="preserve">0.715 </w:t>
            </w:r>
          </w:p>
        </w:tc>
        <w:tc>
          <w:tcPr>
            <w:tcW w:w="625" w:type="pct"/>
            <w:tcBorders>
              <w:top w:val="nil"/>
              <w:left w:val="nil"/>
              <w:bottom w:val="single" w:color="auto" w:sz="4" w:space="0"/>
              <w:right w:val="single" w:color="auto" w:sz="4" w:space="0"/>
            </w:tcBorders>
            <w:shd w:val="clear" w:color="auto" w:fill="auto"/>
            <w:noWrap/>
            <w:vAlign w:val="center"/>
          </w:tcPr>
          <w:p>
            <w:pPr>
              <w:pStyle w:val="39"/>
              <w:rPr>
                <w:u w:val="single"/>
              </w:rPr>
            </w:pPr>
            <w:r>
              <w:rPr>
                <w:rFonts w:hint="eastAsia"/>
                <w:u w:val="single"/>
              </w:rPr>
              <w:t xml:space="preserve">0.002 </w:t>
            </w:r>
          </w:p>
        </w:tc>
      </w:tr>
      <w:tr>
        <w:tblPrEx>
          <w:tblCellMar>
            <w:top w:w="0" w:type="dxa"/>
            <w:left w:w="108" w:type="dxa"/>
            <w:bottom w:w="0" w:type="dxa"/>
            <w:right w:w="108" w:type="dxa"/>
          </w:tblCellMar>
        </w:tblPrEx>
        <w:trPr>
          <w:trHeight w:val="386" w:hRule="atLeast"/>
        </w:trPr>
        <w:tc>
          <w:tcPr>
            <w:tcW w:w="410" w:type="pct"/>
            <w:tcBorders>
              <w:top w:val="nil"/>
              <w:left w:val="single" w:color="auto" w:sz="4" w:space="0"/>
              <w:bottom w:val="single" w:color="auto" w:sz="4" w:space="0"/>
              <w:right w:val="single" w:color="auto" w:sz="4" w:space="0"/>
            </w:tcBorders>
            <w:shd w:val="clear" w:color="auto" w:fill="auto"/>
            <w:noWrap/>
            <w:vAlign w:val="center"/>
          </w:tcPr>
          <w:p>
            <w:pPr>
              <w:pStyle w:val="39"/>
              <w:rPr>
                <w:rFonts w:cs="Times New Roman"/>
                <w:sz w:val="18"/>
                <w:szCs w:val="18"/>
                <w:u w:val="single"/>
              </w:rPr>
            </w:pPr>
            <w:r>
              <w:rPr>
                <w:rFonts w:cs="Times New Roman"/>
                <w:sz w:val="18"/>
                <w:szCs w:val="18"/>
                <w:u w:val="single"/>
              </w:rPr>
              <w:t>20m</w:t>
            </w:r>
          </w:p>
        </w:tc>
        <w:tc>
          <w:tcPr>
            <w:tcW w:w="738" w:type="pct"/>
            <w:tcBorders>
              <w:top w:val="nil"/>
              <w:left w:val="nil"/>
              <w:bottom w:val="single" w:color="auto" w:sz="4" w:space="0"/>
              <w:right w:val="single" w:color="auto" w:sz="4" w:space="0"/>
            </w:tcBorders>
            <w:shd w:val="clear" w:color="auto" w:fill="auto"/>
            <w:noWrap/>
            <w:vAlign w:val="center"/>
          </w:tcPr>
          <w:p>
            <w:pPr>
              <w:pStyle w:val="39"/>
              <w:rPr>
                <w:u w:val="single"/>
              </w:rPr>
            </w:pPr>
            <w:r>
              <w:rPr>
                <w:rFonts w:hint="eastAsia"/>
                <w:u w:val="single"/>
              </w:rPr>
              <w:t xml:space="preserve">0.000 </w:t>
            </w:r>
          </w:p>
        </w:tc>
        <w:tc>
          <w:tcPr>
            <w:tcW w:w="656" w:type="pct"/>
            <w:tcBorders>
              <w:top w:val="nil"/>
              <w:left w:val="nil"/>
              <w:bottom w:val="single" w:color="auto" w:sz="4" w:space="0"/>
              <w:right w:val="single" w:color="auto" w:sz="4" w:space="0"/>
            </w:tcBorders>
            <w:shd w:val="clear" w:color="auto" w:fill="auto"/>
            <w:noWrap/>
            <w:vAlign w:val="center"/>
          </w:tcPr>
          <w:p>
            <w:pPr>
              <w:pStyle w:val="39"/>
              <w:rPr>
                <w:u w:val="single"/>
              </w:rPr>
            </w:pPr>
            <w:r>
              <w:rPr>
                <w:rFonts w:hint="eastAsia"/>
                <w:u w:val="single"/>
              </w:rPr>
              <w:t xml:space="preserve">0.000 </w:t>
            </w:r>
          </w:p>
        </w:tc>
        <w:tc>
          <w:tcPr>
            <w:tcW w:w="695" w:type="pct"/>
            <w:tcBorders>
              <w:top w:val="nil"/>
              <w:left w:val="nil"/>
              <w:bottom w:val="single" w:color="auto" w:sz="4" w:space="0"/>
              <w:right w:val="single" w:color="auto" w:sz="4" w:space="0"/>
            </w:tcBorders>
            <w:shd w:val="clear" w:color="auto" w:fill="auto"/>
            <w:noWrap/>
            <w:vAlign w:val="center"/>
          </w:tcPr>
          <w:p>
            <w:pPr>
              <w:pStyle w:val="39"/>
              <w:rPr>
                <w:u w:val="single"/>
              </w:rPr>
            </w:pPr>
            <w:r>
              <w:rPr>
                <w:rFonts w:hint="eastAsia"/>
                <w:u w:val="single"/>
              </w:rPr>
              <w:t xml:space="preserve">0.333 </w:t>
            </w:r>
          </w:p>
        </w:tc>
        <w:tc>
          <w:tcPr>
            <w:tcW w:w="625" w:type="pct"/>
            <w:tcBorders>
              <w:top w:val="nil"/>
              <w:left w:val="nil"/>
              <w:bottom w:val="single" w:color="auto" w:sz="4" w:space="0"/>
              <w:right w:val="single" w:color="auto" w:sz="4" w:space="0"/>
            </w:tcBorders>
            <w:shd w:val="clear" w:color="auto" w:fill="auto"/>
            <w:noWrap/>
            <w:vAlign w:val="center"/>
          </w:tcPr>
          <w:p>
            <w:pPr>
              <w:pStyle w:val="39"/>
              <w:rPr>
                <w:u w:val="single"/>
              </w:rPr>
            </w:pPr>
            <w:r>
              <w:rPr>
                <w:rFonts w:hint="eastAsia"/>
                <w:u w:val="single"/>
              </w:rPr>
              <w:t xml:space="preserve">26.200 </w:t>
            </w:r>
          </w:p>
        </w:tc>
        <w:tc>
          <w:tcPr>
            <w:tcW w:w="625" w:type="pct"/>
            <w:tcBorders>
              <w:top w:val="nil"/>
              <w:left w:val="nil"/>
              <w:bottom w:val="single" w:color="auto" w:sz="4" w:space="0"/>
              <w:right w:val="single" w:color="auto" w:sz="4" w:space="0"/>
            </w:tcBorders>
            <w:shd w:val="clear" w:color="auto" w:fill="auto"/>
            <w:noWrap/>
            <w:vAlign w:val="center"/>
          </w:tcPr>
          <w:p>
            <w:pPr>
              <w:pStyle w:val="39"/>
              <w:rPr>
                <w:u w:val="single"/>
              </w:rPr>
            </w:pPr>
            <w:r>
              <w:rPr>
                <w:rFonts w:hint="eastAsia"/>
                <w:u w:val="single"/>
              </w:rPr>
              <w:t xml:space="preserve">19.300 </w:t>
            </w:r>
          </w:p>
        </w:tc>
        <w:tc>
          <w:tcPr>
            <w:tcW w:w="625" w:type="pct"/>
            <w:tcBorders>
              <w:top w:val="nil"/>
              <w:left w:val="nil"/>
              <w:bottom w:val="single" w:color="auto" w:sz="4" w:space="0"/>
              <w:right w:val="single" w:color="auto" w:sz="4" w:space="0"/>
            </w:tcBorders>
            <w:shd w:val="clear" w:color="auto" w:fill="auto"/>
            <w:noWrap/>
            <w:vAlign w:val="center"/>
          </w:tcPr>
          <w:p>
            <w:pPr>
              <w:pStyle w:val="39"/>
              <w:rPr>
                <w:u w:val="single"/>
              </w:rPr>
            </w:pPr>
            <w:r>
              <w:rPr>
                <w:rFonts w:hint="eastAsia"/>
                <w:u w:val="single"/>
              </w:rPr>
              <w:t xml:space="preserve">4.330 </w:t>
            </w:r>
          </w:p>
        </w:tc>
        <w:tc>
          <w:tcPr>
            <w:tcW w:w="625" w:type="pct"/>
            <w:tcBorders>
              <w:top w:val="nil"/>
              <w:left w:val="nil"/>
              <w:bottom w:val="single" w:color="auto" w:sz="4" w:space="0"/>
              <w:right w:val="single" w:color="auto" w:sz="4" w:space="0"/>
            </w:tcBorders>
            <w:shd w:val="clear" w:color="auto" w:fill="auto"/>
            <w:noWrap/>
            <w:vAlign w:val="center"/>
          </w:tcPr>
          <w:p>
            <w:pPr>
              <w:pStyle w:val="39"/>
              <w:rPr>
                <w:u w:val="single"/>
              </w:rPr>
            </w:pPr>
            <w:r>
              <w:rPr>
                <w:rFonts w:hint="eastAsia"/>
                <w:u w:val="single"/>
              </w:rPr>
              <w:t xml:space="preserve">0.017 </w:t>
            </w:r>
          </w:p>
        </w:tc>
      </w:tr>
      <w:tr>
        <w:tblPrEx>
          <w:tblCellMar>
            <w:top w:w="0" w:type="dxa"/>
            <w:left w:w="108" w:type="dxa"/>
            <w:bottom w:w="0" w:type="dxa"/>
            <w:right w:w="108" w:type="dxa"/>
          </w:tblCellMar>
        </w:tblPrEx>
        <w:trPr>
          <w:trHeight w:val="386" w:hRule="atLeast"/>
        </w:trPr>
        <w:tc>
          <w:tcPr>
            <w:tcW w:w="410" w:type="pct"/>
            <w:tcBorders>
              <w:top w:val="nil"/>
              <w:left w:val="single" w:color="auto" w:sz="4" w:space="0"/>
              <w:bottom w:val="single" w:color="auto" w:sz="4" w:space="0"/>
              <w:right w:val="single" w:color="auto" w:sz="4" w:space="0"/>
            </w:tcBorders>
            <w:shd w:val="clear" w:color="auto" w:fill="auto"/>
            <w:noWrap/>
            <w:vAlign w:val="center"/>
          </w:tcPr>
          <w:p>
            <w:pPr>
              <w:pStyle w:val="39"/>
              <w:rPr>
                <w:rFonts w:cs="Times New Roman"/>
                <w:sz w:val="18"/>
                <w:szCs w:val="18"/>
                <w:u w:val="single"/>
              </w:rPr>
            </w:pPr>
            <w:r>
              <w:rPr>
                <w:rFonts w:cs="Times New Roman"/>
                <w:sz w:val="18"/>
                <w:szCs w:val="18"/>
                <w:u w:val="single"/>
              </w:rPr>
              <w:t>30m</w:t>
            </w:r>
          </w:p>
        </w:tc>
        <w:tc>
          <w:tcPr>
            <w:tcW w:w="738" w:type="pct"/>
            <w:tcBorders>
              <w:top w:val="nil"/>
              <w:left w:val="nil"/>
              <w:bottom w:val="single" w:color="auto" w:sz="4" w:space="0"/>
              <w:right w:val="single" w:color="auto" w:sz="4" w:space="0"/>
            </w:tcBorders>
            <w:shd w:val="clear" w:color="auto" w:fill="auto"/>
            <w:noWrap/>
            <w:vAlign w:val="center"/>
          </w:tcPr>
          <w:p>
            <w:pPr>
              <w:pStyle w:val="39"/>
              <w:rPr>
                <w:u w:val="single"/>
              </w:rPr>
            </w:pPr>
            <w:r>
              <w:rPr>
                <w:rFonts w:hint="eastAsia"/>
                <w:u w:val="single"/>
              </w:rPr>
              <w:t xml:space="preserve">0.000 </w:t>
            </w:r>
          </w:p>
        </w:tc>
        <w:tc>
          <w:tcPr>
            <w:tcW w:w="656" w:type="pct"/>
            <w:tcBorders>
              <w:top w:val="nil"/>
              <w:left w:val="nil"/>
              <w:bottom w:val="single" w:color="auto" w:sz="4" w:space="0"/>
              <w:right w:val="single" w:color="auto" w:sz="4" w:space="0"/>
            </w:tcBorders>
            <w:shd w:val="clear" w:color="auto" w:fill="auto"/>
            <w:noWrap/>
            <w:vAlign w:val="center"/>
          </w:tcPr>
          <w:p>
            <w:pPr>
              <w:pStyle w:val="39"/>
              <w:rPr>
                <w:u w:val="single"/>
              </w:rPr>
            </w:pPr>
            <w:r>
              <w:rPr>
                <w:rFonts w:hint="eastAsia"/>
                <w:u w:val="single"/>
              </w:rPr>
              <w:t xml:space="preserve">0.000 </w:t>
            </w:r>
          </w:p>
        </w:tc>
        <w:tc>
          <w:tcPr>
            <w:tcW w:w="695" w:type="pct"/>
            <w:tcBorders>
              <w:top w:val="nil"/>
              <w:left w:val="nil"/>
              <w:bottom w:val="single" w:color="auto" w:sz="4" w:space="0"/>
              <w:right w:val="single" w:color="auto" w:sz="4" w:space="0"/>
            </w:tcBorders>
            <w:shd w:val="clear" w:color="auto" w:fill="auto"/>
            <w:noWrap/>
            <w:vAlign w:val="center"/>
          </w:tcPr>
          <w:p>
            <w:pPr>
              <w:pStyle w:val="39"/>
              <w:rPr>
                <w:u w:val="single"/>
              </w:rPr>
            </w:pPr>
            <w:r>
              <w:rPr>
                <w:rFonts w:hint="eastAsia"/>
                <w:u w:val="single"/>
              </w:rPr>
              <w:t xml:space="preserve">0.000 </w:t>
            </w:r>
          </w:p>
        </w:tc>
        <w:tc>
          <w:tcPr>
            <w:tcW w:w="625" w:type="pct"/>
            <w:tcBorders>
              <w:top w:val="nil"/>
              <w:left w:val="nil"/>
              <w:bottom w:val="single" w:color="auto" w:sz="4" w:space="0"/>
              <w:right w:val="single" w:color="auto" w:sz="4" w:space="0"/>
            </w:tcBorders>
            <w:shd w:val="clear" w:color="auto" w:fill="auto"/>
            <w:noWrap/>
            <w:vAlign w:val="center"/>
          </w:tcPr>
          <w:p>
            <w:pPr>
              <w:pStyle w:val="39"/>
              <w:rPr>
                <w:u w:val="single"/>
              </w:rPr>
            </w:pPr>
            <w:r>
              <w:rPr>
                <w:rFonts w:hint="eastAsia"/>
                <w:u w:val="single"/>
              </w:rPr>
              <w:t xml:space="preserve">2.910 </w:t>
            </w:r>
          </w:p>
        </w:tc>
        <w:tc>
          <w:tcPr>
            <w:tcW w:w="625" w:type="pct"/>
            <w:tcBorders>
              <w:top w:val="nil"/>
              <w:left w:val="nil"/>
              <w:bottom w:val="single" w:color="auto" w:sz="4" w:space="0"/>
              <w:right w:val="single" w:color="auto" w:sz="4" w:space="0"/>
            </w:tcBorders>
            <w:shd w:val="clear" w:color="auto" w:fill="auto"/>
            <w:noWrap/>
            <w:vAlign w:val="center"/>
          </w:tcPr>
          <w:p>
            <w:pPr>
              <w:pStyle w:val="39"/>
              <w:rPr>
                <w:u w:val="single"/>
              </w:rPr>
            </w:pPr>
            <w:r>
              <w:rPr>
                <w:rFonts w:hint="eastAsia"/>
                <w:u w:val="single"/>
              </w:rPr>
              <w:t xml:space="preserve">26.100 </w:t>
            </w:r>
          </w:p>
        </w:tc>
        <w:tc>
          <w:tcPr>
            <w:tcW w:w="625" w:type="pct"/>
            <w:tcBorders>
              <w:top w:val="nil"/>
              <w:left w:val="nil"/>
              <w:bottom w:val="single" w:color="auto" w:sz="4" w:space="0"/>
              <w:right w:val="single" w:color="auto" w:sz="4" w:space="0"/>
            </w:tcBorders>
            <w:shd w:val="clear" w:color="auto" w:fill="auto"/>
            <w:noWrap/>
            <w:vAlign w:val="center"/>
          </w:tcPr>
          <w:p>
            <w:pPr>
              <w:pStyle w:val="39"/>
              <w:rPr>
                <w:u w:val="single"/>
              </w:rPr>
            </w:pPr>
            <w:r>
              <w:rPr>
                <w:rFonts w:hint="eastAsia"/>
                <w:u w:val="single"/>
              </w:rPr>
              <w:t xml:space="preserve">13.400 </w:t>
            </w:r>
          </w:p>
        </w:tc>
        <w:tc>
          <w:tcPr>
            <w:tcW w:w="625" w:type="pct"/>
            <w:tcBorders>
              <w:top w:val="nil"/>
              <w:left w:val="nil"/>
              <w:bottom w:val="single" w:color="auto" w:sz="4" w:space="0"/>
              <w:right w:val="single" w:color="auto" w:sz="4" w:space="0"/>
            </w:tcBorders>
            <w:shd w:val="clear" w:color="auto" w:fill="auto"/>
            <w:noWrap/>
            <w:vAlign w:val="center"/>
          </w:tcPr>
          <w:p>
            <w:pPr>
              <w:pStyle w:val="39"/>
              <w:rPr>
                <w:u w:val="single"/>
              </w:rPr>
            </w:pPr>
            <w:r>
              <w:rPr>
                <w:rFonts w:hint="eastAsia"/>
                <w:u w:val="single"/>
              </w:rPr>
              <w:t xml:space="preserve">0.119 </w:t>
            </w:r>
          </w:p>
        </w:tc>
      </w:tr>
      <w:tr>
        <w:tblPrEx>
          <w:tblCellMar>
            <w:top w:w="0" w:type="dxa"/>
            <w:left w:w="108" w:type="dxa"/>
            <w:bottom w:w="0" w:type="dxa"/>
            <w:right w:w="108" w:type="dxa"/>
          </w:tblCellMar>
        </w:tblPrEx>
        <w:trPr>
          <w:trHeight w:val="386" w:hRule="atLeast"/>
        </w:trPr>
        <w:tc>
          <w:tcPr>
            <w:tcW w:w="410" w:type="pct"/>
            <w:tcBorders>
              <w:top w:val="nil"/>
              <w:left w:val="single" w:color="auto" w:sz="4" w:space="0"/>
              <w:bottom w:val="single" w:color="auto" w:sz="4" w:space="0"/>
              <w:right w:val="single" w:color="auto" w:sz="4" w:space="0"/>
            </w:tcBorders>
            <w:shd w:val="clear" w:color="auto" w:fill="auto"/>
            <w:noWrap/>
            <w:vAlign w:val="center"/>
          </w:tcPr>
          <w:p>
            <w:pPr>
              <w:pStyle w:val="39"/>
              <w:rPr>
                <w:rFonts w:cs="Times New Roman"/>
                <w:sz w:val="18"/>
                <w:szCs w:val="18"/>
                <w:u w:val="single"/>
              </w:rPr>
            </w:pPr>
            <w:r>
              <w:rPr>
                <w:rFonts w:cs="Times New Roman"/>
                <w:sz w:val="18"/>
                <w:szCs w:val="18"/>
                <w:u w:val="single"/>
              </w:rPr>
              <w:t>40m</w:t>
            </w:r>
          </w:p>
        </w:tc>
        <w:tc>
          <w:tcPr>
            <w:tcW w:w="738" w:type="pct"/>
            <w:tcBorders>
              <w:top w:val="nil"/>
              <w:left w:val="nil"/>
              <w:bottom w:val="single" w:color="auto" w:sz="4" w:space="0"/>
              <w:right w:val="single" w:color="auto" w:sz="4" w:space="0"/>
            </w:tcBorders>
            <w:shd w:val="clear" w:color="auto" w:fill="auto"/>
            <w:noWrap/>
            <w:vAlign w:val="center"/>
          </w:tcPr>
          <w:p>
            <w:pPr>
              <w:pStyle w:val="39"/>
              <w:rPr>
                <w:u w:val="single"/>
              </w:rPr>
            </w:pPr>
            <w:r>
              <w:rPr>
                <w:rFonts w:hint="eastAsia"/>
                <w:u w:val="single"/>
              </w:rPr>
              <w:t xml:space="preserve">0.000 </w:t>
            </w:r>
          </w:p>
        </w:tc>
        <w:tc>
          <w:tcPr>
            <w:tcW w:w="656" w:type="pct"/>
            <w:tcBorders>
              <w:top w:val="nil"/>
              <w:left w:val="nil"/>
              <w:bottom w:val="single" w:color="auto" w:sz="4" w:space="0"/>
              <w:right w:val="single" w:color="auto" w:sz="4" w:space="0"/>
            </w:tcBorders>
            <w:shd w:val="clear" w:color="auto" w:fill="auto"/>
            <w:noWrap/>
            <w:vAlign w:val="center"/>
          </w:tcPr>
          <w:p>
            <w:pPr>
              <w:pStyle w:val="39"/>
              <w:rPr>
                <w:u w:val="single"/>
              </w:rPr>
            </w:pPr>
            <w:r>
              <w:rPr>
                <w:rFonts w:hint="eastAsia"/>
                <w:u w:val="single"/>
              </w:rPr>
              <w:t xml:space="preserve">0.000 </w:t>
            </w:r>
          </w:p>
        </w:tc>
        <w:tc>
          <w:tcPr>
            <w:tcW w:w="695" w:type="pct"/>
            <w:tcBorders>
              <w:top w:val="nil"/>
              <w:left w:val="nil"/>
              <w:bottom w:val="single" w:color="auto" w:sz="4" w:space="0"/>
              <w:right w:val="single" w:color="auto" w:sz="4" w:space="0"/>
            </w:tcBorders>
            <w:shd w:val="clear" w:color="auto" w:fill="auto"/>
            <w:noWrap/>
            <w:vAlign w:val="center"/>
          </w:tcPr>
          <w:p>
            <w:pPr>
              <w:pStyle w:val="39"/>
              <w:rPr>
                <w:u w:val="single"/>
              </w:rPr>
            </w:pPr>
            <w:r>
              <w:rPr>
                <w:rFonts w:hint="eastAsia"/>
                <w:u w:val="single"/>
              </w:rPr>
              <w:t xml:space="preserve">0.000 </w:t>
            </w:r>
          </w:p>
        </w:tc>
        <w:tc>
          <w:tcPr>
            <w:tcW w:w="625" w:type="pct"/>
            <w:tcBorders>
              <w:top w:val="nil"/>
              <w:left w:val="nil"/>
              <w:bottom w:val="single" w:color="auto" w:sz="4" w:space="0"/>
              <w:right w:val="single" w:color="auto" w:sz="4" w:space="0"/>
            </w:tcBorders>
            <w:shd w:val="clear" w:color="auto" w:fill="auto"/>
            <w:noWrap/>
            <w:vAlign w:val="center"/>
          </w:tcPr>
          <w:p>
            <w:pPr>
              <w:pStyle w:val="39"/>
              <w:rPr>
                <w:u w:val="single"/>
              </w:rPr>
            </w:pPr>
            <w:r>
              <w:rPr>
                <w:rFonts w:hint="eastAsia"/>
                <w:u w:val="single"/>
              </w:rPr>
              <w:t xml:space="preserve">0.044 </w:t>
            </w:r>
          </w:p>
        </w:tc>
        <w:tc>
          <w:tcPr>
            <w:tcW w:w="625" w:type="pct"/>
            <w:tcBorders>
              <w:top w:val="nil"/>
              <w:left w:val="nil"/>
              <w:bottom w:val="single" w:color="auto" w:sz="4" w:space="0"/>
              <w:right w:val="single" w:color="auto" w:sz="4" w:space="0"/>
            </w:tcBorders>
            <w:shd w:val="clear" w:color="auto" w:fill="auto"/>
            <w:noWrap/>
            <w:vAlign w:val="center"/>
          </w:tcPr>
          <w:p>
            <w:pPr>
              <w:pStyle w:val="39"/>
              <w:rPr>
                <w:u w:val="single"/>
              </w:rPr>
            </w:pPr>
            <w:r>
              <w:rPr>
                <w:rFonts w:hint="eastAsia"/>
                <w:u w:val="single"/>
              </w:rPr>
              <w:t xml:space="preserve">12.900 </w:t>
            </w:r>
          </w:p>
        </w:tc>
        <w:tc>
          <w:tcPr>
            <w:tcW w:w="625" w:type="pct"/>
            <w:tcBorders>
              <w:top w:val="nil"/>
              <w:left w:val="nil"/>
              <w:bottom w:val="single" w:color="auto" w:sz="4" w:space="0"/>
              <w:right w:val="single" w:color="auto" w:sz="4" w:space="0"/>
            </w:tcBorders>
            <w:shd w:val="clear" w:color="auto" w:fill="auto"/>
            <w:noWrap/>
            <w:vAlign w:val="center"/>
          </w:tcPr>
          <w:p>
            <w:pPr>
              <w:pStyle w:val="39"/>
              <w:rPr>
                <w:u w:val="single"/>
              </w:rPr>
            </w:pPr>
            <w:r>
              <w:rPr>
                <w:rFonts w:hint="eastAsia"/>
                <w:u w:val="single"/>
              </w:rPr>
              <w:t xml:space="preserve">21.400 </w:t>
            </w:r>
          </w:p>
        </w:tc>
        <w:tc>
          <w:tcPr>
            <w:tcW w:w="625" w:type="pct"/>
            <w:tcBorders>
              <w:top w:val="nil"/>
              <w:left w:val="nil"/>
              <w:bottom w:val="single" w:color="auto" w:sz="4" w:space="0"/>
              <w:right w:val="single" w:color="auto" w:sz="4" w:space="0"/>
            </w:tcBorders>
            <w:shd w:val="clear" w:color="auto" w:fill="auto"/>
            <w:noWrap/>
            <w:vAlign w:val="center"/>
          </w:tcPr>
          <w:p>
            <w:pPr>
              <w:pStyle w:val="39"/>
              <w:rPr>
                <w:u w:val="single"/>
              </w:rPr>
            </w:pPr>
            <w:r>
              <w:rPr>
                <w:rFonts w:hint="eastAsia"/>
                <w:u w:val="single"/>
              </w:rPr>
              <w:t xml:space="preserve">0.609 </w:t>
            </w:r>
          </w:p>
        </w:tc>
      </w:tr>
      <w:tr>
        <w:tblPrEx>
          <w:tblCellMar>
            <w:top w:w="0" w:type="dxa"/>
            <w:left w:w="108" w:type="dxa"/>
            <w:bottom w:w="0" w:type="dxa"/>
            <w:right w:w="108" w:type="dxa"/>
          </w:tblCellMar>
        </w:tblPrEx>
        <w:trPr>
          <w:trHeight w:val="386" w:hRule="atLeast"/>
        </w:trPr>
        <w:tc>
          <w:tcPr>
            <w:tcW w:w="410" w:type="pct"/>
            <w:tcBorders>
              <w:top w:val="nil"/>
              <w:left w:val="single" w:color="auto" w:sz="4" w:space="0"/>
              <w:bottom w:val="single" w:color="auto" w:sz="4" w:space="0"/>
              <w:right w:val="single" w:color="auto" w:sz="4" w:space="0"/>
            </w:tcBorders>
            <w:shd w:val="clear" w:color="auto" w:fill="auto"/>
            <w:noWrap/>
            <w:vAlign w:val="center"/>
          </w:tcPr>
          <w:p>
            <w:pPr>
              <w:pStyle w:val="39"/>
              <w:rPr>
                <w:rFonts w:cs="Times New Roman"/>
                <w:sz w:val="18"/>
                <w:szCs w:val="18"/>
                <w:u w:val="single"/>
              </w:rPr>
            </w:pPr>
            <w:r>
              <w:rPr>
                <w:rFonts w:cs="Times New Roman"/>
                <w:sz w:val="18"/>
                <w:szCs w:val="18"/>
                <w:u w:val="single"/>
              </w:rPr>
              <w:t>50m</w:t>
            </w:r>
          </w:p>
        </w:tc>
        <w:tc>
          <w:tcPr>
            <w:tcW w:w="738" w:type="pct"/>
            <w:tcBorders>
              <w:top w:val="nil"/>
              <w:left w:val="nil"/>
              <w:bottom w:val="single" w:color="auto" w:sz="4" w:space="0"/>
              <w:right w:val="single" w:color="auto" w:sz="4" w:space="0"/>
            </w:tcBorders>
            <w:shd w:val="clear" w:color="auto" w:fill="auto"/>
            <w:noWrap/>
            <w:vAlign w:val="center"/>
          </w:tcPr>
          <w:p>
            <w:pPr>
              <w:pStyle w:val="39"/>
              <w:rPr>
                <w:u w:val="single"/>
              </w:rPr>
            </w:pPr>
            <w:r>
              <w:rPr>
                <w:rFonts w:hint="eastAsia"/>
                <w:u w:val="single"/>
              </w:rPr>
              <w:t xml:space="preserve">0.000 </w:t>
            </w:r>
          </w:p>
        </w:tc>
        <w:tc>
          <w:tcPr>
            <w:tcW w:w="656" w:type="pct"/>
            <w:tcBorders>
              <w:top w:val="nil"/>
              <w:left w:val="nil"/>
              <w:bottom w:val="single" w:color="auto" w:sz="4" w:space="0"/>
              <w:right w:val="single" w:color="auto" w:sz="4" w:space="0"/>
            </w:tcBorders>
            <w:shd w:val="clear" w:color="auto" w:fill="auto"/>
            <w:noWrap/>
            <w:vAlign w:val="center"/>
          </w:tcPr>
          <w:p>
            <w:pPr>
              <w:pStyle w:val="39"/>
              <w:rPr>
                <w:u w:val="single"/>
              </w:rPr>
            </w:pPr>
            <w:r>
              <w:rPr>
                <w:rFonts w:hint="eastAsia"/>
                <w:u w:val="single"/>
              </w:rPr>
              <w:t xml:space="preserve">0.000 </w:t>
            </w:r>
          </w:p>
        </w:tc>
        <w:tc>
          <w:tcPr>
            <w:tcW w:w="695" w:type="pct"/>
            <w:tcBorders>
              <w:top w:val="nil"/>
              <w:left w:val="nil"/>
              <w:bottom w:val="single" w:color="auto" w:sz="4" w:space="0"/>
              <w:right w:val="single" w:color="auto" w:sz="4" w:space="0"/>
            </w:tcBorders>
            <w:shd w:val="clear" w:color="auto" w:fill="auto"/>
            <w:noWrap/>
            <w:vAlign w:val="center"/>
          </w:tcPr>
          <w:p>
            <w:pPr>
              <w:pStyle w:val="39"/>
              <w:rPr>
                <w:u w:val="single"/>
              </w:rPr>
            </w:pPr>
            <w:r>
              <w:rPr>
                <w:rFonts w:hint="eastAsia"/>
                <w:u w:val="single"/>
              </w:rPr>
              <w:t xml:space="preserve">0.000 </w:t>
            </w:r>
          </w:p>
        </w:tc>
        <w:tc>
          <w:tcPr>
            <w:tcW w:w="625" w:type="pct"/>
            <w:tcBorders>
              <w:top w:val="nil"/>
              <w:left w:val="nil"/>
              <w:bottom w:val="single" w:color="auto" w:sz="4" w:space="0"/>
              <w:right w:val="single" w:color="auto" w:sz="4" w:space="0"/>
            </w:tcBorders>
            <w:shd w:val="clear" w:color="auto" w:fill="auto"/>
            <w:noWrap/>
            <w:vAlign w:val="center"/>
          </w:tcPr>
          <w:p>
            <w:pPr>
              <w:pStyle w:val="39"/>
              <w:rPr>
                <w:u w:val="single"/>
              </w:rPr>
            </w:pPr>
            <w:r>
              <w:rPr>
                <w:rFonts w:hint="eastAsia"/>
                <w:u w:val="single"/>
              </w:rPr>
              <w:t xml:space="preserve">0.000 </w:t>
            </w:r>
          </w:p>
        </w:tc>
        <w:tc>
          <w:tcPr>
            <w:tcW w:w="625" w:type="pct"/>
            <w:tcBorders>
              <w:top w:val="nil"/>
              <w:left w:val="nil"/>
              <w:bottom w:val="single" w:color="auto" w:sz="4" w:space="0"/>
              <w:right w:val="single" w:color="auto" w:sz="4" w:space="0"/>
            </w:tcBorders>
            <w:shd w:val="clear" w:color="auto" w:fill="auto"/>
            <w:noWrap/>
            <w:vAlign w:val="center"/>
          </w:tcPr>
          <w:p>
            <w:pPr>
              <w:pStyle w:val="39"/>
              <w:rPr>
                <w:u w:val="single"/>
              </w:rPr>
            </w:pPr>
            <w:r>
              <w:rPr>
                <w:rFonts w:hint="eastAsia"/>
                <w:u w:val="single"/>
              </w:rPr>
              <w:t xml:space="preserve">2.360 </w:t>
            </w:r>
          </w:p>
        </w:tc>
        <w:tc>
          <w:tcPr>
            <w:tcW w:w="625" w:type="pct"/>
            <w:tcBorders>
              <w:top w:val="nil"/>
              <w:left w:val="nil"/>
              <w:bottom w:val="single" w:color="auto" w:sz="4" w:space="0"/>
              <w:right w:val="single" w:color="auto" w:sz="4" w:space="0"/>
            </w:tcBorders>
            <w:shd w:val="clear" w:color="auto" w:fill="auto"/>
            <w:noWrap/>
            <w:vAlign w:val="center"/>
          </w:tcPr>
          <w:p>
            <w:pPr>
              <w:pStyle w:val="39"/>
              <w:rPr>
                <w:u w:val="single"/>
              </w:rPr>
            </w:pPr>
            <w:r>
              <w:rPr>
                <w:rFonts w:hint="eastAsia"/>
                <w:u w:val="single"/>
              </w:rPr>
              <w:t xml:space="preserve">17.500 </w:t>
            </w:r>
          </w:p>
        </w:tc>
        <w:tc>
          <w:tcPr>
            <w:tcW w:w="625" w:type="pct"/>
            <w:tcBorders>
              <w:top w:val="nil"/>
              <w:left w:val="nil"/>
              <w:bottom w:val="single" w:color="auto" w:sz="4" w:space="0"/>
              <w:right w:val="single" w:color="auto" w:sz="4" w:space="0"/>
            </w:tcBorders>
            <w:shd w:val="clear" w:color="auto" w:fill="auto"/>
            <w:noWrap/>
            <w:vAlign w:val="center"/>
          </w:tcPr>
          <w:p>
            <w:pPr>
              <w:pStyle w:val="39"/>
              <w:rPr>
                <w:u w:val="single"/>
              </w:rPr>
            </w:pPr>
            <w:r>
              <w:rPr>
                <w:rFonts w:hint="eastAsia"/>
                <w:u w:val="single"/>
              </w:rPr>
              <w:t xml:space="preserve">2.240 </w:t>
            </w:r>
          </w:p>
        </w:tc>
      </w:tr>
      <w:tr>
        <w:tblPrEx>
          <w:tblCellMar>
            <w:top w:w="0" w:type="dxa"/>
            <w:left w:w="108" w:type="dxa"/>
            <w:bottom w:w="0" w:type="dxa"/>
            <w:right w:w="108" w:type="dxa"/>
          </w:tblCellMar>
        </w:tblPrEx>
        <w:trPr>
          <w:trHeight w:val="386" w:hRule="atLeast"/>
        </w:trPr>
        <w:tc>
          <w:tcPr>
            <w:tcW w:w="410" w:type="pct"/>
            <w:tcBorders>
              <w:top w:val="nil"/>
              <w:left w:val="single" w:color="auto" w:sz="4" w:space="0"/>
              <w:bottom w:val="single" w:color="auto" w:sz="4" w:space="0"/>
              <w:right w:val="single" w:color="auto" w:sz="4" w:space="0"/>
            </w:tcBorders>
            <w:shd w:val="clear" w:color="auto" w:fill="auto"/>
            <w:noWrap/>
            <w:vAlign w:val="center"/>
          </w:tcPr>
          <w:p>
            <w:pPr>
              <w:pStyle w:val="39"/>
              <w:rPr>
                <w:rFonts w:cs="Times New Roman"/>
                <w:sz w:val="18"/>
                <w:szCs w:val="18"/>
                <w:u w:val="single"/>
              </w:rPr>
            </w:pPr>
            <w:r>
              <w:rPr>
                <w:rFonts w:cs="Times New Roman"/>
                <w:sz w:val="18"/>
                <w:szCs w:val="18"/>
                <w:u w:val="single"/>
              </w:rPr>
              <w:t>60m</w:t>
            </w:r>
          </w:p>
        </w:tc>
        <w:tc>
          <w:tcPr>
            <w:tcW w:w="738" w:type="pct"/>
            <w:tcBorders>
              <w:top w:val="nil"/>
              <w:left w:val="nil"/>
              <w:bottom w:val="single" w:color="auto" w:sz="4" w:space="0"/>
              <w:right w:val="single" w:color="auto" w:sz="4" w:space="0"/>
            </w:tcBorders>
            <w:shd w:val="clear" w:color="auto" w:fill="auto"/>
            <w:noWrap/>
            <w:vAlign w:val="center"/>
          </w:tcPr>
          <w:p>
            <w:pPr>
              <w:pStyle w:val="39"/>
              <w:rPr>
                <w:u w:val="single"/>
              </w:rPr>
            </w:pPr>
            <w:r>
              <w:rPr>
                <w:rFonts w:hint="eastAsia"/>
                <w:u w:val="single"/>
              </w:rPr>
              <w:t xml:space="preserve">0.000 </w:t>
            </w:r>
          </w:p>
        </w:tc>
        <w:tc>
          <w:tcPr>
            <w:tcW w:w="656" w:type="pct"/>
            <w:tcBorders>
              <w:top w:val="nil"/>
              <w:left w:val="nil"/>
              <w:bottom w:val="single" w:color="auto" w:sz="4" w:space="0"/>
              <w:right w:val="single" w:color="auto" w:sz="4" w:space="0"/>
            </w:tcBorders>
            <w:shd w:val="clear" w:color="auto" w:fill="auto"/>
            <w:noWrap/>
            <w:vAlign w:val="center"/>
          </w:tcPr>
          <w:p>
            <w:pPr>
              <w:pStyle w:val="39"/>
              <w:rPr>
                <w:u w:val="single"/>
              </w:rPr>
            </w:pPr>
            <w:r>
              <w:rPr>
                <w:rFonts w:hint="eastAsia"/>
                <w:u w:val="single"/>
              </w:rPr>
              <w:t xml:space="preserve">0.000 </w:t>
            </w:r>
          </w:p>
        </w:tc>
        <w:tc>
          <w:tcPr>
            <w:tcW w:w="695" w:type="pct"/>
            <w:tcBorders>
              <w:top w:val="nil"/>
              <w:left w:val="nil"/>
              <w:bottom w:val="single" w:color="auto" w:sz="4" w:space="0"/>
              <w:right w:val="single" w:color="auto" w:sz="4" w:space="0"/>
            </w:tcBorders>
            <w:shd w:val="clear" w:color="auto" w:fill="auto"/>
            <w:noWrap/>
            <w:vAlign w:val="center"/>
          </w:tcPr>
          <w:p>
            <w:pPr>
              <w:pStyle w:val="39"/>
              <w:rPr>
                <w:u w:val="single"/>
              </w:rPr>
            </w:pPr>
            <w:r>
              <w:rPr>
                <w:rFonts w:hint="eastAsia"/>
                <w:u w:val="single"/>
              </w:rPr>
              <w:t xml:space="preserve">0.000 </w:t>
            </w:r>
          </w:p>
        </w:tc>
        <w:tc>
          <w:tcPr>
            <w:tcW w:w="625" w:type="pct"/>
            <w:tcBorders>
              <w:top w:val="nil"/>
              <w:left w:val="nil"/>
              <w:bottom w:val="single" w:color="auto" w:sz="4" w:space="0"/>
              <w:right w:val="single" w:color="auto" w:sz="4" w:space="0"/>
            </w:tcBorders>
            <w:shd w:val="clear" w:color="auto" w:fill="auto"/>
            <w:noWrap/>
            <w:vAlign w:val="center"/>
          </w:tcPr>
          <w:p>
            <w:pPr>
              <w:pStyle w:val="39"/>
              <w:rPr>
                <w:u w:val="single"/>
              </w:rPr>
            </w:pPr>
            <w:r>
              <w:rPr>
                <w:rFonts w:hint="eastAsia"/>
                <w:u w:val="single"/>
              </w:rPr>
              <w:t xml:space="preserve">0.000 </w:t>
            </w:r>
          </w:p>
        </w:tc>
        <w:tc>
          <w:tcPr>
            <w:tcW w:w="625" w:type="pct"/>
            <w:tcBorders>
              <w:top w:val="nil"/>
              <w:left w:val="nil"/>
              <w:bottom w:val="single" w:color="auto" w:sz="4" w:space="0"/>
              <w:right w:val="single" w:color="auto" w:sz="4" w:space="0"/>
            </w:tcBorders>
            <w:shd w:val="clear" w:color="auto" w:fill="auto"/>
            <w:noWrap/>
            <w:vAlign w:val="center"/>
          </w:tcPr>
          <w:p>
            <w:pPr>
              <w:pStyle w:val="39"/>
              <w:rPr>
                <w:u w:val="single"/>
              </w:rPr>
            </w:pPr>
            <w:r>
              <w:rPr>
                <w:rFonts w:hint="eastAsia"/>
                <w:u w:val="single"/>
              </w:rPr>
              <w:t xml:space="preserve">0.159 </w:t>
            </w:r>
          </w:p>
        </w:tc>
        <w:tc>
          <w:tcPr>
            <w:tcW w:w="625" w:type="pct"/>
            <w:tcBorders>
              <w:top w:val="nil"/>
              <w:left w:val="nil"/>
              <w:bottom w:val="single" w:color="auto" w:sz="4" w:space="0"/>
              <w:right w:val="single" w:color="auto" w:sz="4" w:space="0"/>
            </w:tcBorders>
            <w:shd w:val="clear" w:color="auto" w:fill="auto"/>
            <w:noWrap/>
            <w:vAlign w:val="center"/>
          </w:tcPr>
          <w:p>
            <w:pPr>
              <w:pStyle w:val="39"/>
              <w:rPr>
                <w:u w:val="single"/>
              </w:rPr>
            </w:pPr>
            <w:r>
              <w:rPr>
                <w:rFonts w:hint="eastAsia"/>
                <w:u w:val="single"/>
              </w:rPr>
              <w:t xml:space="preserve">7.370 </w:t>
            </w:r>
          </w:p>
        </w:tc>
        <w:tc>
          <w:tcPr>
            <w:tcW w:w="625" w:type="pct"/>
            <w:tcBorders>
              <w:top w:val="nil"/>
              <w:left w:val="nil"/>
              <w:bottom w:val="single" w:color="auto" w:sz="4" w:space="0"/>
              <w:right w:val="single" w:color="auto" w:sz="4" w:space="0"/>
            </w:tcBorders>
            <w:shd w:val="clear" w:color="auto" w:fill="auto"/>
            <w:noWrap/>
            <w:vAlign w:val="center"/>
          </w:tcPr>
          <w:p>
            <w:pPr>
              <w:pStyle w:val="39"/>
              <w:rPr>
                <w:u w:val="single"/>
              </w:rPr>
            </w:pPr>
            <w:r>
              <w:rPr>
                <w:rFonts w:hint="eastAsia"/>
                <w:u w:val="single"/>
              </w:rPr>
              <w:t xml:space="preserve">5.880 </w:t>
            </w:r>
          </w:p>
        </w:tc>
      </w:tr>
      <w:tr>
        <w:tblPrEx>
          <w:tblCellMar>
            <w:top w:w="0" w:type="dxa"/>
            <w:left w:w="108" w:type="dxa"/>
            <w:bottom w:w="0" w:type="dxa"/>
            <w:right w:w="108" w:type="dxa"/>
          </w:tblCellMar>
        </w:tblPrEx>
        <w:trPr>
          <w:trHeight w:val="386" w:hRule="atLeast"/>
        </w:trPr>
        <w:tc>
          <w:tcPr>
            <w:tcW w:w="410" w:type="pct"/>
            <w:tcBorders>
              <w:top w:val="nil"/>
              <w:left w:val="single" w:color="auto" w:sz="4" w:space="0"/>
              <w:bottom w:val="single" w:color="auto" w:sz="4" w:space="0"/>
              <w:right w:val="single" w:color="auto" w:sz="4" w:space="0"/>
            </w:tcBorders>
            <w:shd w:val="clear" w:color="auto" w:fill="auto"/>
            <w:noWrap/>
            <w:vAlign w:val="center"/>
          </w:tcPr>
          <w:p>
            <w:pPr>
              <w:pStyle w:val="39"/>
              <w:rPr>
                <w:rFonts w:cs="Times New Roman"/>
                <w:sz w:val="18"/>
                <w:szCs w:val="18"/>
                <w:u w:val="single"/>
              </w:rPr>
            </w:pPr>
            <w:r>
              <w:rPr>
                <w:rFonts w:cs="Times New Roman"/>
                <w:sz w:val="18"/>
                <w:szCs w:val="18"/>
                <w:u w:val="single"/>
              </w:rPr>
              <w:t>70m</w:t>
            </w:r>
          </w:p>
        </w:tc>
        <w:tc>
          <w:tcPr>
            <w:tcW w:w="738" w:type="pct"/>
            <w:tcBorders>
              <w:top w:val="nil"/>
              <w:left w:val="nil"/>
              <w:bottom w:val="single" w:color="auto" w:sz="4" w:space="0"/>
              <w:right w:val="single" w:color="auto" w:sz="4" w:space="0"/>
            </w:tcBorders>
            <w:shd w:val="clear" w:color="auto" w:fill="auto"/>
            <w:noWrap/>
            <w:vAlign w:val="center"/>
          </w:tcPr>
          <w:p>
            <w:pPr>
              <w:pStyle w:val="39"/>
              <w:rPr>
                <w:u w:val="single"/>
              </w:rPr>
            </w:pPr>
            <w:r>
              <w:rPr>
                <w:rFonts w:hint="eastAsia"/>
                <w:u w:val="single"/>
              </w:rPr>
              <w:t xml:space="preserve">0.000 </w:t>
            </w:r>
          </w:p>
        </w:tc>
        <w:tc>
          <w:tcPr>
            <w:tcW w:w="656" w:type="pct"/>
            <w:tcBorders>
              <w:top w:val="nil"/>
              <w:left w:val="nil"/>
              <w:bottom w:val="single" w:color="auto" w:sz="4" w:space="0"/>
              <w:right w:val="single" w:color="auto" w:sz="4" w:space="0"/>
            </w:tcBorders>
            <w:shd w:val="clear" w:color="auto" w:fill="auto"/>
            <w:noWrap/>
            <w:vAlign w:val="center"/>
          </w:tcPr>
          <w:p>
            <w:pPr>
              <w:pStyle w:val="39"/>
              <w:rPr>
                <w:u w:val="single"/>
              </w:rPr>
            </w:pPr>
            <w:r>
              <w:rPr>
                <w:rFonts w:hint="eastAsia"/>
                <w:u w:val="single"/>
              </w:rPr>
              <w:t xml:space="preserve">0.000 </w:t>
            </w:r>
          </w:p>
        </w:tc>
        <w:tc>
          <w:tcPr>
            <w:tcW w:w="695" w:type="pct"/>
            <w:tcBorders>
              <w:top w:val="nil"/>
              <w:left w:val="nil"/>
              <w:bottom w:val="single" w:color="auto" w:sz="4" w:space="0"/>
              <w:right w:val="single" w:color="auto" w:sz="4" w:space="0"/>
            </w:tcBorders>
            <w:shd w:val="clear" w:color="auto" w:fill="auto"/>
            <w:noWrap/>
            <w:vAlign w:val="center"/>
          </w:tcPr>
          <w:p>
            <w:pPr>
              <w:pStyle w:val="39"/>
              <w:rPr>
                <w:u w:val="single"/>
              </w:rPr>
            </w:pPr>
            <w:r>
              <w:rPr>
                <w:rFonts w:hint="eastAsia"/>
                <w:u w:val="single"/>
              </w:rPr>
              <w:t xml:space="preserve">0.000 </w:t>
            </w:r>
          </w:p>
        </w:tc>
        <w:tc>
          <w:tcPr>
            <w:tcW w:w="625" w:type="pct"/>
            <w:tcBorders>
              <w:top w:val="nil"/>
              <w:left w:val="nil"/>
              <w:bottom w:val="single" w:color="auto" w:sz="4" w:space="0"/>
              <w:right w:val="single" w:color="auto" w:sz="4" w:space="0"/>
            </w:tcBorders>
            <w:shd w:val="clear" w:color="auto" w:fill="auto"/>
            <w:noWrap/>
            <w:vAlign w:val="center"/>
          </w:tcPr>
          <w:p>
            <w:pPr>
              <w:pStyle w:val="39"/>
              <w:rPr>
                <w:u w:val="single"/>
              </w:rPr>
            </w:pPr>
            <w:r>
              <w:rPr>
                <w:rFonts w:hint="eastAsia"/>
                <w:u w:val="single"/>
              </w:rPr>
              <w:t xml:space="preserve">0.000 </w:t>
            </w:r>
          </w:p>
        </w:tc>
        <w:tc>
          <w:tcPr>
            <w:tcW w:w="625" w:type="pct"/>
            <w:tcBorders>
              <w:top w:val="nil"/>
              <w:left w:val="nil"/>
              <w:bottom w:val="single" w:color="auto" w:sz="4" w:space="0"/>
              <w:right w:val="single" w:color="auto" w:sz="4" w:space="0"/>
            </w:tcBorders>
            <w:shd w:val="clear" w:color="auto" w:fill="auto"/>
            <w:noWrap/>
            <w:vAlign w:val="center"/>
          </w:tcPr>
          <w:p>
            <w:pPr>
              <w:pStyle w:val="39"/>
              <w:rPr>
                <w:u w:val="single"/>
              </w:rPr>
            </w:pPr>
            <w:r>
              <w:rPr>
                <w:rFonts w:hint="eastAsia"/>
                <w:u w:val="single"/>
              </w:rPr>
              <w:t xml:space="preserve">0.004 </w:t>
            </w:r>
          </w:p>
        </w:tc>
        <w:tc>
          <w:tcPr>
            <w:tcW w:w="625" w:type="pct"/>
            <w:tcBorders>
              <w:top w:val="nil"/>
              <w:left w:val="nil"/>
              <w:bottom w:val="single" w:color="auto" w:sz="4" w:space="0"/>
              <w:right w:val="single" w:color="auto" w:sz="4" w:space="0"/>
            </w:tcBorders>
            <w:shd w:val="clear" w:color="auto" w:fill="auto"/>
            <w:noWrap/>
            <w:vAlign w:val="center"/>
          </w:tcPr>
          <w:p>
            <w:pPr>
              <w:pStyle w:val="39"/>
              <w:rPr>
                <w:u w:val="single"/>
              </w:rPr>
            </w:pPr>
            <w:r>
              <w:rPr>
                <w:rFonts w:hint="eastAsia"/>
                <w:u w:val="single"/>
              </w:rPr>
              <w:t xml:space="preserve">1.590 </w:t>
            </w:r>
          </w:p>
        </w:tc>
        <w:tc>
          <w:tcPr>
            <w:tcW w:w="625" w:type="pct"/>
            <w:tcBorders>
              <w:top w:val="nil"/>
              <w:left w:val="nil"/>
              <w:bottom w:val="single" w:color="auto" w:sz="4" w:space="0"/>
              <w:right w:val="single" w:color="auto" w:sz="4" w:space="0"/>
            </w:tcBorders>
            <w:shd w:val="clear" w:color="auto" w:fill="auto"/>
            <w:noWrap/>
            <w:vAlign w:val="center"/>
          </w:tcPr>
          <w:p>
            <w:pPr>
              <w:pStyle w:val="39"/>
              <w:rPr>
                <w:u w:val="single"/>
              </w:rPr>
            </w:pPr>
            <w:r>
              <w:rPr>
                <w:rFonts w:hint="eastAsia"/>
                <w:u w:val="single"/>
              </w:rPr>
              <w:t xml:space="preserve">11.100 </w:t>
            </w:r>
          </w:p>
        </w:tc>
      </w:tr>
      <w:tr>
        <w:tblPrEx>
          <w:tblCellMar>
            <w:top w:w="0" w:type="dxa"/>
            <w:left w:w="108" w:type="dxa"/>
            <w:bottom w:w="0" w:type="dxa"/>
            <w:right w:w="108" w:type="dxa"/>
          </w:tblCellMar>
        </w:tblPrEx>
        <w:trPr>
          <w:trHeight w:val="386" w:hRule="atLeast"/>
        </w:trPr>
        <w:tc>
          <w:tcPr>
            <w:tcW w:w="410" w:type="pct"/>
            <w:tcBorders>
              <w:top w:val="nil"/>
              <w:left w:val="single" w:color="auto" w:sz="4" w:space="0"/>
              <w:bottom w:val="single" w:color="auto" w:sz="4" w:space="0"/>
              <w:right w:val="single" w:color="auto" w:sz="4" w:space="0"/>
            </w:tcBorders>
            <w:shd w:val="clear" w:color="auto" w:fill="auto"/>
            <w:noWrap/>
            <w:vAlign w:val="center"/>
          </w:tcPr>
          <w:p>
            <w:pPr>
              <w:pStyle w:val="39"/>
              <w:rPr>
                <w:rFonts w:cs="Times New Roman"/>
                <w:sz w:val="18"/>
                <w:szCs w:val="18"/>
                <w:u w:val="single"/>
              </w:rPr>
            </w:pPr>
            <w:r>
              <w:rPr>
                <w:rFonts w:cs="Times New Roman"/>
                <w:sz w:val="18"/>
                <w:szCs w:val="18"/>
                <w:u w:val="single"/>
              </w:rPr>
              <w:t>80m</w:t>
            </w:r>
          </w:p>
        </w:tc>
        <w:tc>
          <w:tcPr>
            <w:tcW w:w="738" w:type="pct"/>
            <w:tcBorders>
              <w:top w:val="nil"/>
              <w:left w:val="nil"/>
              <w:bottom w:val="single" w:color="auto" w:sz="4" w:space="0"/>
              <w:right w:val="single" w:color="auto" w:sz="4" w:space="0"/>
            </w:tcBorders>
            <w:shd w:val="clear" w:color="auto" w:fill="auto"/>
            <w:noWrap/>
            <w:vAlign w:val="center"/>
          </w:tcPr>
          <w:p>
            <w:pPr>
              <w:pStyle w:val="39"/>
              <w:rPr>
                <w:u w:val="single"/>
              </w:rPr>
            </w:pPr>
            <w:r>
              <w:rPr>
                <w:rFonts w:hint="eastAsia"/>
                <w:u w:val="single"/>
              </w:rPr>
              <w:t xml:space="preserve">0.000 </w:t>
            </w:r>
          </w:p>
        </w:tc>
        <w:tc>
          <w:tcPr>
            <w:tcW w:w="656" w:type="pct"/>
            <w:tcBorders>
              <w:top w:val="nil"/>
              <w:left w:val="nil"/>
              <w:bottom w:val="single" w:color="auto" w:sz="4" w:space="0"/>
              <w:right w:val="single" w:color="auto" w:sz="4" w:space="0"/>
            </w:tcBorders>
            <w:shd w:val="clear" w:color="auto" w:fill="auto"/>
            <w:noWrap/>
            <w:vAlign w:val="center"/>
          </w:tcPr>
          <w:p>
            <w:pPr>
              <w:pStyle w:val="39"/>
              <w:rPr>
                <w:u w:val="single"/>
              </w:rPr>
            </w:pPr>
            <w:r>
              <w:rPr>
                <w:rFonts w:hint="eastAsia"/>
                <w:u w:val="single"/>
              </w:rPr>
              <w:t xml:space="preserve">0.000 </w:t>
            </w:r>
          </w:p>
        </w:tc>
        <w:tc>
          <w:tcPr>
            <w:tcW w:w="695" w:type="pct"/>
            <w:tcBorders>
              <w:top w:val="nil"/>
              <w:left w:val="nil"/>
              <w:bottom w:val="single" w:color="auto" w:sz="4" w:space="0"/>
              <w:right w:val="single" w:color="auto" w:sz="4" w:space="0"/>
            </w:tcBorders>
            <w:shd w:val="clear" w:color="auto" w:fill="auto"/>
            <w:noWrap/>
            <w:vAlign w:val="center"/>
          </w:tcPr>
          <w:p>
            <w:pPr>
              <w:pStyle w:val="39"/>
              <w:rPr>
                <w:u w:val="single"/>
              </w:rPr>
            </w:pPr>
            <w:r>
              <w:rPr>
                <w:rFonts w:hint="eastAsia"/>
                <w:u w:val="single"/>
              </w:rPr>
              <w:t xml:space="preserve">0.000 </w:t>
            </w:r>
          </w:p>
        </w:tc>
        <w:tc>
          <w:tcPr>
            <w:tcW w:w="625" w:type="pct"/>
            <w:tcBorders>
              <w:top w:val="nil"/>
              <w:left w:val="nil"/>
              <w:bottom w:val="single" w:color="auto" w:sz="4" w:space="0"/>
              <w:right w:val="single" w:color="auto" w:sz="4" w:space="0"/>
            </w:tcBorders>
            <w:shd w:val="clear" w:color="auto" w:fill="auto"/>
            <w:noWrap/>
            <w:vAlign w:val="center"/>
          </w:tcPr>
          <w:p>
            <w:pPr>
              <w:pStyle w:val="39"/>
              <w:rPr>
                <w:u w:val="single"/>
              </w:rPr>
            </w:pPr>
            <w:r>
              <w:rPr>
                <w:rFonts w:hint="eastAsia"/>
                <w:u w:val="single"/>
              </w:rPr>
              <w:t xml:space="preserve">0.000 </w:t>
            </w:r>
          </w:p>
        </w:tc>
        <w:tc>
          <w:tcPr>
            <w:tcW w:w="625" w:type="pct"/>
            <w:tcBorders>
              <w:top w:val="nil"/>
              <w:left w:val="nil"/>
              <w:bottom w:val="single" w:color="auto" w:sz="4" w:space="0"/>
              <w:right w:val="single" w:color="auto" w:sz="4" w:space="0"/>
            </w:tcBorders>
            <w:shd w:val="clear" w:color="auto" w:fill="auto"/>
            <w:noWrap/>
            <w:vAlign w:val="center"/>
          </w:tcPr>
          <w:p>
            <w:pPr>
              <w:pStyle w:val="39"/>
              <w:rPr>
                <w:u w:val="single"/>
              </w:rPr>
            </w:pPr>
            <w:r>
              <w:rPr>
                <w:rFonts w:hint="eastAsia"/>
                <w:u w:val="single"/>
              </w:rPr>
              <w:t xml:space="preserve">0.000 </w:t>
            </w:r>
          </w:p>
        </w:tc>
        <w:tc>
          <w:tcPr>
            <w:tcW w:w="625" w:type="pct"/>
            <w:tcBorders>
              <w:top w:val="nil"/>
              <w:left w:val="nil"/>
              <w:bottom w:val="single" w:color="auto" w:sz="4" w:space="0"/>
              <w:right w:val="single" w:color="auto" w:sz="4" w:space="0"/>
            </w:tcBorders>
            <w:shd w:val="clear" w:color="auto" w:fill="auto"/>
            <w:noWrap/>
            <w:vAlign w:val="center"/>
          </w:tcPr>
          <w:p>
            <w:pPr>
              <w:pStyle w:val="39"/>
              <w:rPr>
                <w:u w:val="single"/>
              </w:rPr>
            </w:pPr>
            <w:r>
              <w:rPr>
                <w:rFonts w:hint="eastAsia"/>
                <w:u w:val="single"/>
              </w:rPr>
              <w:t xml:space="preserve">0.176 </w:t>
            </w:r>
          </w:p>
        </w:tc>
        <w:tc>
          <w:tcPr>
            <w:tcW w:w="625" w:type="pct"/>
            <w:tcBorders>
              <w:top w:val="nil"/>
              <w:left w:val="nil"/>
              <w:bottom w:val="single" w:color="auto" w:sz="4" w:space="0"/>
              <w:right w:val="single" w:color="auto" w:sz="4" w:space="0"/>
            </w:tcBorders>
            <w:shd w:val="clear" w:color="auto" w:fill="auto"/>
            <w:noWrap/>
            <w:vAlign w:val="center"/>
          </w:tcPr>
          <w:p>
            <w:pPr>
              <w:pStyle w:val="39"/>
              <w:rPr>
                <w:u w:val="single"/>
              </w:rPr>
            </w:pPr>
            <w:r>
              <w:rPr>
                <w:rFonts w:hint="eastAsia"/>
                <w:u w:val="single"/>
              </w:rPr>
              <w:t xml:space="preserve">15.000 </w:t>
            </w:r>
          </w:p>
        </w:tc>
      </w:tr>
      <w:tr>
        <w:tblPrEx>
          <w:tblCellMar>
            <w:top w:w="0" w:type="dxa"/>
            <w:left w:w="108" w:type="dxa"/>
            <w:bottom w:w="0" w:type="dxa"/>
            <w:right w:w="108" w:type="dxa"/>
          </w:tblCellMar>
        </w:tblPrEx>
        <w:trPr>
          <w:trHeight w:val="386" w:hRule="atLeast"/>
        </w:trPr>
        <w:tc>
          <w:tcPr>
            <w:tcW w:w="410" w:type="pct"/>
            <w:tcBorders>
              <w:top w:val="nil"/>
              <w:left w:val="single" w:color="auto" w:sz="4" w:space="0"/>
              <w:bottom w:val="single" w:color="auto" w:sz="4" w:space="0"/>
              <w:right w:val="single" w:color="auto" w:sz="4" w:space="0"/>
            </w:tcBorders>
            <w:shd w:val="clear" w:color="auto" w:fill="auto"/>
            <w:noWrap/>
            <w:vAlign w:val="center"/>
          </w:tcPr>
          <w:p>
            <w:pPr>
              <w:pStyle w:val="39"/>
              <w:rPr>
                <w:rFonts w:cs="Times New Roman"/>
                <w:sz w:val="18"/>
                <w:szCs w:val="18"/>
                <w:u w:val="single"/>
              </w:rPr>
            </w:pPr>
            <w:r>
              <w:rPr>
                <w:rFonts w:cs="Times New Roman"/>
                <w:sz w:val="18"/>
                <w:szCs w:val="18"/>
                <w:u w:val="single"/>
              </w:rPr>
              <w:t>90m</w:t>
            </w:r>
          </w:p>
        </w:tc>
        <w:tc>
          <w:tcPr>
            <w:tcW w:w="738" w:type="pct"/>
            <w:tcBorders>
              <w:top w:val="nil"/>
              <w:left w:val="nil"/>
              <w:bottom w:val="single" w:color="auto" w:sz="4" w:space="0"/>
              <w:right w:val="single" w:color="auto" w:sz="4" w:space="0"/>
            </w:tcBorders>
            <w:shd w:val="clear" w:color="auto" w:fill="auto"/>
            <w:noWrap/>
            <w:vAlign w:val="center"/>
          </w:tcPr>
          <w:p>
            <w:pPr>
              <w:pStyle w:val="39"/>
              <w:rPr>
                <w:u w:val="single"/>
              </w:rPr>
            </w:pPr>
            <w:r>
              <w:rPr>
                <w:rFonts w:hint="eastAsia"/>
                <w:u w:val="single"/>
              </w:rPr>
              <w:t xml:space="preserve">0.000 </w:t>
            </w:r>
          </w:p>
        </w:tc>
        <w:tc>
          <w:tcPr>
            <w:tcW w:w="656" w:type="pct"/>
            <w:tcBorders>
              <w:top w:val="nil"/>
              <w:left w:val="nil"/>
              <w:bottom w:val="single" w:color="auto" w:sz="4" w:space="0"/>
              <w:right w:val="single" w:color="auto" w:sz="4" w:space="0"/>
            </w:tcBorders>
            <w:shd w:val="clear" w:color="auto" w:fill="auto"/>
            <w:noWrap/>
            <w:vAlign w:val="center"/>
          </w:tcPr>
          <w:p>
            <w:pPr>
              <w:pStyle w:val="39"/>
              <w:rPr>
                <w:u w:val="single"/>
              </w:rPr>
            </w:pPr>
            <w:r>
              <w:rPr>
                <w:rFonts w:hint="eastAsia"/>
                <w:u w:val="single"/>
              </w:rPr>
              <w:t xml:space="preserve">0.000 </w:t>
            </w:r>
          </w:p>
        </w:tc>
        <w:tc>
          <w:tcPr>
            <w:tcW w:w="695" w:type="pct"/>
            <w:tcBorders>
              <w:top w:val="nil"/>
              <w:left w:val="nil"/>
              <w:bottom w:val="single" w:color="auto" w:sz="4" w:space="0"/>
              <w:right w:val="single" w:color="auto" w:sz="4" w:space="0"/>
            </w:tcBorders>
            <w:shd w:val="clear" w:color="auto" w:fill="auto"/>
            <w:noWrap/>
            <w:vAlign w:val="center"/>
          </w:tcPr>
          <w:p>
            <w:pPr>
              <w:pStyle w:val="39"/>
              <w:rPr>
                <w:u w:val="single"/>
              </w:rPr>
            </w:pPr>
            <w:r>
              <w:rPr>
                <w:rFonts w:hint="eastAsia"/>
                <w:u w:val="single"/>
              </w:rPr>
              <w:t xml:space="preserve">0.000 </w:t>
            </w:r>
          </w:p>
        </w:tc>
        <w:tc>
          <w:tcPr>
            <w:tcW w:w="625" w:type="pct"/>
            <w:tcBorders>
              <w:top w:val="nil"/>
              <w:left w:val="nil"/>
              <w:bottom w:val="single" w:color="auto" w:sz="4" w:space="0"/>
              <w:right w:val="single" w:color="auto" w:sz="4" w:space="0"/>
            </w:tcBorders>
            <w:shd w:val="clear" w:color="auto" w:fill="auto"/>
            <w:noWrap/>
            <w:vAlign w:val="center"/>
          </w:tcPr>
          <w:p>
            <w:pPr>
              <w:pStyle w:val="39"/>
              <w:rPr>
                <w:u w:val="single"/>
              </w:rPr>
            </w:pPr>
            <w:r>
              <w:rPr>
                <w:rFonts w:hint="eastAsia"/>
                <w:u w:val="single"/>
              </w:rPr>
              <w:t xml:space="preserve">0.000 </w:t>
            </w:r>
          </w:p>
        </w:tc>
        <w:tc>
          <w:tcPr>
            <w:tcW w:w="625" w:type="pct"/>
            <w:tcBorders>
              <w:top w:val="nil"/>
              <w:left w:val="nil"/>
              <w:bottom w:val="single" w:color="auto" w:sz="4" w:space="0"/>
              <w:right w:val="single" w:color="auto" w:sz="4" w:space="0"/>
            </w:tcBorders>
            <w:shd w:val="clear" w:color="auto" w:fill="auto"/>
            <w:noWrap/>
            <w:vAlign w:val="center"/>
          </w:tcPr>
          <w:p>
            <w:pPr>
              <w:pStyle w:val="39"/>
              <w:rPr>
                <w:u w:val="single"/>
              </w:rPr>
            </w:pPr>
            <w:r>
              <w:rPr>
                <w:rFonts w:hint="eastAsia"/>
                <w:u w:val="single"/>
              </w:rPr>
              <w:t xml:space="preserve">0.000 </w:t>
            </w:r>
          </w:p>
        </w:tc>
        <w:tc>
          <w:tcPr>
            <w:tcW w:w="625" w:type="pct"/>
            <w:tcBorders>
              <w:top w:val="nil"/>
              <w:left w:val="nil"/>
              <w:bottom w:val="single" w:color="auto" w:sz="4" w:space="0"/>
              <w:right w:val="single" w:color="auto" w:sz="4" w:space="0"/>
            </w:tcBorders>
            <w:shd w:val="clear" w:color="auto" w:fill="auto"/>
            <w:noWrap/>
            <w:vAlign w:val="center"/>
          </w:tcPr>
          <w:p>
            <w:pPr>
              <w:pStyle w:val="39"/>
              <w:rPr>
                <w:u w:val="single"/>
              </w:rPr>
            </w:pPr>
            <w:r>
              <w:rPr>
                <w:rFonts w:hint="eastAsia"/>
                <w:u w:val="single"/>
              </w:rPr>
              <w:t xml:space="preserve">0.010 </w:t>
            </w:r>
          </w:p>
        </w:tc>
        <w:tc>
          <w:tcPr>
            <w:tcW w:w="625" w:type="pct"/>
            <w:tcBorders>
              <w:top w:val="nil"/>
              <w:left w:val="nil"/>
              <w:bottom w:val="single" w:color="auto" w:sz="4" w:space="0"/>
              <w:right w:val="single" w:color="auto" w:sz="4" w:space="0"/>
            </w:tcBorders>
            <w:shd w:val="clear" w:color="auto" w:fill="auto"/>
            <w:noWrap/>
            <w:vAlign w:val="center"/>
          </w:tcPr>
          <w:p>
            <w:pPr>
              <w:pStyle w:val="39"/>
              <w:rPr>
                <w:u w:val="single"/>
              </w:rPr>
            </w:pPr>
            <w:r>
              <w:rPr>
                <w:rFonts w:hint="eastAsia"/>
                <w:u w:val="single"/>
              </w:rPr>
              <w:t xml:space="preserve">14.500 </w:t>
            </w:r>
          </w:p>
        </w:tc>
      </w:tr>
      <w:tr>
        <w:tblPrEx>
          <w:tblCellMar>
            <w:top w:w="0" w:type="dxa"/>
            <w:left w:w="108" w:type="dxa"/>
            <w:bottom w:w="0" w:type="dxa"/>
            <w:right w:w="108" w:type="dxa"/>
          </w:tblCellMar>
        </w:tblPrEx>
        <w:trPr>
          <w:trHeight w:val="386" w:hRule="atLeast"/>
        </w:trPr>
        <w:tc>
          <w:tcPr>
            <w:tcW w:w="410" w:type="pct"/>
            <w:tcBorders>
              <w:top w:val="nil"/>
              <w:left w:val="single" w:color="auto" w:sz="4" w:space="0"/>
              <w:bottom w:val="single" w:color="auto" w:sz="4" w:space="0"/>
              <w:right w:val="single" w:color="auto" w:sz="4" w:space="0"/>
            </w:tcBorders>
            <w:shd w:val="clear" w:color="auto" w:fill="auto"/>
            <w:noWrap/>
            <w:vAlign w:val="center"/>
          </w:tcPr>
          <w:p>
            <w:pPr>
              <w:pStyle w:val="39"/>
              <w:rPr>
                <w:rFonts w:cs="Times New Roman"/>
                <w:sz w:val="18"/>
                <w:szCs w:val="18"/>
                <w:u w:val="single"/>
              </w:rPr>
            </w:pPr>
            <w:r>
              <w:rPr>
                <w:rFonts w:cs="Times New Roman"/>
                <w:sz w:val="18"/>
                <w:szCs w:val="18"/>
                <w:u w:val="single"/>
              </w:rPr>
              <w:t>100m</w:t>
            </w:r>
          </w:p>
        </w:tc>
        <w:tc>
          <w:tcPr>
            <w:tcW w:w="738" w:type="pct"/>
            <w:tcBorders>
              <w:top w:val="nil"/>
              <w:left w:val="nil"/>
              <w:bottom w:val="single" w:color="auto" w:sz="4" w:space="0"/>
              <w:right w:val="single" w:color="auto" w:sz="4" w:space="0"/>
            </w:tcBorders>
            <w:shd w:val="clear" w:color="auto" w:fill="auto"/>
            <w:noWrap/>
            <w:vAlign w:val="center"/>
          </w:tcPr>
          <w:p>
            <w:pPr>
              <w:pStyle w:val="39"/>
              <w:rPr>
                <w:u w:val="single"/>
              </w:rPr>
            </w:pPr>
            <w:r>
              <w:rPr>
                <w:rFonts w:hint="eastAsia"/>
                <w:u w:val="single"/>
              </w:rPr>
              <w:t xml:space="preserve">0.000 </w:t>
            </w:r>
          </w:p>
        </w:tc>
        <w:tc>
          <w:tcPr>
            <w:tcW w:w="656" w:type="pct"/>
            <w:tcBorders>
              <w:top w:val="nil"/>
              <w:left w:val="nil"/>
              <w:bottom w:val="single" w:color="auto" w:sz="4" w:space="0"/>
              <w:right w:val="single" w:color="auto" w:sz="4" w:space="0"/>
            </w:tcBorders>
            <w:shd w:val="clear" w:color="auto" w:fill="auto"/>
            <w:noWrap/>
            <w:vAlign w:val="center"/>
          </w:tcPr>
          <w:p>
            <w:pPr>
              <w:pStyle w:val="39"/>
              <w:rPr>
                <w:u w:val="single"/>
              </w:rPr>
            </w:pPr>
            <w:r>
              <w:rPr>
                <w:rFonts w:hint="eastAsia"/>
                <w:u w:val="single"/>
              </w:rPr>
              <w:t xml:space="preserve">0.000 </w:t>
            </w:r>
          </w:p>
        </w:tc>
        <w:tc>
          <w:tcPr>
            <w:tcW w:w="695" w:type="pct"/>
            <w:tcBorders>
              <w:top w:val="nil"/>
              <w:left w:val="nil"/>
              <w:bottom w:val="single" w:color="auto" w:sz="4" w:space="0"/>
              <w:right w:val="single" w:color="auto" w:sz="4" w:space="0"/>
            </w:tcBorders>
            <w:shd w:val="clear" w:color="auto" w:fill="auto"/>
            <w:noWrap/>
            <w:vAlign w:val="center"/>
          </w:tcPr>
          <w:p>
            <w:pPr>
              <w:pStyle w:val="39"/>
              <w:rPr>
                <w:u w:val="single"/>
              </w:rPr>
            </w:pPr>
            <w:r>
              <w:rPr>
                <w:rFonts w:hint="eastAsia"/>
                <w:u w:val="single"/>
              </w:rPr>
              <w:t xml:space="preserve">0.000 </w:t>
            </w:r>
          </w:p>
        </w:tc>
        <w:tc>
          <w:tcPr>
            <w:tcW w:w="625" w:type="pct"/>
            <w:tcBorders>
              <w:top w:val="nil"/>
              <w:left w:val="nil"/>
              <w:bottom w:val="single" w:color="auto" w:sz="4" w:space="0"/>
              <w:right w:val="single" w:color="auto" w:sz="4" w:space="0"/>
            </w:tcBorders>
            <w:shd w:val="clear" w:color="auto" w:fill="auto"/>
            <w:noWrap/>
            <w:vAlign w:val="center"/>
          </w:tcPr>
          <w:p>
            <w:pPr>
              <w:pStyle w:val="39"/>
              <w:rPr>
                <w:u w:val="single"/>
              </w:rPr>
            </w:pPr>
            <w:r>
              <w:rPr>
                <w:rFonts w:hint="eastAsia"/>
                <w:u w:val="single"/>
              </w:rPr>
              <w:t xml:space="preserve">0.000 </w:t>
            </w:r>
          </w:p>
        </w:tc>
        <w:tc>
          <w:tcPr>
            <w:tcW w:w="625" w:type="pct"/>
            <w:tcBorders>
              <w:top w:val="nil"/>
              <w:left w:val="nil"/>
              <w:bottom w:val="single" w:color="auto" w:sz="4" w:space="0"/>
              <w:right w:val="single" w:color="auto" w:sz="4" w:space="0"/>
            </w:tcBorders>
            <w:shd w:val="clear" w:color="auto" w:fill="auto"/>
            <w:noWrap/>
            <w:vAlign w:val="center"/>
          </w:tcPr>
          <w:p>
            <w:pPr>
              <w:pStyle w:val="39"/>
              <w:rPr>
                <w:u w:val="single"/>
              </w:rPr>
            </w:pPr>
            <w:r>
              <w:rPr>
                <w:rFonts w:hint="eastAsia"/>
                <w:u w:val="single"/>
              </w:rPr>
              <w:t xml:space="preserve">0.000 </w:t>
            </w:r>
          </w:p>
        </w:tc>
        <w:tc>
          <w:tcPr>
            <w:tcW w:w="625" w:type="pct"/>
            <w:tcBorders>
              <w:top w:val="nil"/>
              <w:left w:val="nil"/>
              <w:bottom w:val="single" w:color="auto" w:sz="4" w:space="0"/>
              <w:right w:val="single" w:color="auto" w:sz="4" w:space="0"/>
            </w:tcBorders>
            <w:shd w:val="clear" w:color="auto" w:fill="auto"/>
            <w:noWrap/>
            <w:vAlign w:val="center"/>
          </w:tcPr>
          <w:p>
            <w:pPr>
              <w:pStyle w:val="39"/>
              <w:rPr>
                <w:u w:val="single"/>
              </w:rPr>
            </w:pPr>
            <w:r>
              <w:rPr>
                <w:rFonts w:hint="eastAsia"/>
                <w:u w:val="single"/>
              </w:rPr>
              <w:t xml:space="preserve">0.000 </w:t>
            </w:r>
          </w:p>
        </w:tc>
        <w:tc>
          <w:tcPr>
            <w:tcW w:w="625" w:type="pct"/>
            <w:tcBorders>
              <w:top w:val="nil"/>
              <w:left w:val="nil"/>
              <w:bottom w:val="single" w:color="auto" w:sz="4" w:space="0"/>
              <w:right w:val="single" w:color="auto" w:sz="4" w:space="0"/>
            </w:tcBorders>
            <w:shd w:val="clear" w:color="auto" w:fill="auto"/>
            <w:noWrap/>
            <w:vAlign w:val="center"/>
          </w:tcPr>
          <w:p>
            <w:pPr>
              <w:pStyle w:val="39"/>
              <w:rPr>
                <w:u w:val="single"/>
              </w:rPr>
            </w:pPr>
            <w:r>
              <w:rPr>
                <w:rFonts w:hint="eastAsia"/>
                <w:u w:val="single"/>
              </w:rPr>
              <w:t>0.00</w:t>
            </w:r>
            <w:r>
              <w:rPr>
                <w:u w:val="single"/>
              </w:rPr>
              <w:t>0</w:t>
            </w:r>
          </w:p>
        </w:tc>
      </w:tr>
    </w:tbl>
    <w:p>
      <w:pPr>
        <w:pStyle w:val="3"/>
        <w:ind w:firstLine="480"/>
        <w:rPr>
          <w:rFonts w:cs="Times New Roman"/>
          <w:u w:val="single"/>
        </w:rPr>
      </w:pPr>
      <w:r>
        <w:rPr>
          <w:rFonts w:cs="Times New Roman"/>
          <w:u w:val="single"/>
        </w:rPr>
        <w:t>由以上预测结果可知，事故工况下，废水发生泄漏瞬时排放污染物NH</w:t>
      </w:r>
      <w:r>
        <w:rPr>
          <w:rFonts w:cs="Times New Roman"/>
          <w:u w:val="single"/>
          <w:vertAlign w:val="subscript"/>
        </w:rPr>
        <w:t>3</w:t>
      </w:r>
      <w:r>
        <w:rPr>
          <w:rFonts w:cs="Times New Roman"/>
          <w:u w:val="single"/>
        </w:rPr>
        <w:t>-N在第</w:t>
      </w:r>
      <w:r>
        <w:rPr>
          <w:rFonts w:hint="eastAsia" w:cs="Times New Roman"/>
          <w:u w:val="single"/>
        </w:rPr>
        <w:t>5天时，预测的最大值为118.9416mg/l，预测超标距离最远为8m；影响距离最远为9m；10天时，预测的最大值为84.10442mg/l，预测超标距离最远为12m；影响距离最远为14m；20天时，预测的最大值为59.4708mg/l，预测超标距离最远为19m；影响距离最远为21m；50天时，预测的最大值为37.61264mg/l，预测超标距离最远为34m；影响距离最远为38m；100天时，预测的最大值为26.59615mg/l，预测超标距离最远为56m；影响距离最远为61m；150天时，预测的最大值为21.71567mg/l，预测超标距离最远为75m；影响距离最远为82m；300天时，预测的最大值为15.3553mg/l，预测超标距离最远为129m；影响距离最远为138m。</w:t>
      </w:r>
      <w:r>
        <w:rPr>
          <w:rFonts w:cs="Times New Roman"/>
          <w:u w:val="single"/>
        </w:rPr>
        <w:t>项目事故工况下废水污染物会对区域地下水造成严重污染，因此，项目污水集中处理必须严格按照相关要求做好硬底化防渗防漏衬层，同时加强日常管理，严防事故泄漏。</w:t>
      </w:r>
    </w:p>
    <w:p>
      <w:pPr>
        <w:pStyle w:val="3"/>
        <w:ind w:firstLine="480"/>
        <w:rPr>
          <w:rFonts w:cs="Times New Roman"/>
          <w:u w:val="single"/>
        </w:rPr>
      </w:pPr>
      <w:r>
        <w:rPr>
          <w:rFonts w:cs="Times New Roman"/>
          <w:u w:val="single"/>
        </w:rPr>
        <w:t>项目排水系统实行雨污分流，污水管不采取明沟布设，实行严格的分区防渗，防止畜禽粪便污染地下水，在采取该措施情况下，正常工况下废水对厂区地下水影响较小，本项目事故工况主要考虑污水收集池的泄漏，废水下渗可能导致地下水系统中污染物浓度增加，尤其是在距离事故发生点较近的地方。此时污染物直接进入表层土层，其浓度能再瞬间达到最大值，但是通过表土层一级包气带的降解、稀释作用，而最终进入到地下水含水层的量较少，对地下水影响逐步降低。</w:t>
      </w:r>
    </w:p>
    <w:p>
      <w:pPr>
        <w:pStyle w:val="3"/>
        <w:ind w:firstLine="480"/>
        <w:rPr>
          <w:rFonts w:cs="Times New Roman"/>
          <w:u w:val="single"/>
        </w:rPr>
      </w:pPr>
      <w:r>
        <w:rPr>
          <w:rFonts w:cs="Times New Roman"/>
          <w:u w:val="single"/>
        </w:rPr>
        <w:t>（4）对周边饮用水水源影响</w:t>
      </w:r>
    </w:p>
    <w:p>
      <w:pPr>
        <w:pStyle w:val="3"/>
        <w:ind w:firstLine="480"/>
        <w:rPr>
          <w:rFonts w:cs="Times New Roman"/>
          <w:u w:val="single"/>
        </w:rPr>
      </w:pPr>
      <w:r>
        <w:rPr>
          <w:rFonts w:cs="Times New Roman"/>
          <w:u w:val="single"/>
        </w:rPr>
        <w:t>本项目养殖场</w:t>
      </w:r>
      <w:r>
        <w:rPr>
          <w:rFonts w:hint="eastAsia" w:cs="Times New Roman"/>
          <w:u w:val="single"/>
        </w:rPr>
        <w:t>建设</w:t>
      </w:r>
      <w:r>
        <w:rPr>
          <w:rFonts w:cs="Times New Roman"/>
          <w:u w:val="single"/>
        </w:rPr>
        <w:t>厂界外</w:t>
      </w:r>
      <w:r>
        <w:rPr>
          <w:rFonts w:hint="eastAsia" w:cs="Times New Roman"/>
          <w:u w:val="single"/>
        </w:rPr>
        <w:t>150</w:t>
      </w:r>
      <w:r>
        <w:rPr>
          <w:rFonts w:cs="Times New Roman"/>
          <w:u w:val="single"/>
        </w:rPr>
        <w:t>m</w:t>
      </w:r>
      <w:r>
        <w:rPr>
          <w:rFonts w:hint="eastAsia" w:cs="Times New Roman"/>
          <w:u w:val="single"/>
        </w:rPr>
        <w:t>有散户</w:t>
      </w:r>
      <w:r>
        <w:rPr>
          <w:rFonts w:cs="Times New Roman"/>
          <w:u w:val="single"/>
        </w:rPr>
        <w:t>居民</w:t>
      </w:r>
      <w:r>
        <w:rPr>
          <w:rFonts w:hint="eastAsia" w:cs="Times New Roman"/>
          <w:u w:val="single"/>
        </w:rPr>
        <w:t>，</w:t>
      </w:r>
      <w:r>
        <w:rPr>
          <w:rFonts w:cs="Times New Roman"/>
          <w:u w:val="single"/>
        </w:rPr>
        <w:t>目前采用地下水，自来水管正在铺设，</w:t>
      </w:r>
      <w:r>
        <w:rPr>
          <w:rFonts w:hint="eastAsia" w:cs="Times New Roman"/>
          <w:u w:val="single"/>
        </w:rPr>
        <w:t>预计</w:t>
      </w:r>
      <w:r>
        <w:rPr>
          <w:rFonts w:cs="Times New Roman"/>
          <w:u w:val="single"/>
        </w:rPr>
        <w:t>年底</w:t>
      </w:r>
      <w:r>
        <w:rPr>
          <w:rFonts w:hint="eastAsia" w:cs="Times New Roman"/>
          <w:u w:val="single"/>
        </w:rPr>
        <w:t>即可</w:t>
      </w:r>
      <w:r>
        <w:rPr>
          <w:rFonts w:cs="Times New Roman"/>
          <w:u w:val="single"/>
        </w:rPr>
        <w:t>完工，届时地下水将用作</w:t>
      </w:r>
      <w:r>
        <w:rPr>
          <w:rFonts w:hint="eastAsia" w:cs="Times New Roman"/>
          <w:u w:val="single"/>
        </w:rPr>
        <w:t>洗菜</w:t>
      </w:r>
      <w:r>
        <w:rPr>
          <w:rFonts w:cs="Times New Roman"/>
          <w:u w:val="single"/>
        </w:rPr>
        <w:t>等</w:t>
      </w:r>
      <w:r>
        <w:rPr>
          <w:rFonts w:hint="eastAsia" w:cs="Times New Roman"/>
          <w:u w:val="single"/>
        </w:rPr>
        <w:t>，</w:t>
      </w:r>
      <w:r>
        <w:rPr>
          <w:rFonts w:cs="Times New Roman"/>
          <w:u w:val="single"/>
        </w:rPr>
        <w:t>作为备用水源</w:t>
      </w:r>
      <w:r>
        <w:rPr>
          <w:rFonts w:hint="eastAsia" w:cs="Times New Roman"/>
          <w:u w:val="single"/>
        </w:rPr>
        <w:t>；但是一旦</w:t>
      </w:r>
      <w:r>
        <w:rPr>
          <w:rFonts w:cs="Times New Roman"/>
          <w:u w:val="single"/>
        </w:rPr>
        <w:t>发生</w:t>
      </w:r>
      <w:r>
        <w:rPr>
          <w:rFonts w:hint="eastAsia" w:cs="Times New Roman"/>
          <w:u w:val="single"/>
        </w:rPr>
        <w:t>非常工况</w:t>
      </w:r>
      <w:r>
        <w:rPr>
          <w:rFonts w:cs="Times New Roman"/>
          <w:u w:val="single"/>
        </w:rPr>
        <w:t>下，</w:t>
      </w:r>
      <w:r>
        <w:rPr>
          <w:rFonts w:hint="eastAsia" w:cs="Times New Roman"/>
          <w:u w:val="single"/>
        </w:rPr>
        <w:t>项目</w:t>
      </w:r>
      <w:r>
        <w:rPr>
          <w:rFonts w:cs="Times New Roman"/>
          <w:u w:val="single"/>
        </w:rPr>
        <w:t>废水对区域地下</w:t>
      </w:r>
      <w:r>
        <w:rPr>
          <w:rFonts w:hint="eastAsia" w:cs="Times New Roman"/>
          <w:u w:val="single"/>
        </w:rPr>
        <w:t>水</w:t>
      </w:r>
      <w:r>
        <w:rPr>
          <w:rFonts w:cs="Times New Roman"/>
          <w:u w:val="single"/>
        </w:rPr>
        <w:t>将产生一定的影响，建设单位应加强管理。</w:t>
      </w:r>
    </w:p>
    <w:p>
      <w:pPr>
        <w:pStyle w:val="6"/>
      </w:pPr>
      <w:r>
        <w:rPr>
          <w:rFonts w:hint="eastAsia"/>
        </w:rPr>
        <w:t>噪声环境影响预测与评价</w:t>
      </w:r>
    </w:p>
    <w:p>
      <w:pPr>
        <w:pStyle w:val="3"/>
        <w:ind w:firstLine="480"/>
      </w:pPr>
      <w:r>
        <w:rPr>
          <w:rFonts w:hint="eastAsia"/>
        </w:rPr>
        <w:t>根据《环境影响评价技术导则声环境》（</w:t>
      </w:r>
      <w:r>
        <w:t>HJ2.4-2009</w:t>
      </w:r>
      <w:r>
        <w:rPr>
          <w:rFonts w:hint="eastAsia"/>
        </w:rPr>
        <w:t>）中噪声环境影响评价工作等级划分的基本原则，项目声环境评价工作等级为二级。评价范围为项目厂界向外</w:t>
      </w:r>
      <w:r>
        <w:t>200m</w:t>
      </w:r>
      <w:r>
        <w:rPr>
          <w:rFonts w:hint="eastAsia"/>
        </w:rPr>
        <w:t>。</w:t>
      </w:r>
    </w:p>
    <w:p>
      <w:pPr>
        <w:pStyle w:val="3"/>
        <w:ind w:firstLine="480"/>
      </w:pPr>
      <w:r>
        <w:rPr>
          <w:rFonts w:hint="eastAsia"/>
        </w:rPr>
        <w:t>本次评价主要预测项目建成投产后厂界的声环境变化情况，评价建设项目在运营期噪声的影响程度、影响范围，给出厂界噪声贡献值达标分析。</w:t>
      </w:r>
    </w:p>
    <w:p>
      <w:pPr>
        <w:pStyle w:val="7"/>
      </w:pPr>
      <w:r>
        <w:rPr>
          <w:rFonts w:hint="eastAsia"/>
        </w:rPr>
        <w:t>主要噪声源</w:t>
      </w:r>
    </w:p>
    <w:p>
      <w:pPr>
        <w:pStyle w:val="3"/>
        <w:ind w:firstLine="480"/>
        <w:rPr>
          <w:rFonts w:cs="Times New Roman"/>
          <w:lang w:val="zh-CN"/>
        </w:rPr>
      </w:pPr>
      <w:r>
        <w:rPr>
          <w:rFonts w:cs="Times New Roman"/>
        </w:rPr>
        <w:t>项目噪声影响预测内容为各场界的等效声级。项目噪声主要来源于鸡叫声、鸡舍排气扇、水泵房水泵等噪声。</w:t>
      </w:r>
      <w:r>
        <w:rPr>
          <w:rFonts w:cs="Times New Roman"/>
          <w:lang w:val="zh-CN"/>
        </w:rPr>
        <w:t>各个噪声源及其源强见表</w:t>
      </w:r>
      <w:r>
        <w:rPr>
          <w:rFonts w:cs="Times New Roman"/>
        </w:rPr>
        <w:t>5.2-13</w:t>
      </w:r>
      <w:r>
        <w:rPr>
          <w:rFonts w:cs="Times New Roman"/>
          <w:lang w:val="zh-CN"/>
        </w:rPr>
        <w:t>。</w:t>
      </w:r>
    </w:p>
    <w:p>
      <w:pPr>
        <w:pStyle w:val="3"/>
        <w:ind w:firstLine="480"/>
        <w:rPr>
          <w:rFonts w:cs="Times New Roman"/>
          <w:lang w:val="zh-CN"/>
        </w:rPr>
      </w:pPr>
    </w:p>
    <w:p>
      <w:pPr>
        <w:pStyle w:val="15"/>
        <w:rPr>
          <w:rFonts w:cs="Times New Roman"/>
          <w:lang w:val="zh-CN"/>
        </w:rPr>
      </w:pPr>
      <w:r>
        <w:rPr>
          <w:rFonts w:cs="Times New Roman"/>
          <w:lang w:val="zh-CN"/>
        </w:rPr>
        <w:t>表</w:t>
      </w:r>
      <w:r>
        <w:rPr>
          <w:rFonts w:cs="Times New Roman"/>
        </w:rPr>
        <w:t>5.2-13</w:t>
      </w:r>
      <w:r>
        <w:rPr>
          <w:rFonts w:cs="Times New Roman"/>
          <w:lang w:val="zh-CN"/>
        </w:rPr>
        <w:t xml:space="preserve"> 噪声源在车间外的源强表  单位：</w:t>
      </w:r>
      <w:r>
        <w:rPr>
          <w:rFonts w:cs="Times New Roman"/>
        </w:rPr>
        <w:t>dB(A)</w:t>
      </w:r>
    </w:p>
    <w:tbl>
      <w:tblPr>
        <w:tblStyle w:val="2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84"/>
        <w:gridCol w:w="708"/>
        <w:gridCol w:w="567"/>
        <w:gridCol w:w="709"/>
        <w:gridCol w:w="1276"/>
        <w:gridCol w:w="567"/>
        <w:gridCol w:w="992"/>
        <w:gridCol w:w="851"/>
        <w:gridCol w:w="850"/>
        <w:gridCol w:w="851"/>
        <w:gridCol w:w="1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484" w:type="dxa"/>
            <w:vAlign w:val="center"/>
          </w:tcPr>
          <w:p>
            <w:pPr>
              <w:pStyle w:val="39"/>
              <w:rPr>
                <w:rFonts w:cs="Times New Roman"/>
              </w:rPr>
            </w:pPr>
            <w:r>
              <w:rPr>
                <w:rFonts w:cs="Times New Roman"/>
              </w:rPr>
              <w:t>序号</w:t>
            </w:r>
          </w:p>
        </w:tc>
        <w:tc>
          <w:tcPr>
            <w:tcW w:w="708" w:type="dxa"/>
            <w:vAlign w:val="center"/>
          </w:tcPr>
          <w:p>
            <w:pPr>
              <w:pStyle w:val="39"/>
              <w:rPr>
                <w:rFonts w:cs="Times New Roman"/>
              </w:rPr>
            </w:pPr>
            <w:r>
              <w:rPr>
                <w:rFonts w:cs="Times New Roman"/>
              </w:rPr>
              <w:t>污染源</w:t>
            </w:r>
          </w:p>
        </w:tc>
        <w:tc>
          <w:tcPr>
            <w:tcW w:w="567" w:type="dxa"/>
            <w:vAlign w:val="center"/>
          </w:tcPr>
          <w:p>
            <w:pPr>
              <w:pStyle w:val="39"/>
              <w:rPr>
                <w:rFonts w:cs="Times New Roman"/>
              </w:rPr>
            </w:pPr>
            <w:r>
              <w:rPr>
                <w:rFonts w:cs="Times New Roman"/>
              </w:rPr>
              <w:t>所在位置</w:t>
            </w:r>
          </w:p>
        </w:tc>
        <w:tc>
          <w:tcPr>
            <w:tcW w:w="709" w:type="dxa"/>
            <w:vAlign w:val="center"/>
          </w:tcPr>
          <w:p>
            <w:pPr>
              <w:pStyle w:val="39"/>
              <w:rPr>
                <w:rFonts w:cs="Times New Roman"/>
              </w:rPr>
            </w:pPr>
            <w:r>
              <w:rPr>
                <w:rFonts w:cs="Times New Roman"/>
              </w:rPr>
              <w:t>最大声级值</w:t>
            </w:r>
          </w:p>
        </w:tc>
        <w:tc>
          <w:tcPr>
            <w:tcW w:w="1276" w:type="dxa"/>
            <w:vAlign w:val="center"/>
          </w:tcPr>
          <w:p>
            <w:pPr>
              <w:pStyle w:val="39"/>
              <w:rPr>
                <w:rFonts w:cs="Times New Roman"/>
              </w:rPr>
            </w:pPr>
            <w:r>
              <w:rPr>
                <w:rFonts w:cs="Times New Roman"/>
              </w:rPr>
              <w:t>治理措施</w:t>
            </w:r>
          </w:p>
        </w:tc>
        <w:tc>
          <w:tcPr>
            <w:tcW w:w="567" w:type="dxa"/>
            <w:vAlign w:val="center"/>
          </w:tcPr>
          <w:p>
            <w:pPr>
              <w:pStyle w:val="39"/>
              <w:rPr>
                <w:rFonts w:cs="Times New Roman"/>
              </w:rPr>
            </w:pPr>
            <w:r>
              <w:rPr>
                <w:rFonts w:cs="Times New Roman"/>
              </w:rPr>
              <w:t>降噪效果</w:t>
            </w:r>
          </w:p>
        </w:tc>
        <w:tc>
          <w:tcPr>
            <w:tcW w:w="992" w:type="dxa"/>
            <w:vAlign w:val="center"/>
          </w:tcPr>
          <w:p>
            <w:pPr>
              <w:pStyle w:val="39"/>
              <w:rPr>
                <w:rFonts w:cs="Times New Roman"/>
              </w:rPr>
            </w:pPr>
            <w:r>
              <w:rPr>
                <w:rFonts w:cs="Times New Roman"/>
              </w:rPr>
              <w:t>降噪后的噪声值</w:t>
            </w:r>
          </w:p>
        </w:tc>
        <w:tc>
          <w:tcPr>
            <w:tcW w:w="1701" w:type="dxa"/>
            <w:gridSpan w:val="2"/>
            <w:vAlign w:val="center"/>
          </w:tcPr>
          <w:p>
            <w:pPr>
              <w:pStyle w:val="39"/>
              <w:rPr>
                <w:rFonts w:cs="Times New Roman"/>
              </w:rPr>
            </w:pPr>
            <w:r>
              <w:rPr>
                <w:rFonts w:cs="Times New Roman"/>
              </w:rPr>
              <w:t>距场界最近距离</w:t>
            </w:r>
          </w:p>
        </w:tc>
        <w:tc>
          <w:tcPr>
            <w:tcW w:w="2068" w:type="dxa"/>
            <w:gridSpan w:val="2"/>
            <w:vAlign w:val="center"/>
          </w:tcPr>
          <w:p>
            <w:pPr>
              <w:pStyle w:val="39"/>
              <w:rPr>
                <w:rFonts w:cs="Times New Roman"/>
              </w:rPr>
            </w:pPr>
            <w:r>
              <w:rPr>
                <w:rFonts w:cs="Times New Roman"/>
              </w:rPr>
              <w:t>厂界处的噪声值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 w:hRule="atLeast"/>
          <w:jc w:val="center"/>
        </w:trPr>
        <w:tc>
          <w:tcPr>
            <w:tcW w:w="484" w:type="dxa"/>
            <w:vMerge w:val="restart"/>
            <w:vAlign w:val="center"/>
          </w:tcPr>
          <w:p>
            <w:pPr>
              <w:pStyle w:val="39"/>
              <w:rPr>
                <w:rFonts w:cs="Times New Roman"/>
              </w:rPr>
            </w:pPr>
            <w:r>
              <w:rPr>
                <w:rFonts w:cs="Times New Roman"/>
              </w:rPr>
              <w:t>1</w:t>
            </w:r>
          </w:p>
        </w:tc>
        <w:tc>
          <w:tcPr>
            <w:tcW w:w="708" w:type="dxa"/>
            <w:vMerge w:val="restart"/>
            <w:vAlign w:val="center"/>
          </w:tcPr>
          <w:p>
            <w:pPr>
              <w:pStyle w:val="39"/>
              <w:rPr>
                <w:rFonts w:cs="Times New Roman"/>
              </w:rPr>
            </w:pPr>
            <w:r>
              <w:rPr>
                <w:rFonts w:cs="Times New Roman"/>
              </w:rPr>
              <w:t>鸡叫</w:t>
            </w:r>
          </w:p>
        </w:tc>
        <w:tc>
          <w:tcPr>
            <w:tcW w:w="567" w:type="dxa"/>
            <w:vMerge w:val="restart"/>
            <w:vAlign w:val="center"/>
          </w:tcPr>
          <w:p>
            <w:pPr>
              <w:pStyle w:val="39"/>
              <w:rPr>
                <w:rFonts w:cs="Times New Roman"/>
              </w:rPr>
            </w:pPr>
            <w:r>
              <w:rPr>
                <w:rFonts w:cs="Times New Roman"/>
              </w:rPr>
              <w:t>鸡舍</w:t>
            </w:r>
          </w:p>
        </w:tc>
        <w:tc>
          <w:tcPr>
            <w:tcW w:w="709" w:type="dxa"/>
            <w:vMerge w:val="restart"/>
            <w:vAlign w:val="center"/>
          </w:tcPr>
          <w:p>
            <w:pPr>
              <w:pStyle w:val="39"/>
              <w:rPr>
                <w:rFonts w:cs="Times New Roman"/>
              </w:rPr>
            </w:pPr>
            <w:r>
              <w:rPr>
                <w:rFonts w:hint="eastAsia" w:cs="Times New Roman"/>
              </w:rPr>
              <w:t>5</w:t>
            </w:r>
            <w:r>
              <w:rPr>
                <w:rFonts w:cs="Times New Roman"/>
              </w:rPr>
              <w:t>5</w:t>
            </w:r>
          </w:p>
        </w:tc>
        <w:tc>
          <w:tcPr>
            <w:tcW w:w="1276" w:type="dxa"/>
            <w:vMerge w:val="restart"/>
            <w:vAlign w:val="center"/>
          </w:tcPr>
          <w:p>
            <w:pPr>
              <w:pStyle w:val="39"/>
              <w:rPr>
                <w:rFonts w:cs="Times New Roman"/>
              </w:rPr>
            </w:pPr>
            <w:r>
              <w:rPr>
                <w:rFonts w:cs="Times New Roman"/>
              </w:rPr>
              <w:t>鸡舍隔声</w:t>
            </w:r>
          </w:p>
        </w:tc>
        <w:tc>
          <w:tcPr>
            <w:tcW w:w="567" w:type="dxa"/>
            <w:vMerge w:val="restart"/>
            <w:vAlign w:val="center"/>
          </w:tcPr>
          <w:p>
            <w:pPr>
              <w:pStyle w:val="39"/>
              <w:rPr>
                <w:rFonts w:cs="Times New Roman"/>
              </w:rPr>
            </w:pPr>
            <w:r>
              <w:rPr>
                <w:rFonts w:cs="Times New Roman"/>
              </w:rPr>
              <w:t>10</w:t>
            </w:r>
          </w:p>
        </w:tc>
        <w:tc>
          <w:tcPr>
            <w:tcW w:w="992" w:type="dxa"/>
            <w:vMerge w:val="restart"/>
            <w:vAlign w:val="center"/>
          </w:tcPr>
          <w:p>
            <w:pPr>
              <w:pStyle w:val="39"/>
              <w:rPr>
                <w:rFonts w:cs="Times New Roman"/>
              </w:rPr>
            </w:pPr>
            <w:r>
              <w:rPr>
                <w:rFonts w:hint="eastAsia" w:cs="Times New Roman"/>
              </w:rPr>
              <w:t>4</w:t>
            </w:r>
            <w:r>
              <w:rPr>
                <w:rFonts w:cs="Times New Roman"/>
              </w:rPr>
              <w:t>5</w:t>
            </w:r>
          </w:p>
        </w:tc>
        <w:tc>
          <w:tcPr>
            <w:tcW w:w="851" w:type="dxa"/>
            <w:vAlign w:val="center"/>
          </w:tcPr>
          <w:p>
            <w:pPr>
              <w:pStyle w:val="39"/>
              <w:rPr>
                <w:rFonts w:cs="Times New Roman"/>
              </w:rPr>
            </w:pPr>
            <w:r>
              <w:rPr>
                <w:rFonts w:cs="Times New Roman"/>
              </w:rPr>
              <w:t>东</w:t>
            </w:r>
          </w:p>
        </w:tc>
        <w:tc>
          <w:tcPr>
            <w:tcW w:w="850" w:type="dxa"/>
            <w:vAlign w:val="center"/>
          </w:tcPr>
          <w:p>
            <w:pPr>
              <w:pStyle w:val="39"/>
              <w:rPr>
                <w:rFonts w:cs="Times New Roman"/>
              </w:rPr>
            </w:pPr>
            <w:r>
              <w:rPr>
                <w:rFonts w:hint="eastAsia" w:cs="Times New Roman"/>
              </w:rPr>
              <w:t>50</w:t>
            </w:r>
            <w:r>
              <w:rPr>
                <w:rFonts w:cs="Times New Roman"/>
              </w:rPr>
              <w:t>m</w:t>
            </w:r>
          </w:p>
        </w:tc>
        <w:tc>
          <w:tcPr>
            <w:tcW w:w="851" w:type="dxa"/>
            <w:vAlign w:val="center"/>
          </w:tcPr>
          <w:p>
            <w:pPr>
              <w:pStyle w:val="39"/>
              <w:rPr>
                <w:rFonts w:cs="Times New Roman"/>
              </w:rPr>
            </w:pPr>
            <w:r>
              <w:rPr>
                <w:rFonts w:cs="Times New Roman"/>
              </w:rPr>
              <w:t>东</w:t>
            </w:r>
          </w:p>
        </w:tc>
        <w:tc>
          <w:tcPr>
            <w:tcW w:w="1217" w:type="dxa"/>
            <w:vAlign w:val="center"/>
          </w:tcPr>
          <w:p>
            <w:pPr>
              <w:pStyle w:val="39"/>
              <w:rPr>
                <w:rFonts w:cs="Times New Roman"/>
              </w:rPr>
            </w:pPr>
            <w:r>
              <w:rPr>
                <w:rFonts w:hint="eastAsia" w:cs="Times New Roman"/>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 w:hRule="atLeast"/>
          <w:jc w:val="center"/>
        </w:trPr>
        <w:tc>
          <w:tcPr>
            <w:tcW w:w="484" w:type="dxa"/>
            <w:vMerge w:val="continue"/>
            <w:vAlign w:val="center"/>
          </w:tcPr>
          <w:p>
            <w:pPr>
              <w:pStyle w:val="39"/>
              <w:rPr>
                <w:rFonts w:cs="Times New Roman"/>
              </w:rPr>
            </w:pPr>
          </w:p>
        </w:tc>
        <w:tc>
          <w:tcPr>
            <w:tcW w:w="708" w:type="dxa"/>
            <w:vMerge w:val="continue"/>
            <w:vAlign w:val="center"/>
          </w:tcPr>
          <w:p>
            <w:pPr>
              <w:pStyle w:val="39"/>
              <w:rPr>
                <w:rFonts w:cs="Times New Roman"/>
              </w:rPr>
            </w:pPr>
          </w:p>
        </w:tc>
        <w:tc>
          <w:tcPr>
            <w:tcW w:w="567" w:type="dxa"/>
            <w:vMerge w:val="continue"/>
            <w:vAlign w:val="center"/>
          </w:tcPr>
          <w:p>
            <w:pPr>
              <w:pStyle w:val="39"/>
              <w:rPr>
                <w:rFonts w:cs="Times New Roman"/>
              </w:rPr>
            </w:pPr>
          </w:p>
        </w:tc>
        <w:tc>
          <w:tcPr>
            <w:tcW w:w="709" w:type="dxa"/>
            <w:vMerge w:val="continue"/>
            <w:vAlign w:val="center"/>
          </w:tcPr>
          <w:p>
            <w:pPr>
              <w:pStyle w:val="39"/>
              <w:rPr>
                <w:rFonts w:cs="Times New Roman"/>
              </w:rPr>
            </w:pPr>
          </w:p>
        </w:tc>
        <w:tc>
          <w:tcPr>
            <w:tcW w:w="1276" w:type="dxa"/>
            <w:vMerge w:val="continue"/>
            <w:vAlign w:val="center"/>
          </w:tcPr>
          <w:p>
            <w:pPr>
              <w:pStyle w:val="39"/>
              <w:rPr>
                <w:rFonts w:cs="Times New Roman"/>
              </w:rPr>
            </w:pPr>
          </w:p>
        </w:tc>
        <w:tc>
          <w:tcPr>
            <w:tcW w:w="567" w:type="dxa"/>
            <w:vMerge w:val="continue"/>
            <w:vAlign w:val="center"/>
          </w:tcPr>
          <w:p>
            <w:pPr>
              <w:pStyle w:val="39"/>
              <w:rPr>
                <w:rFonts w:cs="Times New Roman"/>
              </w:rPr>
            </w:pPr>
          </w:p>
        </w:tc>
        <w:tc>
          <w:tcPr>
            <w:tcW w:w="992" w:type="dxa"/>
            <w:vMerge w:val="continue"/>
            <w:vAlign w:val="center"/>
          </w:tcPr>
          <w:p>
            <w:pPr>
              <w:pStyle w:val="39"/>
              <w:rPr>
                <w:rFonts w:cs="Times New Roman"/>
              </w:rPr>
            </w:pPr>
          </w:p>
        </w:tc>
        <w:tc>
          <w:tcPr>
            <w:tcW w:w="851" w:type="dxa"/>
            <w:vAlign w:val="center"/>
          </w:tcPr>
          <w:p>
            <w:pPr>
              <w:pStyle w:val="39"/>
              <w:rPr>
                <w:rFonts w:cs="Times New Roman"/>
              </w:rPr>
            </w:pPr>
            <w:r>
              <w:rPr>
                <w:rFonts w:cs="Times New Roman"/>
              </w:rPr>
              <w:t>南</w:t>
            </w:r>
          </w:p>
        </w:tc>
        <w:tc>
          <w:tcPr>
            <w:tcW w:w="850" w:type="dxa"/>
            <w:vAlign w:val="center"/>
          </w:tcPr>
          <w:p>
            <w:pPr>
              <w:pStyle w:val="39"/>
              <w:rPr>
                <w:rFonts w:cs="Times New Roman"/>
              </w:rPr>
            </w:pPr>
            <w:r>
              <w:rPr>
                <w:rFonts w:cs="Times New Roman"/>
              </w:rPr>
              <w:t>1</w:t>
            </w:r>
            <w:r>
              <w:rPr>
                <w:rFonts w:hint="eastAsia" w:cs="Times New Roman"/>
              </w:rPr>
              <w:t>5</w:t>
            </w:r>
            <w:r>
              <w:rPr>
                <w:rFonts w:cs="Times New Roman"/>
              </w:rPr>
              <w:t>0m</w:t>
            </w:r>
          </w:p>
        </w:tc>
        <w:tc>
          <w:tcPr>
            <w:tcW w:w="851" w:type="dxa"/>
            <w:vAlign w:val="center"/>
          </w:tcPr>
          <w:p>
            <w:pPr>
              <w:pStyle w:val="39"/>
              <w:rPr>
                <w:rFonts w:cs="Times New Roman"/>
              </w:rPr>
            </w:pPr>
            <w:r>
              <w:rPr>
                <w:rFonts w:cs="Times New Roman"/>
              </w:rPr>
              <w:t>南</w:t>
            </w:r>
          </w:p>
        </w:tc>
        <w:tc>
          <w:tcPr>
            <w:tcW w:w="1217" w:type="dxa"/>
            <w:vAlign w:val="center"/>
          </w:tcPr>
          <w:p>
            <w:pPr>
              <w:pStyle w:val="39"/>
              <w:rPr>
                <w:rFonts w:cs="Times New Roman"/>
              </w:rPr>
            </w:pPr>
            <w:r>
              <w:rPr>
                <w:rFonts w:hint="eastAsia" w:cs="Times New Roma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 w:hRule="atLeast"/>
          <w:jc w:val="center"/>
        </w:trPr>
        <w:tc>
          <w:tcPr>
            <w:tcW w:w="484" w:type="dxa"/>
            <w:vMerge w:val="continue"/>
            <w:vAlign w:val="center"/>
          </w:tcPr>
          <w:p>
            <w:pPr>
              <w:pStyle w:val="39"/>
              <w:rPr>
                <w:rFonts w:cs="Times New Roman"/>
              </w:rPr>
            </w:pPr>
          </w:p>
        </w:tc>
        <w:tc>
          <w:tcPr>
            <w:tcW w:w="708" w:type="dxa"/>
            <w:vMerge w:val="continue"/>
            <w:vAlign w:val="center"/>
          </w:tcPr>
          <w:p>
            <w:pPr>
              <w:pStyle w:val="39"/>
              <w:rPr>
                <w:rFonts w:cs="Times New Roman"/>
              </w:rPr>
            </w:pPr>
          </w:p>
        </w:tc>
        <w:tc>
          <w:tcPr>
            <w:tcW w:w="567" w:type="dxa"/>
            <w:vMerge w:val="continue"/>
            <w:vAlign w:val="center"/>
          </w:tcPr>
          <w:p>
            <w:pPr>
              <w:pStyle w:val="39"/>
              <w:rPr>
                <w:rFonts w:cs="Times New Roman"/>
              </w:rPr>
            </w:pPr>
          </w:p>
        </w:tc>
        <w:tc>
          <w:tcPr>
            <w:tcW w:w="709" w:type="dxa"/>
            <w:vMerge w:val="continue"/>
            <w:vAlign w:val="center"/>
          </w:tcPr>
          <w:p>
            <w:pPr>
              <w:pStyle w:val="39"/>
              <w:rPr>
                <w:rFonts w:cs="Times New Roman"/>
              </w:rPr>
            </w:pPr>
          </w:p>
        </w:tc>
        <w:tc>
          <w:tcPr>
            <w:tcW w:w="1276" w:type="dxa"/>
            <w:vMerge w:val="continue"/>
            <w:vAlign w:val="center"/>
          </w:tcPr>
          <w:p>
            <w:pPr>
              <w:pStyle w:val="39"/>
              <w:rPr>
                <w:rFonts w:cs="Times New Roman"/>
              </w:rPr>
            </w:pPr>
          </w:p>
        </w:tc>
        <w:tc>
          <w:tcPr>
            <w:tcW w:w="567" w:type="dxa"/>
            <w:vMerge w:val="continue"/>
            <w:vAlign w:val="center"/>
          </w:tcPr>
          <w:p>
            <w:pPr>
              <w:pStyle w:val="39"/>
              <w:rPr>
                <w:rFonts w:cs="Times New Roman"/>
              </w:rPr>
            </w:pPr>
          </w:p>
        </w:tc>
        <w:tc>
          <w:tcPr>
            <w:tcW w:w="992" w:type="dxa"/>
            <w:vMerge w:val="continue"/>
            <w:vAlign w:val="center"/>
          </w:tcPr>
          <w:p>
            <w:pPr>
              <w:pStyle w:val="39"/>
              <w:rPr>
                <w:rFonts w:cs="Times New Roman"/>
              </w:rPr>
            </w:pPr>
          </w:p>
        </w:tc>
        <w:tc>
          <w:tcPr>
            <w:tcW w:w="851" w:type="dxa"/>
            <w:vAlign w:val="center"/>
          </w:tcPr>
          <w:p>
            <w:pPr>
              <w:pStyle w:val="39"/>
              <w:rPr>
                <w:rFonts w:cs="Times New Roman"/>
              </w:rPr>
            </w:pPr>
            <w:r>
              <w:rPr>
                <w:rFonts w:cs="Times New Roman"/>
              </w:rPr>
              <w:t>西</w:t>
            </w:r>
          </w:p>
        </w:tc>
        <w:tc>
          <w:tcPr>
            <w:tcW w:w="850" w:type="dxa"/>
            <w:vAlign w:val="center"/>
          </w:tcPr>
          <w:p>
            <w:pPr>
              <w:pStyle w:val="39"/>
              <w:rPr>
                <w:rFonts w:cs="Times New Roman"/>
              </w:rPr>
            </w:pPr>
            <w:r>
              <w:rPr>
                <w:rFonts w:cs="Times New Roman"/>
              </w:rPr>
              <w:t>4</w:t>
            </w:r>
            <w:r>
              <w:rPr>
                <w:rFonts w:hint="eastAsia" w:cs="Times New Roman"/>
              </w:rPr>
              <w:t>5</w:t>
            </w:r>
            <w:r>
              <w:rPr>
                <w:rFonts w:cs="Times New Roman"/>
              </w:rPr>
              <w:t>m</w:t>
            </w:r>
          </w:p>
        </w:tc>
        <w:tc>
          <w:tcPr>
            <w:tcW w:w="851" w:type="dxa"/>
            <w:vAlign w:val="center"/>
          </w:tcPr>
          <w:p>
            <w:pPr>
              <w:pStyle w:val="39"/>
              <w:rPr>
                <w:rFonts w:cs="Times New Roman"/>
              </w:rPr>
            </w:pPr>
            <w:r>
              <w:rPr>
                <w:rFonts w:cs="Times New Roman"/>
              </w:rPr>
              <w:t>西</w:t>
            </w:r>
          </w:p>
        </w:tc>
        <w:tc>
          <w:tcPr>
            <w:tcW w:w="1217" w:type="dxa"/>
            <w:vAlign w:val="center"/>
          </w:tcPr>
          <w:p>
            <w:pPr>
              <w:pStyle w:val="39"/>
              <w:rPr>
                <w:rFonts w:cs="Times New Roman"/>
              </w:rPr>
            </w:pPr>
            <w:r>
              <w:rPr>
                <w:rFonts w:hint="eastAsia" w:cs="Times New Roman"/>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 w:hRule="atLeast"/>
          <w:jc w:val="center"/>
        </w:trPr>
        <w:tc>
          <w:tcPr>
            <w:tcW w:w="484" w:type="dxa"/>
            <w:vMerge w:val="continue"/>
            <w:vAlign w:val="center"/>
          </w:tcPr>
          <w:p>
            <w:pPr>
              <w:pStyle w:val="39"/>
              <w:rPr>
                <w:rFonts w:cs="Times New Roman"/>
              </w:rPr>
            </w:pPr>
          </w:p>
        </w:tc>
        <w:tc>
          <w:tcPr>
            <w:tcW w:w="708" w:type="dxa"/>
            <w:vMerge w:val="continue"/>
            <w:vAlign w:val="center"/>
          </w:tcPr>
          <w:p>
            <w:pPr>
              <w:pStyle w:val="39"/>
              <w:rPr>
                <w:rFonts w:cs="Times New Roman"/>
              </w:rPr>
            </w:pPr>
          </w:p>
        </w:tc>
        <w:tc>
          <w:tcPr>
            <w:tcW w:w="567" w:type="dxa"/>
            <w:vMerge w:val="continue"/>
            <w:vAlign w:val="center"/>
          </w:tcPr>
          <w:p>
            <w:pPr>
              <w:pStyle w:val="39"/>
              <w:rPr>
                <w:rFonts w:cs="Times New Roman"/>
              </w:rPr>
            </w:pPr>
          </w:p>
        </w:tc>
        <w:tc>
          <w:tcPr>
            <w:tcW w:w="709" w:type="dxa"/>
            <w:vMerge w:val="continue"/>
            <w:vAlign w:val="center"/>
          </w:tcPr>
          <w:p>
            <w:pPr>
              <w:pStyle w:val="39"/>
              <w:rPr>
                <w:rFonts w:cs="Times New Roman"/>
              </w:rPr>
            </w:pPr>
          </w:p>
        </w:tc>
        <w:tc>
          <w:tcPr>
            <w:tcW w:w="1276" w:type="dxa"/>
            <w:vMerge w:val="continue"/>
            <w:vAlign w:val="center"/>
          </w:tcPr>
          <w:p>
            <w:pPr>
              <w:pStyle w:val="39"/>
              <w:rPr>
                <w:rFonts w:cs="Times New Roman"/>
              </w:rPr>
            </w:pPr>
          </w:p>
        </w:tc>
        <w:tc>
          <w:tcPr>
            <w:tcW w:w="567" w:type="dxa"/>
            <w:vMerge w:val="continue"/>
            <w:vAlign w:val="center"/>
          </w:tcPr>
          <w:p>
            <w:pPr>
              <w:pStyle w:val="39"/>
              <w:rPr>
                <w:rFonts w:cs="Times New Roman"/>
              </w:rPr>
            </w:pPr>
          </w:p>
        </w:tc>
        <w:tc>
          <w:tcPr>
            <w:tcW w:w="992" w:type="dxa"/>
            <w:vMerge w:val="continue"/>
            <w:vAlign w:val="center"/>
          </w:tcPr>
          <w:p>
            <w:pPr>
              <w:pStyle w:val="39"/>
              <w:rPr>
                <w:rFonts w:cs="Times New Roman"/>
              </w:rPr>
            </w:pPr>
          </w:p>
        </w:tc>
        <w:tc>
          <w:tcPr>
            <w:tcW w:w="851" w:type="dxa"/>
            <w:vAlign w:val="center"/>
          </w:tcPr>
          <w:p>
            <w:pPr>
              <w:pStyle w:val="39"/>
              <w:rPr>
                <w:rFonts w:cs="Times New Roman"/>
              </w:rPr>
            </w:pPr>
            <w:r>
              <w:rPr>
                <w:rFonts w:cs="Times New Roman"/>
              </w:rPr>
              <w:t>北</w:t>
            </w:r>
          </w:p>
        </w:tc>
        <w:tc>
          <w:tcPr>
            <w:tcW w:w="850" w:type="dxa"/>
            <w:vAlign w:val="center"/>
          </w:tcPr>
          <w:p>
            <w:pPr>
              <w:pStyle w:val="39"/>
              <w:rPr>
                <w:rFonts w:cs="Times New Roman"/>
              </w:rPr>
            </w:pPr>
            <w:r>
              <w:rPr>
                <w:rFonts w:hint="eastAsia" w:cs="Times New Roman"/>
              </w:rPr>
              <w:t>5</w:t>
            </w:r>
            <w:r>
              <w:rPr>
                <w:rFonts w:cs="Times New Roman"/>
              </w:rPr>
              <w:t>0m</w:t>
            </w:r>
          </w:p>
        </w:tc>
        <w:tc>
          <w:tcPr>
            <w:tcW w:w="851" w:type="dxa"/>
            <w:vAlign w:val="center"/>
          </w:tcPr>
          <w:p>
            <w:pPr>
              <w:pStyle w:val="39"/>
              <w:rPr>
                <w:rFonts w:cs="Times New Roman"/>
              </w:rPr>
            </w:pPr>
            <w:r>
              <w:rPr>
                <w:rFonts w:cs="Times New Roman"/>
              </w:rPr>
              <w:t>北</w:t>
            </w:r>
          </w:p>
        </w:tc>
        <w:tc>
          <w:tcPr>
            <w:tcW w:w="1217" w:type="dxa"/>
            <w:vAlign w:val="center"/>
          </w:tcPr>
          <w:p>
            <w:pPr>
              <w:pStyle w:val="39"/>
              <w:rPr>
                <w:rFonts w:cs="Times New Roman"/>
              </w:rPr>
            </w:pPr>
            <w:r>
              <w:rPr>
                <w:rFonts w:hint="eastAsia" w:cs="Times New Roman"/>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 w:hRule="atLeast"/>
          <w:jc w:val="center"/>
        </w:trPr>
        <w:tc>
          <w:tcPr>
            <w:tcW w:w="484" w:type="dxa"/>
            <w:vMerge w:val="restart"/>
            <w:vAlign w:val="center"/>
          </w:tcPr>
          <w:p>
            <w:pPr>
              <w:pStyle w:val="39"/>
              <w:rPr>
                <w:rFonts w:cs="Times New Roman"/>
              </w:rPr>
            </w:pPr>
            <w:r>
              <w:rPr>
                <w:rFonts w:cs="Times New Roman"/>
              </w:rPr>
              <w:t>2</w:t>
            </w:r>
          </w:p>
        </w:tc>
        <w:tc>
          <w:tcPr>
            <w:tcW w:w="708" w:type="dxa"/>
            <w:vMerge w:val="restart"/>
            <w:vAlign w:val="center"/>
          </w:tcPr>
          <w:p>
            <w:pPr>
              <w:pStyle w:val="39"/>
              <w:rPr>
                <w:rFonts w:cs="Times New Roman"/>
              </w:rPr>
            </w:pPr>
            <w:r>
              <w:rPr>
                <w:rFonts w:hint="eastAsia"/>
              </w:rPr>
              <w:t>水泵</w:t>
            </w:r>
          </w:p>
        </w:tc>
        <w:tc>
          <w:tcPr>
            <w:tcW w:w="567" w:type="dxa"/>
            <w:vMerge w:val="restart"/>
            <w:vAlign w:val="center"/>
          </w:tcPr>
          <w:p>
            <w:pPr>
              <w:pStyle w:val="39"/>
              <w:rPr>
                <w:rFonts w:cs="Times New Roman"/>
              </w:rPr>
            </w:pPr>
            <w:r>
              <w:rPr>
                <w:rFonts w:hint="eastAsia" w:cs="Times New Roman"/>
              </w:rPr>
              <w:t>水井</w:t>
            </w:r>
          </w:p>
        </w:tc>
        <w:tc>
          <w:tcPr>
            <w:tcW w:w="709" w:type="dxa"/>
            <w:vMerge w:val="restart"/>
            <w:vAlign w:val="center"/>
          </w:tcPr>
          <w:p>
            <w:pPr>
              <w:pStyle w:val="39"/>
              <w:rPr>
                <w:rFonts w:cs="Times New Roman"/>
              </w:rPr>
            </w:pPr>
            <w:r>
              <w:rPr>
                <w:rFonts w:cs="Times New Roman"/>
              </w:rPr>
              <w:t>80</w:t>
            </w:r>
          </w:p>
        </w:tc>
        <w:tc>
          <w:tcPr>
            <w:tcW w:w="1276" w:type="dxa"/>
            <w:vMerge w:val="restart"/>
            <w:vAlign w:val="center"/>
          </w:tcPr>
          <w:p>
            <w:pPr>
              <w:pStyle w:val="39"/>
              <w:rPr>
                <w:rFonts w:cs="Times New Roman"/>
              </w:rPr>
            </w:pPr>
            <w:r>
              <w:rPr>
                <w:rFonts w:cs="Times New Roman"/>
              </w:rPr>
              <w:t>选用低噪声设备，采取减振隔声</w:t>
            </w:r>
          </w:p>
        </w:tc>
        <w:tc>
          <w:tcPr>
            <w:tcW w:w="567" w:type="dxa"/>
            <w:vMerge w:val="restart"/>
            <w:vAlign w:val="center"/>
          </w:tcPr>
          <w:p>
            <w:pPr>
              <w:pStyle w:val="39"/>
              <w:rPr>
                <w:rFonts w:cs="Times New Roman"/>
              </w:rPr>
            </w:pPr>
            <w:r>
              <w:rPr>
                <w:rFonts w:hint="eastAsia" w:cs="Times New Roman"/>
              </w:rPr>
              <w:t>18</w:t>
            </w:r>
          </w:p>
        </w:tc>
        <w:tc>
          <w:tcPr>
            <w:tcW w:w="992" w:type="dxa"/>
            <w:vMerge w:val="restart"/>
            <w:vAlign w:val="center"/>
          </w:tcPr>
          <w:p>
            <w:pPr>
              <w:pStyle w:val="39"/>
              <w:rPr>
                <w:rFonts w:cs="Times New Roman"/>
              </w:rPr>
            </w:pPr>
            <w:r>
              <w:rPr>
                <w:rFonts w:hint="eastAsia" w:cs="Times New Roman"/>
              </w:rPr>
              <w:t>62</w:t>
            </w:r>
          </w:p>
        </w:tc>
        <w:tc>
          <w:tcPr>
            <w:tcW w:w="851" w:type="dxa"/>
            <w:vAlign w:val="center"/>
          </w:tcPr>
          <w:p>
            <w:pPr>
              <w:pStyle w:val="39"/>
              <w:rPr>
                <w:rFonts w:cs="Times New Roman"/>
              </w:rPr>
            </w:pPr>
            <w:r>
              <w:rPr>
                <w:rFonts w:cs="Times New Roman"/>
              </w:rPr>
              <w:t>东</w:t>
            </w:r>
          </w:p>
        </w:tc>
        <w:tc>
          <w:tcPr>
            <w:tcW w:w="850" w:type="dxa"/>
            <w:vAlign w:val="center"/>
          </w:tcPr>
          <w:p>
            <w:pPr>
              <w:pStyle w:val="39"/>
              <w:rPr>
                <w:rFonts w:cs="Times New Roman"/>
              </w:rPr>
            </w:pPr>
            <w:r>
              <w:rPr>
                <w:rFonts w:cs="Times New Roman"/>
              </w:rPr>
              <w:t>1</w:t>
            </w:r>
            <w:r>
              <w:rPr>
                <w:rFonts w:hint="eastAsia" w:cs="Times New Roman"/>
              </w:rPr>
              <w:t>20</w:t>
            </w:r>
            <w:r>
              <w:rPr>
                <w:rFonts w:cs="Times New Roman"/>
              </w:rPr>
              <w:t>m</w:t>
            </w:r>
          </w:p>
        </w:tc>
        <w:tc>
          <w:tcPr>
            <w:tcW w:w="851" w:type="dxa"/>
            <w:vAlign w:val="center"/>
          </w:tcPr>
          <w:p>
            <w:pPr>
              <w:pStyle w:val="39"/>
              <w:rPr>
                <w:rFonts w:cs="Times New Roman"/>
              </w:rPr>
            </w:pPr>
            <w:r>
              <w:rPr>
                <w:rFonts w:cs="Times New Roman"/>
              </w:rPr>
              <w:t>东</w:t>
            </w:r>
          </w:p>
        </w:tc>
        <w:tc>
          <w:tcPr>
            <w:tcW w:w="1217" w:type="dxa"/>
            <w:vAlign w:val="center"/>
          </w:tcPr>
          <w:p>
            <w:pPr>
              <w:pStyle w:val="39"/>
              <w:rPr>
                <w:rFonts w:cs="Times New Roman"/>
              </w:rPr>
            </w:pPr>
            <w:r>
              <w:rPr>
                <w:rFonts w:hint="eastAsia" w:cs="Times New Roman"/>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 w:hRule="atLeast"/>
          <w:jc w:val="center"/>
        </w:trPr>
        <w:tc>
          <w:tcPr>
            <w:tcW w:w="484" w:type="dxa"/>
            <w:vMerge w:val="continue"/>
            <w:vAlign w:val="center"/>
          </w:tcPr>
          <w:p>
            <w:pPr>
              <w:pStyle w:val="39"/>
              <w:rPr>
                <w:rFonts w:cs="Times New Roman"/>
              </w:rPr>
            </w:pPr>
          </w:p>
        </w:tc>
        <w:tc>
          <w:tcPr>
            <w:tcW w:w="708" w:type="dxa"/>
            <w:vMerge w:val="continue"/>
            <w:vAlign w:val="center"/>
          </w:tcPr>
          <w:p>
            <w:pPr>
              <w:pStyle w:val="39"/>
              <w:rPr>
                <w:rFonts w:cs="Times New Roman"/>
              </w:rPr>
            </w:pPr>
          </w:p>
        </w:tc>
        <w:tc>
          <w:tcPr>
            <w:tcW w:w="567" w:type="dxa"/>
            <w:vMerge w:val="continue"/>
            <w:vAlign w:val="center"/>
          </w:tcPr>
          <w:p>
            <w:pPr>
              <w:pStyle w:val="39"/>
              <w:rPr>
                <w:rFonts w:cs="Times New Roman"/>
              </w:rPr>
            </w:pPr>
          </w:p>
        </w:tc>
        <w:tc>
          <w:tcPr>
            <w:tcW w:w="709" w:type="dxa"/>
            <w:vMerge w:val="continue"/>
            <w:vAlign w:val="center"/>
          </w:tcPr>
          <w:p>
            <w:pPr>
              <w:pStyle w:val="39"/>
              <w:rPr>
                <w:rFonts w:cs="Times New Roman"/>
              </w:rPr>
            </w:pPr>
          </w:p>
        </w:tc>
        <w:tc>
          <w:tcPr>
            <w:tcW w:w="1276" w:type="dxa"/>
            <w:vMerge w:val="continue"/>
            <w:vAlign w:val="center"/>
          </w:tcPr>
          <w:p>
            <w:pPr>
              <w:pStyle w:val="39"/>
              <w:rPr>
                <w:rFonts w:cs="Times New Roman"/>
              </w:rPr>
            </w:pPr>
          </w:p>
        </w:tc>
        <w:tc>
          <w:tcPr>
            <w:tcW w:w="567" w:type="dxa"/>
            <w:vMerge w:val="continue"/>
            <w:vAlign w:val="center"/>
          </w:tcPr>
          <w:p>
            <w:pPr>
              <w:pStyle w:val="39"/>
              <w:rPr>
                <w:rFonts w:cs="Times New Roman"/>
              </w:rPr>
            </w:pPr>
          </w:p>
        </w:tc>
        <w:tc>
          <w:tcPr>
            <w:tcW w:w="992" w:type="dxa"/>
            <w:vMerge w:val="continue"/>
            <w:vAlign w:val="center"/>
          </w:tcPr>
          <w:p>
            <w:pPr>
              <w:pStyle w:val="39"/>
              <w:rPr>
                <w:rFonts w:cs="Times New Roman"/>
              </w:rPr>
            </w:pPr>
          </w:p>
        </w:tc>
        <w:tc>
          <w:tcPr>
            <w:tcW w:w="851" w:type="dxa"/>
            <w:vAlign w:val="center"/>
          </w:tcPr>
          <w:p>
            <w:pPr>
              <w:pStyle w:val="39"/>
              <w:rPr>
                <w:rFonts w:cs="Times New Roman"/>
              </w:rPr>
            </w:pPr>
            <w:r>
              <w:rPr>
                <w:rFonts w:cs="Times New Roman"/>
              </w:rPr>
              <w:t>南</w:t>
            </w:r>
          </w:p>
        </w:tc>
        <w:tc>
          <w:tcPr>
            <w:tcW w:w="850" w:type="dxa"/>
            <w:vAlign w:val="center"/>
          </w:tcPr>
          <w:p>
            <w:pPr>
              <w:pStyle w:val="39"/>
              <w:rPr>
                <w:rFonts w:cs="Times New Roman"/>
              </w:rPr>
            </w:pPr>
            <w:r>
              <w:rPr>
                <w:rFonts w:hint="eastAsia" w:cs="Times New Roman"/>
              </w:rPr>
              <w:t>8</w:t>
            </w:r>
            <w:r>
              <w:rPr>
                <w:rFonts w:cs="Times New Roman"/>
              </w:rPr>
              <w:t>0m</w:t>
            </w:r>
          </w:p>
        </w:tc>
        <w:tc>
          <w:tcPr>
            <w:tcW w:w="851" w:type="dxa"/>
            <w:vAlign w:val="center"/>
          </w:tcPr>
          <w:p>
            <w:pPr>
              <w:pStyle w:val="39"/>
              <w:rPr>
                <w:rFonts w:cs="Times New Roman"/>
              </w:rPr>
            </w:pPr>
            <w:r>
              <w:rPr>
                <w:rFonts w:cs="Times New Roman"/>
              </w:rPr>
              <w:t>南</w:t>
            </w:r>
          </w:p>
        </w:tc>
        <w:tc>
          <w:tcPr>
            <w:tcW w:w="1217" w:type="dxa"/>
            <w:vAlign w:val="center"/>
          </w:tcPr>
          <w:p>
            <w:pPr>
              <w:pStyle w:val="39"/>
              <w:rPr>
                <w:rFonts w:cs="Times New Roman"/>
              </w:rPr>
            </w:pPr>
            <w:r>
              <w:rPr>
                <w:rFonts w:hint="eastAsia" w:cs="Times New Roman"/>
              </w:rPr>
              <w:t>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 w:hRule="atLeast"/>
          <w:jc w:val="center"/>
        </w:trPr>
        <w:tc>
          <w:tcPr>
            <w:tcW w:w="484" w:type="dxa"/>
            <w:vMerge w:val="continue"/>
            <w:vAlign w:val="center"/>
          </w:tcPr>
          <w:p>
            <w:pPr>
              <w:pStyle w:val="39"/>
              <w:rPr>
                <w:rFonts w:cs="Times New Roman"/>
              </w:rPr>
            </w:pPr>
          </w:p>
        </w:tc>
        <w:tc>
          <w:tcPr>
            <w:tcW w:w="708" w:type="dxa"/>
            <w:vMerge w:val="continue"/>
            <w:vAlign w:val="center"/>
          </w:tcPr>
          <w:p>
            <w:pPr>
              <w:pStyle w:val="39"/>
              <w:rPr>
                <w:rFonts w:cs="Times New Roman"/>
              </w:rPr>
            </w:pPr>
          </w:p>
        </w:tc>
        <w:tc>
          <w:tcPr>
            <w:tcW w:w="567" w:type="dxa"/>
            <w:vMerge w:val="continue"/>
            <w:vAlign w:val="center"/>
          </w:tcPr>
          <w:p>
            <w:pPr>
              <w:pStyle w:val="39"/>
              <w:rPr>
                <w:rFonts w:cs="Times New Roman"/>
              </w:rPr>
            </w:pPr>
          </w:p>
        </w:tc>
        <w:tc>
          <w:tcPr>
            <w:tcW w:w="709" w:type="dxa"/>
            <w:vMerge w:val="continue"/>
            <w:vAlign w:val="center"/>
          </w:tcPr>
          <w:p>
            <w:pPr>
              <w:pStyle w:val="39"/>
              <w:rPr>
                <w:rFonts w:cs="Times New Roman"/>
              </w:rPr>
            </w:pPr>
          </w:p>
        </w:tc>
        <w:tc>
          <w:tcPr>
            <w:tcW w:w="1276" w:type="dxa"/>
            <w:vMerge w:val="continue"/>
            <w:vAlign w:val="center"/>
          </w:tcPr>
          <w:p>
            <w:pPr>
              <w:pStyle w:val="39"/>
              <w:rPr>
                <w:rFonts w:cs="Times New Roman"/>
              </w:rPr>
            </w:pPr>
          </w:p>
        </w:tc>
        <w:tc>
          <w:tcPr>
            <w:tcW w:w="567" w:type="dxa"/>
            <w:vMerge w:val="continue"/>
            <w:vAlign w:val="center"/>
          </w:tcPr>
          <w:p>
            <w:pPr>
              <w:pStyle w:val="39"/>
              <w:rPr>
                <w:rFonts w:cs="Times New Roman"/>
              </w:rPr>
            </w:pPr>
          </w:p>
        </w:tc>
        <w:tc>
          <w:tcPr>
            <w:tcW w:w="992" w:type="dxa"/>
            <w:vMerge w:val="continue"/>
            <w:vAlign w:val="center"/>
          </w:tcPr>
          <w:p>
            <w:pPr>
              <w:pStyle w:val="39"/>
              <w:rPr>
                <w:rFonts w:cs="Times New Roman"/>
              </w:rPr>
            </w:pPr>
          </w:p>
        </w:tc>
        <w:tc>
          <w:tcPr>
            <w:tcW w:w="851" w:type="dxa"/>
            <w:vAlign w:val="center"/>
          </w:tcPr>
          <w:p>
            <w:pPr>
              <w:pStyle w:val="39"/>
              <w:rPr>
                <w:rFonts w:cs="Times New Roman"/>
              </w:rPr>
            </w:pPr>
            <w:r>
              <w:rPr>
                <w:rFonts w:cs="Times New Roman"/>
              </w:rPr>
              <w:t>西</w:t>
            </w:r>
          </w:p>
        </w:tc>
        <w:tc>
          <w:tcPr>
            <w:tcW w:w="850" w:type="dxa"/>
            <w:vAlign w:val="center"/>
          </w:tcPr>
          <w:p>
            <w:pPr>
              <w:pStyle w:val="39"/>
              <w:rPr>
                <w:rFonts w:cs="Times New Roman"/>
              </w:rPr>
            </w:pPr>
            <w:r>
              <w:rPr>
                <w:rFonts w:cs="Times New Roman"/>
              </w:rPr>
              <w:t>2</w:t>
            </w:r>
            <w:r>
              <w:rPr>
                <w:rFonts w:hint="eastAsia" w:cs="Times New Roman"/>
              </w:rPr>
              <w:t>0</w:t>
            </w:r>
            <w:r>
              <w:rPr>
                <w:rFonts w:cs="Times New Roman"/>
              </w:rPr>
              <w:t>0m</w:t>
            </w:r>
          </w:p>
        </w:tc>
        <w:tc>
          <w:tcPr>
            <w:tcW w:w="851" w:type="dxa"/>
            <w:vAlign w:val="center"/>
          </w:tcPr>
          <w:p>
            <w:pPr>
              <w:pStyle w:val="39"/>
              <w:rPr>
                <w:rFonts w:cs="Times New Roman"/>
              </w:rPr>
            </w:pPr>
            <w:r>
              <w:rPr>
                <w:rFonts w:cs="Times New Roman"/>
              </w:rPr>
              <w:t>西</w:t>
            </w:r>
          </w:p>
        </w:tc>
        <w:tc>
          <w:tcPr>
            <w:tcW w:w="1217" w:type="dxa"/>
            <w:vAlign w:val="center"/>
          </w:tcPr>
          <w:p>
            <w:pPr>
              <w:pStyle w:val="39"/>
              <w:rPr>
                <w:rFonts w:cs="Times New Roman"/>
              </w:rPr>
            </w:pPr>
            <w:r>
              <w:rPr>
                <w:rFonts w:hint="eastAsia" w:cs="Times New Roman"/>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 w:hRule="atLeast"/>
          <w:jc w:val="center"/>
        </w:trPr>
        <w:tc>
          <w:tcPr>
            <w:tcW w:w="484" w:type="dxa"/>
            <w:vMerge w:val="continue"/>
            <w:vAlign w:val="center"/>
          </w:tcPr>
          <w:p>
            <w:pPr>
              <w:pStyle w:val="39"/>
              <w:rPr>
                <w:rFonts w:cs="Times New Roman"/>
              </w:rPr>
            </w:pPr>
          </w:p>
        </w:tc>
        <w:tc>
          <w:tcPr>
            <w:tcW w:w="708" w:type="dxa"/>
            <w:vMerge w:val="continue"/>
            <w:vAlign w:val="center"/>
          </w:tcPr>
          <w:p>
            <w:pPr>
              <w:pStyle w:val="39"/>
              <w:rPr>
                <w:rFonts w:cs="Times New Roman"/>
              </w:rPr>
            </w:pPr>
          </w:p>
        </w:tc>
        <w:tc>
          <w:tcPr>
            <w:tcW w:w="567" w:type="dxa"/>
            <w:vMerge w:val="continue"/>
            <w:vAlign w:val="center"/>
          </w:tcPr>
          <w:p>
            <w:pPr>
              <w:pStyle w:val="39"/>
              <w:rPr>
                <w:rFonts w:cs="Times New Roman"/>
              </w:rPr>
            </w:pPr>
          </w:p>
        </w:tc>
        <w:tc>
          <w:tcPr>
            <w:tcW w:w="709" w:type="dxa"/>
            <w:vMerge w:val="continue"/>
            <w:vAlign w:val="center"/>
          </w:tcPr>
          <w:p>
            <w:pPr>
              <w:pStyle w:val="39"/>
              <w:rPr>
                <w:rFonts w:cs="Times New Roman"/>
              </w:rPr>
            </w:pPr>
          </w:p>
        </w:tc>
        <w:tc>
          <w:tcPr>
            <w:tcW w:w="1276" w:type="dxa"/>
            <w:vMerge w:val="continue"/>
            <w:vAlign w:val="center"/>
          </w:tcPr>
          <w:p>
            <w:pPr>
              <w:pStyle w:val="39"/>
              <w:rPr>
                <w:rFonts w:cs="Times New Roman"/>
              </w:rPr>
            </w:pPr>
          </w:p>
        </w:tc>
        <w:tc>
          <w:tcPr>
            <w:tcW w:w="567" w:type="dxa"/>
            <w:vMerge w:val="continue"/>
            <w:vAlign w:val="center"/>
          </w:tcPr>
          <w:p>
            <w:pPr>
              <w:pStyle w:val="39"/>
              <w:rPr>
                <w:rFonts w:cs="Times New Roman"/>
              </w:rPr>
            </w:pPr>
          </w:p>
        </w:tc>
        <w:tc>
          <w:tcPr>
            <w:tcW w:w="992" w:type="dxa"/>
            <w:vMerge w:val="continue"/>
            <w:vAlign w:val="center"/>
          </w:tcPr>
          <w:p>
            <w:pPr>
              <w:pStyle w:val="39"/>
              <w:rPr>
                <w:rFonts w:cs="Times New Roman"/>
              </w:rPr>
            </w:pPr>
          </w:p>
        </w:tc>
        <w:tc>
          <w:tcPr>
            <w:tcW w:w="851" w:type="dxa"/>
            <w:vAlign w:val="center"/>
          </w:tcPr>
          <w:p>
            <w:pPr>
              <w:pStyle w:val="39"/>
              <w:rPr>
                <w:rFonts w:cs="Times New Roman"/>
              </w:rPr>
            </w:pPr>
            <w:r>
              <w:rPr>
                <w:rFonts w:cs="Times New Roman"/>
              </w:rPr>
              <w:t>北</w:t>
            </w:r>
          </w:p>
        </w:tc>
        <w:tc>
          <w:tcPr>
            <w:tcW w:w="850" w:type="dxa"/>
            <w:vAlign w:val="center"/>
          </w:tcPr>
          <w:p>
            <w:pPr>
              <w:pStyle w:val="39"/>
              <w:rPr>
                <w:rFonts w:cs="Times New Roman"/>
              </w:rPr>
            </w:pPr>
            <w:r>
              <w:rPr>
                <w:rFonts w:hint="eastAsia" w:cs="Times New Roman"/>
              </w:rPr>
              <w:t>15</w:t>
            </w:r>
            <w:r>
              <w:rPr>
                <w:rFonts w:cs="Times New Roman"/>
              </w:rPr>
              <w:t>0m</w:t>
            </w:r>
          </w:p>
        </w:tc>
        <w:tc>
          <w:tcPr>
            <w:tcW w:w="851" w:type="dxa"/>
            <w:vAlign w:val="center"/>
          </w:tcPr>
          <w:p>
            <w:pPr>
              <w:pStyle w:val="39"/>
              <w:rPr>
                <w:rFonts w:cs="Times New Roman"/>
              </w:rPr>
            </w:pPr>
            <w:r>
              <w:rPr>
                <w:rFonts w:cs="Times New Roman"/>
              </w:rPr>
              <w:t>北</w:t>
            </w:r>
          </w:p>
        </w:tc>
        <w:tc>
          <w:tcPr>
            <w:tcW w:w="1217" w:type="dxa"/>
            <w:vAlign w:val="center"/>
          </w:tcPr>
          <w:p>
            <w:pPr>
              <w:pStyle w:val="39"/>
              <w:rPr>
                <w:rFonts w:cs="Times New Roman"/>
              </w:rPr>
            </w:pPr>
            <w:r>
              <w:rPr>
                <w:rFonts w:hint="eastAsia" w:cs="Times New Roman"/>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 w:hRule="atLeast"/>
          <w:jc w:val="center"/>
        </w:trPr>
        <w:tc>
          <w:tcPr>
            <w:tcW w:w="484" w:type="dxa"/>
            <w:vMerge w:val="restart"/>
            <w:vAlign w:val="center"/>
          </w:tcPr>
          <w:p>
            <w:pPr>
              <w:pStyle w:val="39"/>
              <w:rPr>
                <w:rFonts w:cs="Times New Roman"/>
              </w:rPr>
            </w:pPr>
            <w:r>
              <w:rPr>
                <w:rFonts w:cs="Times New Roman"/>
              </w:rPr>
              <w:t>3</w:t>
            </w:r>
          </w:p>
        </w:tc>
        <w:tc>
          <w:tcPr>
            <w:tcW w:w="708" w:type="dxa"/>
            <w:vMerge w:val="restart"/>
            <w:vAlign w:val="center"/>
          </w:tcPr>
          <w:p>
            <w:pPr>
              <w:pStyle w:val="39"/>
              <w:rPr>
                <w:rFonts w:cs="Times New Roman"/>
              </w:rPr>
            </w:pPr>
            <w:r>
              <w:rPr>
                <w:rFonts w:hint="eastAsia"/>
              </w:rPr>
              <w:t>刮板输送机</w:t>
            </w:r>
          </w:p>
        </w:tc>
        <w:tc>
          <w:tcPr>
            <w:tcW w:w="567" w:type="dxa"/>
            <w:vMerge w:val="restart"/>
            <w:vAlign w:val="center"/>
          </w:tcPr>
          <w:p>
            <w:pPr>
              <w:pStyle w:val="39"/>
              <w:rPr>
                <w:rFonts w:cs="Times New Roman"/>
              </w:rPr>
            </w:pPr>
            <w:r>
              <w:rPr>
                <w:rFonts w:hint="eastAsia" w:cs="Times New Roman"/>
              </w:rPr>
              <w:t>鸡舍</w:t>
            </w:r>
          </w:p>
        </w:tc>
        <w:tc>
          <w:tcPr>
            <w:tcW w:w="709" w:type="dxa"/>
            <w:vMerge w:val="restart"/>
            <w:vAlign w:val="center"/>
          </w:tcPr>
          <w:p>
            <w:pPr>
              <w:pStyle w:val="39"/>
              <w:rPr>
                <w:rFonts w:cs="Times New Roman"/>
              </w:rPr>
            </w:pPr>
            <w:r>
              <w:rPr>
                <w:rFonts w:cs="Times New Roman"/>
              </w:rPr>
              <w:t>80</w:t>
            </w:r>
          </w:p>
        </w:tc>
        <w:tc>
          <w:tcPr>
            <w:tcW w:w="1276" w:type="dxa"/>
            <w:vMerge w:val="restart"/>
            <w:vAlign w:val="center"/>
          </w:tcPr>
          <w:p>
            <w:pPr>
              <w:pStyle w:val="39"/>
              <w:rPr>
                <w:rFonts w:cs="Times New Roman"/>
              </w:rPr>
            </w:pPr>
            <w:r>
              <w:rPr>
                <w:rFonts w:cs="Times New Roman"/>
              </w:rPr>
              <w:t>选用低噪声设备，采取加装减震垫、房屋隔声</w:t>
            </w:r>
          </w:p>
        </w:tc>
        <w:tc>
          <w:tcPr>
            <w:tcW w:w="567" w:type="dxa"/>
            <w:vMerge w:val="restart"/>
            <w:vAlign w:val="center"/>
          </w:tcPr>
          <w:p>
            <w:pPr>
              <w:pStyle w:val="39"/>
              <w:rPr>
                <w:rFonts w:cs="Times New Roman"/>
              </w:rPr>
            </w:pPr>
            <w:r>
              <w:rPr>
                <w:rFonts w:hint="eastAsia" w:cs="Times New Roman"/>
              </w:rPr>
              <w:t>18</w:t>
            </w:r>
          </w:p>
        </w:tc>
        <w:tc>
          <w:tcPr>
            <w:tcW w:w="992" w:type="dxa"/>
            <w:vMerge w:val="restart"/>
            <w:vAlign w:val="center"/>
          </w:tcPr>
          <w:p>
            <w:pPr>
              <w:pStyle w:val="39"/>
              <w:rPr>
                <w:rFonts w:cs="Times New Roman"/>
              </w:rPr>
            </w:pPr>
            <w:r>
              <w:rPr>
                <w:rFonts w:cs="Times New Roman"/>
              </w:rPr>
              <w:t>62</w:t>
            </w:r>
          </w:p>
        </w:tc>
        <w:tc>
          <w:tcPr>
            <w:tcW w:w="851" w:type="dxa"/>
            <w:vAlign w:val="center"/>
          </w:tcPr>
          <w:p>
            <w:pPr>
              <w:pStyle w:val="39"/>
              <w:rPr>
                <w:rFonts w:cs="Times New Roman"/>
              </w:rPr>
            </w:pPr>
            <w:r>
              <w:rPr>
                <w:rFonts w:cs="Times New Roman"/>
              </w:rPr>
              <w:t>东</w:t>
            </w:r>
          </w:p>
        </w:tc>
        <w:tc>
          <w:tcPr>
            <w:tcW w:w="850" w:type="dxa"/>
            <w:vAlign w:val="center"/>
          </w:tcPr>
          <w:p>
            <w:pPr>
              <w:pStyle w:val="39"/>
              <w:rPr>
                <w:rFonts w:cs="Times New Roman"/>
              </w:rPr>
            </w:pPr>
            <w:r>
              <w:rPr>
                <w:rFonts w:hint="eastAsia" w:cs="Times New Roman"/>
              </w:rPr>
              <w:t>50</w:t>
            </w:r>
            <w:r>
              <w:rPr>
                <w:rFonts w:cs="Times New Roman"/>
              </w:rPr>
              <w:t>m</w:t>
            </w:r>
          </w:p>
        </w:tc>
        <w:tc>
          <w:tcPr>
            <w:tcW w:w="851" w:type="dxa"/>
            <w:vAlign w:val="center"/>
          </w:tcPr>
          <w:p>
            <w:pPr>
              <w:pStyle w:val="39"/>
              <w:rPr>
                <w:rFonts w:cs="Times New Roman"/>
              </w:rPr>
            </w:pPr>
            <w:r>
              <w:rPr>
                <w:rFonts w:cs="Times New Roman"/>
              </w:rPr>
              <w:t>东</w:t>
            </w:r>
          </w:p>
        </w:tc>
        <w:tc>
          <w:tcPr>
            <w:tcW w:w="1217" w:type="dxa"/>
            <w:vAlign w:val="center"/>
          </w:tcPr>
          <w:p>
            <w:pPr>
              <w:pStyle w:val="39"/>
              <w:rPr>
                <w:rFonts w:cs="Times New Roman"/>
              </w:rPr>
            </w:pPr>
            <w:r>
              <w:rPr>
                <w:rFonts w:hint="eastAsia" w:cs="Times New Roman"/>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 w:hRule="atLeast"/>
          <w:jc w:val="center"/>
        </w:trPr>
        <w:tc>
          <w:tcPr>
            <w:tcW w:w="484" w:type="dxa"/>
            <w:vMerge w:val="continue"/>
            <w:vAlign w:val="center"/>
          </w:tcPr>
          <w:p>
            <w:pPr>
              <w:pStyle w:val="39"/>
              <w:rPr>
                <w:rFonts w:cs="Times New Roman"/>
              </w:rPr>
            </w:pPr>
          </w:p>
        </w:tc>
        <w:tc>
          <w:tcPr>
            <w:tcW w:w="708" w:type="dxa"/>
            <w:vMerge w:val="continue"/>
            <w:vAlign w:val="center"/>
          </w:tcPr>
          <w:p>
            <w:pPr>
              <w:pStyle w:val="39"/>
              <w:rPr>
                <w:rFonts w:cs="Times New Roman"/>
              </w:rPr>
            </w:pPr>
          </w:p>
        </w:tc>
        <w:tc>
          <w:tcPr>
            <w:tcW w:w="567" w:type="dxa"/>
            <w:vMerge w:val="continue"/>
            <w:vAlign w:val="center"/>
          </w:tcPr>
          <w:p>
            <w:pPr>
              <w:pStyle w:val="39"/>
              <w:rPr>
                <w:rFonts w:cs="Times New Roman"/>
              </w:rPr>
            </w:pPr>
          </w:p>
        </w:tc>
        <w:tc>
          <w:tcPr>
            <w:tcW w:w="709" w:type="dxa"/>
            <w:vMerge w:val="continue"/>
            <w:vAlign w:val="center"/>
          </w:tcPr>
          <w:p>
            <w:pPr>
              <w:pStyle w:val="39"/>
              <w:rPr>
                <w:rFonts w:cs="Times New Roman"/>
              </w:rPr>
            </w:pPr>
          </w:p>
        </w:tc>
        <w:tc>
          <w:tcPr>
            <w:tcW w:w="1276" w:type="dxa"/>
            <w:vMerge w:val="continue"/>
            <w:vAlign w:val="center"/>
          </w:tcPr>
          <w:p>
            <w:pPr>
              <w:pStyle w:val="39"/>
              <w:rPr>
                <w:rFonts w:cs="Times New Roman"/>
              </w:rPr>
            </w:pPr>
          </w:p>
        </w:tc>
        <w:tc>
          <w:tcPr>
            <w:tcW w:w="567" w:type="dxa"/>
            <w:vMerge w:val="continue"/>
            <w:vAlign w:val="center"/>
          </w:tcPr>
          <w:p>
            <w:pPr>
              <w:pStyle w:val="39"/>
              <w:rPr>
                <w:rFonts w:cs="Times New Roman"/>
              </w:rPr>
            </w:pPr>
          </w:p>
        </w:tc>
        <w:tc>
          <w:tcPr>
            <w:tcW w:w="992" w:type="dxa"/>
            <w:vMerge w:val="continue"/>
            <w:vAlign w:val="center"/>
          </w:tcPr>
          <w:p>
            <w:pPr>
              <w:pStyle w:val="39"/>
              <w:rPr>
                <w:rFonts w:cs="Times New Roman"/>
              </w:rPr>
            </w:pPr>
          </w:p>
        </w:tc>
        <w:tc>
          <w:tcPr>
            <w:tcW w:w="851" w:type="dxa"/>
            <w:vAlign w:val="center"/>
          </w:tcPr>
          <w:p>
            <w:pPr>
              <w:pStyle w:val="39"/>
              <w:rPr>
                <w:rFonts w:cs="Times New Roman"/>
              </w:rPr>
            </w:pPr>
            <w:r>
              <w:rPr>
                <w:rFonts w:cs="Times New Roman"/>
              </w:rPr>
              <w:t>南</w:t>
            </w:r>
          </w:p>
        </w:tc>
        <w:tc>
          <w:tcPr>
            <w:tcW w:w="850" w:type="dxa"/>
            <w:vAlign w:val="center"/>
          </w:tcPr>
          <w:p>
            <w:pPr>
              <w:pStyle w:val="39"/>
              <w:rPr>
                <w:rFonts w:cs="Times New Roman"/>
              </w:rPr>
            </w:pPr>
            <w:r>
              <w:rPr>
                <w:rFonts w:cs="Times New Roman"/>
              </w:rPr>
              <w:t>1</w:t>
            </w:r>
            <w:r>
              <w:rPr>
                <w:rFonts w:hint="eastAsia" w:cs="Times New Roman"/>
              </w:rPr>
              <w:t>5</w:t>
            </w:r>
            <w:r>
              <w:rPr>
                <w:rFonts w:cs="Times New Roman"/>
              </w:rPr>
              <w:t>0m</w:t>
            </w:r>
          </w:p>
        </w:tc>
        <w:tc>
          <w:tcPr>
            <w:tcW w:w="851" w:type="dxa"/>
            <w:vAlign w:val="center"/>
          </w:tcPr>
          <w:p>
            <w:pPr>
              <w:pStyle w:val="39"/>
              <w:rPr>
                <w:rFonts w:cs="Times New Roman"/>
              </w:rPr>
            </w:pPr>
            <w:r>
              <w:rPr>
                <w:rFonts w:cs="Times New Roman"/>
              </w:rPr>
              <w:t>南</w:t>
            </w:r>
          </w:p>
        </w:tc>
        <w:tc>
          <w:tcPr>
            <w:tcW w:w="1217" w:type="dxa"/>
            <w:vAlign w:val="center"/>
          </w:tcPr>
          <w:p>
            <w:pPr>
              <w:pStyle w:val="39"/>
              <w:rPr>
                <w:rFonts w:cs="Times New Roman"/>
              </w:rPr>
            </w:pPr>
            <w:r>
              <w:rPr>
                <w:rFonts w:hint="eastAsia" w:cs="Times New Roman"/>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 w:hRule="atLeast"/>
          <w:jc w:val="center"/>
        </w:trPr>
        <w:tc>
          <w:tcPr>
            <w:tcW w:w="484" w:type="dxa"/>
            <w:vMerge w:val="continue"/>
            <w:vAlign w:val="center"/>
          </w:tcPr>
          <w:p>
            <w:pPr>
              <w:pStyle w:val="39"/>
              <w:rPr>
                <w:rFonts w:cs="Times New Roman"/>
              </w:rPr>
            </w:pPr>
          </w:p>
        </w:tc>
        <w:tc>
          <w:tcPr>
            <w:tcW w:w="708" w:type="dxa"/>
            <w:vMerge w:val="continue"/>
            <w:vAlign w:val="center"/>
          </w:tcPr>
          <w:p>
            <w:pPr>
              <w:pStyle w:val="39"/>
              <w:rPr>
                <w:rFonts w:cs="Times New Roman"/>
              </w:rPr>
            </w:pPr>
          </w:p>
        </w:tc>
        <w:tc>
          <w:tcPr>
            <w:tcW w:w="567" w:type="dxa"/>
            <w:vMerge w:val="continue"/>
            <w:vAlign w:val="center"/>
          </w:tcPr>
          <w:p>
            <w:pPr>
              <w:pStyle w:val="39"/>
              <w:rPr>
                <w:rFonts w:cs="Times New Roman"/>
              </w:rPr>
            </w:pPr>
          </w:p>
        </w:tc>
        <w:tc>
          <w:tcPr>
            <w:tcW w:w="709" w:type="dxa"/>
            <w:vMerge w:val="continue"/>
            <w:vAlign w:val="center"/>
          </w:tcPr>
          <w:p>
            <w:pPr>
              <w:pStyle w:val="39"/>
              <w:rPr>
                <w:rFonts w:cs="Times New Roman"/>
              </w:rPr>
            </w:pPr>
          </w:p>
        </w:tc>
        <w:tc>
          <w:tcPr>
            <w:tcW w:w="1276" w:type="dxa"/>
            <w:vMerge w:val="continue"/>
            <w:vAlign w:val="center"/>
          </w:tcPr>
          <w:p>
            <w:pPr>
              <w:pStyle w:val="39"/>
              <w:rPr>
                <w:rFonts w:cs="Times New Roman"/>
              </w:rPr>
            </w:pPr>
          </w:p>
        </w:tc>
        <w:tc>
          <w:tcPr>
            <w:tcW w:w="567" w:type="dxa"/>
            <w:vMerge w:val="continue"/>
            <w:vAlign w:val="center"/>
          </w:tcPr>
          <w:p>
            <w:pPr>
              <w:pStyle w:val="39"/>
              <w:rPr>
                <w:rFonts w:cs="Times New Roman"/>
              </w:rPr>
            </w:pPr>
          </w:p>
        </w:tc>
        <w:tc>
          <w:tcPr>
            <w:tcW w:w="992" w:type="dxa"/>
            <w:vMerge w:val="continue"/>
            <w:vAlign w:val="center"/>
          </w:tcPr>
          <w:p>
            <w:pPr>
              <w:pStyle w:val="39"/>
              <w:rPr>
                <w:rFonts w:cs="Times New Roman"/>
              </w:rPr>
            </w:pPr>
          </w:p>
        </w:tc>
        <w:tc>
          <w:tcPr>
            <w:tcW w:w="851" w:type="dxa"/>
            <w:vAlign w:val="center"/>
          </w:tcPr>
          <w:p>
            <w:pPr>
              <w:pStyle w:val="39"/>
              <w:rPr>
                <w:rFonts w:cs="Times New Roman"/>
              </w:rPr>
            </w:pPr>
            <w:r>
              <w:rPr>
                <w:rFonts w:cs="Times New Roman"/>
              </w:rPr>
              <w:t>西</w:t>
            </w:r>
          </w:p>
        </w:tc>
        <w:tc>
          <w:tcPr>
            <w:tcW w:w="850" w:type="dxa"/>
            <w:vAlign w:val="center"/>
          </w:tcPr>
          <w:p>
            <w:pPr>
              <w:pStyle w:val="39"/>
              <w:rPr>
                <w:rFonts w:cs="Times New Roman"/>
              </w:rPr>
            </w:pPr>
            <w:r>
              <w:rPr>
                <w:rFonts w:cs="Times New Roman"/>
              </w:rPr>
              <w:t>4</w:t>
            </w:r>
            <w:r>
              <w:rPr>
                <w:rFonts w:hint="eastAsia" w:cs="Times New Roman"/>
              </w:rPr>
              <w:t>5</w:t>
            </w:r>
            <w:r>
              <w:rPr>
                <w:rFonts w:cs="Times New Roman"/>
              </w:rPr>
              <w:t>m</w:t>
            </w:r>
          </w:p>
        </w:tc>
        <w:tc>
          <w:tcPr>
            <w:tcW w:w="851" w:type="dxa"/>
            <w:vAlign w:val="center"/>
          </w:tcPr>
          <w:p>
            <w:pPr>
              <w:pStyle w:val="39"/>
              <w:rPr>
                <w:rFonts w:cs="Times New Roman"/>
              </w:rPr>
            </w:pPr>
            <w:r>
              <w:rPr>
                <w:rFonts w:cs="Times New Roman"/>
              </w:rPr>
              <w:t>西</w:t>
            </w:r>
          </w:p>
        </w:tc>
        <w:tc>
          <w:tcPr>
            <w:tcW w:w="1217" w:type="dxa"/>
            <w:vAlign w:val="center"/>
          </w:tcPr>
          <w:p>
            <w:pPr>
              <w:pStyle w:val="39"/>
              <w:rPr>
                <w:rFonts w:cs="Times New Roman"/>
              </w:rPr>
            </w:pPr>
            <w:r>
              <w:rPr>
                <w:rFonts w:hint="eastAsia" w:cs="Times New Roman"/>
              </w:rPr>
              <w:t>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 w:hRule="atLeast"/>
          <w:jc w:val="center"/>
        </w:trPr>
        <w:tc>
          <w:tcPr>
            <w:tcW w:w="484" w:type="dxa"/>
            <w:vMerge w:val="continue"/>
            <w:vAlign w:val="center"/>
          </w:tcPr>
          <w:p>
            <w:pPr>
              <w:pStyle w:val="39"/>
              <w:rPr>
                <w:rFonts w:cs="Times New Roman"/>
              </w:rPr>
            </w:pPr>
          </w:p>
        </w:tc>
        <w:tc>
          <w:tcPr>
            <w:tcW w:w="708" w:type="dxa"/>
            <w:vMerge w:val="continue"/>
            <w:vAlign w:val="center"/>
          </w:tcPr>
          <w:p>
            <w:pPr>
              <w:pStyle w:val="39"/>
              <w:rPr>
                <w:rFonts w:cs="Times New Roman"/>
              </w:rPr>
            </w:pPr>
          </w:p>
        </w:tc>
        <w:tc>
          <w:tcPr>
            <w:tcW w:w="567" w:type="dxa"/>
            <w:vMerge w:val="continue"/>
            <w:vAlign w:val="center"/>
          </w:tcPr>
          <w:p>
            <w:pPr>
              <w:pStyle w:val="39"/>
              <w:rPr>
                <w:rFonts w:cs="Times New Roman"/>
              </w:rPr>
            </w:pPr>
          </w:p>
        </w:tc>
        <w:tc>
          <w:tcPr>
            <w:tcW w:w="709" w:type="dxa"/>
            <w:vMerge w:val="continue"/>
            <w:vAlign w:val="center"/>
          </w:tcPr>
          <w:p>
            <w:pPr>
              <w:pStyle w:val="39"/>
              <w:rPr>
                <w:rFonts w:cs="Times New Roman"/>
              </w:rPr>
            </w:pPr>
          </w:p>
        </w:tc>
        <w:tc>
          <w:tcPr>
            <w:tcW w:w="1276" w:type="dxa"/>
            <w:vMerge w:val="continue"/>
            <w:vAlign w:val="center"/>
          </w:tcPr>
          <w:p>
            <w:pPr>
              <w:pStyle w:val="39"/>
              <w:rPr>
                <w:rFonts w:cs="Times New Roman"/>
              </w:rPr>
            </w:pPr>
          </w:p>
        </w:tc>
        <w:tc>
          <w:tcPr>
            <w:tcW w:w="567" w:type="dxa"/>
            <w:vMerge w:val="continue"/>
            <w:vAlign w:val="center"/>
          </w:tcPr>
          <w:p>
            <w:pPr>
              <w:pStyle w:val="39"/>
              <w:rPr>
                <w:rFonts w:cs="Times New Roman"/>
              </w:rPr>
            </w:pPr>
          </w:p>
        </w:tc>
        <w:tc>
          <w:tcPr>
            <w:tcW w:w="992" w:type="dxa"/>
            <w:vMerge w:val="continue"/>
            <w:vAlign w:val="center"/>
          </w:tcPr>
          <w:p>
            <w:pPr>
              <w:pStyle w:val="39"/>
              <w:rPr>
                <w:rFonts w:cs="Times New Roman"/>
              </w:rPr>
            </w:pPr>
          </w:p>
        </w:tc>
        <w:tc>
          <w:tcPr>
            <w:tcW w:w="851" w:type="dxa"/>
            <w:vAlign w:val="center"/>
          </w:tcPr>
          <w:p>
            <w:pPr>
              <w:pStyle w:val="39"/>
              <w:rPr>
                <w:rFonts w:cs="Times New Roman"/>
              </w:rPr>
            </w:pPr>
            <w:r>
              <w:rPr>
                <w:rFonts w:cs="Times New Roman"/>
              </w:rPr>
              <w:t>北</w:t>
            </w:r>
          </w:p>
        </w:tc>
        <w:tc>
          <w:tcPr>
            <w:tcW w:w="850" w:type="dxa"/>
            <w:vAlign w:val="center"/>
          </w:tcPr>
          <w:p>
            <w:pPr>
              <w:pStyle w:val="39"/>
              <w:rPr>
                <w:rFonts w:cs="Times New Roman"/>
              </w:rPr>
            </w:pPr>
            <w:r>
              <w:rPr>
                <w:rFonts w:hint="eastAsia" w:cs="Times New Roman"/>
              </w:rPr>
              <w:t>5</w:t>
            </w:r>
            <w:r>
              <w:rPr>
                <w:rFonts w:cs="Times New Roman"/>
              </w:rPr>
              <w:t>0m</w:t>
            </w:r>
          </w:p>
        </w:tc>
        <w:tc>
          <w:tcPr>
            <w:tcW w:w="851" w:type="dxa"/>
            <w:vAlign w:val="center"/>
          </w:tcPr>
          <w:p>
            <w:pPr>
              <w:pStyle w:val="39"/>
              <w:rPr>
                <w:rFonts w:cs="Times New Roman"/>
              </w:rPr>
            </w:pPr>
            <w:r>
              <w:rPr>
                <w:rFonts w:cs="Times New Roman"/>
              </w:rPr>
              <w:t>北</w:t>
            </w:r>
          </w:p>
        </w:tc>
        <w:tc>
          <w:tcPr>
            <w:tcW w:w="1217" w:type="dxa"/>
            <w:vAlign w:val="center"/>
          </w:tcPr>
          <w:p>
            <w:pPr>
              <w:pStyle w:val="39"/>
              <w:rPr>
                <w:rFonts w:cs="Times New Roman"/>
              </w:rPr>
            </w:pPr>
            <w:r>
              <w:rPr>
                <w:rFonts w:hint="eastAsia" w:cs="Times New Roman"/>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 w:hRule="atLeast"/>
          <w:jc w:val="center"/>
        </w:trPr>
        <w:tc>
          <w:tcPr>
            <w:tcW w:w="484" w:type="dxa"/>
            <w:vMerge w:val="restart"/>
            <w:vAlign w:val="center"/>
          </w:tcPr>
          <w:p>
            <w:pPr>
              <w:pStyle w:val="39"/>
              <w:rPr>
                <w:rFonts w:cs="Times New Roman"/>
              </w:rPr>
            </w:pPr>
            <w:r>
              <w:rPr>
                <w:rFonts w:cs="Times New Roman"/>
              </w:rPr>
              <w:t>4</w:t>
            </w:r>
          </w:p>
        </w:tc>
        <w:tc>
          <w:tcPr>
            <w:tcW w:w="708" w:type="dxa"/>
            <w:vMerge w:val="restart"/>
            <w:vAlign w:val="center"/>
          </w:tcPr>
          <w:p>
            <w:pPr>
              <w:pStyle w:val="39"/>
              <w:rPr>
                <w:rFonts w:cs="Times New Roman"/>
              </w:rPr>
            </w:pPr>
            <w:r>
              <w:rPr>
                <w:rFonts w:hint="eastAsia"/>
              </w:rPr>
              <w:t>鸡舍通风系统</w:t>
            </w:r>
          </w:p>
        </w:tc>
        <w:tc>
          <w:tcPr>
            <w:tcW w:w="567" w:type="dxa"/>
            <w:vMerge w:val="restart"/>
            <w:vAlign w:val="center"/>
          </w:tcPr>
          <w:p>
            <w:pPr>
              <w:pStyle w:val="39"/>
              <w:rPr>
                <w:rFonts w:cs="Times New Roman"/>
              </w:rPr>
            </w:pPr>
            <w:r>
              <w:rPr>
                <w:rFonts w:hint="eastAsia" w:cs="Times New Roman"/>
              </w:rPr>
              <w:t>鸡舍</w:t>
            </w:r>
          </w:p>
        </w:tc>
        <w:tc>
          <w:tcPr>
            <w:tcW w:w="709" w:type="dxa"/>
            <w:vMerge w:val="restart"/>
            <w:vAlign w:val="center"/>
          </w:tcPr>
          <w:p>
            <w:pPr>
              <w:pStyle w:val="39"/>
              <w:rPr>
                <w:rFonts w:cs="Times New Roman"/>
              </w:rPr>
            </w:pPr>
            <w:r>
              <w:rPr>
                <w:rFonts w:cs="Times New Roman"/>
              </w:rPr>
              <w:t>80</w:t>
            </w:r>
          </w:p>
        </w:tc>
        <w:tc>
          <w:tcPr>
            <w:tcW w:w="1276" w:type="dxa"/>
            <w:vMerge w:val="restart"/>
            <w:vAlign w:val="center"/>
          </w:tcPr>
          <w:p>
            <w:pPr>
              <w:pStyle w:val="39"/>
              <w:rPr>
                <w:rFonts w:cs="Times New Roman"/>
              </w:rPr>
            </w:pPr>
            <w:r>
              <w:rPr>
                <w:rFonts w:cs="Times New Roman"/>
              </w:rPr>
              <w:t>选用低噪声设备，采取加装减震垫</w:t>
            </w:r>
          </w:p>
        </w:tc>
        <w:tc>
          <w:tcPr>
            <w:tcW w:w="567" w:type="dxa"/>
            <w:vMerge w:val="restart"/>
            <w:vAlign w:val="center"/>
          </w:tcPr>
          <w:p>
            <w:pPr>
              <w:pStyle w:val="39"/>
              <w:rPr>
                <w:rFonts w:cs="Times New Roman"/>
              </w:rPr>
            </w:pPr>
            <w:r>
              <w:rPr>
                <w:rFonts w:cs="Times New Roman"/>
              </w:rPr>
              <w:t>8</w:t>
            </w:r>
          </w:p>
        </w:tc>
        <w:tc>
          <w:tcPr>
            <w:tcW w:w="992" w:type="dxa"/>
            <w:vMerge w:val="restart"/>
            <w:vAlign w:val="center"/>
          </w:tcPr>
          <w:p>
            <w:pPr>
              <w:pStyle w:val="39"/>
              <w:rPr>
                <w:rFonts w:cs="Times New Roman"/>
              </w:rPr>
            </w:pPr>
            <w:r>
              <w:rPr>
                <w:rFonts w:hint="eastAsia" w:cs="Times New Roman"/>
              </w:rPr>
              <w:t>7</w:t>
            </w:r>
            <w:r>
              <w:rPr>
                <w:rFonts w:cs="Times New Roman"/>
              </w:rPr>
              <w:t>2</w:t>
            </w:r>
          </w:p>
        </w:tc>
        <w:tc>
          <w:tcPr>
            <w:tcW w:w="851" w:type="dxa"/>
            <w:vAlign w:val="center"/>
          </w:tcPr>
          <w:p>
            <w:pPr>
              <w:pStyle w:val="39"/>
              <w:rPr>
                <w:rFonts w:cs="Times New Roman"/>
              </w:rPr>
            </w:pPr>
            <w:r>
              <w:rPr>
                <w:rFonts w:cs="Times New Roman"/>
              </w:rPr>
              <w:t>东</w:t>
            </w:r>
          </w:p>
        </w:tc>
        <w:tc>
          <w:tcPr>
            <w:tcW w:w="850" w:type="dxa"/>
            <w:vAlign w:val="center"/>
          </w:tcPr>
          <w:p>
            <w:pPr>
              <w:pStyle w:val="39"/>
              <w:rPr>
                <w:rFonts w:cs="Times New Roman"/>
              </w:rPr>
            </w:pPr>
            <w:r>
              <w:rPr>
                <w:rFonts w:hint="eastAsia" w:cs="Times New Roman"/>
              </w:rPr>
              <w:t>50</w:t>
            </w:r>
            <w:r>
              <w:rPr>
                <w:rFonts w:cs="Times New Roman"/>
              </w:rPr>
              <w:t>m</w:t>
            </w:r>
          </w:p>
        </w:tc>
        <w:tc>
          <w:tcPr>
            <w:tcW w:w="851" w:type="dxa"/>
            <w:vAlign w:val="center"/>
          </w:tcPr>
          <w:p>
            <w:pPr>
              <w:pStyle w:val="39"/>
              <w:rPr>
                <w:rFonts w:cs="Times New Roman"/>
              </w:rPr>
            </w:pPr>
            <w:r>
              <w:rPr>
                <w:rFonts w:cs="Times New Roman"/>
              </w:rPr>
              <w:t>东</w:t>
            </w:r>
          </w:p>
        </w:tc>
        <w:tc>
          <w:tcPr>
            <w:tcW w:w="1217" w:type="dxa"/>
            <w:vAlign w:val="center"/>
          </w:tcPr>
          <w:p>
            <w:pPr>
              <w:pStyle w:val="39"/>
              <w:rPr>
                <w:rFonts w:cs="Times New Roman"/>
              </w:rPr>
            </w:pPr>
            <w:r>
              <w:rPr>
                <w:rFonts w:hint="eastAsia" w:cs="Times New Roman"/>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 w:hRule="atLeast"/>
          <w:jc w:val="center"/>
        </w:trPr>
        <w:tc>
          <w:tcPr>
            <w:tcW w:w="484" w:type="dxa"/>
            <w:vMerge w:val="continue"/>
            <w:vAlign w:val="center"/>
          </w:tcPr>
          <w:p>
            <w:pPr>
              <w:pStyle w:val="39"/>
              <w:rPr>
                <w:rFonts w:cs="Times New Roman"/>
              </w:rPr>
            </w:pPr>
          </w:p>
        </w:tc>
        <w:tc>
          <w:tcPr>
            <w:tcW w:w="708" w:type="dxa"/>
            <w:vMerge w:val="continue"/>
            <w:vAlign w:val="center"/>
          </w:tcPr>
          <w:p>
            <w:pPr>
              <w:pStyle w:val="39"/>
              <w:rPr>
                <w:rFonts w:cs="Times New Roman"/>
              </w:rPr>
            </w:pPr>
          </w:p>
        </w:tc>
        <w:tc>
          <w:tcPr>
            <w:tcW w:w="567" w:type="dxa"/>
            <w:vMerge w:val="continue"/>
            <w:vAlign w:val="center"/>
          </w:tcPr>
          <w:p>
            <w:pPr>
              <w:pStyle w:val="39"/>
              <w:rPr>
                <w:rFonts w:cs="Times New Roman"/>
              </w:rPr>
            </w:pPr>
          </w:p>
        </w:tc>
        <w:tc>
          <w:tcPr>
            <w:tcW w:w="709" w:type="dxa"/>
            <w:vMerge w:val="continue"/>
            <w:vAlign w:val="center"/>
          </w:tcPr>
          <w:p>
            <w:pPr>
              <w:pStyle w:val="39"/>
              <w:rPr>
                <w:rFonts w:cs="Times New Roman"/>
              </w:rPr>
            </w:pPr>
          </w:p>
        </w:tc>
        <w:tc>
          <w:tcPr>
            <w:tcW w:w="1276" w:type="dxa"/>
            <w:vMerge w:val="continue"/>
            <w:vAlign w:val="center"/>
          </w:tcPr>
          <w:p>
            <w:pPr>
              <w:pStyle w:val="39"/>
              <w:rPr>
                <w:rFonts w:cs="Times New Roman"/>
              </w:rPr>
            </w:pPr>
          </w:p>
        </w:tc>
        <w:tc>
          <w:tcPr>
            <w:tcW w:w="567" w:type="dxa"/>
            <w:vMerge w:val="continue"/>
            <w:vAlign w:val="center"/>
          </w:tcPr>
          <w:p>
            <w:pPr>
              <w:pStyle w:val="39"/>
              <w:rPr>
                <w:rFonts w:cs="Times New Roman"/>
              </w:rPr>
            </w:pPr>
          </w:p>
        </w:tc>
        <w:tc>
          <w:tcPr>
            <w:tcW w:w="992" w:type="dxa"/>
            <w:vMerge w:val="continue"/>
            <w:vAlign w:val="center"/>
          </w:tcPr>
          <w:p>
            <w:pPr>
              <w:pStyle w:val="39"/>
              <w:rPr>
                <w:rFonts w:cs="Times New Roman"/>
              </w:rPr>
            </w:pPr>
          </w:p>
        </w:tc>
        <w:tc>
          <w:tcPr>
            <w:tcW w:w="851" w:type="dxa"/>
            <w:vAlign w:val="center"/>
          </w:tcPr>
          <w:p>
            <w:pPr>
              <w:pStyle w:val="39"/>
              <w:rPr>
                <w:rFonts w:cs="Times New Roman"/>
              </w:rPr>
            </w:pPr>
            <w:r>
              <w:rPr>
                <w:rFonts w:cs="Times New Roman"/>
              </w:rPr>
              <w:t>南</w:t>
            </w:r>
          </w:p>
        </w:tc>
        <w:tc>
          <w:tcPr>
            <w:tcW w:w="850" w:type="dxa"/>
            <w:vAlign w:val="center"/>
          </w:tcPr>
          <w:p>
            <w:pPr>
              <w:pStyle w:val="39"/>
              <w:rPr>
                <w:rFonts w:cs="Times New Roman"/>
              </w:rPr>
            </w:pPr>
            <w:r>
              <w:rPr>
                <w:rFonts w:cs="Times New Roman"/>
              </w:rPr>
              <w:t>1</w:t>
            </w:r>
            <w:r>
              <w:rPr>
                <w:rFonts w:hint="eastAsia" w:cs="Times New Roman"/>
              </w:rPr>
              <w:t>5</w:t>
            </w:r>
            <w:r>
              <w:rPr>
                <w:rFonts w:cs="Times New Roman"/>
              </w:rPr>
              <w:t>0m</w:t>
            </w:r>
          </w:p>
        </w:tc>
        <w:tc>
          <w:tcPr>
            <w:tcW w:w="851" w:type="dxa"/>
            <w:vAlign w:val="center"/>
          </w:tcPr>
          <w:p>
            <w:pPr>
              <w:pStyle w:val="39"/>
              <w:rPr>
                <w:rFonts w:cs="Times New Roman"/>
              </w:rPr>
            </w:pPr>
            <w:r>
              <w:rPr>
                <w:rFonts w:cs="Times New Roman"/>
              </w:rPr>
              <w:t>南</w:t>
            </w:r>
          </w:p>
        </w:tc>
        <w:tc>
          <w:tcPr>
            <w:tcW w:w="1217" w:type="dxa"/>
            <w:vAlign w:val="center"/>
          </w:tcPr>
          <w:p>
            <w:pPr>
              <w:pStyle w:val="39"/>
              <w:rPr>
                <w:rFonts w:cs="Times New Roman"/>
              </w:rPr>
            </w:pPr>
            <w:r>
              <w:rPr>
                <w:rFonts w:hint="eastAsia" w:cs="Times New Roman"/>
              </w:rPr>
              <w:t>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 w:hRule="atLeast"/>
          <w:jc w:val="center"/>
        </w:trPr>
        <w:tc>
          <w:tcPr>
            <w:tcW w:w="484" w:type="dxa"/>
            <w:vMerge w:val="continue"/>
            <w:vAlign w:val="center"/>
          </w:tcPr>
          <w:p>
            <w:pPr>
              <w:pStyle w:val="39"/>
              <w:rPr>
                <w:rFonts w:cs="Times New Roman"/>
              </w:rPr>
            </w:pPr>
          </w:p>
        </w:tc>
        <w:tc>
          <w:tcPr>
            <w:tcW w:w="708" w:type="dxa"/>
            <w:vMerge w:val="continue"/>
            <w:vAlign w:val="center"/>
          </w:tcPr>
          <w:p>
            <w:pPr>
              <w:pStyle w:val="39"/>
              <w:rPr>
                <w:rFonts w:cs="Times New Roman"/>
              </w:rPr>
            </w:pPr>
          </w:p>
        </w:tc>
        <w:tc>
          <w:tcPr>
            <w:tcW w:w="567" w:type="dxa"/>
            <w:vMerge w:val="continue"/>
            <w:vAlign w:val="center"/>
          </w:tcPr>
          <w:p>
            <w:pPr>
              <w:pStyle w:val="39"/>
              <w:rPr>
                <w:rFonts w:cs="Times New Roman"/>
              </w:rPr>
            </w:pPr>
          </w:p>
        </w:tc>
        <w:tc>
          <w:tcPr>
            <w:tcW w:w="709" w:type="dxa"/>
            <w:vMerge w:val="continue"/>
            <w:vAlign w:val="center"/>
          </w:tcPr>
          <w:p>
            <w:pPr>
              <w:pStyle w:val="39"/>
              <w:rPr>
                <w:rFonts w:cs="Times New Roman"/>
              </w:rPr>
            </w:pPr>
          </w:p>
        </w:tc>
        <w:tc>
          <w:tcPr>
            <w:tcW w:w="1276" w:type="dxa"/>
            <w:vMerge w:val="continue"/>
            <w:vAlign w:val="center"/>
          </w:tcPr>
          <w:p>
            <w:pPr>
              <w:pStyle w:val="39"/>
              <w:rPr>
                <w:rFonts w:cs="Times New Roman"/>
              </w:rPr>
            </w:pPr>
          </w:p>
        </w:tc>
        <w:tc>
          <w:tcPr>
            <w:tcW w:w="567" w:type="dxa"/>
            <w:vMerge w:val="continue"/>
            <w:vAlign w:val="center"/>
          </w:tcPr>
          <w:p>
            <w:pPr>
              <w:pStyle w:val="39"/>
              <w:rPr>
                <w:rFonts w:cs="Times New Roman"/>
              </w:rPr>
            </w:pPr>
          </w:p>
        </w:tc>
        <w:tc>
          <w:tcPr>
            <w:tcW w:w="992" w:type="dxa"/>
            <w:vMerge w:val="continue"/>
            <w:vAlign w:val="center"/>
          </w:tcPr>
          <w:p>
            <w:pPr>
              <w:pStyle w:val="39"/>
              <w:rPr>
                <w:rFonts w:cs="Times New Roman"/>
              </w:rPr>
            </w:pPr>
          </w:p>
        </w:tc>
        <w:tc>
          <w:tcPr>
            <w:tcW w:w="851" w:type="dxa"/>
            <w:vAlign w:val="center"/>
          </w:tcPr>
          <w:p>
            <w:pPr>
              <w:pStyle w:val="39"/>
              <w:rPr>
                <w:rFonts w:cs="Times New Roman"/>
              </w:rPr>
            </w:pPr>
            <w:r>
              <w:rPr>
                <w:rFonts w:cs="Times New Roman"/>
              </w:rPr>
              <w:t>西</w:t>
            </w:r>
          </w:p>
        </w:tc>
        <w:tc>
          <w:tcPr>
            <w:tcW w:w="850" w:type="dxa"/>
            <w:vAlign w:val="center"/>
          </w:tcPr>
          <w:p>
            <w:pPr>
              <w:pStyle w:val="39"/>
              <w:rPr>
                <w:rFonts w:cs="Times New Roman"/>
              </w:rPr>
            </w:pPr>
            <w:r>
              <w:rPr>
                <w:rFonts w:cs="Times New Roman"/>
              </w:rPr>
              <w:t>4</w:t>
            </w:r>
            <w:r>
              <w:rPr>
                <w:rFonts w:hint="eastAsia" w:cs="Times New Roman"/>
              </w:rPr>
              <w:t>5</w:t>
            </w:r>
            <w:r>
              <w:rPr>
                <w:rFonts w:cs="Times New Roman"/>
              </w:rPr>
              <w:t>m</w:t>
            </w:r>
          </w:p>
        </w:tc>
        <w:tc>
          <w:tcPr>
            <w:tcW w:w="851" w:type="dxa"/>
            <w:vAlign w:val="center"/>
          </w:tcPr>
          <w:p>
            <w:pPr>
              <w:pStyle w:val="39"/>
              <w:rPr>
                <w:rFonts w:cs="Times New Roman"/>
              </w:rPr>
            </w:pPr>
            <w:r>
              <w:rPr>
                <w:rFonts w:cs="Times New Roman"/>
              </w:rPr>
              <w:t>西</w:t>
            </w:r>
          </w:p>
        </w:tc>
        <w:tc>
          <w:tcPr>
            <w:tcW w:w="1217" w:type="dxa"/>
            <w:vAlign w:val="center"/>
          </w:tcPr>
          <w:p>
            <w:pPr>
              <w:pStyle w:val="39"/>
              <w:rPr>
                <w:rFonts w:cs="Times New Roman"/>
              </w:rPr>
            </w:pPr>
            <w:r>
              <w:rPr>
                <w:rFonts w:hint="eastAsia" w:cs="Times New Roman"/>
              </w:rPr>
              <w:t>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 w:hRule="atLeast"/>
          <w:jc w:val="center"/>
        </w:trPr>
        <w:tc>
          <w:tcPr>
            <w:tcW w:w="484" w:type="dxa"/>
            <w:vMerge w:val="continue"/>
            <w:vAlign w:val="center"/>
          </w:tcPr>
          <w:p>
            <w:pPr>
              <w:pStyle w:val="39"/>
              <w:rPr>
                <w:rFonts w:cs="Times New Roman"/>
              </w:rPr>
            </w:pPr>
          </w:p>
        </w:tc>
        <w:tc>
          <w:tcPr>
            <w:tcW w:w="708" w:type="dxa"/>
            <w:vMerge w:val="continue"/>
            <w:vAlign w:val="center"/>
          </w:tcPr>
          <w:p>
            <w:pPr>
              <w:pStyle w:val="39"/>
              <w:rPr>
                <w:rFonts w:cs="Times New Roman"/>
              </w:rPr>
            </w:pPr>
          </w:p>
        </w:tc>
        <w:tc>
          <w:tcPr>
            <w:tcW w:w="567" w:type="dxa"/>
            <w:vMerge w:val="continue"/>
            <w:vAlign w:val="center"/>
          </w:tcPr>
          <w:p>
            <w:pPr>
              <w:pStyle w:val="39"/>
              <w:rPr>
                <w:rFonts w:cs="Times New Roman"/>
              </w:rPr>
            </w:pPr>
          </w:p>
        </w:tc>
        <w:tc>
          <w:tcPr>
            <w:tcW w:w="709" w:type="dxa"/>
            <w:vMerge w:val="continue"/>
            <w:vAlign w:val="center"/>
          </w:tcPr>
          <w:p>
            <w:pPr>
              <w:pStyle w:val="39"/>
              <w:rPr>
                <w:rFonts w:cs="Times New Roman"/>
              </w:rPr>
            </w:pPr>
          </w:p>
        </w:tc>
        <w:tc>
          <w:tcPr>
            <w:tcW w:w="1276" w:type="dxa"/>
            <w:vMerge w:val="continue"/>
            <w:vAlign w:val="center"/>
          </w:tcPr>
          <w:p>
            <w:pPr>
              <w:pStyle w:val="39"/>
              <w:rPr>
                <w:rFonts w:cs="Times New Roman"/>
              </w:rPr>
            </w:pPr>
          </w:p>
        </w:tc>
        <w:tc>
          <w:tcPr>
            <w:tcW w:w="567" w:type="dxa"/>
            <w:vMerge w:val="continue"/>
            <w:vAlign w:val="center"/>
          </w:tcPr>
          <w:p>
            <w:pPr>
              <w:pStyle w:val="39"/>
              <w:rPr>
                <w:rFonts w:cs="Times New Roman"/>
              </w:rPr>
            </w:pPr>
          </w:p>
        </w:tc>
        <w:tc>
          <w:tcPr>
            <w:tcW w:w="992" w:type="dxa"/>
            <w:vMerge w:val="continue"/>
            <w:vAlign w:val="center"/>
          </w:tcPr>
          <w:p>
            <w:pPr>
              <w:pStyle w:val="39"/>
              <w:rPr>
                <w:rFonts w:cs="Times New Roman"/>
              </w:rPr>
            </w:pPr>
          </w:p>
        </w:tc>
        <w:tc>
          <w:tcPr>
            <w:tcW w:w="851" w:type="dxa"/>
            <w:vAlign w:val="center"/>
          </w:tcPr>
          <w:p>
            <w:pPr>
              <w:pStyle w:val="39"/>
              <w:rPr>
                <w:rFonts w:cs="Times New Roman"/>
              </w:rPr>
            </w:pPr>
            <w:r>
              <w:rPr>
                <w:rFonts w:cs="Times New Roman"/>
              </w:rPr>
              <w:t>北</w:t>
            </w:r>
          </w:p>
        </w:tc>
        <w:tc>
          <w:tcPr>
            <w:tcW w:w="850" w:type="dxa"/>
            <w:vAlign w:val="center"/>
          </w:tcPr>
          <w:p>
            <w:pPr>
              <w:pStyle w:val="39"/>
              <w:rPr>
                <w:rFonts w:cs="Times New Roman"/>
              </w:rPr>
            </w:pPr>
            <w:r>
              <w:rPr>
                <w:rFonts w:hint="eastAsia" w:cs="Times New Roman"/>
              </w:rPr>
              <w:t>5</w:t>
            </w:r>
            <w:r>
              <w:rPr>
                <w:rFonts w:cs="Times New Roman"/>
              </w:rPr>
              <w:t>0m</w:t>
            </w:r>
          </w:p>
        </w:tc>
        <w:tc>
          <w:tcPr>
            <w:tcW w:w="851" w:type="dxa"/>
            <w:vAlign w:val="center"/>
          </w:tcPr>
          <w:p>
            <w:pPr>
              <w:pStyle w:val="39"/>
              <w:rPr>
                <w:rFonts w:cs="Times New Roman"/>
              </w:rPr>
            </w:pPr>
            <w:r>
              <w:rPr>
                <w:rFonts w:cs="Times New Roman"/>
              </w:rPr>
              <w:t>北</w:t>
            </w:r>
          </w:p>
        </w:tc>
        <w:tc>
          <w:tcPr>
            <w:tcW w:w="1217" w:type="dxa"/>
            <w:vAlign w:val="center"/>
          </w:tcPr>
          <w:p>
            <w:pPr>
              <w:pStyle w:val="39"/>
              <w:rPr>
                <w:rFonts w:cs="Times New Roman"/>
              </w:rPr>
            </w:pPr>
            <w:r>
              <w:rPr>
                <w:rFonts w:hint="eastAsia" w:cs="Times New Roman"/>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84" w:type="dxa"/>
            <w:vMerge w:val="restart"/>
            <w:vAlign w:val="center"/>
          </w:tcPr>
          <w:p>
            <w:pPr>
              <w:pStyle w:val="39"/>
              <w:rPr>
                <w:rFonts w:cs="Times New Roman"/>
              </w:rPr>
            </w:pPr>
            <w:r>
              <w:rPr>
                <w:rFonts w:cs="Times New Roman"/>
              </w:rPr>
              <w:t>5</w:t>
            </w:r>
          </w:p>
        </w:tc>
        <w:tc>
          <w:tcPr>
            <w:tcW w:w="708" w:type="dxa"/>
            <w:vMerge w:val="restart"/>
            <w:vAlign w:val="center"/>
          </w:tcPr>
          <w:p>
            <w:pPr>
              <w:pStyle w:val="39"/>
              <w:rPr>
                <w:rFonts w:cs="Times New Roman"/>
              </w:rPr>
            </w:pPr>
            <w:r>
              <w:rPr>
                <w:rFonts w:hint="eastAsia"/>
              </w:rPr>
              <w:t>鸡蛋分选设备</w:t>
            </w:r>
          </w:p>
        </w:tc>
        <w:tc>
          <w:tcPr>
            <w:tcW w:w="567" w:type="dxa"/>
            <w:vMerge w:val="restart"/>
            <w:vAlign w:val="center"/>
          </w:tcPr>
          <w:p>
            <w:pPr>
              <w:pStyle w:val="39"/>
              <w:rPr>
                <w:rFonts w:cs="Times New Roman"/>
              </w:rPr>
            </w:pPr>
            <w:r>
              <w:rPr>
                <w:rFonts w:hint="eastAsia" w:cs="Times New Roman"/>
              </w:rPr>
              <w:t>鸡蛋库</w:t>
            </w:r>
          </w:p>
        </w:tc>
        <w:tc>
          <w:tcPr>
            <w:tcW w:w="709" w:type="dxa"/>
            <w:vMerge w:val="restart"/>
            <w:vAlign w:val="center"/>
          </w:tcPr>
          <w:p>
            <w:pPr>
              <w:pStyle w:val="39"/>
              <w:rPr>
                <w:rFonts w:cs="Times New Roman"/>
              </w:rPr>
            </w:pPr>
            <w:r>
              <w:rPr>
                <w:rFonts w:cs="Times New Roman"/>
              </w:rPr>
              <w:t>90</w:t>
            </w:r>
          </w:p>
        </w:tc>
        <w:tc>
          <w:tcPr>
            <w:tcW w:w="1276" w:type="dxa"/>
            <w:vMerge w:val="restart"/>
            <w:vAlign w:val="center"/>
          </w:tcPr>
          <w:p>
            <w:pPr>
              <w:pStyle w:val="39"/>
              <w:rPr>
                <w:rFonts w:cs="Times New Roman"/>
              </w:rPr>
            </w:pPr>
            <w:r>
              <w:rPr>
                <w:rFonts w:cs="Times New Roman"/>
              </w:rPr>
              <w:t>选用低噪声设备，采取加装减震垫、房屋隔声</w:t>
            </w:r>
          </w:p>
        </w:tc>
        <w:tc>
          <w:tcPr>
            <w:tcW w:w="567" w:type="dxa"/>
            <w:vMerge w:val="restart"/>
            <w:vAlign w:val="center"/>
          </w:tcPr>
          <w:p>
            <w:pPr>
              <w:pStyle w:val="39"/>
              <w:rPr>
                <w:rFonts w:cs="Times New Roman"/>
              </w:rPr>
            </w:pPr>
            <w:r>
              <w:rPr>
                <w:rFonts w:cs="Times New Roman"/>
              </w:rPr>
              <w:t>18</w:t>
            </w:r>
          </w:p>
        </w:tc>
        <w:tc>
          <w:tcPr>
            <w:tcW w:w="992" w:type="dxa"/>
            <w:vMerge w:val="restart"/>
            <w:vAlign w:val="center"/>
          </w:tcPr>
          <w:p>
            <w:pPr>
              <w:pStyle w:val="39"/>
              <w:rPr>
                <w:rFonts w:cs="Times New Roman"/>
              </w:rPr>
            </w:pPr>
            <w:r>
              <w:rPr>
                <w:rFonts w:hint="eastAsia" w:cs="Times New Roman"/>
              </w:rPr>
              <w:t>7</w:t>
            </w:r>
            <w:r>
              <w:rPr>
                <w:rFonts w:cs="Times New Roman"/>
              </w:rPr>
              <w:t>2</w:t>
            </w:r>
          </w:p>
        </w:tc>
        <w:tc>
          <w:tcPr>
            <w:tcW w:w="851" w:type="dxa"/>
            <w:vAlign w:val="center"/>
          </w:tcPr>
          <w:p>
            <w:pPr>
              <w:pStyle w:val="39"/>
              <w:rPr>
                <w:rFonts w:cs="Times New Roman"/>
              </w:rPr>
            </w:pPr>
            <w:r>
              <w:rPr>
                <w:rFonts w:cs="Times New Roman"/>
              </w:rPr>
              <w:t>东</w:t>
            </w:r>
          </w:p>
        </w:tc>
        <w:tc>
          <w:tcPr>
            <w:tcW w:w="850" w:type="dxa"/>
            <w:vAlign w:val="center"/>
          </w:tcPr>
          <w:p>
            <w:pPr>
              <w:pStyle w:val="39"/>
              <w:rPr>
                <w:rFonts w:cs="Times New Roman"/>
              </w:rPr>
            </w:pPr>
            <w:r>
              <w:rPr>
                <w:rFonts w:cs="Times New Roman"/>
              </w:rPr>
              <w:t>150m</w:t>
            </w:r>
          </w:p>
        </w:tc>
        <w:tc>
          <w:tcPr>
            <w:tcW w:w="851" w:type="dxa"/>
            <w:vAlign w:val="center"/>
          </w:tcPr>
          <w:p>
            <w:pPr>
              <w:pStyle w:val="39"/>
              <w:rPr>
                <w:rFonts w:cs="Times New Roman"/>
              </w:rPr>
            </w:pPr>
            <w:r>
              <w:rPr>
                <w:rFonts w:cs="Times New Roman"/>
              </w:rPr>
              <w:t>东</w:t>
            </w:r>
          </w:p>
        </w:tc>
        <w:tc>
          <w:tcPr>
            <w:tcW w:w="1217" w:type="dxa"/>
            <w:vAlign w:val="center"/>
          </w:tcPr>
          <w:p>
            <w:pPr>
              <w:pStyle w:val="39"/>
              <w:rPr>
                <w:rFonts w:cs="Times New Roman"/>
              </w:rPr>
            </w:pPr>
            <w:r>
              <w:rPr>
                <w:rFonts w:hint="eastAsia" w:cs="Times New Roman"/>
              </w:rPr>
              <w:t>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84" w:type="dxa"/>
            <w:vMerge w:val="continue"/>
            <w:vAlign w:val="center"/>
          </w:tcPr>
          <w:p>
            <w:pPr>
              <w:pStyle w:val="39"/>
              <w:rPr>
                <w:rFonts w:cs="Times New Roman"/>
              </w:rPr>
            </w:pPr>
          </w:p>
        </w:tc>
        <w:tc>
          <w:tcPr>
            <w:tcW w:w="708" w:type="dxa"/>
            <w:vMerge w:val="continue"/>
            <w:vAlign w:val="center"/>
          </w:tcPr>
          <w:p>
            <w:pPr>
              <w:pStyle w:val="39"/>
              <w:rPr>
                <w:rFonts w:cs="Times New Roman"/>
              </w:rPr>
            </w:pPr>
          </w:p>
        </w:tc>
        <w:tc>
          <w:tcPr>
            <w:tcW w:w="567" w:type="dxa"/>
            <w:vMerge w:val="continue"/>
            <w:vAlign w:val="center"/>
          </w:tcPr>
          <w:p>
            <w:pPr>
              <w:pStyle w:val="39"/>
              <w:rPr>
                <w:rFonts w:cs="Times New Roman"/>
              </w:rPr>
            </w:pPr>
          </w:p>
        </w:tc>
        <w:tc>
          <w:tcPr>
            <w:tcW w:w="709" w:type="dxa"/>
            <w:vMerge w:val="continue"/>
            <w:vAlign w:val="center"/>
          </w:tcPr>
          <w:p>
            <w:pPr>
              <w:pStyle w:val="39"/>
              <w:rPr>
                <w:rFonts w:cs="Times New Roman"/>
              </w:rPr>
            </w:pPr>
          </w:p>
        </w:tc>
        <w:tc>
          <w:tcPr>
            <w:tcW w:w="1276" w:type="dxa"/>
            <w:vMerge w:val="continue"/>
            <w:vAlign w:val="center"/>
          </w:tcPr>
          <w:p>
            <w:pPr>
              <w:pStyle w:val="39"/>
              <w:rPr>
                <w:rFonts w:cs="Times New Roman"/>
              </w:rPr>
            </w:pPr>
          </w:p>
        </w:tc>
        <w:tc>
          <w:tcPr>
            <w:tcW w:w="567" w:type="dxa"/>
            <w:vMerge w:val="continue"/>
            <w:vAlign w:val="center"/>
          </w:tcPr>
          <w:p>
            <w:pPr>
              <w:pStyle w:val="39"/>
              <w:rPr>
                <w:rFonts w:cs="Times New Roman"/>
              </w:rPr>
            </w:pPr>
          </w:p>
        </w:tc>
        <w:tc>
          <w:tcPr>
            <w:tcW w:w="992" w:type="dxa"/>
            <w:vMerge w:val="continue"/>
            <w:vAlign w:val="center"/>
          </w:tcPr>
          <w:p>
            <w:pPr>
              <w:pStyle w:val="39"/>
              <w:rPr>
                <w:rFonts w:cs="Times New Roman"/>
              </w:rPr>
            </w:pPr>
          </w:p>
        </w:tc>
        <w:tc>
          <w:tcPr>
            <w:tcW w:w="851" w:type="dxa"/>
            <w:vAlign w:val="center"/>
          </w:tcPr>
          <w:p>
            <w:pPr>
              <w:pStyle w:val="39"/>
              <w:rPr>
                <w:rFonts w:cs="Times New Roman"/>
              </w:rPr>
            </w:pPr>
            <w:r>
              <w:rPr>
                <w:rFonts w:cs="Times New Roman"/>
              </w:rPr>
              <w:t>南</w:t>
            </w:r>
          </w:p>
        </w:tc>
        <w:tc>
          <w:tcPr>
            <w:tcW w:w="850" w:type="dxa"/>
            <w:vAlign w:val="center"/>
          </w:tcPr>
          <w:p>
            <w:pPr>
              <w:pStyle w:val="39"/>
              <w:rPr>
                <w:rFonts w:cs="Times New Roman"/>
              </w:rPr>
            </w:pPr>
            <w:r>
              <w:rPr>
                <w:rFonts w:hint="eastAsia" w:cs="Times New Roman"/>
              </w:rPr>
              <w:t>3</w:t>
            </w:r>
            <w:r>
              <w:rPr>
                <w:rFonts w:cs="Times New Roman"/>
              </w:rPr>
              <w:t>0m</w:t>
            </w:r>
          </w:p>
        </w:tc>
        <w:tc>
          <w:tcPr>
            <w:tcW w:w="851" w:type="dxa"/>
            <w:vAlign w:val="center"/>
          </w:tcPr>
          <w:p>
            <w:pPr>
              <w:pStyle w:val="39"/>
              <w:rPr>
                <w:rFonts w:cs="Times New Roman"/>
              </w:rPr>
            </w:pPr>
            <w:r>
              <w:rPr>
                <w:rFonts w:cs="Times New Roman"/>
              </w:rPr>
              <w:t>南</w:t>
            </w:r>
          </w:p>
        </w:tc>
        <w:tc>
          <w:tcPr>
            <w:tcW w:w="1217" w:type="dxa"/>
            <w:vAlign w:val="center"/>
          </w:tcPr>
          <w:p>
            <w:pPr>
              <w:pStyle w:val="39"/>
              <w:rPr>
                <w:rFonts w:cs="Times New Roman"/>
              </w:rPr>
            </w:pPr>
            <w:r>
              <w:rPr>
                <w:rFonts w:hint="eastAsia" w:cs="Times New Roman"/>
              </w:rPr>
              <w:t>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84" w:type="dxa"/>
            <w:vMerge w:val="continue"/>
            <w:vAlign w:val="center"/>
          </w:tcPr>
          <w:p>
            <w:pPr>
              <w:pStyle w:val="39"/>
              <w:rPr>
                <w:rFonts w:cs="Times New Roman"/>
              </w:rPr>
            </w:pPr>
          </w:p>
        </w:tc>
        <w:tc>
          <w:tcPr>
            <w:tcW w:w="708" w:type="dxa"/>
            <w:vMerge w:val="continue"/>
            <w:vAlign w:val="center"/>
          </w:tcPr>
          <w:p>
            <w:pPr>
              <w:pStyle w:val="39"/>
              <w:rPr>
                <w:rFonts w:cs="Times New Roman"/>
              </w:rPr>
            </w:pPr>
          </w:p>
        </w:tc>
        <w:tc>
          <w:tcPr>
            <w:tcW w:w="567" w:type="dxa"/>
            <w:vMerge w:val="continue"/>
            <w:vAlign w:val="center"/>
          </w:tcPr>
          <w:p>
            <w:pPr>
              <w:pStyle w:val="39"/>
              <w:rPr>
                <w:rFonts w:cs="Times New Roman"/>
              </w:rPr>
            </w:pPr>
          </w:p>
        </w:tc>
        <w:tc>
          <w:tcPr>
            <w:tcW w:w="709" w:type="dxa"/>
            <w:vMerge w:val="continue"/>
            <w:vAlign w:val="center"/>
          </w:tcPr>
          <w:p>
            <w:pPr>
              <w:pStyle w:val="39"/>
              <w:rPr>
                <w:rFonts w:cs="Times New Roman"/>
              </w:rPr>
            </w:pPr>
          </w:p>
        </w:tc>
        <w:tc>
          <w:tcPr>
            <w:tcW w:w="1276" w:type="dxa"/>
            <w:vMerge w:val="continue"/>
            <w:vAlign w:val="center"/>
          </w:tcPr>
          <w:p>
            <w:pPr>
              <w:pStyle w:val="39"/>
              <w:rPr>
                <w:rFonts w:cs="Times New Roman"/>
              </w:rPr>
            </w:pPr>
          </w:p>
        </w:tc>
        <w:tc>
          <w:tcPr>
            <w:tcW w:w="567" w:type="dxa"/>
            <w:vMerge w:val="continue"/>
            <w:vAlign w:val="center"/>
          </w:tcPr>
          <w:p>
            <w:pPr>
              <w:pStyle w:val="39"/>
              <w:rPr>
                <w:rFonts w:cs="Times New Roman"/>
              </w:rPr>
            </w:pPr>
          </w:p>
        </w:tc>
        <w:tc>
          <w:tcPr>
            <w:tcW w:w="992" w:type="dxa"/>
            <w:vMerge w:val="continue"/>
            <w:vAlign w:val="center"/>
          </w:tcPr>
          <w:p>
            <w:pPr>
              <w:pStyle w:val="39"/>
              <w:rPr>
                <w:rFonts w:cs="Times New Roman"/>
              </w:rPr>
            </w:pPr>
          </w:p>
        </w:tc>
        <w:tc>
          <w:tcPr>
            <w:tcW w:w="851" w:type="dxa"/>
            <w:vAlign w:val="center"/>
          </w:tcPr>
          <w:p>
            <w:pPr>
              <w:pStyle w:val="39"/>
              <w:rPr>
                <w:rFonts w:cs="Times New Roman"/>
              </w:rPr>
            </w:pPr>
            <w:r>
              <w:rPr>
                <w:rFonts w:cs="Times New Roman"/>
              </w:rPr>
              <w:t>西</w:t>
            </w:r>
          </w:p>
        </w:tc>
        <w:tc>
          <w:tcPr>
            <w:tcW w:w="850" w:type="dxa"/>
            <w:vAlign w:val="center"/>
          </w:tcPr>
          <w:p>
            <w:pPr>
              <w:pStyle w:val="39"/>
              <w:rPr>
                <w:rFonts w:cs="Times New Roman"/>
              </w:rPr>
            </w:pPr>
            <w:r>
              <w:rPr>
                <w:rFonts w:hint="eastAsia" w:cs="Times New Roman"/>
              </w:rPr>
              <w:t>6</w:t>
            </w:r>
            <w:r>
              <w:rPr>
                <w:rFonts w:cs="Times New Roman"/>
              </w:rPr>
              <w:t>0m</w:t>
            </w:r>
          </w:p>
        </w:tc>
        <w:tc>
          <w:tcPr>
            <w:tcW w:w="851" w:type="dxa"/>
            <w:vAlign w:val="center"/>
          </w:tcPr>
          <w:p>
            <w:pPr>
              <w:pStyle w:val="39"/>
              <w:rPr>
                <w:rFonts w:cs="Times New Roman"/>
              </w:rPr>
            </w:pPr>
            <w:r>
              <w:rPr>
                <w:rFonts w:cs="Times New Roman"/>
              </w:rPr>
              <w:t>西</w:t>
            </w:r>
          </w:p>
        </w:tc>
        <w:tc>
          <w:tcPr>
            <w:tcW w:w="1217" w:type="dxa"/>
            <w:vAlign w:val="center"/>
          </w:tcPr>
          <w:p>
            <w:pPr>
              <w:pStyle w:val="39"/>
              <w:rPr>
                <w:rFonts w:cs="Times New Roman"/>
              </w:rPr>
            </w:pPr>
            <w:r>
              <w:rPr>
                <w:rFonts w:hint="eastAsia" w:cs="Times New Roman"/>
              </w:rPr>
              <w:t>36.4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84" w:type="dxa"/>
            <w:vMerge w:val="continue"/>
            <w:vAlign w:val="center"/>
          </w:tcPr>
          <w:p>
            <w:pPr>
              <w:pStyle w:val="39"/>
              <w:rPr>
                <w:rFonts w:cs="Times New Roman"/>
              </w:rPr>
            </w:pPr>
          </w:p>
        </w:tc>
        <w:tc>
          <w:tcPr>
            <w:tcW w:w="708" w:type="dxa"/>
            <w:vMerge w:val="continue"/>
            <w:vAlign w:val="center"/>
          </w:tcPr>
          <w:p>
            <w:pPr>
              <w:pStyle w:val="39"/>
              <w:rPr>
                <w:rFonts w:cs="Times New Roman"/>
              </w:rPr>
            </w:pPr>
          </w:p>
        </w:tc>
        <w:tc>
          <w:tcPr>
            <w:tcW w:w="567" w:type="dxa"/>
            <w:vMerge w:val="continue"/>
            <w:vAlign w:val="center"/>
          </w:tcPr>
          <w:p>
            <w:pPr>
              <w:pStyle w:val="39"/>
              <w:rPr>
                <w:rFonts w:cs="Times New Roman"/>
              </w:rPr>
            </w:pPr>
          </w:p>
        </w:tc>
        <w:tc>
          <w:tcPr>
            <w:tcW w:w="709" w:type="dxa"/>
            <w:vMerge w:val="continue"/>
            <w:vAlign w:val="center"/>
          </w:tcPr>
          <w:p>
            <w:pPr>
              <w:pStyle w:val="39"/>
              <w:rPr>
                <w:rFonts w:cs="Times New Roman"/>
              </w:rPr>
            </w:pPr>
          </w:p>
        </w:tc>
        <w:tc>
          <w:tcPr>
            <w:tcW w:w="1276" w:type="dxa"/>
            <w:vMerge w:val="continue"/>
            <w:vAlign w:val="center"/>
          </w:tcPr>
          <w:p>
            <w:pPr>
              <w:pStyle w:val="39"/>
              <w:rPr>
                <w:rFonts w:cs="Times New Roman"/>
              </w:rPr>
            </w:pPr>
          </w:p>
        </w:tc>
        <w:tc>
          <w:tcPr>
            <w:tcW w:w="567" w:type="dxa"/>
            <w:vMerge w:val="continue"/>
            <w:vAlign w:val="center"/>
          </w:tcPr>
          <w:p>
            <w:pPr>
              <w:pStyle w:val="39"/>
              <w:rPr>
                <w:rFonts w:cs="Times New Roman"/>
              </w:rPr>
            </w:pPr>
          </w:p>
        </w:tc>
        <w:tc>
          <w:tcPr>
            <w:tcW w:w="992" w:type="dxa"/>
            <w:vMerge w:val="continue"/>
            <w:vAlign w:val="center"/>
          </w:tcPr>
          <w:p>
            <w:pPr>
              <w:pStyle w:val="39"/>
              <w:rPr>
                <w:rFonts w:cs="Times New Roman"/>
              </w:rPr>
            </w:pPr>
          </w:p>
        </w:tc>
        <w:tc>
          <w:tcPr>
            <w:tcW w:w="851" w:type="dxa"/>
            <w:vAlign w:val="center"/>
          </w:tcPr>
          <w:p>
            <w:pPr>
              <w:pStyle w:val="39"/>
              <w:rPr>
                <w:rFonts w:cs="Times New Roman"/>
              </w:rPr>
            </w:pPr>
            <w:r>
              <w:rPr>
                <w:rFonts w:cs="Times New Roman"/>
              </w:rPr>
              <w:t>北</w:t>
            </w:r>
          </w:p>
        </w:tc>
        <w:tc>
          <w:tcPr>
            <w:tcW w:w="850" w:type="dxa"/>
            <w:vAlign w:val="center"/>
          </w:tcPr>
          <w:p>
            <w:pPr>
              <w:pStyle w:val="39"/>
              <w:rPr>
                <w:rFonts w:cs="Times New Roman"/>
              </w:rPr>
            </w:pPr>
            <w:r>
              <w:rPr>
                <w:rFonts w:cs="Times New Roman"/>
              </w:rPr>
              <w:t>1</w:t>
            </w:r>
            <w:r>
              <w:rPr>
                <w:rFonts w:hint="eastAsia" w:cs="Times New Roman"/>
              </w:rPr>
              <w:t>7</w:t>
            </w:r>
            <w:r>
              <w:rPr>
                <w:rFonts w:cs="Times New Roman"/>
              </w:rPr>
              <w:t>0m</w:t>
            </w:r>
          </w:p>
        </w:tc>
        <w:tc>
          <w:tcPr>
            <w:tcW w:w="851" w:type="dxa"/>
            <w:vAlign w:val="center"/>
          </w:tcPr>
          <w:p>
            <w:pPr>
              <w:pStyle w:val="39"/>
              <w:rPr>
                <w:rFonts w:cs="Times New Roman"/>
              </w:rPr>
            </w:pPr>
            <w:r>
              <w:rPr>
                <w:rFonts w:cs="Times New Roman"/>
              </w:rPr>
              <w:t>北</w:t>
            </w:r>
          </w:p>
        </w:tc>
        <w:tc>
          <w:tcPr>
            <w:tcW w:w="1217" w:type="dxa"/>
            <w:vAlign w:val="center"/>
          </w:tcPr>
          <w:p>
            <w:pPr>
              <w:pStyle w:val="39"/>
              <w:rPr>
                <w:rFonts w:cs="Times New Roman"/>
              </w:rPr>
            </w:pPr>
            <w:r>
              <w:rPr>
                <w:rFonts w:hint="eastAsia" w:cs="Times New Roman"/>
              </w:rPr>
              <w:t>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84" w:type="dxa"/>
            <w:vMerge w:val="restart"/>
            <w:vAlign w:val="center"/>
          </w:tcPr>
          <w:p>
            <w:pPr>
              <w:pStyle w:val="39"/>
              <w:rPr>
                <w:rFonts w:cs="Times New Roman"/>
              </w:rPr>
            </w:pPr>
            <w:r>
              <w:rPr>
                <w:rFonts w:hint="eastAsia" w:cs="Times New Roman"/>
              </w:rPr>
              <w:t>6</w:t>
            </w:r>
          </w:p>
        </w:tc>
        <w:tc>
          <w:tcPr>
            <w:tcW w:w="708" w:type="dxa"/>
            <w:vMerge w:val="restart"/>
            <w:vAlign w:val="center"/>
          </w:tcPr>
          <w:p>
            <w:pPr>
              <w:pStyle w:val="39"/>
              <w:rPr>
                <w:rFonts w:cs="Times New Roman"/>
              </w:rPr>
            </w:pPr>
            <w:r>
              <w:rPr>
                <w:rFonts w:hint="eastAsia" w:cs="Times New Roman"/>
              </w:rPr>
              <w:t>多赛干燥机</w:t>
            </w:r>
          </w:p>
        </w:tc>
        <w:tc>
          <w:tcPr>
            <w:tcW w:w="567" w:type="dxa"/>
            <w:vMerge w:val="restart"/>
            <w:vAlign w:val="center"/>
          </w:tcPr>
          <w:p>
            <w:pPr>
              <w:pStyle w:val="39"/>
              <w:rPr>
                <w:rFonts w:cs="Times New Roman"/>
              </w:rPr>
            </w:pPr>
            <w:r>
              <w:rPr>
                <w:rFonts w:hint="eastAsia" w:cs="Times New Roman"/>
              </w:rPr>
              <w:t>鸡粪处理区</w:t>
            </w:r>
          </w:p>
        </w:tc>
        <w:tc>
          <w:tcPr>
            <w:tcW w:w="709" w:type="dxa"/>
            <w:vMerge w:val="restart"/>
            <w:vAlign w:val="center"/>
          </w:tcPr>
          <w:p>
            <w:pPr>
              <w:pStyle w:val="39"/>
              <w:rPr>
                <w:rFonts w:cs="Times New Roman"/>
              </w:rPr>
            </w:pPr>
            <w:r>
              <w:rPr>
                <w:rFonts w:cs="Times New Roman"/>
              </w:rPr>
              <w:t>90</w:t>
            </w:r>
          </w:p>
        </w:tc>
        <w:tc>
          <w:tcPr>
            <w:tcW w:w="1276" w:type="dxa"/>
            <w:vMerge w:val="restart"/>
            <w:vAlign w:val="center"/>
          </w:tcPr>
          <w:p>
            <w:pPr>
              <w:pStyle w:val="39"/>
              <w:rPr>
                <w:rFonts w:cs="Times New Roman"/>
              </w:rPr>
            </w:pPr>
            <w:r>
              <w:rPr>
                <w:rFonts w:cs="Times New Roman"/>
              </w:rPr>
              <w:t>选用低噪声设备，采取加装减震垫、隔声</w:t>
            </w:r>
          </w:p>
        </w:tc>
        <w:tc>
          <w:tcPr>
            <w:tcW w:w="567" w:type="dxa"/>
            <w:vMerge w:val="restart"/>
            <w:vAlign w:val="center"/>
          </w:tcPr>
          <w:p>
            <w:pPr>
              <w:pStyle w:val="39"/>
              <w:rPr>
                <w:rFonts w:cs="Times New Roman"/>
              </w:rPr>
            </w:pPr>
            <w:r>
              <w:rPr>
                <w:rFonts w:cs="Times New Roman"/>
              </w:rPr>
              <w:t>18</w:t>
            </w:r>
          </w:p>
        </w:tc>
        <w:tc>
          <w:tcPr>
            <w:tcW w:w="992" w:type="dxa"/>
            <w:vMerge w:val="restart"/>
            <w:vAlign w:val="center"/>
          </w:tcPr>
          <w:p>
            <w:pPr>
              <w:pStyle w:val="39"/>
              <w:rPr>
                <w:rFonts w:cs="Times New Roman"/>
              </w:rPr>
            </w:pPr>
            <w:r>
              <w:rPr>
                <w:rFonts w:cs="Times New Roman"/>
              </w:rPr>
              <w:t>72</w:t>
            </w:r>
          </w:p>
        </w:tc>
        <w:tc>
          <w:tcPr>
            <w:tcW w:w="851" w:type="dxa"/>
            <w:vAlign w:val="center"/>
          </w:tcPr>
          <w:p>
            <w:pPr>
              <w:pStyle w:val="39"/>
              <w:rPr>
                <w:rFonts w:cs="Times New Roman"/>
              </w:rPr>
            </w:pPr>
            <w:r>
              <w:rPr>
                <w:rFonts w:cs="Times New Roman"/>
              </w:rPr>
              <w:t>东</w:t>
            </w:r>
          </w:p>
        </w:tc>
        <w:tc>
          <w:tcPr>
            <w:tcW w:w="850" w:type="dxa"/>
            <w:vAlign w:val="center"/>
          </w:tcPr>
          <w:p>
            <w:pPr>
              <w:pStyle w:val="39"/>
              <w:rPr>
                <w:rFonts w:cs="Times New Roman"/>
              </w:rPr>
            </w:pPr>
            <w:r>
              <w:rPr>
                <w:rFonts w:cs="Times New Roman"/>
              </w:rPr>
              <w:t>50m</w:t>
            </w:r>
          </w:p>
        </w:tc>
        <w:tc>
          <w:tcPr>
            <w:tcW w:w="851" w:type="dxa"/>
            <w:vAlign w:val="center"/>
          </w:tcPr>
          <w:p>
            <w:pPr>
              <w:pStyle w:val="39"/>
              <w:rPr>
                <w:rFonts w:cs="Times New Roman"/>
              </w:rPr>
            </w:pPr>
            <w:r>
              <w:rPr>
                <w:rFonts w:cs="Times New Roman"/>
              </w:rPr>
              <w:t>东</w:t>
            </w:r>
          </w:p>
        </w:tc>
        <w:tc>
          <w:tcPr>
            <w:tcW w:w="1217" w:type="dxa"/>
            <w:vAlign w:val="center"/>
          </w:tcPr>
          <w:p>
            <w:pPr>
              <w:pStyle w:val="39"/>
              <w:rPr>
                <w:rFonts w:cs="Times New Roman"/>
              </w:rPr>
            </w:pPr>
            <w:r>
              <w:rPr>
                <w:rFonts w:hint="eastAsia" w:cs="Times New Roman"/>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84" w:type="dxa"/>
            <w:vMerge w:val="continue"/>
            <w:vAlign w:val="center"/>
          </w:tcPr>
          <w:p>
            <w:pPr>
              <w:pStyle w:val="39"/>
              <w:rPr>
                <w:rFonts w:cs="Times New Roman"/>
              </w:rPr>
            </w:pPr>
          </w:p>
        </w:tc>
        <w:tc>
          <w:tcPr>
            <w:tcW w:w="708" w:type="dxa"/>
            <w:vMerge w:val="continue"/>
            <w:vAlign w:val="center"/>
          </w:tcPr>
          <w:p>
            <w:pPr>
              <w:pStyle w:val="39"/>
              <w:rPr>
                <w:rFonts w:cs="Times New Roman"/>
              </w:rPr>
            </w:pPr>
          </w:p>
        </w:tc>
        <w:tc>
          <w:tcPr>
            <w:tcW w:w="567" w:type="dxa"/>
            <w:vMerge w:val="continue"/>
            <w:vAlign w:val="center"/>
          </w:tcPr>
          <w:p>
            <w:pPr>
              <w:pStyle w:val="39"/>
              <w:rPr>
                <w:rFonts w:cs="Times New Roman"/>
              </w:rPr>
            </w:pPr>
          </w:p>
        </w:tc>
        <w:tc>
          <w:tcPr>
            <w:tcW w:w="709" w:type="dxa"/>
            <w:vMerge w:val="continue"/>
            <w:vAlign w:val="center"/>
          </w:tcPr>
          <w:p>
            <w:pPr>
              <w:pStyle w:val="39"/>
              <w:rPr>
                <w:rFonts w:cs="Times New Roman"/>
              </w:rPr>
            </w:pPr>
          </w:p>
        </w:tc>
        <w:tc>
          <w:tcPr>
            <w:tcW w:w="1276" w:type="dxa"/>
            <w:vMerge w:val="continue"/>
            <w:vAlign w:val="center"/>
          </w:tcPr>
          <w:p>
            <w:pPr>
              <w:pStyle w:val="39"/>
              <w:rPr>
                <w:rFonts w:cs="Times New Roman"/>
              </w:rPr>
            </w:pPr>
          </w:p>
        </w:tc>
        <w:tc>
          <w:tcPr>
            <w:tcW w:w="567" w:type="dxa"/>
            <w:vMerge w:val="continue"/>
            <w:vAlign w:val="center"/>
          </w:tcPr>
          <w:p>
            <w:pPr>
              <w:pStyle w:val="39"/>
              <w:rPr>
                <w:rFonts w:cs="Times New Roman"/>
              </w:rPr>
            </w:pPr>
          </w:p>
        </w:tc>
        <w:tc>
          <w:tcPr>
            <w:tcW w:w="992" w:type="dxa"/>
            <w:vMerge w:val="continue"/>
            <w:vAlign w:val="center"/>
          </w:tcPr>
          <w:p>
            <w:pPr>
              <w:pStyle w:val="39"/>
              <w:rPr>
                <w:rFonts w:cs="Times New Roman"/>
              </w:rPr>
            </w:pPr>
          </w:p>
        </w:tc>
        <w:tc>
          <w:tcPr>
            <w:tcW w:w="851" w:type="dxa"/>
            <w:vAlign w:val="center"/>
          </w:tcPr>
          <w:p>
            <w:pPr>
              <w:pStyle w:val="39"/>
              <w:rPr>
                <w:rFonts w:cs="Times New Roman"/>
              </w:rPr>
            </w:pPr>
            <w:r>
              <w:rPr>
                <w:rFonts w:cs="Times New Roman"/>
              </w:rPr>
              <w:t>南</w:t>
            </w:r>
          </w:p>
        </w:tc>
        <w:tc>
          <w:tcPr>
            <w:tcW w:w="850" w:type="dxa"/>
            <w:vAlign w:val="center"/>
          </w:tcPr>
          <w:p>
            <w:pPr>
              <w:pStyle w:val="39"/>
              <w:rPr>
                <w:rFonts w:cs="Times New Roman"/>
              </w:rPr>
            </w:pPr>
            <w:r>
              <w:rPr>
                <w:rFonts w:hint="eastAsia" w:cs="Times New Roman"/>
              </w:rPr>
              <w:t>16</w:t>
            </w:r>
            <w:r>
              <w:rPr>
                <w:rFonts w:cs="Times New Roman"/>
              </w:rPr>
              <w:t>0m</w:t>
            </w:r>
          </w:p>
        </w:tc>
        <w:tc>
          <w:tcPr>
            <w:tcW w:w="851" w:type="dxa"/>
            <w:vAlign w:val="center"/>
          </w:tcPr>
          <w:p>
            <w:pPr>
              <w:pStyle w:val="39"/>
              <w:rPr>
                <w:rFonts w:cs="Times New Roman"/>
              </w:rPr>
            </w:pPr>
            <w:r>
              <w:rPr>
                <w:rFonts w:cs="Times New Roman"/>
              </w:rPr>
              <w:t>南</w:t>
            </w:r>
          </w:p>
        </w:tc>
        <w:tc>
          <w:tcPr>
            <w:tcW w:w="1217" w:type="dxa"/>
            <w:vAlign w:val="center"/>
          </w:tcPr>
          <w:p>
            <w:pPr>
              <w:pStyle w:val="39"/>
              <w:rPr>
                <w:rFonts w:cs="Times New Roman"/>
              </w:rPr>
            </w:pPr>
            <w:r>
              <w:rPr>
                <w:rFonts w:hint="eastAsia" w:cs="Times New Roman"/>
              </w:rPr>
              <w:t>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84" w:type="dxa"/>
            <w:vMerge w:val="continue"/>
            <w:vAlign w:val="center"/>
          </w:tcPr>
          <w:p>
            <w:pPr>
              <w:pStyle w:val="39"/>
              <w:rPr>
                <w:rFonts w:cs="Times New Roman"/>
              </w:rPr>
            </w:pPr>
          </w:p>
        </w:tc>
        <w:tc>
          <w:tcPr>
            <w:tcW w:w="708" w:type="dxa"/>
            <w:vMerge w:val="continue"/>
            <w:vAlign w:val="center"/>
          </w:tcPr>
          <w:p>
            <w:pPr>
              <w:pStyle w:val="39"/>
              <w:rPr>
                <w:rFonts w:cs="Times New Roman"/>
              </w:rPr>
            </w:pPr>
          </w:p>
        </w:tc>
        <w:tc>
          <w:tcPr>
            <w:tcW w:w="567" w:type="dxa"/>
            <w:vMerge w:val="continue"/>
            <w:vAlign w:val="center"/>
          </w:tcPr>
          <w:p>
            <w:pPr>
              <w:pStyle w:val="39"/>
              <w:rPr>
                <w:rFonts w:cs="Times New Roman"/>
              </w:rPr>
            </w:pPr>
          </w:p>
        </w:tc>
        <w:tc>
          <w:tcPr>
            <w:tcW w:w="709" w:type="dxa"/>
            <w:vMerge w:val="continue"/>
            <w:vAlign w:val="center"/>
          </w:tcPr>
          <w:p>
            <w:pPr>
              <w:pStyle w:val="39"/>
              <w:rPr>
                <w:rFonts w:cs="Times New Roman"/>
              </w:rPr>
            </w:pPr>
          </w:p>
        </w:tc>
        <w:tc>
          <w:tcPr>
            <w:tcW w:w="1276" w:type="dxa"/>
            <w:vMerge w:val="continue"/>
            <w:vAlign w:val="center"/>
          </w:tcPr>
          <w:p>
            <w:pPr>
              <w:pStyle w:val="39"/>
              <w:rPr>
                <w:rFonts w:cs="Times New Roman"/>
              </w:rPr>
            </w:pPr>
          </w:p>
        </w:tc>
        <w:tc>
          <w:tcPr>
            <w:tcW w:w="567" w:type="dxa"/>
            <w:vMerge w:val="continue"/>
            <w:vAlign w:val="center"/>
          </w:tcPr>
          <w:p>
            <w:pPr>
              <w:pStyle w:val="39"/>
              <w:rPr>
                <w:rFonts w:cs="Times New Roman"/>
              </w:rPr>
            </w:pPr>
          </w:p>
        </w:tc>
        <w:tc>
          <w:tcPr>
            <w:tcW w:w="992" w:type="dxa"/>
            <w:vMerge w:val="continue"/>
            <w:vAlign w:val="center"/>
          </w:tcPr>
          <w:p>
            <w:pPr>
              <w:pStyle w:val="39"/>
              <w:rPr>
                <w:rFonts w:cs="Times New Roman"/>
              </w:rPr>
            </w:pPr>
          </w:p>
        </w:tc>
        <w:tc>
          <w:tcPr>
            <w:tcW w:w="851" w:type="dxa"/>
            <w:vAlign w:val="center"/>
          </w:tcPr>
          <w:p>
            <w:pPr>
              <w:pStyle w:val="39"/>
              <w:rPr>
                <w:rFonts w:cs="Times New Roman"/>
              </w:rPr>
            </w:pPr>
            <w:r>
              <w:rPr>
                <w:rFonts w:cs="Times New Roman"/>
              </w:rPr>
              <w:t>西</w:t>
            </w:r>
          </w:p>
        </w:tc>
        <w:tc>
          <w:tcPr>
            <w:tcW w:w="850" w:type="dxa"/>
            <w:vAlign w:val="center"/>
          </w:tcPr>
          <w:p>
            <w:pPr>
              <w:pStyle w:val="39"/>
              <w:rPr>
                <w:rFonts w:cs="Times New Roman"/>
              </w:rPr>
            </w:pPr>
            <w:r>
              <w:rPr>
                <w:rFonts w:cs="Times New Roman"/>
              </w:rPr>
              <w:t>4</w:t>
            </w:r>
            <w:r>
              <w:rPr>
                <w:rFonts w:hint="eastAsia" w:cs="Times New Roman"/>
              </w:rPr>
              <w:t>5</w:t>
            </w:r>
            <w:r>
              <w:rPr>
                <w:rFonts w:cs="Times New Roman"/>
              </w:rPr>
              <w:t>m</w:t>
            </w:r>
          </w:p>
        </w:tc>
        <w:tc>
          <w:tcPr>
            <w:tcW w:w="851" w:type="dxa"/>
            <w:vAlign w:val="center"/>
          </w:tcPr>
          <w:p>
            <w:pPr>
              <w:pStyle w:val="39"/>
              <w:rPr>
                <w:rFonts w:cs="Times New Roman"/>
              </w:rPr>
            </w:pPr>
            <w:r>
              <w:rPr>
                <w:rFonts w:cs="Times New Roman"/>
              </w:rPr>
              <w:t>西</w:t>
            </w:r>
          </w:p>
        </w:tc>
        <w:tc>
          <w:tcPr>
            <w:tcW w:w="1217" w:type="dxa"/>
            <w:vAlign w:val="center"/>
          </w:tcPr>
          <w:p>
            <w:pPr>
              <w:pStyle w:val="39"/>
              <w:rPr>
                <w:rFonts w:cs="Times New Roman"/>
              </w:rPr>
            </w:pPr>
            <w:r>
              <w:rPr>
                <w:rFonts w:hint="eastAsia" w:cs="Times New Roman"/>
              </w:rPr>
              <w:t>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84" w:type="dxa"/>
            <w:vMerge w:val="continue"/>
            <w:vAlign w:val="center"/>
          </w:tcPr>
          <w:p>
            <w:pPr>
              <w:pStyle w:val="39"/>
              <w:rPr>
                <w:rFonts w:cs="Times New Roman"/>
              </w:rPr>
            </w:pPr>
          </w:p>
        </w:tc>
        <w:tc>
          <w:tcPr>
            <w:tcW w:w="708" w:type="dxa"/>
            <w:vMerge w:val="continue"/>
            <w:vAlign w:val="center"/>
          </w:tcPr>
          <w:p>
            <w:pPr>
              <w:pStyle w:val="39"/>
              <w:rPr>
                <w:rFonts w:cs="Times New Roman"/>
              </w:rPr>
            </w:pPr>
          </w:p>
        </w:tc>
        <w:tc>
          <w:tcPr>
            <w:tcW w:w="567" w:type="dxa"/>
            <w:vMerge w:val="continue"/>
            <w:vAlign w:val="center"/>
          </w:tcPr>
          <w:p>
            <w:pPr>
              <w:pStyle w:val="39"/>
              <w:rPr>
                <w:rFonts w:cs="Times New Roman"/>
              </w:rPr>
            </w:pPr>
          </w:p>
        </w:tc>
        <w:tc>
          <w:tcPr>
            <w:tcW w:w="709" w:type="dxa"/>
            <w:vMerge w:val="continue"/>
            <w:vAlign w:val="center"/>
          </w:tcPr>
          <w:p>
            <w:pPr>
              <w:pStyle w:val="39"/>
              <w:rPr>
                <w:rFonts w:cs="Times New Roman"/>
              </w:rPr>
            </w:pPr>
          </w:p>
        </w:tc>
        <w:tc>
          <w:tcPr>
            <w:tcW w:w="1276" w:type="dxa"/>
            <w:vMerge w:val="continue"/>
            <w:vAlign w:val="center"/>
          </w:tcPr>
          <w:p>
            <w:pPr>
              <w:pStyle w:val="39"/>
              <w:rPr>
                <w:rFonts w:cs="Times New Roman"/>
              </w:rPr>
            </w:pPr>
          </w:p>
        </w:tc>
        <w:tc>
          <w:tcPr>
            <w:tcW w:w="567" w:type="dxa"/>
            <w:vMerge w:val="continue"/>
            <w:vAlign w:val="center"/>
          </w:tcPr>
          <w:p>
            <w:pPr>
              <w:pStyle w:val="39"/>
              <w:rPr>
                <w:rFonts w:cs="Times New Roman"/>
              </w:rPr>
            </w:pPr>
          </w:p>
        </w:tc>
        <w:tc>
          <w:tcPr>
            <w:tcW w:w="992" w:type="dxa"/>
            <w:vMerge w:val="continue"/>
            <w:vAlign w:val="center"/>
          </w:tcPr>
          <w:p>
            <w:pPr>
              <w:pStyle w:val="39"/>
              <w:rPr>
                <w:rFonts w:cs="Times New Roman"/>
              </w:rPr>
            </w:pPr>
          </w:p>
        </w:tc>
        <w:tc>
          <w:tcPr>
            <w:tcW w:w="851" w:type="dxa"/>
            <w:vAlign w:val="center"/>
          </w:tcPr>
          <w:p>
            <w:pPr>
              <w:pStyle w:val="39"/>
              <w:rPr>
                <w:rFonts w:cs="Times New Roman"/>
              </w:rPr>
            </w:pPr>
            <w:r>
              <w:rPr>
                <w:rFonts w:cs="Times New Roman"/>
              </w:rPr>
              <w:t>北</w:t>
            </w:r>
          </w:p>
        </w:tc>
        <w:tc>
          <w:tcPr>
            <w:tcW w:w="850" w:type="dxa"/>
            <w:vAlign w:val="center"/>
          </w:tcPr>
          <w:p>
            <w:pPr>
              <w:pStyle w:val="39"/>
              <w:rPr>
                <w:rFonts w:cs="Times New Roman"/>
              </w:rPr>
            </w:pPr>
            <w:r>
              <w:rPr>
                <w:rFonts w:hint="eastAsia" w:cs="Times New Roman"/>
              </w:rPr>
              <w:t>5</w:t>
            </w:r>
            <w:r>
              <w:rPr>
                <w:rFonts w:cs="Times New Roman"/>
              </w:rPr>
              <w:t>0m</w:t>
            </w:r>
          </w:p>
        </w:tc>
        <w:tc>
          <w:tcPr>
            <w:tcW w:w="851" w:type="dxa"/>
            <w:vAlign w:val="center"/>
          </w:tcPr>
          <w:p>
            <w:pPr>
              <w:pStyle w:val="39"/>
              <w:rPr>
                <w:rFonts w:cs="Times New Roman"/>
              </w:rPr>
            </w:pPr>
            <w:r>
              <w:rPr>
                <w:rFonts w:cs="Times New Roman"/>
              </w:rPr>
              <w:t>北</w:t>
            </w:r>
          </w:p>
        </w:tc>
        <w:tc>
          <w:tcPr>
            <w:tcW w:w="1217" w:type="dxa"/>
            <w:vAlign w:val="center"/>
          </w:tcPr>
          <w:p>
            <w:pPr>
              <w:pStyle w:val="39"/>
              <w:rPr>
                <w:rFonts w:cs="Times New Roman"/>
              </w:rPr>
            </w:pPr>
            <w:r>
              <w:rPr>
                <w:rFonts w:hint="eastAsia" w:cs="Times New Roman"/>
              </w:rPr>
              <w:t>38.0</w:t>
            </w:r>
          </w:p>
        </w:tc>
      </w:tr>
    </w:tbl>
    <w:p>
      <w:pPr>
        <w:pStyle w:val="3"/>
        <w:ind w:firstLine="480"/>
      </w:pPr>
    </w:p>
    <w:p>
      <w:pPr>
        <w:pStyle w:val="7"/>
        <w:rPr>
          <w:rFonts w:cs="Times New Roman"/>
        </w:rPr>
      </w:pPr>
      <w:r>
        <w:rPr>
          <w:rFonts w:cs="Times New Roman"/>
        </w:rPr>
        <w:t>预测模式</w:t>
      </w:r>
    </w:p>
    <w:p>
      <w:pPr>
        <w:pStyle w:val="3"/>
        <w:ind w:firstLine="480"/>
        <w:rPr>
          <w:rFonts w:cs="Times New Roman"/>
        </w:rPr>
      </w:pPr>
      <w:r>
        <w:rPr>
          <w:rFonts w:cs="Times New Roman"/>
        </w:rPr>
        <w:t>根据建设项目的噪声排放特点，结合《环境影响评价技术导则 声环境》（HJ2.4-2009）的要求，可选择点声源预测模式模拟预测噪声源排放噪声随距离的衰减变化规律。</w:t>
      </w:r>
    </w:p>
    <w:p>
      <w:pPr>
        <w:pStyle w:val="3"/>
        <w:ind w:firstLine="480"/>
        <w:rPr>
          <w:rFonts w:cs="Times New Roman"/>
        </w:rPr>
      </w:pPr>
      <w:r>
        <w:rPr>
          <w:rFonts w:cs="Times New Roman"/>
        </w:rPr>
        <w:t>（1）对室外噪声源主要考虑噪声的几何发散衰减及环境因素衰减：</w:t>
      </w:r>
    </w:p>
    <w:p>
      <w:pPr>
        <w:pStyle w:val="15"/>
        <w:rPr>
          <w:rFonts w:cs="Times New Roman"/>
        </w:rPr>
      </w:pPr>
      <w:r>
        <w:rPr>
          <w:rFonts w:cs="Times New Roman"/>
        </w:rPr>
        <w:object>
          <v:shape id="_x0000_i1032" o:spt="75" type="#_x0000_t75" style="height:21.3pt;width:115.85pt;" o:ole="t" filled="f" coordsize="21600,21600">
            <v:path/>
            <v:fill on="f" focussize="0,0"/>
            <v:stroke/>
            <v:imagedata r:id="rId31" o:title=""/>
            <o:lock v:ext="edit" aspectratio="t"/>
            <w10:wrap type="none"/>
            <w10:anchorlock/>
          </v:shape>
          <o:OLEObject Type="Embed" ProgID="Equation.DSMT4" ShapeID="_x0000_i1032" DrawAspect="Content" ObjectID="_1468075732" r:id="rId30">
            <o:LockedField>false</o:LockedField>
          </o:OLEObject>
        </w:object>
      </w:r>
    </w:p>
    <w:p>
      <w:pPr>
        <w:pStyle w:val="15"/>
        <w:rPr>
          <w:rFonts w:cs="Times New Roman"/>
        </w:rPr>
      </w:pPr>
      <w:r>
        <w:rPr>
          <w:rFonts w:cs="Times New Roman"/>
        </w:rPr>
        <w:object>
          <v:shape id="_x0000_i1033" o:spt="75" type="#_x0000_t75" style="height:21.3pt;width:63.85pt;" o:ole="t" filled="f" coordsize="21600,21600">
            <v:path/>
            <v:fill on="f" focussize="0,0"/>
            <v:stroke/>
            <v:imagedata r:id="rId33" o:title=""/>
            <o:lock v:ext="edit" aspectratio="t"/>
            <w10:wrap type="none"/>
            <w10:anchorlock/>
          </v:shape>
          <o:OLEObject Type="Embed" ProgID="Equation.DSMT4" ShapeID="_x0000_i1033" DrawAspect="Content" ObjectID="_1468075733" r:id="rId32">
            <o:LockedField>false</o:LockedField>
          </o:OLEObject>
        </w:object>
      </w:r>
      <w:r>
        <w:rPr>
          <w:rFonts w:cs="Times New Roman"/>
        </w:rPr>
        <w:t xml:space="preserve"> </w:t>
      </w:r>
    </w:p>
    <w:p>
      <w:pPr>
        <w:pStyle w:val="3"/>
        <w:ind w:firstLine="480"/>
        <w:rPr>
          <w:rFonts w:cs="Times New Roman"/>
        </w:rPr>
      </w:pPr>
      <w:r>
        <w:rPr>
          <w:rFonts w:cs="Times New Roman"/>
        </w:rPr>
        <w:t>式中：</w:t>
      </w:r>
      <w:r>
        <w:rPr>
          <w:rFonts w:cs="Times New Roman"/>
          <w:i/>
        </w:rPr>
        <w:t>L</w:t>
      </w:r>
      <w:r>
        <w:rPr>
          <w:rFonts w:cs="Times New Roman"/>
          <w:i/>
          <w:vertAlign w:val="subscript"/>
        </w:rPr>
        <w:t>P</w:t>
      </w:r>
      <w:r>
        <w:rPr>
          <w:rFonts w:cs="Times New Roman"/>
        </w:rPr>
        <w:t>—距离声源</w:t>
      </w:r>
      <w:r>
        <w:rPr>
          <w:rFonts w:cs="Times New Roman"/>
          <w:i/>
        </w:rPr>
        <w:t>r</w:t>
      </w:r>
      <w:r>
        <w:rPr>
          <w:rFonts w:cs="Times New Roman"/>
        </w:rPr>
        <w:t>m处的声压级；</w:t>
      </w:r>
    </w:p>
    <w:p>
      <w:pPr>
        <w:pStyle w:val="3"/>
        <w:ind w:firstLine="1200" w:firstLineChars="500"/>
        <w:rPr>
          <w:rFonts w:cs="Times New Roman"/>
        </w:rPr>
      </w:pPr>
      <w:r>
        <w:rPr>
          <w:rFonts w:cs="Times New Roman"/>
          <w:i/>
        </w:rPr>
        <w:t>r</w:t>
      </w:r>
      <w:r>
        <w:rPr>
          <w:rFonts w:cs="Times New Roman"/>
        </w:rPr>
        <w:t xml:space="preserve"> — 预测点与声源的距离；</w:t>
      </w:r>
    </w:p>
    <w:p>
      <w:pPr>
        <w:pStyle w:val="3"/>
        <w:ind w:firstLine="1200" w:firstLineChars="500"/>
        <w:rPr>
          <w:rFonts w:cs="Times New Roman"/>
        </w:rPr>
      </w:pPr>
      <w:r>
        <w:rPr>
          <w:rFonts w:cs="Times New Roman"/>
          <w:i/>
        </w:rPr>
        <w:t>r</w:t>
      </w:r>
      <w:r>
        <w:rPr>
          <w:rFonts w:cs="Times New Roman"/>
          <w:i/>
          <w:vertAlign w:val="subscript"/>
        </w:rPr>
        <w:t>0</w:t>
      </w:r>
      <w:r>
        <w:rPr>
          <w:rFonts w:cs="Times New Roman"/>
        </w:rPr>
        <w:t>—距离声源</w:t>
      </w:r>
      <w:r>
        <w:rPr>
          <w:rFonts w:cs="Times New Roman"/>
          <w:i/>
        </w:rPr>
        <w:t>r</w:t>
      </w:r>
      <w:r>
        <w:rPr>
          <w:rFonts w:cs="Times New Roman"/>
          <w:i/>
          <w:vertAlign w:val="subscript"/>
        </w:rPr>
        <w:t>0</w:t>
      </w:r>
      <w:r>
        <w:rPr>
          <w:rFonts w:cs="Times New Roman"/>
        </w:rPr>
        <w:t>m处的距离；</w:t>
      </w:r>
    </w:p>
    <w:p>
      <w:pPr>
        <w:pStyle w:val="3"/>
        <w:ind w:firstLine="1200" w:firstLineChars="500"/>
        <w:rPr>
          <w:rFonts w:cs="Times New Roman"/>
        </w:rPr>
      </w:pPr>
      <w:r>
        <w:rPr>
          <w:rFonts w:cs="Times New Roman"/>
          <w:i/>
        </w:rPr>
        <w:t>a</w:t>
      </w:r>
      <w:r>
        <w:rPr>
          <w:rFonts w:cs="Times New Roman"/>
        </w:rPr>
        <w:t>—空气衰减系数；</w:t>
      </w:r>
    </w:p>
    <w:p>
      <w:pPr>
        <w:pStyle w:val="3"/>
        <w:ind w:firstLine="1200" w:firstLineChars="500"/>
        <w:rPr>
          <w:rFonts w:cs="Times New Roman"/>
        </w:rPr>
      </w:pPr>
      <w:r>
        <w:rPr>
          <w:rFonts w:ascii="Cambria Math" w:hAnsi="Cambria Math" w:cs="Cambria Math"/>
        </w:rPr>
        <w:t>△</w:t>
      </w:r>
      <w:r>
        <w:rPr>
          <w:rFonts w:cs="Times New Roman"/>
        </w:rPr>
        <w:t>L—各种因素引起的衰减量（包括声屏障、空气吸收等）。</w:t>
      </w:r>
    </w:p>
    <w:p>
      <w:pPr>
        <w:pStyle w:val="3"/>
        <w:ind w:firstLine="480"/>
        <w:rPr>
          <w:rFonts w:cs="Times New Roman"/>
        </w:rPr>
      </w:pPr>
      <w:r>
        <w:rPr>
          <w:rFonts w:cs="Times New Roman"/>
        </w:rPr>
        <w:t>（2）对室内噪声源采用室内声源噪声模式并换算成等效的室外声源：</w:t>
      </w:r>
    </w:p>
    <w:p>
      <w:pPr>
        <w:pStyle w:val="15"/>
        <w:rPr>
          <w:rFonts w:cs="Times New Roman"/>
        </w:rPr>
      </w:pPr>
      <w:r>
        <w:rPr>
          <w:rFonts w:cs="Times New Roman"/>
        </w:rPr>
        <w:t xml:space="preserve"> </w:t>
      </w:r>
      <w:r>
        <w:rPr>
          <w:rFonts w:cs="Times New Roman"/>
        </w:rPr>
        <w:object>
          <v:shape id="_x0000_i1034" o:spt="75" type="#_x0000_t75" style="height:35.7pt;width:129.6pt;" o:ole="t" fillcolor="#6D6D6D" filled="t" coordsize="21600,21600">
            <v:path/>
            <v:fill on="t" focussize="0,0"/>
            <v:stroke/>
            <v:imagedata r:id="rId35" o:title=""/>
            <o:lock v:ext="edit" aspectratio="t"/>
            <w10:wrap type="none"/>
            <w10:anchorlock/>
          </v:shape>
          <o:OLEObject Type="Embed" ProgID="Equation.3" ShapeID="_x0000_i1034" DrawAspect="Content" ObjectID="_1468075734" r:id="rId34">
            <o:LockedField>false</o:LockedField>
          </o:OLEObject>
        </w:object>
      </w:r>
    </w:p>
    <w:p>
      <w:pPr>
        <w:pStyle w:val="15"/>
        <w:rPr>
          <w:rFonts w:cs="Times New Roman"/>
        </w:rPr>
      </w:pPr>
      <w:r>
        <w:rPr>
          <w:rFonts w:cs="Times New Roman"/>
        </w:rPr>
        <w:object>
          <v:shape id="_x0000_i1035" o:spt="75" type="#_x0000_t75" style="height:21.3pt;width:122.7pt;" o:ole="t" filled="f" coordsize="21600,21600">
            <v:path/>
            <v:fill on="f" focussize="0,0"/>
            <v:stroke/>
            <v:imagedata r:id="rId37" o:title=""/>
            <o:lock v:ext="edit" aspectratio="t"/>
            <w10:wrap type="none"/>
            <w10:anchorlock/>
          </v:shape>
          <o:OLEObject Type="Embed" ProgID="Equation.DSMT4" ShapeID="_x0000_i1035" DrawAspect="Content" ObjectID="_1468075735" r:id="rId36">
            <o:LockedField>false</o:LockedField>
          </o:OLEObject>
        </w:object>
      </w:r>
    </w:p>
    <w:p>
      <w:pPr>
        <w:pStyle w:val="3"/>
        <w:ind w:firstLine="480"/>
        <w:rPr>
          <w:rFonts w:cs="Times New Roman"/>
        </w:rPr>
      </w:pPr>
      <w:r>
        <w:rPr>
          <w:rFonts w:cs="Times New Roman"/>
        </w:rPr>
        <w:t>式中：</w:t>
      </w:r>
      <w:r>
        <w:rPr>
          <w:rFonts w:cs="Times New Roman"/>
          <w:i/>
        </w:rPr>
        <w:t>L</w:t>
      </w:r>
      <w:r>
        <w:rPr>
          <w:rFonts w:cs="Times New Roman"/>
          <w:i/>
          <w:vertAlign w:val="subscript"/>
        </w:rPr>
        <w:t>n</w:t>
      </w:r>
      <w:r>
        <w:rPr>
          <w:rFonts w:cs="Times New Roman"/>
        </w:rPr>
        <w:t>—室内靠近围护结构处产生的声压级；</w:t>
      </w:r>
    </w:p>
    <w:p>
      <w:pPr>
        <w:pStyle w:val="3"/>
        <w:ind w:firstLine="1200" w:firstLineChars="500"/>
        <w:rPr>
          <w:rFonts w:cs="Times New Roman"/>
        </w:rPr>
      </w:pPr>
      <w:r>
        <w:rPr>
          <w:rFonts w:cs="Times New Roman"/>
          <w:i/>
        </w:rPr>
        <w:t>L</w:t>
      </w:r>
      <w:r>
        <w:rPr>
          <w:rFonts w:cs="Times New Roman"/>
          <w:i/>
          <w:vertAlign w:val="subscript"/>
        </w:rPr>
        <w:t>w</w:t>
      </w:r>
      <w:r>
        <w:rPr>
          <w:rFonts w:cs="Times New Roman"/>
        </w:rPr>
        <w:t>—室外靠近维护结构处产生的声压级；</w:t>
      </w:r>
    </w:p>
    <w:p>
      <w:pPr>
        <w:pStyle w:val="3"/>
        <w:ind w:firstLine="1200" w:firstLineChars="500"/>
        <w:rPr>
          <w:rFonts w:cs="Times New Roman"/>
        </w:rPr>
      </w:pPr>
      <w:r>
        <w:rPr>
          <w:rFonts w:cs="Times New Roman"/>
          <w:i/>
        </w:rPr>
        <w:t>Le</w:t>
      </w:r>
      <w:r>
        <w:rPr>
          <w:rFonts w:cs="Times New Roman"/>
        </w:rPr>
        <w:t>—声源的声压级；</w:t>
      </w:r>
    </w:p>
    <w:p>
      <w:pPr>
        <w:pStyle w:val="3"/>
        <w:ind w:firstLine="1159" w:firstLineChars="483"/>
        <w:rPr>
          <w:rFonts w:cs="Times New Roman"/>
        </w:rPr>
      </w:pPr>
      <w:r>
        <w:rPr>
          <w:rFonts w:cs="Times New Roman"/>
          <w:i/>
        </w:rPr>
        <w:t>r</w:t>
      </w:r>
      <w:r>
        <w:rPr>
          <w:rFonts w:cs="Times New Roman"/>
        </w:rPr>
        <w:t>—声源与室内靠近围护结构处的距离；</w:t>
      </w:r>
    </w:p>
    <w:p>
      <w:pPr>
        <w:pStyle w:val="3"/>
        <w:ind w:firstLine="1200" w:firstLineChars="500"/>
        <w:rPr>
          <w:rFonts w:cs="Times New Roman"/>
        </w:rPr>
      </w:pPr>
      <w:r>
        <w:rPr>
          <w:rFonts w:cs="Times New Roman"/>
          <w:i/>
        </w:rPr>
        <w:t>R</w:t>
      </w:r>
      <w:r>
        <w:rPr>
          <w:rFonts w:cs="Times New Roman"/>
        </w:rPr>
        <w:t>—房间常数；</w:t>
      </w:r>
    </w:p>
    <w:p>
      <w:pPr>
        <w:pStyle w:val="3"/>
        <w:ind w:firstLine="1080" w:firstLineChars="450"/>
        <w:rPr>
          <w:rFonts w:cs="Times New Roman"/>
        </w:rPr>
      </w:pPr>
      <w:r>
        <w:rPr>
          <w:rFonts w:cs="Times New Roman"/>
          <w:i/>
        </w:rPr>
        <w:t>Q</w:t>
      </w:r>
      <w:r>
        <w:rPr>
          <w:rFonts w:cs="Times New Roman"/>
        </w:rPr>
        <w:t>—方向性因子；</w:t>
      </w:r>
    </w:p>
    <w:p>
      <w:pPr>
        <w:pStyle w:val="3"/>
        <w:ind w:firstLine="1080" w:firstLineChars="450"/>
        <w:rPr>
          <w:rFonts w:cs="Times New Roman"/>
        </w:rPr>
      </w:pPr>
      <w:r>
        <w:rPr>
          <w:rFonts w:cs="Times New Roman"/>
          <w:i/>
        </w:rPr>
        <w:t>TL</w:t>
      </w:r>
      <w:r>
        <w:rPr>
          <w:rFonts w:cs="Times New Roman"/>
        </w:rPr>
        <w:t>—围护结构处的传输损失；</w:t>
      </w:r>
    </w:p>
    <w:p>
      <w:pPr>
        <w:pStyle w:val="3"/>
        <w:ind w:firstLine="1080" w:firstLineChars="450"/>
        <w:rPr>
          <w:rFonts w:cs="Times New Roman"/>
        </w:rPr>
      </w:pPr>
      <w:r>
        <w:rPr>
          <w:rFonts w:cs="Times New Roman"/>
          <w:i/>
        </w:rPr>
        <w:t>S</w:t>
      </w:r>
      <w:r>
        <w:rPr>
          <w:rFonts w:cs="Times New Roman"/>
        </w:rPr>
        <w:t>—透声面积（m2）。</w:t>
      </w:r>
    </w:p>
    <w:p>
      <w:pPr>
        <w:pStyle w:val="3"/>
        <w:ind w:firstLine="480"/>
        <w:rPr>
          <w:rFonts w:cs="Times New Roman"/>
        </w:rPr>
      </w:pPr>
      <w:r>
        <w:rPr>
          <w:rFonts w:cs="Times New Roman"/>
        </w:rPr>
        <w:t>（3）对两个以上多个声源同时存在时，多点源叠加计算总源强，采用如下公式：</w:t>
      </w:r>
    </w:p>
    <w:p>
      <w:pPr>
        <w:spacing w:line="360" w:lineRule="auto"/>
        <w:ind w:firstLine="480"/>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single"/>
        </w:rPr>
        <w:object>
          <v:shape id="_x0000_i1036" o:spt="75" type="#_x0000_t75" style="height:21.3pt;width:100.15pt;" o:ole="t" filled="f" coordsize="21600,21600">
            <v:path/>
            <v:fill on="f" focussize="0,0"/>
            <v:stroke/>
            <v:imagedata r:id="rId39" o:title=""/>
            <o:lock v:ext="edit" aspectratio="t"/>
            <w10:wrap type="none"/>
            <w10:anchorlock/>
          </v:shape>
          <o:OLEObject Type="Embed" ProgID="Equation.DSMT4" ShapeID="_x0000_i1036" DrawAspect="Content" ObjectID="_1468075736" r:id="rId38">
            <o:LockedField>false</o:LockedField>
          </o:OLEObject>
        </w:object>
      </w:r>
    </w:p>
    <w:p>
      <w:pPr>
        <w:pStyle w:val="3"/>
        <w:ind w:firstLine="480"/>
        <w:rPr>
          <w:rFonts w:cs="Times New Roman"/>
        </w:rPr>
      </w:pPr>
      <w:r>
        <w:rPr>
          <w:rFonts w:cs="Times New Roman"/>
        </w:rPr>
        <w:t>式中：</w:t>
      </w:r>
      <w:r>
        <w:rPr>
          <w:rFonts w:cs="Times New Roman"/>
          <w:i/>
        </w:rPr>
        <w:t>L</w:t>
      </w:r>
      <w:r>
        <w:rPr>
          <w:rFonts w:cs="Times New Roman"/>
          <w:i/>
          <w:vertAlign w:val="subscript"/>
        </w:rPr>
        <w:t>eq</w:t>
      </w:r>
      <w:r>
        <w:rPr>
          <w:rFonts w:cs="Times New Roman"/>
        </w:rPr>
        <w:t>—预测点的总等效声级，dB；</w:t>
      </w:r>
    </w:p>
    <w:p>
      <w:pPr>
        <w:pStyle w:val="3"/>
        <w:ind w:firstLine="480"/>
        <w:rPr>
          <w:rFonts w:cs="Times New Roman"/>
        </w:rPr>
      </w:pPr>
      <w:r>
        <w:rPr>
          <w:rFonts w:cs="Times New Roman"/>
          <w:i/>
        </w:rPr>
        <w:t>L</w:t>
      </w:r>
      <w:r>
        <w:rPr>
          <w:rFonts w:cs="Times New Roman"/>
          <w:i/>
          <w:vertAlign w:val="subscript"/>
        </w:rPr>
        <w:t>i</w:t>
      </w:r>
      <w:r>
        <w:rPr>
          <w:rFonts w:cs="Times New Roman"/>
        </w:rPr>
        <w:t>—第</w:t>
      </w:r>
      <w:r>
        <w:rPr>
          <w:rFonts w:cs="Times New Roman"/>
          <w:i/>
        </w:rPr>
        <w:t>i</w:t>
      </w:r>
      <w:r>
        <w:rPr>
          <w:rFonts w:cs="Times New Roman"/>
        </w:rPr>
        <w:t>个声源对预测点的声级影响，dB。</w:t>
      </w:r>
    </w:p>
    <w:p>
      <w:pPr>
        <w:pStyle w:val="7"/>
        <w:rPr>
          <w:rFonts w:cs="Times New Roman"/>
        </w:rPr>
      </w:pPr>
      <w:r>
        <w:rPr>
          <w:rFonts w:cs="Times New Roman"/>
        </w:rPr>
        <w:t>预测结果</w:t>
      </w:r>
    </w:p>
    <w:p>
      <w:pPr>
        <w:pStyle w:val="3"/>
        <w:ind w:firstLine="480"/>
        <w:rPr>
          <w:rFonts w:cs="Times New Roman"/>
        </w:rPr>
      </w:pPr>
      <w:r>
        <w:rPr>
          <w:rFonts w:cs="Times New Roman"/>
        </w:rPr>
        <w:t>根据建设项目高噪声设备声级所处位置，利用工业企业噪声预测模式和方法，对场界外的声环境进行预测计算，得到项目建成后各场界处的贡献值，建设项目噪声预测结果见表5.2-14。</w:t>
      </w:r>
    </w:p>
    <w:p>
      <w:pPr>
        <w:pStyle w:val="3"/>
        <w:ind w:firstLine="480"/>
        <w:rPr>
          <w:rFonts w:cs="Times New Roman"/>
        </w:rPr>
      </w:pPr>
    </w:p>
    <w:p>
      <w:pPr>
        <w:pStyle w:val="3"/>
        <w:ind w:firstLine="480"/>
        <w:rPr>
          <w:rFonts w:cs="Times New Roman"/>
        </w:rPr>
      </w:pPr>
    </w:p>
    <w:p>
      <w:pPr>
        <w:pStyle w:val="15"/>
        <w:rPr>
          <w:rFonts w:cs="Times New Roman"/>
          <w:b/>
          <w:lang w:val="zh-CN"/>
        </w:rPr>
      </w:pPr>
      <w:r>
        <w:rPr>
          <w:rFonts w:cs="Times New Roman"/>
          <w:lang w:val="zh-CN"/>
        </w:rPr>
        <w:t>表</w:t>
      </w:r>
      <w:r>
        <w:rPr>
          <w:rFonts w:cs="Times New Roman"/>
        </w:rPr>
        <w:t>5.2-14</w:t>
      </w:r>
      <w:r>
        <w:rPr>
          <w:rFonts w:cs="Times New Roman"/>
          <w:lang w:val="zh-CN"/>
        </w:rPr>
        <w:t xml:space="preserve">  本建设项目场界</w:t>
      </w:r>
      <w:r>
        <w:rPr>
          <w:rFonts w:hint="eastAsia" w:cs="Times New Roman"/>
          <w:lang w:val="zh-CN"/>
        </w:rPr>
        <w:t>及最近敏感点</w:t>
      </w:r>
      <w:r>
        <w:rPr>
          <w:rFonts w:cs="Times New Roman"/>
          <w:lang w:val="zh-CN"/>
        </w:rPr>
        <w:t>噪声预测结果表   单位：</w:t>
      </w:r>
      <w:r>
        <w:rPr>
          <w:rFonts w:cs="Times New Roman"/>
        </w:rPr>
        <w:t>dB(A)</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1"/>
        <w:gridCol w:w="1165"/>
        <w:gridCol w:w="978"/>
        <w:gridCol w:w="1470"/>
        <w:gridCol w:w="1222"/>
        <w:gridCol w:w="1059"/>
        <w:gridCol w:w="1261"/>
        <w:gridCol w:w="1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415" w:type="pct"/>
            <w:vAlign w:val="center"/>
          </w:tcPr>
          <w:p>
            <w:pPr>
              <w:pStyle w:val="39"/>
              <w:rPr>
                <w:rFonts w:cs="Times New Roman"/>
              </w:rPr>
            </w:pPr>
            <w:r>
              <w:rPr>
                <w:rFonts w:cs="Times New Roman"/>
              </w:rPr>
              <w:t>序号</w:t>
            </w:r>
          </w:p>
        </w:tc>
        <w:tc>
          <w:tcPr>
            <w:tcW w:w="635" w:type="pct"/>
            <w:vAlign w:val="center"/>
          </w:tcPr>
          <w:p>
            <w:pPr>
              <w:pStyle w:val="39"/>
              <w:rPr>
                <w:rFonts w:cs="Times New Roman"/>
              </w:rPr>
            </w:pPr>
            <w:r>
              <w:rPr>
                <w:rFonts w:cs="Times New Roman"/>
              </w:rPr>
              <w:t>位置</w:t>
            </w:r>
          </w:p>
        </w:tc>
        <w:tc>
          <w:tcPr>
            <w:tcW w:w="533" w:type="pct"/>
            <w:vAlign w:val="center"/>
          </w:tcPr>
          <w:p>
            <w:pPr>
              <w:pStyle w:val="39"/>
              <w:rPr>
                <w:rFonts w:cs="Times New Roman"/>
              </w:rPr>
            </w:pPr>
            <w:r>
              <w:rPr>
                <w:rFonts w:cs="Times New Roman"/>
              </w:rPr>
              <w:t>时间</w:t>
            </w:r>
          </w:p>
        </w:tc>
        <w:tc>
          <w:tcPr>
            <w:tcW w:w="801" w:type="pct"/>
            <w:vAlign w:val="center"/>
          </w:tcPr>
          <w:p>
            <w:pPr>
              <w:pStyle w:val="39"/>
              <w:rPr>
                <w:rFonts w:cs="Times New Roman"/>
              </w:rPr>
            </w:pPr>
            <w:r>
              <w:rPr>
                <w:rFonts w:cs="Times New Roman"/>
              </w:rPr>
              <w:t>贡献值</w:t>
            </w:r>
          </w:p>
        </w:tc>
        <w:tc>
          <w:tcPr>
            <w:tcW w:w="666" w:type="pct"/>
            <w:vAlign w:val="center"/>
          </w:tcPr>
          <w:p>
            <w:pPr>
              <w:pStyle w:val="39"/>
              <w:rPr>
                <w:rFonts w:cs="Times New Roman"/>
              </w:rPr>
            </w:pPr>
            <w:r>
              <w:rPr>
                <w:rFonts w:cs="Times New Roman"/>
              </w:rPr>
              <w:t>背景值</w:t>
            </w:r>
          </w:p>
        </w:tc>
        <w:tc>
          <w:tcPr>
            <w:tcW w:w="577" w:type="pct"/>
            <w:vAlign w:val="center"/>
          </w:tcPr>
          <w:p>
            <w:pPr>
              <w:pStyle w:val="39"/>
              <w:rPr>
                <w:rFonts w:cs="Times New Roman"/>
              </w:rPr>
            </w:pPr>
            <w:r>
              <w:rPr>
                <w:rFonts w:cs="Times New Roman"/>
              </w:rPr>
              <w:t>预测值</w:t>
            </w:r>
          </w:p>
        </w:tc>
        <w:tc>
          <w:tcPr>
            <w:tcW w:w="687" w:type="pct"/>
            <w:vAlign w:val="center"/>
          </w:tcPr>
          <w:p>
            <w:pPr>
              <w:pStyle w:val="39"/>
              <w:rPr>
                <w:rFonts w:cs="Times New Roman"/>
              </w:rPr>
            </w:pPr>
            <w:r>
              <w:rPr>
                <w:rFonts w:cs="Times New Roman"/>
              </w:rPr>
              <w:t>标准限值</w:t>
            </w:r>
          </w:p>
        </w:tc>
        <w:tc>
          <w:tcPr>
            <w:tcW w:w="685" w:type="pct"/>
            <w:vAlign w:val="center"/>
          </w:tcPr>
          <w:p>
            <w:pPr>
              <w:pStyle w:val="39"/>
              <w:rPr>
                <w:rFonts w:cs="Times New Roman"/>
              </w:rPr>
            </w:pPr>
            <w:r>
              <w:rPr>
                <w:rFonts w:cs="Times New Roman"/>
              </w:rPr>
              <w:t>是否达标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15" w:type="pct"/>
            <w:vMerge w:val="restart"/>
            <w:vAlign w:val="center"/>
          </w:tcPr>
          <w:p>
            <w:pPr>
              <w:pStyle w:val="39"/>
              <w:rPr>
                <w:rFonts w:cs="Times New Roman"/>
              </w:rPr>
            </w:pPr>
            <w:r>
              <w:rPr>
                <w:rFonts w:cs="Times New Roman"/>
              </w:rPr>
              <w:t>1</w:t>
            </w:r>
          </w:p>
        </w:tc>
        <w:tc>
          <w:tcPr>
            <w:tcW w:w="635" w:type="pct"/>
            <w:vMerge w:val="restart"/>
            <w:vAlign w:val="center"/>
          </w:tcPr>
          <w:p>
            <w:pPr>
              <w:pStyle w:val="39"/>
              <w:rPr>
                <w:rFonts w:cs="Times New Roman"/>
              </w:rPr>
            </w:pPr>
            <w:r>
              <w:rPr>
                <w:rFonts w:cs="Times New Roman"/>
              </w:rPr>
              <w:t>东场界</w:t>
            </w:r>
          </w:p>
        </w:tc>
        <w:tc>
          <w:tcPr>
            <w:tcW w:w="533" w:type="pct"/>
            <w:vAlign w:val="center"/>
          </w:tcPr>
          <w:p>
            <w:pPr>
              <w:pStyle w:val="39"/>
              <w:rPr>
                <w:rFonts w:cs="Times New Roman"/>
              </w:rPr>
            </w:pPr>
            <w:r>
              <w:rPr>
                <w:rFonts w:cs="Times New Roman"/>
              </w:rPr>
              <w:t>昼间</w:t>
            </w:r>
          </w:p>
        </w:tc>
        <w:tc>
          <w:tcPr>
            <w:tcW w:w="801" w:type="pct"/>
            <w:vAlign w:val="center"/>
          </w:tcPr>
          <w:p>
            <w:pPr>
              <w:pStyle w:val="39"/>
              <w:rPr>
                <w:rFonts w:cs="Times New Roman"/>
              </w:rPr>
            </w:pPr>
            <w:r>
              <w:rPr>
                <w:rFonts w:cs="Times New Roman"/>
              </w:rPr>
              <w:t>43.37</w:t>
            </w:r>
          </w:p>
        </w:tc>
        <w:tc>
          <w:tcPr>
            <w:tcW w:w="666" w:type="pct"/>
            <w:vAlign w:val="center"/>
          </w:tcPr>
          <w:p>
            <w:pPr>
              <w:pStyle w:val="39"/>
              <w:rPr>
                <w:rFonts w:cs="Times New Roman"/>
              </w:rPr>
            </w:pPr>
            <w:r>
              <w:rPr>
                <w:rFonts w:hint="eastAsia" w:cs="Times New Roman"/>
              </w:rPr>
              <w:t>52</w:t>
            </w:r>
          </w:p>
        </w:tc>
        <w:tc>
          <w:tcPr>
            <w:tcW w:w="577" w:type="pct"/>
            <w:vAlign w:val="center"/>
          </w:tcPr>
          <w:p>
            <w:pPr>
              <w:pStyle w:val="39"/>
              <w:rPr>
                <w:rFonts w:cs="Times New Roman"/>
              </w:rPr>
            </w:pPr>
            <w:r>
              <w:rPr>
                <w:rFonts w:hint="eastAsia" w:cs="Times New Roman"/>
              </w:rPr>
              <w:t>52.56</w:t>
            </w:r>
          </w:p>
        </w:tc>
        <w:tc>
          <w:tcPr>
            <w:tcW w:w="687" w:type="pct"/>
            <w:vMerge w:val="restart"/>
            <w:vAlign w:val="center"/>
          </w:tcPr>
          <w:p>
            <w:pPr>
              <w:pStyle w:val="39"/>
              <w:rPr>
                <w:rFonts w:cs="Times New Roman"/>
              </w:rPr>
            </w:pPr>
            <w:r>
              <w:rPr>
                <w:rFonts w:cs="Times New Roman"/>
              </w:rPr>
              <w:t>昼间≤60；</w:t>
            </w:r>
          </w:p>
          <w:p>
            <w:pPr>
              <w:pStyle w:val="39"/>
              <w:rPr>
                <w:rFonts w:cs="Times New Roman"/>
              </w:rPr>
            </w:pPr>
            <w:r>
              <w:rPr>
                <w:rFonts w:cs="Times New Roman"/>
              </w:rPr>
              <w:t>夜间≤50</w:t>
            </w:r>
          </w:p>
        </w:tc>
        <w:tc>
          <w:tcPr>
            <w:tcW w:w="685" w:type="pct"/>
            <w:vAlign w:val="center"/>
          </w:tcPr>
          <w:p>
            <w:pPr>
              <w:pStyle w:val="39"/>
              <w:rPr>
                <w:rFonts w:cs="Times New Roman"/>
              </w:rPr>
            </w:pPr>
            <w:r>
              <w:rPr>
                <w:rFonts w:cs="Times New Roma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15" w:type="pct"/>
            <w:vMerge w:val="continue"/>
            <w:vAlign w:val="center"/>
          </w:tcPr>
          <w:p>
            <w:pPr>
              <w:pStyle w:val="39"/>
              <w:rPr>
                <w:rFonts w:cs="Times New Roman"/>
              </w:rPr>
            </w:pPr>
          </w:p>
        </w:tc>
        <w:tc>
          <w:tcPr>
            <w:tcW w:w="635" w:type="pct"/>
            <w:vMerge w:val="continue"/>
            <w:vAlign w:val="center"/>
          </w:tcPr>
          <w:p>
            <w:pPr>
              <w:pStyle w:val="39"/>
              <w:rPr>
                <w:rFonts w:cs="Times New Roman"/>
              </w:rPr>
            </w:pPr>
          </w:p>
        </w:tc>
        <w:tc>
          <w:tcPr>
            <w:tcW w:w="533" w:type="pct"/>
            <w:vAlign w:val="center"/>
          </w:tcPr>
          <w:p>
            <w:pPr>
              <w:pStyle w:val="39"/>
              <w:rPr>
                <w:rFonts w:cs="Times New Roman"/>
              </w:rPr>
            </w:pPr>
            <w:r>
              <w:rPr>
                <w:rFonts w:cs="Times New Roman"/>
              </w:rPr>
              <w:t>夜间</w:t>
            </w:r>
          </w:p>
        </w:tc>
        <w:tc>
          <w:tcPr>
            <w:tcW w:w="801" w:type="pct"/>
            <w:vAlign w:val="center"/>
          </w:tcPr>
          <w:p>
            <w:pPr>
              <w:pStyle w:val="39"/>
              <w:rPr>
                <w:rFonts w:cs="Times New Roman"/>
                <w:b/>
              </w:rPr>
            </w:pPr>
            <w:r>
              <w:rPr>
                <w:rFonts w:cs="Times New Roman"/>
              </w:rPr>
              <w:t>43.37</w:t>
            </w:r>
          </w:p>
        </w:tc>
        <w:tc>
          <w:tcPr>
            <w:tcW w:w="666" w:type="pct"/>
            <w:vAlign w:val="center"/>
          </w:tcPr>
          <w:p>
            <w:pPr>
              <w:pStyle w:val="39"/>
              <w:rPr>
                <w:rFonts w:cs="Times New Roman"/>
              </w:rPr>
            </w:pPr>
            <w:r>
              <w:rPr>
                <w:rFonts w:hint="eastAsia" w:cs="Times New Roman"/>
              </w:rPr>
              <w:t>44</w:t>
            </w:r>
          </w:p>
        </w:tc>
        <w:tc>
          <w:tcPr>
            <w:tcW w:w="577" w:type="pct"/>
            <w:vAlign w:val="center"/>
          </w:tcPr>
          <w:p>
            <w:pPr>
              <w:pStyle w:val="39"/>
              <w:rPr>
                <w:rFonts w:cs="Times New Roman"/>
              </w:rPr>
            </w:pPr>
            <w:r>
              <w:rPr>
                <w:rFonts w:cs="Times New Roman"/>
              </w:rPr>
              <w:t>4</w:t>
            </w:r>
            <w:r>
              <w:rPr>
                <w:rFonts w:hint="eastAsia" w:cs="Times New Roman"/>
              </w:rPr>
              <w:t>6.71</w:t>
            </w:r>
          </w:p>
        </w:tc>
        <w:tc>
          <w:tcPr>
            <w:tcW w:w="687" w:type="pct"/>
            <w:vMerge w:val="continue"/>
            <w:vAlign w:val="center"/>
          </w:tcPr>
          <w:p>
            <w:pPr>
              <w:pStyle w:val="39"/>
              <w:rPr>
                <w:rFonts w:cs="Times New Roman"/>
              </w:rPr>
            </w:pPr>
          </w:p>
        </w:tc>
        <w:tc>
          <w:tcPr>
            <w:tcW w:w="685" w:type="pct"/>
            <w:vAlign w:val="center"/>
          </w:tcPr>
          <w:p>
            <w:pPr>
              <w:pStyle w:val="39"/>
              <w:rPr>
                <w:rFonts w:cs="Times New Roman"/>
              </w:rPr>
            </w:pPr>
            <w:r>
              <w:rPr>
                <w:rFonts w:cs="Times New Roma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5" w:type="pct"/>
            <w:vMerge w:val="restart"/>
            <w:vAlign w:val="center"/>
          </w:tcPr>
          <w:p>
            <w:pPr>
              <w:pStyle w:val="39"/>
              <w:rPr>
                <w:rFonts w:cs="Times New Roman"/>
              </w:rPr>
            </w:pPr>
            <w:r>
              <w:rPr>
                <w:rFonts w:cs="Times New Roman"/>
              </w:rPr>
              <w:t>2</w:t>
            </w:r>
          </w:p>
        </w:tc>
        <w:tc>
          <w:tcPr>
            <w:tcW w:w="635" w:type="pct"/>
            <w:vMerge w:val="restart"/>
            <w:vAlign w:val="center"/>
          </w:tcPr>
          <w:p>
            <w:pPr>
              <w:pStyle w:val="39"/>
              <w:rPr>
                <w:rFonts w:cs="Times New Roman"/>
              </w:rPr>
            </w:pPr>
            <w:r>
              <w:rPr>
                <w:rFonts w:cs="Times New Roman"/>
              </w:rPr>
              <w:t>南场界</w:t>
            </w:r>
          </w:p>
        </w:tc>
        <w:tc>
          <w:tcPr>
            <w:tcW w:w="533" w:type="pct"/>
            <w:vAlign w:val="center"/>
          </w:tcPr>
          <w:p>
            <w:pPr>
              <w:pStyle w:val="39"/>
              <w:rPr>
                <w:rFonts w:cs="Times New Roman"/>
              </w:rPr>
            </w:pPr>
            <w:r>
              <w:rPr>
                <w:rFonts w:cs="Times New Roman"/>
              </w:rPr>
              <w:t>昼间</w:t>
            </w:r>
          </w:p>
        </w:tc>
        <w:tc>
          <w:tcPr>
            <w:tcW w:w="801" w:type="pct"/>
            <w:vAlign w:val="center"/>
          </w:tcPr>
          <w:p>
            <w:pPr>
              <w:pStyle w:val="39"/>
              <w:rPr>
                <w:rFonts w:cs="Times New Roman"/>
              </w:rPr>
            </w:pPr>
            <w:r>
              <w:rPr>
                <w:rFonts w:cs="Times New Roman"/>
              </w:rPr>
              <w:t>45.79</w:t>
            </w:r>
          </w:p>
        </w:tc>
        <w:tc>
          <w:tcPr>
            <w:tcW w:w="666" w:type="pct"/>
            <w:vAlign w:val="center"/>
          </w:tcPr>
          <w:p>
            <w:pPr>
              <w:pStyle w:val="39"/>
              <w:rPr>
                <w:rFonts w:cs="Times New Roman"/>
              </w:rPr>
            </w:pPr>
            <w:r>
              <w:rPr>
                <w:rFonts w:hint="eastAsia" w:cs="Times New Roman"/>
              </w:rPr>
              <w:t>53</w:t>
            </w:r>
          </w:p>
        </w:tc>
        <w:tc>
          <w:tcPr>
            <w:tcW w:w="577" w:type="pct"/>
            <w:vAlign w:val="center"/>
          </w:tcPr>
          <w:p>
            <w:pPr>
              <w:pStyle w:val="39"/>
              <w:rPr>
                <w:rFonts w:cs="Times New Roman"/>
              </w:rPr>
            </w:pPr>
            <w:r>
              <w:rPr>
                <w:rFonts w:hint="eastAsia" w:cs="Times New Roman"/>
              </w:rPr>
              <w:t>53.76</w:t>
            </w:r>
          </w:p>
        </w:tc>
        <w:tc>
          <w:tcPr>
            <w:tcW w:w="687" w:type="pct"/>
            <w:vMerge w:val="continue"/>
            <w:vAlign w:val="center"/>
          </w:tcPr>
          <w:p>
            <w:pPr>
              <w:pStyle w:val="39"/>
              <w:rPr>
                <w:rFonts w:cs="Times New Roman"/>
              </w:rPr>
            </w:pPr>
          </w:p>
        </w:tc>
        <w:tc>
          <w:tcPr>
            <w:tcW w:w="685" w:type="pct"/>
            <w:vAlign w:val="center"/>
          </w:tcPr>
          <w:p>
            <w:pPr>
              <w:pStyle w:val="39"/>
              <w:rPr>
                <w:rFonts w:cs="Times New Roman"/>
              </w:rPr>
            </w:pPr>
            <w:r>
              <w:rPr>
                <w:rFonts w:cs="Times New Roma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5" w:type="pct"/>
            <w:vMerge w:val="continue"/>
            <w:vAlign w:val="center"/>
          </w:tcPr>
          <w:p>
            <w:pPr>
              <w:pStyle w:val="39"/>
              <w:rPr>
                <w:rFonts w:cs="Times New Roman"/>
              </w:rPr>
            </w:pPr>
          </w:p>
        </w:tc>
        <w:tc>
          <w:tcPr>
            <w:tcW w:w="635" w:type="pct"/>
            <w:vMerge w:val="continue"/>
            <w:vAlign w:val="center"/>
          </w:tcPr>
          <w:p>
            <w:pPr>
              <w:pStyle w:val="39"/>
              <w:rPr>
                <w:rFonts w:cs="Times New Roman"/>
              </w:rPr>
            </w:pPr>
          </w:p>
        </w:tc>
        <w:tc>
          <w:tcPr>
            <w:tcW w:w="533" w:type="pct"/>
            <w:vAlign w:val="center"/>
          </w:tcPr>
          <w:p>
            <w:pPr>
              <w:pStyle w:val="39"/>
              <w:rPr>
                <w:rFonts w:cs="Times New Roman"/>
              </w:rPr>
            </w:pPr>
            <w:r>
              <w:rPr>
                <w:rFonts w:cs="Times New Roman"/>
              </w:rPr>
              <w:t>夜间</w:t>
            </w:r>
          </w:p>
        </w:tc>
        <w:tc>
          <w:tcPr>
            <w:tcW w:w="801" w:type="pct"/>
            <w:vAlign w:val="center"/>
          </w:tcPr>
          <w:p>
            <w:pPr>
              <w:pStyle w:val="39"/>
              <w:rPr>
                <w:rFonts w:cs="Times New Roman"/>
              </w:rPr>
            </w:pPr>
            <w:r>
              <w:rPr>
                <w:rFonts w:cs="Times New Roman"/>
              </w:rPr>
              <w:t>45.79</w:t>
            </w:r>
          </w:p>
        </w:tc>
        <w:tc>
          <w:tcPr>
            <w:tcW w:w="666" w:type="pct"/>
            <w:vAlign w:val="center"/>
          </w:tcPr>
          <w:p>
            <w:pPr>
              <w:pStyle w:val="39"/>
              <w:rPr>
                <w:rFonts w:cs="Times New Roman"/>
              </w:rPr>
            </w:pPr>
            <w:r>
              <w:rPr>
                <w:rFonts w:hint="eastAsia" w:cs="Times New Roman"/>
              </w:rPr>
              <w:t>43</w:t>
            </w:r>
          </w:p>
        </w:tc>
        <w:tc>
          <w:tcPr>
            <w:tcW w:w="577" w:type="pct"/>
            <w:vAlign w:val="center"/>
          </w:tcPr>
          <w:p>
            <w:pPr>
              <w:pStyle w:val="39"/>
              <w:rPr>
                <w:rFonts w:cs="Times New Roman"/>
              </w:rPr>
            </w:pPr>
            <w:r>
              <w:rPr>
                <w:rFonts w:cs="Times New Roman"/>
              </w:rPr>
              <w:t>47.63</w:t>
            </w:r>
          </w:p>
        </w:tc>
        <w:tc>
          <w:tcPr>
            <w:tcW w:w="687" w:type="pct"/>
            <w:vMerge w:val="continue"/>
            <w:vAlign w:val="center"/>
          </w:tcPr>
          <w:p>
            <w:pPr>
              <w:pStyle w:val="39"/>
              <w:rPr>
                <w:rFonts w:cs="Times New Roman"/>
              </w:rPr>
            </w:pPr>
          </w:p>
        </w:tc>
        <w:tc>
          <w:tcPr>
            <w:tcW w:w="685" w:type="pct"/>
            <w:vAlign w:val="center"/>
          </w:tcPr>
          <w:p>
            <w:pPr>
              <w:pStyle w:val="39"/>
              <w:rPr>
                <w:rFonts w:cs="Times New Roman"/>
              </w:rPr>
            </w:pPr>
            <w:r>
              <w:rPr>
                <w:rFonts w:cs="Times New Roma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5" w:type="pct"/>
            <w:vMerge w:val="restart"/>
            <w:vAlign w:val="center"/>
          </w:tcPr>
          <w:p>
            <w:pPr>
              <w:pStyle w:val="39"/>
              <w:rPr>
                <w:rFonts w:cs="Times New Roman"/>
              </w:rPr>
            </w:pPr>
            <w:r>
              <w:rPr>
                <w:rFonts w:cs="Times New Roman"/>
              </w:rPr>
              <w:t>3</w:t>
            </w:r>
          </w:p>
        </w:tc>
        <w:tc>
          <w:tcPr>
            <w:tcW w:w="635" w:type="pct"/>
            <w:vMerge w:val="restart"/>
            <w:vAlign w:val="center"/>
          </w:tcPr>
          <w:p>
            <w:pPr>
              <w:pStyle w:val="39"/>
              <w:rPr>
                <w:rFonts w:cs="Times New Roman"/>
              </w:rPr>
            </w:pPr>
            <w:r>
              <w:rPr>
                <w:rFonts w:cs="Times New Roman"/>
              </w:rPr>
              <w:t>西场界</w:t>
            </w:r>
          </w:p>
        </w:tc>
        <w:tc>
          <w:tcPr>
            <w:tcW w:w="533" w:type="pct"/>
            <w:vAlign w:val="center"/>
          </w:tcPr>
          <w:p>
            <w:pPr>
              <w:pStyle w:val="39"/>
              <w:rPr>
                <w:rFonts w:cs="Times New Roman"/>
              </w:rPr>
            </w:pPr>
            <w:r>
              <w:rPr>
                <w:rFonts w:cs="Times New Roman"/>
              </w:rPr>
              <w:t>昼间</w:t>
            </w:r>
          </w:p>
        </w:tc>
        <w:tc>
          <w:tcPr>
            <w:tcW w:w="801" w:type="pct"/>
            <w:vAlign w:val="center"/>
          </w:tcPr>
          <w:p>
            <w:pPr>
              <w:pStyle w:val="39"/>
              <w:rPr>
                <w:rFonts w:cs="Times New Roman"/>
              </w:rPr>
            </w:pPr>
            <w:r>
              <w:rPr>
                <w:rFonts w:cs="Times New Roman"/>
              </w:rPr>
              <w:t>45.27</w:t>
            </w:r>
          </w:p>
        </w:tc>
        <w:tc>
          <w:tcPr>
            <w:tcW w:w="666" w:type="pct"/>
            <w:vAlign w:val="center"/>
          </w:tcPr>
          <w:p>
            <w:pPr>
              <w:pStyle w:val="39"/>
              <w:rPr>
                <w:rFonts w:cs="Times New Roman"/>
              </w:rPr>
            </w:pPr>
            <w:r>
              <w:rPr>
                <w:rFonts w:hint="eastAsia" w:cs="Times New Roman"/>
              </w:rPr>
              <w:t>53</w:t>
            </w:r>
          </w:p>
        </w:tc>
        <w:tc>
          <w:tcPr>
            <w:tcW w:w="577" w:type="pct"/>
            <w:vAlign w:val="center"/>
          </w:tcPr>
          <w:p>
            <w:pPr>
              <w:pStyle w:val="39"/>
              <w:rPr>
                <w:rFonts w:cs="Times New Roman"/>
              </w:rPr>
            </w:pPr>
            <w:r>
              <w:rPr>
                <w:rFonts w:cs="Times New Roman"/>
              </w:rPr>
              <w:t>53.68</w:t>
            </w:r>
          </w:p>
        </w:tc>
        <w:tc>
          <w:tcPr>
            <w:tcW w:w="687" w:type="pct"/>
            <w:vMerge w:val="continue"/>
            <w:vAlign w:val="center"/>
          </w:tcPr>
          <w:p>
            <w:pPr>
              <w:pStyle w:val="39"/>
              <w:rPr>
                <w:rFonts w:cs="Times New Roman"/>
              </w:rPr>
            </w:pPr>
          </w:p>
        </w:tc>
        <w:tc>
          <w:tcPr>
            <w:tcW w:w="685" w:type="pct"/>
            <w:vAlign w:val="center"/>
          </w:tcPr>
          <w:p>
            <w:pPr>
              <w:pStyle w:val="39"/>
              <w:rPr>
                <w:rFonts w:cs="Times New Roman"/>
              </w:rPr>
            </w:pPr>
            <w:r>
              <w:rPr>
                <w:rFonts w:cs="Times New Roma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5" w:type="pct"/>
            <w:vMerge w:val="continue"/>
            <w:vAlign w:val="center"/>
          </w:tcPr>
          <w:p>
            <w:pPr>
              <w:pStyle w:val="39"/>
              <w:rPr>
                <w:rFonts w:cs="Times New Roman"/>
              </w:rPr>
            </w:pPr>
          </w:p>
        </w:tc>
        <w:tc>
          <w:tcPr>
            <w:tcW w:w="635" w:type="pct"/>
            <w:vMerge w:val="continue"/>
            <w:vAlign w:val="center"/>
          </w:tcPr>
          <w:p>
            <w:pPr>
              <w:pStyle w:val="39"/>
              <w:rPr>
                <w:rFonts w:cs="Times New Roman"/>
              </w:rPr>
            </w:pPr>
          </w:p>
        </w:tc>
        <w:tc>
          <w:tcPr>
            <w:tcW w:w="533" w:type="pct"/>
            <w:vAlign w:val="center"/>
          </w:tcPr>
          <w:p>
            <w:pPr>
              <w:pStyle w:val="39"/>
              <w:rPr>
                <w:rFonts w:cs="Times New Roman"/>
              </w:rPr>
            </w:pPr>
            <w:r>
              <w:rPr>
                <w:rFonts w:cs="Times New Roman"/>
              </w:rPr>
              <w:t>夜间</w:t>
            </w:r>
          </w:p>
        </w:tc>
        <w:tc>
          <w:tcPr>
            <w:tcW w:w="801" w:type="pct"/>
            <w:vAlign w:val="center"/>
          </w:tcPr>
          <w:p>
            <w:pPr>
              <w:pStyle w:val="39"/>
              <w:rPr>
                <w:rFonts w:cs="Times New Roman"/>
              </w:rPr>
            </w:pPr>
            <w:r>
              <w:rPr>
                <w:rFonts w:cs="Times New Roman"/>
              </w:rPr>
              <w:t>45.27</w:t>
            </w:r>
          </w:p>
        </w:tc>
        <w:tc>
          <w:tcPr>
            <w:tcW w:w="666" w:type="pct"/>
            <w:vAlign w:val="center"/>
          </w:tcPr>
          <w:p>
            <w:pPr>
              <w:pStyle w:val="39"/>
              <w:rPr>
                <w:rFonts w:cs="Times New Roman"/>
              </w:rPr>
            </w:pPr>
            <w:r>
              <w:rPr>
                <w:rFonts w:hint="eastAsia" w:cs="Times New Roman"/>
              </w:rPr>
              <w:t>42</w:t>
            </w:r>
          </w:p>
        </w:tc>
        <w:tc>
          <w:tcPr>
            <w:tcW w:w="577" w:type="pct"/>
            <w:vAlign w:val="center"/>
          </w:tcPr>
          <w:p>
            <w:pPr>
              <w:pStyle w:val="39"/>
              <w:rPr>
                <w:rFonts w:cs="Times New Roman"/>
              </w:rPr>
            </w:pPr>
            <w:r>
              <w:rPr>
                <w:rFonts w:cs="Times New Roman"/>
              </w:rPr>
              <w:t>46.95</w:t>
            </w:r>
          </w:p>
        </w:tc>
        <w:tc>
          <w:tcPr>
            <w:tcW w:w="687" w:type="pct"/>
            <w:vMerge w:val="continue"/>
            <w:vAlign w:val="center"/>
          </w:tcPr>
          <w:p>
            <w:pPr>
              <w:pStyle w:val="39"/>
              <w:rPr>
                <w:rFonts w:cs="Times New Roman"/>
              </w:rPr>
            </w:pPr>
          </w:p>
        </w:tc>
        <w:tc>
          <w:tcPr>
            <w:tcW w:w="685" w:type="pct"/>
            <w:vAlign w:val="center"/>
          </w:tcPr>
          <w:p>
            <w:pPr>
              <w:pStyle w:val="39"/>
              <w:rPr>
                <w:rFonts w:cs="Times New Roman"/>
              </w:rPr>
            </w:pPr>
            <w:r>
              <w:rPr>
                <w:rFonts w:cs="Times New Roma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5" w:type="pct"/>
            <w:vMerge w:val="restart"/>
            <w:vAlign w:val="center"/>
          </w:tcPr>
          <w:p>
            <w:pPr>
              <w:pStyle w:val="39"/>
              <w:rPr>
                <w:rFonts w:cs="Times New Roman"/>
              </w:rPr>
            </w:pPr>
            <w:r>
              <w:rPr>
                <w:rFonts w:cs="Times New Roman"/>
              </w:rPr>
              <w:t>4</w:t>
            </w:r>
          </w:p>
        </w:tc>
        <w:tc>
          <w:tcPr>
            <w:tcW w:w="635" w:type="pct"/>
            <w:vMerge w:val="restart"/>
            <w:vAlign w:val="center"/>
          </w:tcPr>
          <w:p>
            <w:pPr>
              <w:pStyle w:val="39"/>
              <w:rPr>
                <w:rFonts w:cs="Times New Roman"/>
              </w:rPr>
            </w:pPr>
            <w:r>
              <w:rPr>
                <w:rFonts w:cs="Times New Roman"/>
              </w:rPr>
              <w:t>北场界</w:t>
            </w:r>
          </w:p>
        </w:tc>
        <w:tc>
          <w:tcPr>
            <w:tcW w:w="533" w:type="pct"/>
            <w:vAlign w:val="center"/>
          </w:tcPr>
          <w:p>
            <w:pPr>
              <w:pStyle w:val="39"/>
              <w:rPr>
                <w:rFonts w:cs="Times New Roman"/>
              </w:rPr>
            </w:pPr>
            <w:r>
              <w:rPr>
                <w:rFonts w:cs="Times New Roman"/>
              </w:rPr>
              <w:t>昼间</w:t>
            </w:r>
          </w:p>
        </w:tc>
        <w:tc>
          <w:tcPr>
            <w:tcW w:w="801" w:type="pct"/>
            <w:vAlign w:val="center"/>
          </w:tcPr>
          <w:p>
            <w:pPr>
              <w:pStyle w:val="39"/>
              <w:rPr>
                <w:rFonts w:cs="Times New Roman"/>
              </w:rPr>
            </w:pPr>
            <w:r>
              <w:rPr>
                <w:rFonts w:cs="Times New Roman"/>
              </w:rPr>
              <w:t>43.3</w:t>
            </w:r>
          </w:p>
        </w:tc>
        <w:tc>
          <w:tcPr>
            <w:tcW w:w="666" w:type="pct"/>
            <w:vAlign w:val="center"/>
          </w:tcPr>
          <w:p>
            <w:pPr>
              <w:pStyle w:val="39"/>
              <w:rPr>
                <w:rFonts w:cs="Times New Roman"/>
              </w:rPr>
            </w:pPr>
            <w:r>
              <w:rPr>
                <w:rFonts w:hint="eastAsia" w:cs="Times New Roman"/>
              </w:rPr>
              <w:t>52</w:t>
            </w:r>
          </w:p>
        </w:tc>
        <w:tc>
          <w:tcPr>
            <w:tcW w:w="577" w:type="pct"/>
            <w:vAlign w:val="center"/>
          </w:tcPr>
          <w:p>
            <w:pPr>
              <w:pStyle w:val="39"/>
              <w:rPr>
                <w:rFonts w:cs="Times New Roman"/>
              </w:rPr>
            </w:pPr>
            <w:r>
              <w:rPr>
                <w:rFonts w:cs="Times New Roman"/>
              </w:rPr>
              <w:t>52.55</w:t>
            </w:r>
          </w:p>
        </w:tc>
        <w:tc>
          <w:tcPr>
            <w:tcW w:w="687" w:type="pct"/>
            <w:vMerge w:val="continue"/>
            <w:vAlign w:val="center"/>
          </w:tcPr>
          <w:p>
            <w:pPr>
              <w:pStyle w:val="39"/>
              <w:rPr>
                <w:rFonts w:cs="Times New Roman"/>
              </w:rPr>
            </w:pPr>
          </w:p>
        </w:tc>
        <w:tc>
          <w:tcPr>
            <w:tcW w:w="685" w:type="pct"/>
            <w:vAlign w:val="center"/>
          </w:tcPr>
          <w:p>
            <w:pPr>
              <w:pStyle w:val="39"/>
              <w:rPr>
                <w:rFonts w:cs="Times New Roman"/>
              </w:rPr>
            </w:pPr>
            <w:r>
              <w:rPr>
                <w:rFonts w:cs="Times New Roma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5" w:type="pct"/>
            <w:vMerge w:val="continue"/>
            <w:vAlign w:val="center"/>
          </w:tcPr>
          <w:p>
            <w:pPr>
              <w:pStyle w:val="39"/>
              <w:rPr>
                <w:rFonts w:cs="Times New Roman"/>
              </w:rPr>
            </w:pPr>
          </w:p>
        </w:tc>
        <w:tc>
          <w:tcPr>
            <w:tcW w:w="635" w:type="pct"/>
            <w:vMerge w:val="continue"/>
            <w:vAlign w:val="center"/>
          </w:tcPr>
          <w:p>
            <w:pPr>
              <w:pStyle w:val="39"/>
              <w:rPr>
                <w:rFonts w:cs="Times New Roman"/>
              </w:rPr>
            </w:pPr>
          </w:p>
        </w:tc>
        <w:tc>
          <w:tcPr>
            <w:tcW w:w="533" w:type="pct"/>
            <w:vAlign w:val="center"/>
          </w:tcPr>
          <w:p>
            <w:pPr>
              <w:pStyle w:val="39"/>
              <w:rPr>
                <w:rFonts w:cs="Times New Roman"/>
              </w:rPr>
            </w:pPr>
            <w:r>
              <w:rPr>
                <w:rFonts w:cs="Times New Roman"/>
              </w:rPr>
              <w:t>夜间</w:t>
            </w:r>
          </w:p>
        </w:tc>
        <w:tc>
          <w:tcPr>
            <w:tcW w:w="801" w:type="pct"/>
            <w:vAlign w:val="center"/>
          </w:tcPr>
          <w:p>
            <w:pPr>
              <w:pStyle w:val="39"/>
              <w:rPr>
                <w:rFonts w:cs="Times New Roman"/>
              </w:rPr>
            </w:pPr>
            <w:r>
              <w:rPr>
                <w:rFonts w:cs="Times New Roman"/>
              </w:rPr>
              <w:t>43.3</w:t>
            </w:r>
          </w:p>
        </w:tc>
        <w:tc>
          <w:tcPr>
            <w:tcW w:w="666" w:type="pct"/>
            <w:vAlign w:val="center"/>
          </w:tcPr>
          <w:p>
            <w:pPr>
              <w:pStyle w:val="39"/>
              <w:rPr>
                <w:rFonts w:cs="Times New Roman"/>
              </w:rPr>
            </w:pPr>
            <w:r>
              <w:rPr>
                <w:rFonts w:hint="eastAsia" w:cs="Times New Roman"/>
              </w:rPr>
              <w:t>43</w:t>
            </w:r>
          </w:p>
        </w:tc>
        <w:tc>
          <w:tcPr>
            <w:tcW w:w="577" w:type="pct"/>
            <w:vAlign w:val="center"/>
          </w:tcPr>
          <w:p>
            <w:pPr>
              <w:pStyle w:val="39"/>
              <w:rPr>
                <w:rFonts w:cs="Times New Roman"/>
              </w:rPr>
            </w:pPr>
            <w:r>
              <w:rPr>
                <w:rFonts w:cs="Times New Roman"/>
              </w:rPr>
              <w:t>46.16</w:t>
            </w:r>
          </w:p>
        </w:tc>
        <w:tc>
          <w:tcPr>
            <w:tcW w:w="687" w:type="pct"/>
            <w:vMerge w:val="continue"/>
            <w:vAlign w:val="center"/>
          </w:tcPr>
          <w:p>
            <w:pPr>
              <w:pStyle w:val="39"/>
              <w:rPr>
                <w:rFonts w:cs="Times New Roman"/>
              </w:rPr>
            </w:pPr>
          </w:p>
        </w:tc>
        <w:tc>
          <w:tcPr>
            <w:tcW w:w="685" w:type="pct"/>
            <w:vAlign w:val="center"/>
          </w:tcPr>
          <w:p>
            <w:pPr>
              <w:pStyle w:val="39"/>
              <w:rPr>
                <w:rFonts w:cs="Times New Roman"/>
              </w:rPr>
            </w:pPr>
            <w:r>
              <w:rPr>
                <w:rFonts w:cs="Times New Roma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5" w:type="pct"/>
            <w:vMerge w:val="restart"/>
            <w:vAlign w:val="center"/>
          </w:tcPr>
          <w:p>
            <w:pPr>
              <w:pStyle w:val="39"/>
              <w:rPr>
                <w:rFonts w:cs="Times New Roman"/>
              </w:rPr>
            </w:pPr>
            <w:r>
              <w:rPr>
                <w:rFonts w:hint="eastAsia" w:cs="Times New Roman"/>
              </w:rPr>
              <w:t>5</w:t>
            </w:r>
          </w:p>
        </w:tc>
        <w:tc>
          <w:tcPr>
            <w:tcW w:w="635" w:type="pct"/>
            <w:vMerge w:val="restart"/>
            <w:vAlign w:val="center"/>
          </w:tcPr>
          <w:p>
            <w:pPr>
              <w:pStyle w:val="39"/>
              <w:rPr>
                <w:rFonts w:cs="Times New Roman"/>
              </w:rPr>
            </w:pPr>
            <w:r>
              <w:t>厂界西南55m散户居民点</w:t>
            </w:r>
          </w:p>
        </w:tc>
        <w:tc>
          <w:tcPr>
            <w:tcW w:w="533" w:type="pct"/>
            <w:vAlign w:val="center"/>
          </w:tcPr>
          <w:p>
            <w:pPr>
              <w:pStyle w:val="39"/>
              <w:rPr>
                <w:rFonts w:cs="Times New Roman"/>
              </w:rPr>
            </w:pPr>
            <w:r>
              <w:rPr>
                <w:rFonts w:cs="Times New Roman"/>
              </w:rPr>
              <w:t>昼间</w:t>
            </w:r>
          </w:p>
        </w:tc>
        <w:tc>
          <w:tcPr>
            <w:tcW w:w="801" w:type="pct"/>
            <w:vAlign w:val="center"/>
          </w:tcPr>
          <w:p>
            <w:pPr>
              <w:pStyle w:val="39"/>
              <w:rPr>
                <w:rFonts w:cs="Times New Roman"/>
              </w:rPr>
            </w:pPr>
            <w:r>
              <w:rPr>
                <w:rFonts w:hint="eastAsia" w:cs="Times New Roman"/>
              </w:rPr>
              <w:t>11.0</w:t>
            </w:r>
          </w:p>
        </w:tc>
        <w:tc>
          <w:tcPr>
            <w:tcW w:w="666" w:type="pct"/>
            <w:vAlign w:val="center"/>
          </w:tcPr>
          <w:p>
            <w:pPr>
              <w:pStyle w:val="39"/>
              <w:rPr>
                <w:rFonts w:cs="Times New Roman"/>
              </w:rPr>
            </w:pPr>
            <w:r>
              <w:rPr>
                <w:rFonts w:hint="eastAsia" w:cs="Times New Roman"/>
              </w:rPr>
              <w:t>51</w:t>
            </w:r>
          </w:p>
        </w:tc>
        <w:tc>
          <w:tcPr>
            <w:tcW w:w="577" w:type="pct"/>
            <w:vAlign w:val="center"/>
          </w:tcPr>
          <w:p>
            <w:pPr>
              <w:pStyle w:val="39"/>
              <w:rPr>
                <w:rFonts w:cs="Times New Roman"/>
              </w:rPr>
            </w:pPr>
            <w:r>
              <w:rPr>
                <w:rFonts w:hint="eastAsia" w:cs="Times New Roman"/>
              </w:rPr>
              <w:t>51</w:t>
            </w:r>
          </w:p>
        </w:tc>
        <w:tc>
          <w:tcPr>
            <w:tcW w:w="687" w:type="pct"/>
            <w:vMerge w:val="continue"/>
            <w:vAlign w:val="center"/>
          </w:tcPr>
          <w:p>
            <w:pPr>
              <w:pStyle w:val="39"/>
              <w:rPr>
                <w:rFonts w:cs="Times New Roman"/>
              </w:rPr>
            </w:pPr>
          </w:p>
        </w:tc>
        <w:tc>
          <w:tcPr>
            <w:tcW w:w="685" w:type="pct"/>
            <w:vAlign w:val="center"/>
          </w:tcPr>
          <w:p>
            <w:pPr>
              <w:pStyle w:val="39"/>
              <w:rPr>
                <w:rFonts w:cs="Times New Roman"/>
              </w:rPr>
            </w:pPr>
            <w:r>
              <w:rPr>
                <w:rFonts w:cs="Times New Roma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5" w:type="pct"/>
            <w:vMerge w:val="continue"/>
            <w:vAlign w:val="center"/>
          </w:tcPr>
          <w:p>
            <w:pPr>
              <w:pStyle w:val="39"/>
              <w:rPr>
                <w:rFonts w:cs="Times New Roman"/>
              </w:rPr>
            </w:pPr>
          </w:p>
        </w:tc>
        <w:tc>
          <w:tcPr>
            <w:tcW w:w="635" w:type="pct"/>
            <w:vMerge w:val="continue"/>
            <w:vAlign w:val="center"/>
          </w:tcPr>
          <w:p>
            <w:pPr>
              <w:pStyle w:val="39"/>
              <w:rPr>
                <w:rFonts w:cs="Times New Roman"/>
              </w:rPr>
            </w:pPr>
          </w:p>
        </w:tc>
        <w:tc>
          <w:tcPr>
            <w:tcW w:w="533" w:type="pct"/>
            <w:vAlign w:val="center"/>
          </w:tcPr>
          <w:p>
            <w:pPr>
              <w:pStyle w:val="39"/>
              <w:rPr>
                <w:rFonts w:cs="Times New Roman"/>
              </w:rPr>
            </w:pPr>
            <w:r>
              <w:rPr>
                <w:rFonts w:cs="Times New Roman"/>
              </w:rPr>
              <w:t>夜间</w:t>
            </w:r>
          </w:p>
        </w:tc>
        <w:tc>
          <w:tcPr>
            <w:tcW w:w="801" w:type="pct"/>
            <w:vAlign w:val="center"/>
          </w:tcPr>
          <w:p>
            <w:pPr>
              <w:pStyle w:val="39"/>
              <w:rPr>
                <w:rFonts w:cs="Times New Roman"/>
              </w:rPr>
            </w:pPr>
            <w:r>
              <w:rPr>
                <w:rFonts w:hint="eastAsia" w:cs="Times New Roman"/>
              </w:rPr>
              <w:t>11.0</w:t>
            </w:r>
          </w:p>
        </w:tc>
        <w:tc>
          <w:tcPr>
            <w:tcW w:w="666" w:type="pct"/>
            <w:vAlign w:val="center"/>
          </w:tcPr>
          <w:p>
            <w:pPr>
              <w:pStyle w:val="39"/>
              <w:rPr>
                <w:rFonts w:cs="Times New Roman"/>
              </w:rPr>
            </w:pPr>
            <w:r>
              <w:rPr>
                <w:rFonts w:hint="eastAsia" w:cs="Times New Roman"/>
              </w:rPr>
              <w:t>42</w:t>
            </w:r>
          </w:p>
        </w:tc>
        <w:tc>
          <w:tcPr>
            <w:tcW w:w="577" w:type="pct"/>
            <w:vAlign w:val="center"/>
          </w:tcPr>
          <w:p>
            <w:pPr>
              <w:pStyle w:val="39"/>
              <w:rPr>
                <w:rFonts w:cs="Times New Roman"/>
              </w:rPr>
            </w:pPr>
            <w:r>
              <w:rPr>
                <w:rFonts w:hint="eastAsia" w:cs="Times New Roman"/>
              </w:rPr>
              <w:t>42</w:t>
            </w:r>
          </w:p>
        </w:tc>
        <w:tc>
          <w:tcPr>
            <w:tcW w:w="687" w:type="pct"/>
            <w:vMerge w:val="continue"/>
            <w:vAlign w:val="center"/>
          </w:tcPr>
          <w:p>
            <w:pPr>
              <w:pStyle w:val="39"/>
              <w:rPr>
                <w:rFonts w:cs="Times New Roman"/>
              </w:rPr>
            </w:pPr>
          </w:p>
        </w:tc>
        <w:tc>
          <w:tcPr>
            <w:tcW w:w="685" w:type="pct"/>
            <w:vAlign w:val="center"/>
          </w:tcPr>
          <w:p>
            <w:pPr>
              <w:pStyle w:val="39"/>
              <w:rPr>
                <w:rFonts w:cs="Times New Roman"/>
              </w:rPr>
            </w:pPr>
            <w:r>
              <w:rPr>
                <w:rFonts w:cs="Times New Roma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5" w:type="pct"/>
            <w:vMerge w:val="restart"/>
            <w:vAlign w:val="center"/>
          </w:tcPr>
          <w:p>
            <w:pPr>
              <w:pStyle w:val="39"/>
              <w:rPr>
                <w:rFonts w:cs="Times New Roman"/>
              </w:rPr>
            </w:pPr>
            <w:r>
              <w:rPr>
                <w:rFonts w:hint="eastAsia" w:cs="Times New Roman"/>
              </w:rPr>
              <w:t>6</w:t>
            </w:r>
          </w:p>
        </w:tc>
        <w:tc>
          <w:tcPr>
            <w:tcW w:w="635" w:type="pct"/>
            <w:vMerge w:val="restart"/>
            <w:vAlign w:val="center"/>
          </w:tcPr>
          <w:p>
            <w:pPr>
              <w:pStyle w:val="39"/>
              <w:rPr>
                <w:rFonts w:cs="Times New Roman"/>
              </w:rPr>
            </w:pPr>
            <w:r>
              <w:t>厂界东南80m散户居</w:t>
            </w:r>
            <w:r>
              <w:rPr>
                <w:rFonts w:hint="eastAsia"/>
              </w:rPr>
              <w:t>民</w:t>
            </w:r>
            <w:r>
              <w:t>点</w:t>
            </w:r>
          </w:p>
        </w:tc>
        <w:tc>
          <w:tcPr>
            <w:tcW w:w="533" w:type="pct"/>
            <w:vAlign w:val="center"/>
          </w:tcPr>
          <w:p>
            <w:pPr>
              <w:pStyle w:val="39"/>
              <w:rPr>
                <w:rFonts w:cs="Times New Roman"/>
              </w:rPr>
            </w:pPr>
            <w:r>
              <w:rPr>
                <w:rFonts w:cs="Times New Roman"/>
              </w:rPr>
              <w:t>昼间</w:t>
            </w:r>
          </w:p>
        </w:tc>
        <w:tc>
          <w:tcPr>
            <w:tcW w:w="801" w:type="pct"/>
            <w:vAlign w:val="center"/>
          </w:tcPr>
          <w:p>
            <w:pPr>
              <w:pStyle w:val="39"/>
              <w:rPr>
                <w:rFonts w:cs="Times New Roman"/>
              </w:rPr>
            </w:pPr>
            <w:r>
              <w:rPr>
                <w:rFonts w:hint="eastAsia" w:cs="Times New Roman"/>
              </w:rPr>
              <w:t>8.0</w:t>
            </w:r>
          </w:p>
        </w:tc>
        <w:tc>
          <w:tcPr>
            <w:tcW w:w="666" w:type="pct"/>
            <w:vAlign w:val="center"/>
          </w:tcPr>
          <w:p>
            <w:pPr>
              <w:pStyle w:val="39"/>
              <w:rPr>
                <w:rFonts w:cs="Times New Roman"/>
              </w:rPr>
            </w:pPr>
            <w:r>
              <w:rPr>
                <w:rFonts w:hint="eastAsia" w:cs="Times New Roman"/>
              </w:rPr>
              <w:t>51</w:t>
            </w:r>
          </w:p>
        </w:tc>
        <w:tc>
          <w:tcPr>
            <w:tcW w:w="577" w:type="pct"/>
            <w:vAlign w:val="center"/>
          </w:tcPr>
          <w:p>
            <w:pPr>
              <w:pStyle w:val="39"/>
              <w:rPr>
                <w:rFonts w:cs="Times New Roman"/>
              </w:rPr>
            </w:pPr>
            <w:r>
              <w:rPr>
                <w:rFonts w:hint="eastAsia" w:cs="Times New Roman"/>
              </w:rPr>
              <w:t>51</w:t>
            </w:r>
          </w:p>
        </w:tc>
        <w:tc>
          <w:tcPr>
            <w:tcW w:w="687" w:type="pct"/>
            <w:vMerge w:val="continue"/>
            <w:vAlign w:val="center"/>
          </w:tcPr>
          <w:p>
            <w:pPr>
              <w:pStyle w:val="39"/>
              <w:rPr>
                <w:rFonts w:cs="Times New Roman"/>
              </w:rPr>
            </w:pPr>
          </w:p>
        </w:tc>
        <w:tc>
          <w:tcPr>
            <w:tcW w:w="685" w:type="pct"/>
            <w:vAlign w:val="center"/>
          </w:tcPr>
          <w:p>
            <w:pPr>
              <w:pStyle w:val="39"/>
              <w:rPr>
                <w:rFonts w:cs="Times New Roman"/>
              </w:rPr>
            </w:pPr>
            <w:r>
              <w:rPr>
                <w:rFonts w:cs="Times New Roma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5" w:type="pct"/>
            <w:vMerge w:val="continue"/>
            <w:vAlign w:val="center"/>
          </w:tcPr>
          <w:p>
            <w:pPr>
              <w:pStyle w:val="39"/>
              <w:rPr>
                <w:rFonts w:cs="Times New Roman"/>
              </w:rPr>
            </w:pPr>
          </w:p>
        </w:tc>
        <w:tc>
          <w:tcPr>
            <w:tcW w:w="635" w:type="pct"/>
            <w:vMerge w:val="continue"/>
            <w:vAlign w:val="center"/>
          </w:tcPr>
          <w:p>
            <w:pPr>
              <w:pStyle w:val="39"/>
              <w:rPr>
                <w:rFonts w:cs="Times New Roman"/>
              </w:rPr>
            </w:pPr>
          </w:p>
        </w:tc>
        <w:tc>
          <w:tcPr>
            <w:tcW w:w="533" w:type="pct"/>
            <w:vAlign w:val="center"/>
          </w:tcPr>
          <w:p>
            <w:pPr>
              <w:pStyle w:val="39"/>
              <w:rPr>
                <w:rFonts w:cs="Times New Roman"/>
              </w:rPr>
            </w:pPr>
            <w:r>
              <w:rPr>
                <w:rFonts w:cs="Times New Roman"/>
              </w:rPr>
              <w:t>夜间</w:t>
            </w:r>
          </w:p>
        </w:tc>
        <w:tc>
          <w:tcPr>
            <w:tcW w:w="801" w:type="pct"/>
            <w:vAlign w:val="center"/>
          </w:tcPr>
          <w:p>
            <w:pPr>
              <w:pStyle w:val="39"/>
              <w:rPr>
                <w:rFonts w:cs="Times New Roman"/>
              </w:rPr>
            </w:pPr>
            <w:r>
              <w:rPr>
                <w:rFonts w:hint="eastAsia" w:cs="Times New Roman"/>
              </w:rPr>
              <w:t>8.0</w:t>
            </w:r>
          </w:p>
        </w:tc>
        <w:tc>
          <w:tcPr>
            <w:tcW w:w="666" w:type="pct"/>
            <w:vAlign w:val="center"/>
          </w:tcPr>
          <w:p>
            <w:pPr>
              <w:pStyle w:val="39"/>
              <w:rPr>
                <w:rFonts w:cs="Times New Roman"/>
              </w:rPr>
            </w:pPr>
            <w:r>
              <w:rPr>
                <w:rFonts w:hint="eastAsia" w:cs="Times New Roman"/>
              </w:rPr>
              <w:t>42</w:t>
            </w:r>
          </w:p>
        </w:tc>
        <w:tc>
          <w:tcPr>
            <w:tcW w:w="577" w:type="pct"/>
            <w:vAlign w:val="center"/>
          </w:tcPr>
          <w:p>
            <w:pPr>
              <w:pStyle w:val="39"/>
              <w:rPr>
                <w:rFonts w:cs="Times New Roman"/>
              </w:rPr>
            </w:pPr>
            <w:r>
              <w:rPr>
                <w:rFonts w:hint="eastAsia" w:cs="Times New Roman"/>
              </w:rPr>
              <w:t>42</w:t>
            </w:r>
          </w:p>
        </w:tc>
        <w:tc>
          <w:tcPr>
            <w:tcW w:w="687" w:type="pct"/>
            <w:vMerge w:val="continue"/>
            <w:vAlign w:val="center"/>
          </w:tcPr>
          <w:p>
            <w:pPr>
              <w:pStyle w:val="39"/>
              <w:rPr>
                <w:rFonts w:cs="Times New Roman"/>
              </w:rPr>
            </w:pPr>
          </w:p>
        </w:tc>
        <w:tc>
          <w:tcPr>
            <w:tcW w:w="685" w:type="pct"/>
            <w:vAlign w:val="center"/>
          </w:tcPr>
          <w:p>
            <w:pPr>
              <w:pStyle w:val="39"/>
              <w:rPr>
                <w:rFonts w:cs="Times New Roman"/>
              </w:rPr>
            </w:pPr>
            <w:r>
              <w:rPr>
                <w:rFonts w:cs="Times New Roma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5" w:type="pct"/>
            <w:vMerge w:val="restart"/>
            <w:vAlign w:val="center"/>
          </w:tcPr>
          <w:p>
            <w:pPr>
              <w:pStyle w:val="39"/>
              <w:rPr>
                <w:rFonts w:cs="Times New Roman"/>
              </w:rPr>
            </w:pPr>
            <w:r>
              <w:rPr>
                <w:rFonts w:hint="eastAsia" w:cs="Times New Roman"/>
              </w:rPr>
              <w:t>7</w:t>
            </w:r>
          </w:p>
        </w:tc>
        <w:tc>
          <w:tcPr>
            <w:tcW w:w="635" w:type="pct"/>
            <w:vMerge w:val="restart"/>
            <w:vAlign w:val="center"/>
          </w:tcPr>
          <w:p>
            <w:pPr>
              <w:pStyle w:val="39"/>
              <w:rPr>
                <w:rFonts w:cs="Times New Roman"/>
              </w:rPr>
            </w:pPr>
            <w:r>
              <w:t>厂界东北110m散户居民点</w:t>
            </w:r>
          </w:p>
        </w:tc>
        <w:tc>
          <w:tcPr>
            <w:tcW w:w="533" w:type="pct"/>
            <w:vAlign w:val="center"/>
          </w:tcPr>
          <w:p>
            <w:pPr>
              <w:pStyle w:val="39"/>
              <w:rPr>
                <w:rFonts w:cs="Times New Roman"/>
              </w:rPr>
            </w:pPr>
            <w:r>
              <w:rPr>
                <w:rFonts w:cs="Times New Roman"/>
              </w:rPr>
              <w:t>昼间</w:t>
            </w:r>
          </w:p>
        </w:tc>
        <w:tc>
          <w:tcPr>
            <w:tcW w:w="801" w:type="pct"/>
            <w:vAlign w:val="center"/>
          </w:tcPr>
          <w:p>
            <w:pPr>
              <w:pStyle w:val="39"/>
              <w:rPr>
                <w:rFonts w:cs="Times New Roman"/>
              </w:rPr>
            </w:pPr>
            <w:r>
              <w:rPr>
                <w:rFonts w:hint="eastAsia" w:cs="Times New Roman"/>
              </w:rPr>
              <w:t>5.2</w:t>
            </w:r>
          </w:p>
        </w:tc>
        <w:tc>
          <w:tcPr>
            <w:tcW w:w="666" w:type="pct"/>
            <w:vAlign w:val="center"/>
          </w:tcPr>
          <w:p>
            <w:pPr>
              <w:pStyle w:val="39"/>
              <w:rPr>
                <w:rFonts w:cs="Times New Roman"/>
              </w:rPr>
            </w:pPr>
            <w:r>
              <w:rPr>
                <w:rFonts w:hint="eastAsia" w:cs="Times New Roman"/>
              </w:rPr>
              <w:t>52</w:t>
            </w:r>
          </w:p>
        </w:tc>
        <w:tc>
          <w:tcPr>
            <w:tcW w:w="577" w:type="pct"/>
            <w:vAlign w:val="center"/>
          </w:tcPr>
          <w:p>
            <w:pPr>
              <w:pStyle w:val="39"/>
              <w:rPr>
                <w:rFonts w:cs="Times New Roman"/>
              </w:rPr>
            </w:pPr>
            <w:r>
              <w:rPr>
                <w:rFonts w:hint="eastAsia" w:cs="Times New Roman"/>
              </w:rPr>
              <w:t>52</w:t>
            </w:r>
          </w:p>
        </w:tc>
        <w:tc>
          <w:tcPr>
            <w:tcW w:w="687" w:type="pct"/>
            <w:vMerge w:val="continue"/>
            <w:vAlign w:val="center"/>
          </w:tcPr>
          <w:p>
            <w:pPr>
              <w:pStyle w:val="39"/>
              <w:rPr>
                <w:rFonts w:cs="Times New Roman"/>
              </w:rPr>
            </w:pPr>
          </w:p>
        </w:tc>
        <w:tc>
          <w:tcPr>
            <w:tcW w:w="685" w:type="pct"/>
            <w:vAlign w:val="center"/>
          </w:tcPr>
          <w:p>
            <w:pPr>
              <w:pStyle w:val="39"/>
              <w:rPr>
                <w:rFonts w:cs="Times New Roman"/>
              </w:rPr>
            </w:pPr>
            <w:r>
              <w:rPr>
                <w:rFonts w:cs="Times New Roma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5" w:type="pct"/>
            <w:vMerge w:val="continue"/>
            <w:vAlign w:val="center"/>
          </w:tcPr>
          <w:p>
            <w:pPr>
              <w:pStyle w:val="39"/>
              <w:rPr>
                <w:rFonts w:cs="Times New Roman"/>
              </w:rPr>
            </w:pPr>
          </w:p>
        </w:tc>
        <w:tc>
          <w:tcPr>
            <w:tcW w:w="635" w:type="pct"/>
            <w:vMerge w:val="continue"/>
            <w:vAlign w:val="center"/>
          </w:tcPr>
          <w:p>
            <w:pPr>
              <w:pStyle w:val="39"/>
              <w:rPr>
                <w:rFonts w:cs="Times New Roman"/>
              </w:rPr>
            </w:pPr>
          </w:p>
        </w:tc>
        <w:tc>
          <w:tcPr>
            <w:tcW w:w="533" w:type="pct"/>
            <w:vAlign w:val="center"/>
          </w:tcPr>
          <w:p>
            <w:pPr>
              <w:pStyle w:val="39"/>
              <w:rPr>
                <w:rFonts w:cs="Times New Roman"/>
              </w:rPr>
            </w:pPr>
            <w:r>
              <w:rPr>
                <w:rFonts w:cs="Times New Roman"/>
              </w:rPr>
              <w:t>夜间</w:t>
            </w:r>
          </w:p>
        </w:tc>
        <w:tc>
          <w:tcPr>
            <w:tcW w:w="801" w:type="pct"/>
            <w:vAlign w:val="center"/>
          </w:tcPr>
          <w:p>
            <w:pPr>
              <w:pStyle w:val="39"/>
              <w:rPr>
                <w:rFonts w:cs="Times New Roman"/>
              </w:rPr>
            </w:pPr>
            <w:r>
              <w:rPr>
                <w:rFonts w:hint="eastAsia" w:cs="Times New Roman"/>
              </w:rPr>
              <w:t>5.2</w:t>
            </w:r>
          </w:p>
        </w:tc>
        <w:tc>
          <w:tcPr>
            <w:tcW w:w="666" w:type="pct"/>
            <w:vAlign w:val="center"/>
          </w:tcPr>
          <w:p>
            <w:pPr>
              <w:pStyle w:val="39"/>
              <w:rPr>
                <w:rFonts w:cs="Times New Roman"/>
              </w:rPr>
            </w:pPr>
            <w:r>
              <w:rPr>
                <w:rFonts w:hint="eastAsia" w:cs="Times New Roman"/>
              </w:rPr>
              <w:t>41</w:t>
            </w:r>
          </w:p>
        </w:tc>
        <w:tc>
          <w:tcPr>
            <w:tcW w:w="577" w:type="pct"/>
            <w:vAlign w:val="center"/>
          </w:tcPr>
          <w:p>
            <w:pPr>
              <w:pStyle w:val="39"/>
              <w:rPr>
                <w:rFonts w:cs="Times New Roman"/>
              </w:rPr>
            </w:pPr>
            <w:r>
              <w:rPr>
                <w:rFonts w:hint="eastAsia" w:cs="Times New Roman"/>
              </w:rPr>
              <w:t>41</w:t>
            </w:r>
          </w:p>
        </w:tc>
        <w:tc>
          <w:tcPr>
            <w:tcW w:w="687" w:type="pct"/>
            <w:vMerge w:val="continue"/>
            <w:vAlign w:val="center"/>
          </w:tcPr>
          <w:p>
            <w:pPr>
              <w:pStyle w:val="39"/>
              <w:rPr>
                <w:rFonts w:cs="Times New Roman"/>
              </w:rPr>
            </w:pPr>
          </w:p>
        </w:tc>
        <w:tc>
          <w:tcPr>
            <w:tcW w:w="685" w:type="pct"/>
            <w:vAlign w:val="center"/>
          </w:tcPr>
          <w:p>
            <w:pPr>
              <w:pStyle w:val="39"/>
              <w:rPr>
                <w:rFonts w:cs="Times New Roman"/>
              </w:rPr>
            </w:pPr>
            <w:r>
              <w:rPr>
                <w:rFonts w:cs="Times New Roman"/>
              </w:rPr>
              <w:t>达标</w:t>
            </w:r>
          </w:p>
        </w:tc>
      </w:tr>
    </w:tbl>
    <w:p>
      <w:pPr>
        <w:pStyle w:val="3"/>
        <w:ind w:firstLine="480"/>
        <w:rPr>
          <w:rFonts w:cs="Times New Roman"/>
        </w:rPr>
      </w:pPr>
    </w:p>
    <w:p>
      <w:pPr>
        <w:pStyle w:val="3"/>
        <w:ind w:firstLine="480"/>
        <w:rPr>
          <w:rFonts w:cs="Times New Roman"/>
        </w:rPr>
      </w:pPr>
      <w:r>
        <w:rPr>
          <w:rFonts w:cs="Times New Roman"/>
        </w:rPr>
        <w:t>经预测评价结果表明，本项目建成投产后，生产噪设备运行噪声对厂址周围环境声环境噪声贡献较小，能达到《工业企业厂界环境噪声排放标准》（GB12348-2008）2类标准要求。</w:t>
      </w:r>
    </w:p>
    <w:p>
      <w:pPr>
        <w:pStyle w:val="6"/>
        <w:rPr>
          <w:rFonts w:cs="Times New Roman"/>
        </w:rPr>
      </w:pPr>
      <w:r>
        <w:rPr>
          <w:rFonts w:cs="Times New Roman"/>
        </w:rPr>
        <w:t>固体废物影响预测与评价</w:t>
      </w:r>
    </w:p>
    <w:p>
      <w:pPr>
        <w:pStyle w:val="7"/>
        <w:rPr>
          <w:rFonts w:cs="Times New Roman"/>
        </w:rPr>
      </w:pPr>
      <w:r>
        <w:rPr>
          <w:rFonts w:cs="Times New Roman"/>
        </w:rPr>
        <w:t>固废处理方式</w:t>
      </w:r>
    </w:p>
    <w:p>
      <w:pPr>
        <w:pStyle w:val="3"/>
        <w:ind w:firstLine="480"/>
        <w:rPr>
          <w:rFonts w:cs="Times New Roman"/>
        </w:rPr>
      </w:pPr>
      <w:r>
        <w:rPr>
          <w:rFonts w:cs="Times New Roman"/>
        </w:rPr>
        <w:t>根据工程分析结果，包括鸡粪、病死鸡</w:t>
      </w:r>
      <w:r>
        <w:rPr>
          <w:rFonts w:hint="eastAsia" w:cs="Times New Roman"/>
        </w:rPr>
        <w:t>及</w:t>
      </w:r>
      <w:r>
        <w:rPr>
          <w:rFonts w:cs="Times New Roman"/>
        </w:rPr>
        <w:t>蛋壳、废包装物料、医疗垃圾、</w:t>
      </w:r>
      <w:r>
        <w:rPr>
          <w:rFonts w:hint="eastAsia" w:cs="Times New Roman"/>
        </w:rPr>
        <w:t>锅炉灰渣、布袋除尘灰</w:t>
      </w:r>
      <w:r>
        <w:rPr>
          <w:rFonts w:cs="Times New Roman"/>
        </w:rPr>
        <w:t>和员工办公生活垃圾等。</w:t>
      </w:r>
    </w:p>
    <w:p>
      <w:pPr>
        <w:pStyle w:val="3"/>
        <w:ind w:firstLine="480"/>
        <w:rPr>
          <w:rFonts w:cs="Times New Roman"/>
        </w:rPr>
      </w:pPr>
      <w:r>
        <w:rPr>
          <w:rFonts w:cs="Times New Roman"/>
        </w:rPr>
        <w:t>项目鸡粪收集</w:t>
      </w:r>
      <w:r>
        <w:rPr>
          <w:rFonts w:hint="eastAsia" w:cs="Times New Roman"/>
        </w:rPr>
        <w:t>至多赛干燥机</w:t>
      </w:r>
      <w:r>
        <w:rPr>
          <w:rFonts w:cs="Times New Roman"/>
          <w:kern w:val="0"/>
        </w:rPr>
        <w:t>制作有机肥外售</w:t>
      </w:r>
      <w:r>
        <w:rPr>
          <w:rFonts w:cs="Times New Roman"/>
        </w:rPr>
        <w:t>，病死鸡</w:t>
      </w:r>
      <w:r>
        <w:rPr>
          <w:rFonts w:hint="eastAsia" w:ascii="宋体" w:hAnsi="宋体" w:cs="宋体"/>
          <w:kern w:val="0"/>
          <w:szCs w:val="24"/>
        </w:rPr>
        <w:t>委托</w:t>
      </w:r>
      <w:r>
        <w:rPr>
          <w:rFonts w:ascii="宋体" w:hAnsi="宋体" w:cs="宋体"/>
          <w:kern w:val="0"/>
          <w:szCs w:val="24"/>
        </w:rPr>
        <w:t>衡阳县畜牧水产局统一</w:t>
      </w:r>
      <w:r>
        <w:rPr>
          <w:rFonts w:hint="eastAsia" w:ascii="宋体" w:hAnsi="宋体" w:cs="宋体"/>
          <w:kern w:val="0"/>
          <w:szCs w:val="24"/>
        </w:rPr>
        <w:t>收集，再</w:t>
      </w:r>
      <w:r>
        <w:rPr>
          <w:rFonts w:ascii="宋体" w:hAnsi="宋体" w:cs="宋体"/>
          <w:kern w:val="0"/>
          <w:szCs w:val="24"/>
        </w:rPr>
        <w:t>运至衡阳</w:t>
      </w:r>
      <w:r>
        <w:rPr>
          <w:rFonts w:hint="eastAsia" w:ascii="宋体" w:hAnsi="宋体" w:cs="宋体"/>
          <w:kern w:val="0"/>
          <w:szCs w:val="24"/>
        </w:rPr>
        <w:t>市</w:t>
      </w:r>
      <w:r>
        <w:rPr>
          <w:rFonts w:ascii="宋体" w:hAnsi="宋体" w:cs="宋体"/>
          <w:kern w:val="0"/>
          <w:szCs w:val="24"/>
        </w:rPr>
        <w:t>禾和</w:t>
      </w:r>
      <w:r>
        <w:rPr>
          <w:rFonts w:hint="eastAsia" w:ascii="宋体" w:hAnsi="宋体" w:cs="宋体"/>
          <w:kern w:val="0"/>
          <w:szCs w:val="24"/>
        </w:rPr>
        <w:t>动物无害化处理有限</w:t>
      </w:r>
      <w:r>
        <w:rPr>
          <w:rFonts w:ascii="宋体" w:hAnsi="宋体" w:cs="宋体"/>
          <w:kern w:val="0"/>
          <w:szCs w:val="24"/>
        </w:rPr>
        <w:t>公司无害化处置</w:t>
      </w:r>
      <w:r>
        <w:rPr>
          <w:rFonts w:hint="eastAsia" w:ascii="宋体" w:hAnsi="宋体" w:cs="宋体"/>
          <w:kern w:val="0"/>
          <w:szCs w:val="24"/>
        </w:rPr>
        <w:t>；</w:t>
      </w:r>
      <w:r>
        <w:rPr>
          <w:rFonts w:cs="Times New Roman"/>
        </w:rPr>
        <w:t>蛋壳</w:t>
      </w:r>
      <w:r>
        <w:rPr>
          <w:rFonts w:hint="eastAsia" w:cs="Times New Roman"/>
        </w:rPr>
        <w:t>破碎后</w:t>
      </w:r>
      <w:r>
        <w:rPr>
          <w:rFonts w:cs="Times New Roman"/>
        </w:rPr>
        <w:t>与鸡粪一并作为有机肥外售。废包装物料由</w:t>
      </w:r>
      <w:r>
        <w:rPr>
          <w:rFonts w:hint="eastAsia" w:cs="Times New Roman"/>
        </w:rPr>
        <w:t>供应</w:t>
      </w:r>
      <w:r>
        <w:rPr>
          <w:rFonts w:cs="Times New Roman"/>
        </w:rPr>
        <w:t>商回收；医疗垃圾交由有医疗垃圾处理资质的单位处置；</w:t>
      </w:r>
      <w:r>
        <w:rPr>
          <w:rFonts w:hint="eastAsia"/>
        </w:rPr>
        <w:t>锅炉灰渣及布袋除尘灰收集后袋装作为农肥；</w:t>
      </w:r>
      <w:r>
        <w:rPr>
          <w:rFonts w:cs="Times New Roman"/>
        </w:rPr>
        <w:t>生活垃圾交由环卫部门统一收集处理，各类固废均能妥善处理处置，对区域环境影响较小。</w:t>
      </w:r>
    </w:p>
    <w:p>
      <w:pPr>
        <w:pStyle w:val="7"/>
        <w:rPr>
          <w:rFonts w:cs="Times New Roman"/>
        </w:rPr>
      </w:pPr>
      <w:r>
        <w:rPr>
          <w:rFonts w:cs="Times New Roman"/>
        </w:rPr>
        <w:t>危险废物临时贮存和环境管理要求</w:t>
      </w:r>
    </w:p>
    <w:p>
      <w:pPr>
        <w:pStyle w:val="3"/>
        <w:ind w:firstLine="480"/>
        <w:rPr>
          <w:rFonts w:cs="Times New Roman"/>
        </w:rPr>
      </w:pPr>
      <w:r>
        <w:rPr>
          <w:rFonts w:cs="Times New Roman"/>
        </w:rPr>
        <w:t>由于本项目营运期间产生一定量的危险废物，本环评要求建设单位除了将危险废物委托给具有相应危险废物处理资质的单位处置以外，还要求建设单位务必做好危险废物在厂区内的临时贮存和管理，严格按照《危险废物贮存污染控制标准》（GB18597-2001）以及国家污染物控制标准修改单的公告（公告2013 年第36 号)的规定进行。本环评将与本项目相关的规定列举如下：</w:t>
      </w:r>
    </w:p>
    <w:p>
      <w:pPr>
        <w:pStyle w:val="3"/>
        <w:ind w:firstLine="480"/>
        <w:rPr>
          <w:rFonts w:cs="Times New Roman"/>
        </w:rPr>
      </w:pPr>
      <w:r>
        <w:rPr>
          <w:rFonts w:cs="Times New Roman"/>
        </w:rPr>
        <w:t>（1）危险废物的堆放要求</w:t>
      </w:r>
    </w:p>
    <w:p>
      <w:pPr>
        <w:pStyle w:val="3"/>
        <w:ind w:firstLine="480"/>
        <w:rPr>
          <w:rFonts w:cs="Times New Roman"/>
        </w:rPr>
      </w:pPr>
      <w:r>
        <w:rPr>
          <w:rFonts w:hint="eastAsia" w:ascii="宋体" w:hAnsi="宋体" w:cs="宋体"/>
        </w:rPr>
        <w:t>①</w:t>
      </w:r>
      <w:r>
        <w:rPr>
          <w:rFonts w:cs="Times New Roman"/>
        </w:rPr>
        <w:t>基础必须防渗，防渗层为至少1 米厚粘土层（渗透系数≤10</w:t>
      </w:r>
      <w:r>
        <w:rPr>
          <w:rFonts w:cs="Times New Roman"/>
          <w:vertAlign w:val="superscript"/>
        </w:rPr>
        <w:t>-7</w:t>
      </w:r>
      <w:r>
        <w:rPr>
          <w:rFonts w:cs="Times New Roman"/>
        </w:rPr>
        <w:t>cm/s），或2mm厚高密度聚乙烯，或至少2 毫米厚的其它人工材料，渗透系数≤10</w:t>
      </w:r>
      <w:r>
        <w:rPr>
          <w:rFonts w:cs="Times New Roman"/>
          <w:vertAlign w:val="superscript"/>
        </w:rPr>
        <w:t xml:space="preserve">-10 </w:t>
      </w:r>
      <w:r>
        <w:rPr>
          <w:rFonts w:cs="Times New Roman"/>
        </w:rPr>
        <w:t>cm/s。</w:t>
      </w:r>
    </w:p>
    <w:p>
      <w:pPr>
        <w:pStyle w:val="3"/>
        <w:ind w:firstLine="480"/>
        <w:rPr>
          <w:rFonts w:cs="Times New Roman"/>
        </w:rPr>
      </w:pPr>
      <w:r>
        <w:rPr>
          <w:rFonts w:hint="eastAsia" w:ascii="宋体" w:hAnsi="宋体" w:cs="宋体"/>
        </w:rPr>
        <w:t>②</w:t>
      </w:r>
      <w:r>
        <w:rPr>
          <w:rFonts w:cs="Times New Roman"/>
        </w:rPr>
        <w:t>堆放危险废物的高度应根据地面承载能力确定。</w:t>
      </w:r>
    </w:p>
    <w:p>
      <w:pPr>
        <w:pStyle w:val="3"/>
        <w:ind w:firstLine="480"/>
        <w:rPr>
          <w:rFonts w:cs="Times New Roman"/>
        </w:rPr>
      </w:pPr>
      <w:r>
        <w:rPr>
          <w:rFonts w:hint="eastAsia" w:ascii="宋体" w:hAnsi="宋体" w:cs="宋体"/>
        </w:rPr>
        <w:t>③</w:t>
      </w:r>
      <w:r>
        <w:rPr>
          <w:rFonts w:cs="Times New Roman"/>
        </w:rPr>
        <w:t>衬里放在一个基础或底座上。</w:t>
      </w:r>
    </w:p>
    <w:p>
      <w:pPr>
        <w:pStyle w:val="3"/>
        <w:ind w:firstLine="480"/>
        <w:rPr>
          <w:rFonts w:cs="Times New Roman"/>
        </w:rPr>
      </w:pPr>
      <w:r>
        <w:rPr>
          <w:rFonts w:hint="eastAsia" w:ascii="宋体" w:hAnsi="宋体" w:cs="宋体"/>
        </w:rPr>
        <w:t>④</w:t>
      </w:r>
      <w:r>
        <w:rPr>
          <w:rFonts w:cs="Times New Roman"/>
        </w:rPr>
        <w:t>衬里要能够覆盖危险废物或其溶出物可能涉及到的范围。</w:t>
      </w:r>
    </w:p>
    <w:p>
      <w:pPr>
        <w:pStyle w:val="3"/>
        <w:ind w:firstLine="480"/>
        <w:rPr>
          <w:rFonts w:cs="Times New Roman"/>
        </w:rPr>
      </w:pPr>
      <w:r>
        <w:rPr>
          <w:rFonts w:hint="eastAsia" w:ascii="宋体" w:hAnsi="宋体" w:cs="宋体"/>
        </w:rPr>
        <w:t>⑤</w:t>
      </w:r>
      <w:r>
        <w:rPr>
          <w:rFonts w:cs="Times New Roman"/>
        </w:rPr>
        <w:t>衬里材料与堆放危险废物相容。</w:t>
      </w:r>
    </w:p>
    <w:p>
      <w:pPr>
        <w:pStyle w:val="3"/>
        <w:ind w:firstLine="480"/>
        <w:rPr>
          <w:rFonts w:cs="Times New Roman"/>
        </w:rPr>
      </w:pPr>
      <w:r>
        <w:rPr>
          <w:rFonts w:hint="eastAsia" w:ascii="宋体" w:hAnsi="宋体" w:cs="宋体"/>
        </w:rPr>
        <w:t>⑥</w:t>
      </w:r>
      <w:r>
        <w:rPr>
          <w:rFonts w:cs="Times New Roman"/>
        </w:rPr>
        <w:t>在衬里上设计、建造浸出液收集清除系统。</w:t>
      </w:r>
    </w:p>
    <w:p>
      <w:pPr>
        <w:pStyle w:val="3"/>
        <w:ind w:firstLine="480"/>
        <w:rPr>
          <w:rFonts w:cs="Times New Roman"/>
        </w:rPr>
      </w:pPr>
      <w:r>
        <w:rPr>
          <w:rFonts w:hint="eastAsia" w:ascii="宋体" w:hAnsi="宋体" w:cs="宋体"/>
        </w:rPr>
        <w:t>⑦</w:t>
      </w:r>
      <w:r>
        <w:rPr>
          <w:rFonts w:cs="Times New Roman"/>
        </w:rPr>
        <w:t>应设计建造径流疏导系统，保证能防止25年一遇的暴雨不会流到危险废物堆里。</w:t>
      </w:r>
    </w:p>
    <w:p>
      <w:pPr>
        <w:pStyle w:val="3"/>
        <w:ind w:firstLine="480"/>
        <w:rPr>
          <w:rFonts w:cs="Times New Roman"/>
        </w:rPr>
      </w:pPr>
      <w:r>
        <w:rPr>
          <w:rFonts w:hint="eastAsia" w:ascii="宋体" w:hAnsi="宋体" w:cs="宋体"/>
        </w:rPr>
        <w:t>⑧</w:t>
      </w:r>
      <w:r>
        <w:rPr>
          <w:rFonts w:cs="Times New Roman"/>
        </w:rPr>
        <w:t>危险废物堆内设计雨水收集池，并能收集25年一遇的暴雨24小时降水量。</w:t>
      </w:r>
    </w:p>
    <w:p>
      <w:pPr>
        <w:pStyle w:val="3"/>
        <w:ind w:firstLine="480"/>
        <w:rPr>
          <w:rFonts w:cs="Times New Roman"/>
        </w:rPr>
      </w:pPr>
      <w:r>
        <w:rPr>
          <w:rFonts w:hint="eastAsia" w:ascii="宋体" w:hAnsi="宋体" w:cs="宋体"/>
        </w:rPr>
        <w:t>⑨</w:t>
      </w:r>
      <w:r>
        <w:rPr>
          <w:rFonts w:cs="Times New Roman"/>
        </w:rPr>
        <w:t>危险废物堆要防风、防雨、防晒。</w:t>
      </w:r>
    </w:p>
    <w:p>
      <w:pPr>
        <w:pStyle w:val="3"/>
        <w:ind w:firstLine="480"/>
        <w:rPr>
          <w:rFonts w:cs="Times New Roman"/>
        </w:rPr>
      </w:pPr>
      <w:r>
        <w:rPr>
          <w:rFonts w:hint="eastAsia" w:ascii="宋体" w:hAnsi="宋体" w:cs="宋体"/>
        </w:rPr>
        <w:t>⑩</w:t>
      </w:r>
      <w:r>
        <w:rPr>
          <w:rFonts w:cs="Times New Roman"/>
        </w:rPr>
        <w:t>总贮存量不超过300kg（L）的危险废物要放入符合标准的容器内，加上标签，容器放入坚固的柜或箱中，柜或箱应设多个直径不少于30mm的排气孔。不相容危险废物要分别存放或存放在不渗透间隔分开的区域内，每个部分都应有防漏裙脚或储漏盘，防漏裙脚或储漏盘的材料要与危险废物相容。</w:t>
      </w:r>
    </w:p>
    <w:p>
      <w:pPr>
        <w:pStyle w:val="3"/>
        <w:ind w:firstLine="480"/>
        <w:rPr>
          <w:rFonts w:cs="Times New Roman"/>
        </w:rPr>
      </w:pPr>
      <w:r>
        <w:rPr>
          <w:rFonts w:cs="Times New Roman"/>
        </w:rPr>
        <w:t>（2）危险废物贮存设施的运行与管理</w:t>
      </w:r>
    </w:p>
    <w:p>
      <w:pPr>
        <w:pStyle w:val="3"/>
        <w:ind w:firstLine="480"/>
        <w:rPr>
          <w:rFonts w:cs="Times New Roman"/>
        </w:rPr>
      </w:pPr>
      <w:r>
        <w:rPr>
          <w:rFonts w:hint="eastAsia" w:ascii="宋体" w:hAnsi="宋体" w:cs="宋体"/>
        </w:rPr>
        <w:t>①</w:t>
      </w:r>
      <w:r>
        <w:rPr>
          <w:rFonts w:cs="Times New Roman"/>
        </w:rPr>
        <w:t>危险废物产生者和危险废物贮存设施经营者均须作好危险废物情况的记录，记录上须注明危险废物的名称、来源、数量、特性和包装容器的类别、入库日期、存放库位、废物出库日期及接收单位名称。危险废物记录和货单在危险废物回取后应继续保留三年。</w:t>
      </w:r>
    </w:p>
    <w:p>
      <w:pPr>
        <w:pStyle w:val="3"/>
        <w:ind w:firstLine="480"/>
        <w:rPr>
          <w:rFonts w:cs="Times New Roman"/>
        </w:rPr>
      </w:pPr>
      <w:r>
        <w:rPr>
          <w:rFonts w:hint="eastAsia" w:ascii="宋体" w:hAnsi="宋体" w:cs="宋体"/>
        </w:rPr>
        <w:t>②</w:t>
      </w:r>
      <w:r>
        <w:rPr>
          <w:rFonts w:cs="Times New Roman"/>
        </w:rPr>
        <w:t>必须定期对所贮存的危险废物包装容器及贮存设施进行检查，发现破损，应及时采取措施清理更换。综上，只要本项目严格按照《危险废物贮存污染控制标准》（GB18597-2001）及2013年修改单对危险废物进行收集、暂存、并委托持有《危险废物经营许可证》的单位进行无害化处理处置，采取上述措施后，本项目的危险的危险废物对周围环境基本无影响。</w:t>
      </w:r>
    </w:p>
    <w:p>
      <w:pPr>
        <w:pStyle w:val="6"/>
        <w:rPr>
          <w:rFonts w:cs="Times New Roman"/>
        </w:rPr>
      </w:pPr>
      <w:r>
        <w:rPr>
          <w:rFonts w:cs="Times New Roman"/>
        </w:rPr>
        <w:t>生态环境影响分析</w:t>
      </w:r>
    </w:p>
    <w:p>
      <w:pPr>
        <w:pStyle w:val="7"/>
        <w:rPr>
          <w:rFonts w:cs="Times New Roman"/>
        </w:rPr>
      </w:pPr>
      <w:r>
        <w:rPr>
          <w:rFonts w:cs="Times New Roman"/>
        </w:rPr>
        <w:t>对土地及农业的影响</w:t>
      </w:r>
    </w:p>
    <w:p>
      <w:pPr>
        <w:pStyle w:val="3"/>
        <w:ind w:firstLine="480"/>
        <w:rPr>
          <w:rFonts w:cs="Times New Roman"/>
        </w:rPr>
      </w:pPr>
      <w:r>
        <w:rPr>
          <w:rFonts w:cs="Times New Roman"/>
        </w:rPr>
        <w:t>（1）对土地资源影响</w:t>
      </w:r>
    </w:p>
    <w:p>
      <w:pPr>
        <w:pStyle w:val="3"/>
        <w:ind w:firstLine="480"/>
        <w:rPr>
          <w:rFonts w:cs="Times New Roman"/>
        </w:rPr>
      </w:pPr>
      <w:r>
        <w:rPr>
          <w:rFonts w:cs="Times New Roman"/>
        </w:rPr>
        <w:t>项目工程永久占地</w:t>
      </w:r>
      <w:r>
        <w:rPr>
          <w:rFonts w:cs="Times New Roman"/>
          <w:szCs w:val="24"/>
          <w:shd w:val="clear" w:color="auto" w:fill="FFFFFF"/>
        </w:rPr>
        <w:t>126508.27</w:t>
      </w:r>
      <w:r>
        <w:rPr>
          <w:rFonts w:cs="Times New Roman"/>
        </w:rPr>
        <w:t>m</w:t>
      </w:r>
      <w:r>
        <w:rPr>
          <w:rFonts w:cs="Times New Roman"/>
          <w:vertAlign w:val="superscript"/>
        </w:rPr>
        <w:t>2</w:t>
      </w:r>
      <w:r>
        <w:rPr>
          <w:rFonts w:hint="eastAsia" w:cs="Times New Roman"/>
          <w:szCs w:val="24"/>
          <w:shd w:val="clear" w:color="auto" w:fill="FFFFFF"/>
        </w:rPr>
        <w:t>（约189.8亩）</w:t>
      </w:r>
      <w:r>
        <w:rPr>
          <w:rFonts w:cs="Times New Roman"/>
        </w:rPr>
        <w:t>，占地类型主要为林地、荒地</w:t>
      </w:r>
      <w:r>
        <w:rPr>
          <w:rFonts w:hint="eastAsia" w:cs="Times New Roman"/>
        </w:rPr>
        <w:t>、耕地</w:t>
      </w:r>
      <w:r>
        <w:rPr>
          <w:rFonts w:cs="Times New Roman"/>
        </w:rPr>
        <w:t>等。原有的用地被各类建(构)筑物、道路用地、绿化用地等取代，土地使用功能发生了很大改变。该区域原产业结构以农业、种植业为主，现以养殖业为主，虽然改变其土地利用功能，提高了土地的利用率，并通过绿化恢复了部分植被。项目废水经处理后，用于场区绿化浇灌，可有效改善项目区域的土壤肥力，提高生态系统物质流动通量，改善土地生产能力。从整体看，项目对土地功能利用是有利的。</w:t>
      </w:r>
    </w:p>
    <w:p>
      <w:pPr>
        <w:pStyle w:val="3"/>
        <w:ind w:firstLine="480"/>
        <w:rPr>
          <w:rFonts w:cs="Times New Roman"/>
        </w:rPr>
      </w:pPr>
      <w:r>
        <w:rPr>
          <w:rFonts w:cs="Times New Roman"/>
        </w:rPr>
        <w:t>（2）对农业环境影响</w:t>
      </w:r>
    </w:p>
    <w:p>
      <w:pPr>
        <w:pStyle w:val="3"/>
        <w:ind w:firstLine="480"/>
        <w:rPr>
          <w:rFonts w:cs="Times New Roman"/>
        </w:rPr>
      </w:pPr>
      <w:r>
        <w:rPr>
          <w:rFonts w:cs="Times New Roman"/>
        </w:rPr>
        <w:t>本项目在运营期过程中，主要产生的废水、废气、废渣排放对周边原有的农业生态环境将产生一定的影响，简要分析如下：</w:t>
      </w:r>
    </w:p>
    <w:p>
      <w:pPr>
        <w:pStyle w:val="3"/>
        <w:ind w:firstLine="480"/>
        <w:rPr>
          <w:rFonts w:cs="Times New Roman"/>
        </w:rPr>
      </w:pPr>
      <w:r>
        <w:rPr>
          <w:rFonts w:hint="eastAsia" w:ascii="宋体" w:hAnsi="宋体" w:cs="宋体"/>
          <w:lang w:eastAsia="ja-JP"/>
        </w:rPr>
        <w:t>①</w:t>
      </w:r>
      <w:r>
        <w:rPr>
          <w:rFonts w:hint="eastAsia"/>
        </w:rPr>
        <w:t>项目鸡舍冲洗废水产生量较少，通过抽至化粪池与生活污水一并经化粪池处理后用作建设单位自建的果园、四季蔬菜区及中药材区可实现种养结合</w:t>
      </w:r>
      <w:r>
        <w:rPr>
          <w:rFonts w:cs="Times New Roman"/>
        </w:rPr>
        <w:t>。</w:t>
      </w:r>
    </w:p>
    <w:p>
      <w:pPr>
        <w:pStyle w:val="3"/>
        <w:ind w:firstLine="480"/>
        <w:rPr>
          <w:rFonts w:cs="Times New Roman"/>
        </w:rPr>
      </w:pPr>
      <w:r>
        <w:rPr>
          <w:rFonts w:hint="eastAsia" w:ascii="宋体" w:hAnsi="宋体" w:cs="宋体"/>
        </w:rPr>
        <w:t>②</w:t>
      </w:r>
      <w:r>
        <w:rPr>
          <w:rFonts w:cs="Times New Roman"/>
        </w:rPr>
        <w:t>另一方面项目产生的鸡粪生产有机肥料综合利用与农业生产，能够增加农业土壤的费力，对农业生产有促进作用。</w:t>
      </w:r>
    </w:p>
    <w:p>
      <w:pPr>
        <w:pStyle w:val="7"/>
        <w:rPr>
          <w:rFonts w:cs="Times New Roman"/>
        </w:rPr>
      </w:pPr>
      <w:r>
        <w:rPr>
          <w:rFonts w:cs="Times New Roman"/>
        </w:rPr>
        <w:t>对动植物的影响</w:t>
      </w:r>
    </w:p>
    <w:p>
      <w:pPr>
        <w:pStyle w:val="3"/>
        <w:ind w:firstLine="480"/>
        <w:rPr>
          <w:rFonts w:cs="Times New Roman"/>
        </w:rPr>
      </w:pPr>
      <w:r>
        <w:rPr>
          <w:rFonts w:cs="Times New Roman"/>
        </w:rPr>
        <w:t>（1）对植物和植被的影响</w:t>
      </w:r>
    </w:p>
    <w:p>
      <w:pPr>
        <w:pStyle w:val="3"/>
        <w:ind w:firstLine="480"/>
        <w:rPr>
          <w:rFonts w:cs="Times New Roman"/>
        </w:rPr>
      </w:pPr>
      <w:r>
        <w:rPr>
          <w:rFonts w:cs="Times New Roman"/>
        </w:rPr>
        <w:t>项目用地将随着项目的运营改变原有功能，土地利用方式的改变导致当地生态系统类型的转换，即由原为绿色植物及其附属动物和人工种植为主的农业生态系统向以集约经济为主的工业生态系统的转变，导致生态调节能力的降低，主要表现有人看密度和建筑密度增大，人工景观突出，绿化覆盖率降低，生物物种结群和群落功能改变，另外，根据现状调查，项目所在地及其周围的农作物和野生植物生长较正常。</w:t>
      </w:r>
    </w:p>
    <w:p>
      <w:pPr>
        <w:pStyle w:val="3"/>
        <w:ind w:firstLine="480"/>
        <w:rPr>
          <w:rFonts w:cs="Times New Roman"/>
        </w:rPr>
      </w:pPr>
      <w:r>
        <w:rPr>
          <w:rFonts w:cs="Times New Roman"/>
        </w:rPr>
        <w:t>运营期，建设单位在采取积极的植被恢复措施和园林绿化的前提下，部分被破坏的植被将得到有效的恢复，对区域植物及植被影响较小。</w:t>
      </w:r>
    </w:p>
    <w:p>
      <w:pPr>
        <w:pStyle w:val="3"/>
        <w:ind w:firstLine="480"/>
        <w:rPr>
          <w:rFonts w:cs="Times New Roman"/>
        </w:rPr>
      </w:pPr>
      <w:r>
        <w:rPr>
          <w:rFonts w:cs="Times New Roman"/>
        </w:rPr>
        <w:t>评价范围内未发现国家重点保护野生植物和古树名木分布，因此，不存在对野生植物和古树名木的影响。</w:t>
      </w:r>
    </w:p>
    <w:p>
      <w:pPr>
        <w:pStyle w:val="3"/>
        <w:ind w:firstLine="480"/>
        <w:rPr>
          <w:rFonts w:cs="Times New Roman"/>
        </w:rPr>
      </w:pPr>
      <w:r>
        <w:rPr>
          <w:rFonts w:cs="Times New Roman"/>
        </w:rPr>
        <w:t>（2）对陆生脊椎动物的影响</w:t>
      </w:r>
    </w:p>
    <w:p>
      <w:pPr>
        <w:pStyle w:val="3"/>
        <w:ind w:firstLine="480"/>
        <w:rPr>
          <w:rFonts w:cs="Times New Roman"/>
        </w:rPr>
      </w:pPr>
      <w:r>
        <w:rPr>
          <w:rFonts w:cs="Times New Roman"/>
        </w:rPr>
        <w:t>评价区范围内已经没有大型鸟类、兽类的踪迹，主要是两栖爬行动物的种类也很少，常见的物种主要是一些中小型的鸟类和小型兽类。</w:t>
      </w:r>
    </w:p>
    <w:p>
      <w:pPr>
        <w:pStyle w:val="3"/>
        <w:ind w:firstLine="480"/>
        <w:rPr>
          <w:rFonts w:cs="Times New Roman"/>
        </w:rPr>
      </w:pPr>
      <w:r>
        <w:rPr>
          <w:rFonts w:hint="eastAsia" w:ascii="宋体" w:hAnsi="宋体" w:cs="宋体"/>
          <w:lang w:eastAsia="ja-JP"/>
        </w:rPr>
        <w:t>①</w:t>
      </w:r>
      <w:r>
        <w:rPr>
          <w:rFonts w:cs="Times New Roman"/>
        </w:rPr>
        <w:t>对两栖爬行动物的影响：建成后，区内人类活动将更加强烈，两栖动物生产的生境缩减。</w:t>
      </w:r>
    </w:p>
    <w:p>
      <w:pPr>
        <w:pStyle w:val="3"/>
        <w:ind w:firstLine="480"/>
        <w:rPr>
          <w:rFonts w:cs="Times New Roman" w:eastAsiaTheme="minorEastAsia"/>
        </w:rPr>
      </w:pPr>
      <w:r>
        <w:rPr>
          <w:rFonts w:hint="eastAsia" w:ascii="宋体" w:hAnsi="宋体" w:cs="宋体"/>
          <w:lang w:eastAsia="ja-JP"/>
        </w:rPr>
        <w:t>②</w:t>
      </w:r>
      <w:r>
        <w:rPr>
          <w:rFonts w:cs="Times New Roman"/>
          <w:lang w:eastAsia="ja-JP"/>
        </w:rPr>
        <w:t>对鸟类的影响：项目运营期间，这一区域的人类活动将更加频繁，在这个新形成的区域内活动的将主要是那些对人类敏感较低的鸟类，而那些对人类较为敏感的鸟类将迁移，</w:t>
      </w:r>
      <w:r>
        <w:rPr>
          <w:rFonts w:cs="Times New Roman" w:eastAsiaTheme="minorEastAsia"/>
        </w:rPr>
        <w:t>而很少在项目区域范围内活动。</w:t>
      </w:r>
    </w:p>
    <w:p>
      <w:pPr>
        <w:pStyle w:val="3"/>
        <w:ind w:firstLine="480"/>
        <w:rPr>
          <w:rFonts w:cs="Times New Roman" w:eastAsiaTheme="minorEastAsia"/>
        </w:rPr>
      </w:pPr>
      <w:r>
        <w:rPr>
          <w:rFonts w:hint="eastAsia" w:ascii="宋体" w:hAnsi="宋体" w:cs="宋体"/>
        </w:rPr>
        <w:t>③</w:t>
      </w:r>
      <w:r>
        <w:rPr>
          <w:rFonts w:cs="Times New Roman" w:eastAsiaTheme="minorEastAsia"/>
        </w:rPr>
        <w:t>对兽类的影响：目前在评价范围内活动的兽类主要是啮齿目、食虫目、翼手目的小型物种，项目运营期间，机器运行的噪声会迫使某些对声音敏感的小型兽类逃离其现有的栖息地，某些小型兽类对环境有着极强的适应力，并且对人类的敏感性很低，这些小型兽类仍然留在现有栖息地。</w:t>
      </w:r>
    </w:p>
    <w:p>
      <w:pPr>
        <w:pStyle w:val="3"/>
        <w:ind w:firstLine="480"/>
        <w:rPr>
          <w:rFonts w:cs="Times New Roman" w:eastAsiaTheme="minorEastAsia"/>
        </w:rPr>
      </w:pPr>
      <w:r>
        <w:rPr>
          <w:rFonts w:cs="Times New Roman" w:eastAsiaTheme="minorEastAsia"/>
        </w:rPr>
        <w:t>综合来看，由于项目用地内已经存在着较强烈的人类干扰，造成评价区范围内野生动物的物种多样性比较低，本项目的建设对野生动物的生存产生的影响较小。</w:t>
      </w:r>
    </w:p>
    <w:p>
      <w:pPr>
        <w:pStyle w:val="7"/>
        <w:rPr>
          <w:rFonts w:cs="Times New Roman"/>
        </w:rPr>
      </w:pPr>
      <w:r>
        <w:rPr>
          <w:rFonts w:cs="Times New Roman"/>
        </w:rPr>
        <w:t>苍蝇类对周围环境的影响</w:t>
      </w:r>
    </w:p>
    <w:p>
      <w:pPr>
        <w:pStyle w:val="3"/>
        <w:ind w:firstLine="480"/>
        <w:rPr>
          <w:rFonts w:cs="Times New Roman"/>
        </w:rPr>
      </w:pPr>
      <w:r>
        <w:rPr>
          <w:rFonts w:cs="Times New Roman"/>
        </w:rPr>
        <w:t>鸡粪由于有机物分解产生恶臭气味会吸引养鸡场附近的苍蝇，同时鸡粪本身就是苍蝇滋生和产卵的良好场所。因此，养鸡场难免会诱发苍蝇类害虫产生，并对周围环境产生影响。</w:t>
      </w:r>
    </w:p>
    <w:p>
      <w:pPr>
        <w:pStyle w:val="3"/>
        <w:ind w:firstLine="480"/>
        <w:rPr>
          <w:rFonts w:cs="Times New Roman"/>
        </w:rPr>
      </w:pPr>
      <w:r>
        <w:rPr>
          <w:rFonts w:cs="Times New Roman"/>
        </w:rPr>
        <w:t>根据有关资料，养鸡场内经常保持干净和消毒等，那么，仅距场区100m内是苍蝇类的主要影响区，而距场区200m处基本上不受影响。如果不采取上述措施，苍蝇类影响的范围会超过400m，并且单位面积的苍蝇类密度会增加2倍以上。特别是夏季苍蝇类密度和影响范围会更大。</w:t>
      </w:r>
    </w:p>
    <w:p>
      <w:pPr>
        <w:pStyle w:val="3"/>
        <w:ind w:firstLine="480"/>
        <w:rPr>
          <w:rFonts w:cs="Times New Roman"/>
        </w:rPr>
      </w:pPr>
      <w:r>
        <w:rPr>
          <w:rFonts w:hint="eastAsia" w:cs="Times New Roman"/>
        </w:rPr>
        <w:t>在与卫生防护距离内居民签订房屋租赁协议后，</w:t>
      </w:r>
      <w:r>
        <w:rPr>
          <w:rFonts w:cs="Times New Roman"/>
        </w:rPr>
        <w:t>与本项目最近</w:t>
      </w:r>
      <w:r>
        <w:rPr>
          <w:rFonts w:hint="eastAsia" w:cs="Times New Roman"/>
        </w:rPr>
        <w:t>敏感点为</w:t>
      </w:r>
      <w:r>
        <w:rPr>
          <w:rFonts w:cs="Times New Roman"/>
        </w:rPr>
        <w:t>东湖寺村</w:t>
      </w:r>
      <w:r>
        <w:rPr>
          <w:rFonts w:hint="eastAsia" w:cs="Times New Roman"/>
        </w:rPr>
        <w:t>近斯塘</w:t>
      </w:r>
      <w:r>
        <w:rPr>
          <w:rFonts w:cs="Times New Roman"/>
        </w:rPr>
        <w:t>的直线距离约为2</w:t>
      </w:r>
      <w:r>
        <w:rPr>
          <w:rFonts w:hint="eastAsia" w:cs="Times New Roman"/>
        </w:rPr>
        <w:t>57</w:t>
      </w:r>
      <w:r>
        <w:rPr>
          <w:rFonts w:cs="Times New Roman"/>
        </w:rPr>
        <w:t>m。因此，项目工程产生的苍蝇类不会对附近村庄的环境卫生造成不良影响。同时，为减少苍蝇类对周边环境的影响，必须采取有效的灭蝇措施，具体如下：</w:t>
      </w:r>
    </w:p>
    <w:p>
      <w:pPr>
        <w:pStyle w:val="3"/>
        <w:ind w:firstLine="480"/>
        <w:rPr>
          <w:rFonts w:cs="Times New Roman"/>
        </w:rPr>
      </w:pPr>
      <w:r>
        <w:rPr>
          <w:rFonts w:hint="eastAsia" w:ascii="宋体" w:hAnsi="宋体" w:cs="宋体"/>
        </w:rPr>
        <w:t>①</w:t>
      </w:r>
      <w:r>
        <w:rPr>
          <w:rFonts w:cs="Times New Roman"/>
        </w:rPr>
        <w:t>为防止蚊蝇孳生，应根据蚊蝇生活习性，采用人工、机械配合喷药的方法预防蚊蝇孳生，如用敌百虫杀虫剂喷洒，但必须控制施药量，以免引起二次污染；</w:t>
      </w:r>
    </w:p>
    <w:p>
      <w:pPr>
        <w:pStyle w:val="3"/>
        <w:ind w:firstLine="480"/>
        <w:rPr>
          <w:rFonts w:cs="Times New Roman"/>
        </w:rPr>
      </w:pPr>
      <w:r>
        <w:rPr>
          <w:rFonts w:hint="eastAsia" w:ascii="宋体" w:hAnsi="宋体" w:cs="宋体"/>
        </w:rPr>
        <w:t>②</w:t>
      </w:r>
      <w:r>
        <w:rPr>
          <w:rFonts w:cs="Times New Roman"/>
        </w:rPr>
        <w:t>作好粪便的无害化处理，及时清理排水沟，减少蝇类滋生环境；</w:t>
      </w:r>
    </w:p>
    <w:p>
      <w:pPr>
        <w:pStyle w:val="3"/>
        <w:ind w:firstLine="480"/>
        <w:rPr>
          <w:rFonts w:cs="Times New Roman"/>
        </w:rPr>
      </w:pPr>
      <w:r>
        <w:rPr>
          <w:rFonts w:hint="eastAsia" w:ascii="宋体" w:hAnsi="宋体" w:cs="宋体"/>
        </w:rPr>
        <w:t>③</w:t>
      </w:r>
      <w:r>
        <w:rPr>
          <w:rFonts w:cs="Times New Roman"/>
        </w:rPr>
        <w:t>在饲料中添加防蝇剂等添加剂，改变鸡粪便的理化性质，既可减少蚊蝇，还可减轻粪便的臭味；</w:t>
      </w:r>
    </w:p>
    <w:p>
      <w:pPr>
        <w:pStyle w:val="3"/>
        <w:ind w:firstLine="480"/>
        <w:rPr>
          <w:rFonts w:cs="Times New Roman"/>
        </w:rPr>
      </w:pPr>
      <w:r>
        <w:rPr>
          <w:rFonts w:hint="eastAsia" w:ascii="宋体" w:hAnsi="宋体" w:cs="宋体"/>
        </w:rPr>
        <w:t>④</w:t>
      </w:r>
      <w:r>
        <w:rPr>
          <w:rFonts w:cs="Times New Roman"/>
        </w:rPr>
        <w:t>可于场区内种植丁香、薄荷、逐蝇梅等植物，可有效的驱蚊灭蝇，使蚊蝇失去繁衍孳生的场所</w:t>
      </w:r>
    </w:p>
    <w:p>
      <w:pPr>
        <w:pStyle w:val="3"/>
        <w:ind w:firstLine="480"/>
        <w:rPr>
          <w:rFonts w:cs="Times New Roman"/>
        </w:rPr>
      </w:pPr>
      <w:r>
        <w:rPr>
          <w:rFonts w:hint="eastAsia" w:ascii="宋体" w:hAnsi="宋体" w:cs="宋体"/>
        </w:rPr>
        <w:t>⑤</w:t>
      </w:r>
      <w:r>
        <w:rPr>
          <w:rFonts w:cs="Times New Roman"/>
        </w:rPr>
        <w:t>可使用灭蚊新产品，如紫外线灭蚊灯、电子捕蚊器等产生，经济实用、绿色环保。</w:t>
      </w:r>
    </w:p>
    <w:p>
      <w:pPr>
        <w:pStyle w:val="6"/>
      </w:pPr>
      <w:r>
        <w:t>土壤环境影响分析</w:t>
      </w:r>
    </w:p>
    <w:p>
      <w:pPr>
        <w:pStyle w:val="3"/>
        <w:ind w:firstLine="480"/>
      </w:pPr>
      <w:r>
        <w:rPr>
          <w:rFonts w:hint="eastAsia"/>
        </w:rPr>
        <w:t>（1）土壤生态环境影响分析</w:t>
      </w:r>
    </w:p>
    <w:p>
      <w:pPr>
        <w:pStyle w:val="3"/>
        <w:ind w:firstLine="480"/>
      </w:pPr>
      <w:r>
        <w:rPr>
          <w:rFonts w:hint="eastAsia"/>
        </w:rPr>
        <w:t>项目的建设会导致场地土壤理化性质和生物学性状发生改变。项目区范围由于场地平整和建构物压盖，原有土壤将被翻动、剥离或埋藏，从而造成土壤结构破坏和剖面层次混乱。人为压实和地面硬化，会使土壤土层厚度明显变薄，土壤空隙度明显下降，土壤容重明显增加，土壤的通气透水性能也将相应的变差，地面不透水面积比例将显著增大，地表径流系数将相应变大。土壤中的动物和微生物也因土壤理化性状变化和可能受到的污染影响而在种类、数量和生物量上有所变化，土壤生物群落结构趋向简单化。</w:t>
      </w:r>
    </w:p>
    <w:p>
      <w:pPr>
        <w:pStyle w:val="3"/>
        <w:ind w:firstLine="480"/>
      </w:pPr>
      <w:r>
        <w:rPr>
          <w:rFonts w:hint="eastAsia"/>
        </w:rPr>
        <w:t>（2）土壤环境污染影响分析</w:t>
      </w:r>
    </w:p>
    <w:p>
      <w:pPr>
        <w:pStyle w:val="3"/>
        <w:ind w:firstLine="480"/>
      </w:pPr>
      <w:r>
        <w:rPr>
          <w:rFonts w:hint="eastAsia"/>
        </w:rPr>
        <w:t>根据土壤环境现状监测结果，区域土壤监测点位均满足《土壤环境质量农用地土壤污染风险管控标准（试行）》（GB15618-2018）中表1标准要求，土壤环境状况较好。</w:t>
      </w:r>
    </w:p>
    <w:p>
      <w:pPr>
        <w:pStyle w:val="3"/>
        <w:ind w:firstLine="480"/>
      </w:pPr>
      <w:r>
        <w:rPr>
          <w:rFonts w:hint="eastAsia"/>
        </w:rPr>
        <w:t>项目主要土壤污染因子为CODcr和氨氮，项目对土壤的污染途径主要为污水的垂直下渗和地表漫流。项目鸡舍冲洗废水排入废水收集池经排污泵抽至化粪池处理，若若抽水过程中导致废水泄露，场内地面已硬化，废水若泄露将沿着硬化地面漫流，在硬化地面缝隙处下渗至土壤中污染土壤，由于饲料中含微量的铜和锌元素，故产生废水中也会存在此两种重金属，土壤的筛滤作用将导致土壤中局部重金属浓度增加，但污水量较少，泄露后污水中的有机质和氨氮在短期内会被土壤中的微生物分解，对土壤环境质量影响较小。</w:t>
      </w:r>
    </w:p>
    <w:p>
      <w:pPr>
        <w:pStyle w:val="3"/>
        <w:ind w:firstLine="480"/>
      </w:pPr>
      <w:r>
        <w:rPr>
          <w:rFonts w:hint="eastAsia"/>
        </w:rPr>
        <w:t>在项目施工期、运营期正常运行情况下土壤敏感点位不会超标，根据现状监测结果显示项目所在地土壤环境良好，若运营期发生泄露，在采取应急措施后土壤环境污染因子不会超标，企业应加强防范，定期检查鸡舍、危废暂存间、病死鸡无害化处理区、废水收集池、化粪池、等重点污染防治区，做好相关防护措施，加强厂区污染源控制和土壤污染防治，从总体来看，项目的实施对土壤环境影响不大，是可以接受的。</w:t>
      </w:r>
    </w:p>
    <w:p>
      <w:pPr>
        <w:pStyle w:val="6"/>
        <w:rPr>
          <w:rFonts w:cs="Times New Roman"/>
        </w:rPr>
      </w:pPr>
      <w:r>
        <w:rPr>
          <w:rFonts w:cs="Times New Roman"/>
        </w:rPr>
        <w:t>车辆运输环境影响分析</w:t>
      </w:r>
    </w:p>
    <w:p>
      <w:pPr>
        <w:pStyle w:val="3"/>
        <w:ind w:firstLine="480"/>
        <w:rPr>
          <w:rFonts w:cs="Times New Roman"/>
        </w:rPr>
      </w:pPr>
      <w:r>
        <w:rPr>
          <w:rFonts w:cs="Times New Roman"/>
        </w:rPr>
        <w:t>目前养殖区</w:t>
      </w:r>
      <w:r>
        <w:rPr>
          <w:rFonts w:hint="eastAsia" w:cs="Times New Roman"/>
        </w:rPr>
        <w:t>进购</w:t>
      </w:r>
      <w:r>
        <w:rPr>
          <w:rFonts w:cs="Times New Roman"/>
        </w:rPr>
        <w:t>鸡苗</w:t>
      </w:r>
      <w:r>
        <w:rPr>
          <w:rFonts w:hint="eastAsia" w:cs="Times New Roman"/>
        </w:rPr>
        <w:t>、淘汰蛋鸡外售</w:t>
      </w:r>
      <w:r>
        <w:rPr>
          <w:rFonts w:cs="Times New Roman"/>
        </w:rPr>
        <w:t>、饲料原材料运至养殖场内等主要依靠现有乡镇村道。运输过程中应选择最少居民的道路，可进一步减少车辆运输对周边居民的影响。</w:t>
      </w:r>
    </w:p>
    <w:p>
      <w:pPr>
        <w:pStyle w:val="3"/>
        <w:ind w:firstLine="480"/>
        <w:rPr>
          <w:rFonts w:cs="Times New Roman"/>
        </w:rPr>
      </w:pPr>
      <w:r>
        <w:rPr>
          <w:rFonts w:cs="Times New Roman"/>
        </w:rPr>
        <w:t>（1）车辆噪声分析</w:t>
      </w:r>
    </w:p>
    <w:p>
      <w:pPr>
        <w:pStyle w:val="3"/>
        <w:ind w:firstLine="480"/>
        <w:rPr>
          <w:rFonts w:cs="Times New Roman"/>
        </w:rPr>
      </w:pPr>
      <w:r>
        <w:rPr>
          <w:rFonts w:cs="Times New Roman"/>
        </w:rPr>
        <w:t>本项目运输路线大多是乡村，但沿途也经过居民区，汽车发动机工作时产生的噪声，对沿线居民的生活产生短时影响，但不会导致声环境质量明显的下降。通过合理调度，减少夜间运输量，可减少物流运输中所产生的环境影响。</w:t>
      </w:r>
    </w:p>
    <w:p>
      <w:pPr>
        <w:pStyle w:val="3"/>
        <w:ind w:firstLine="480"/>
        <w:rPr>
          <w:rFonts w:cs="Times New Roman"/>
        </w:rPr>
      </w:pPr>
      <w:r>
        <w:rPr>
          <w:rFonts w:cs="Times New Roman"/>
        </w:rPr>
        <w:t>（2）车辆运输恶臭及道路扬尘的影响分析</w:t>
      </w:r>
    </w:p>
    <w:p>
      <w:pPr>
        <w:pStyle w:val="3"/>
        <w:ind w:firstLine="480"/>
      </w:pPr>
      <w:r>
        <w:rPr>
          <w:rFonts w:cs="Times New Roman"/>
        </w:rPr>
        <w:t>车辆运输对环境敏感点的影响主要是恶臭和道路扬尘。由于汽车流增加，地面扬尘也随之增加，运输路线中有部分地区是农田，在风力作用下，地面扬尘会散落在农作物及行道树的树叶上，减弱了光合作用和正常生长。但由于增加的车流量很小，不会给沿途的生态农业带来影响。畜禽运输过程中产生的恶臭，对沿途居民会产生心理上及感官上的不良影响。据调查，一般运输畜禽车辆的恶臭影响范围在道路两侧20m内，因此对道路两侧20m范围内的居民有一定影响，但该恶臭源为非固定源，随着运输车辆的离开，影响也逐渐消失，一般情况下影响时间较短，在1-2min左右。只要加强管理、车辆合理调度，则对周围居民环境敏感点的影响有限。</w:t>
      </w:r>
    </w:p>
    <w:p>
      <w:pPr>
        <w:pStyle w:val="5"/>
      </w:pPr>
      <w:bookmarkStart w:id="37" w:name="_Toc80889086"/>
      <w:r>
        <w:rPr>
          <w:rFonts w:hint="eastAsia"/>
        </w:rPr>
        <w:t>环境</w:t>
      </w:r>
      <w:r>
        <w:t>风险分析</w:t>
      </w:r>
      <w:bookmarkEnd w:id="37"/>
    </w:p>
    <w:p>
      <w:pPr>
        <w:pStyle w:val="6"/>
        <w:rPr>
          <w:rFonts w:cs="Times New Roman"/>
        </w:rPr>
      </w:pPr>
      <w:r>
        <w:rPr>
          <w:rFonts w:cs="Times New Roman"/>
        </w:rPr>
        <w:t>环境风险评价概述</w:t>
      </w:r>
    </w:p>
    <w:p>
      <w:pPr>
        <w:pStyle w:val="7"/>
        <w:rPr>
          <w:rFonts w:cs="Times New Roman"/>
        </w:rPr>
      </w:pPr>
      <w:r>
        <w:rPr>
          <w:rFonts w:cs="Times New Roman"/>
        </w:rPr>
        <w:t>评价目的</w:t>
      </w:r>
    </w:p>
    <w:p>
      <w:pPr>
        <w:pStyle w:val="3"/>
        <w:ind w:firstLine="480"/>
        <w:rPr>
          <w:rFonts w:cs="Times New Roman"/>
        </w:rPr>
      </w:pPr>
      <w:r>
        <w:rPr>
          <w:rFonts w:cs="Times New Roman"/>
        </w:rPr>
        <w:t>环境风险是指突发性事故对环境造成的危害程度及可能性，它具有危害性大、影响范围广等特点，同时风险发生又有很大的不确定性，倘若一旦发生，其破坏性极强，对生态环境会产生严重破坏。</w:t>
      </w:r>
    </w:p>
    <w:p>
      <w:pPr>
        <w:pStyle w:val="3"/>
        <w:ind w:firstLine="480"/>
        <w:rPr>
          <w:rFonts w:cs="Times New Roman"/>
        </w:rPr>
      </w:pPr>
      <w:r>
        <w:rPr>
          <w:rFonts w:cs="Times New Roman"/>
        </w:rPr>
        <w:t>环境风险评价的目的是分析和预测建设项目存在的潜在危险、有害因素，建设项目建设和运行期间可能发生的突发性事件或事故，引起有毒有害和易燃易爆等物质的泄漏，所造成的人身安全与环境影响和损害程度，提出合理可行的防范、应急与减缓措施，以使建设项目事故率、损失和环境影响达到可接受的水平。</w:t>
      </w:r>
    </w:p>
    <w:p>
      <w:pPr>
        <w:pStyle w:val="7"/>
        <w:rPr>
          <w:rFonts w:cs="Times New Roman"/>
        </w:rPr>
      </w:pPr>
      <w:r>
        <w:rPr>
          <w:rFonts w:cs="Times New Roman"/>
        </w:rPr>
        <w:t>评价原则</w:t>
      </w:r>
    </w:p>
    <w:p>
      <w:pPr>
        <w:pStyle w:val="3"/>
        <w:ind w:firstLine="480"/>
        <w:rPr>
          <w:rFonts w:cs="Times New Roman"/>
        </w:rPr>
      </w:pPr>
      <w:r>
        <w:rPr>
          <w:rFonts w:cs="Times New Roman"/>
        </w:rPr>
        <w:t>环境风险评价应以突发性事故导致的危险物质环境急性损害防控为目标，对建设项目的环境风险进行分析、预测和评估，提出环境风险预防、控制、减缓措施，明确环境风险监控及应急建议要求，为建设项目环境风险防控提供科学依据。</w:t>
      </w:r>
    </w:p>
    <w:p>
      <w:pPr>
        <w:pStyle w:val="7"/>
        <w:widowControl w:val="0"/>
        <w:tabs>
          <w:tab w:val="left" w:pos="0"/>
        </w:tabs>
        <w:adjustRightInd/>
        <w:snapToGrid/>
        <w:ind w:left="480" w:hanging="480" w:hangingChars="200"/>
        <w:jc w:val="both"/>
        <w:rPr>
          <w:rFonts w:cs="Times New Roman"/>
        </w:rPr>
      </w:pPr>
      <w:r>
        <w:rPr>
          <w:rFonts w:cs="Times New Roman"/>
        </w:rPr>
        <w:t>评价工作程序</w:t>
      </w:r>
    </w:p>
    <w:p>
      <w:pPr>
        <w:pStyle w:val="3"/>
        <w:ind w:firstLine="480"/>
        <w:rPr>
          <w:rFonts w:cs="Times New Roman"/>
        </w:rPr>
      </w:pPr>
      <w:r>
        <w:rPr>
          <w:rFonts w:cs="Times New Roman"/>
        </w:rPr>
        <w:t>环境风险评价工作程序详见图5.3-1。</w:t>
      </w:r>
    </w:p>
    <w:p>
      <w:pPr>
        <w:pStyle w:val="3"/>
        <w:ind w:firstLine="480"/>
        <w:rPr>
          <w:rFonts w:cs="Times New Roman"/>
        </w:rPr>
      </w:pPr>
      <w:r>
        <w:rPr>
          <w:rFonts w:cs="Times New Roman"/>
        </w:rPr>
        <w:drawing>
          <wp:inline distT="0" distB="0" distL="0" distR="0">
            <wp:extent cx="4953000" cy="5162550"/>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4953000" cy="5162550"/>
                    </a:xfrm>
                    <a:prstGeom prst="rect">
                      <a:avLst/>
                    </a:prstGeom>
                    <a:noFill/>
                    <a:ln>
                      <a:noFill/>
                    </a:ln>
                  </pic:spPr>
                </pic:pic>
              </a:graphicData>
            </a:graphic>
          </wp:inline>
        </w:drawing>
      </w:r>
    </w:p>
    <w:p>
      <w:pPr>
        <w:pStyle w:val="15"/>
        <w:rPr>
          <w:rFonts w:cs="Times New Roman"/>
        </w:rPr>
      </w:pPr>
      <w:r>
        <w:rPr>
          <w:rFonts w:cs="Times New Roman"/>
          <w:lang w:val="zh-CN"/>
        </w:rPr>
        <w:t>图</w:t>
      </w:r>
      <w:r>
        <w:rPr>
          <w:rFonts w:cs="Times New Roman"/>
        </w:rPr>
        <w:t>5.3-1 环境风险评价工作程序图</w:t>
      </w:r>
    </w:p>
    <w:p>
      <w:pPr>
        <w:pStyle w:val="6"/>
        <w:rPr>
          <w:rFonts w:cs="Times New Roman"/>
        </w:rPr>
      </w:pPr>
      <w:r>
        <w:rPr>
          <w:rFonts w:cs="Times New Roman"/>
        </w:rPr>
        <w:t>风险评价等级</w:t>
      </w:r>
    </w:p>
    <w:p>
      <w:pPr>
        <w:pStyle w:val="7"/>
        <w:rPr>
          <w:rFonts w:cs="Times New Roman"/>
          <w:lang w:val="zh-CN"/>
        </w:rPr>
      </w:pPr>
      <w:r>
        <w:rPr>
          <w:rFonts w:cs="Times New Roman"/>
          <w:lang w:val="zh-CN"/>
        </w:rPr>
        <w:t>风险调查</w:t>
      </w:r>
    </w:p>
    <w:p>
      <w:pPr>
        <w:pStyle w:val="3"/>
        <w:ind w:firstLine="480"/>
        <w:rPr>
          <w:rFonts w:cs="Times New Roman"/>
          <w:lang w:val="zh-CN"/>
        </w:rPr>
      </w:pPr>
      <w:r>
        <w:rPr>
          <w:rFonts w:cs="Times New Roman"/>
          <w:lang w:val="zh-CN"/>
        </w:rPr>
        <w:t>本项目为</w:t>
      </w:r>
      <w:r>
        <w:rPr>
          <w:rFonts w:hint="eastAsia" w:cs="Times New Roman"/>
          <w:lang w:val="zh-CN"/>
        </w:rPr>
        <w:t>蛋鸡</w:t>
      </w:r>
      <w:r>
        <w:rPr>
          <w:rFonts w:cs="Times New Roman"/>
          <w:lang w:val="zh-CN"/>
        </w:rPr>
        <w:t>养殖项目，生产中所用的原辅材料、产品、中间产品及“三废”处理过程中涉及的危险物质主要为消毒液、疫苗、柴油。</w:t>
      </w:r>
    </w:p>
    <w:p>
      <w:pPr>
        <w:pStyle w:val="7"/>
        <w:rPr>
          <w:rFonts w:cs="Times New Roman"/>
        </w:rPr>
      </w:pPr>
      <w:r>
        <w:rPr>
          <w:rFonts w:cs="Times New Roman"/>
        </w:rPr>
        <w:t>环境风险潜势初判</w:t>
      </w:r>
    </w:p>
    <w:p>
      <w:pPr>
        <w:pStyle w:val="3"/>
        <w:ind w:firstLine="480"/>
        <w:rPr>
          <w:rFonts w:cs="Times New Roman"/>
        </w:rPr>
      </w:pPr>
      <w:r>
        <w:rPr>
          <w:rFonts w:cs="Times New Roman"/>
        </w:rPr>
        <w:t>根据《建设项目环境风险评价技术导则》（HJ 169-2018）中环境风险潜势的确定步骤，首先计算项目危险物质与其临界量的比值Q。</w:t>
      </w:r>
    </w:p>
    <w:p>
      <w:pPr>
        <w:pStyle w:val="3"/>
        <w:ind w:firstLine="480"/>
        <w:rPr>
          <w:rFonts w:cs="Times New Roman"/>
        </w:rPr>
      </w:pPr>
      <w:r>
        <w:rPr>
          <w:rFonts w:cs="Times New Roman"/>
        </w:rPr>
        <w:t>根据《建设项目环境风险评价技术导则》（HJ169-2018）中有关规定，柴油属于油类物质，临界量为2500t；消毒液过氧乙酸临界量为5t，疫苗临界量为50t。本项目柴油最大储存量为</w:t>
      </w:r>
      <w:r>
        <w:rPr>
          <w:rFonts w:hint="eastAsia" w:cs="Times New Roman"/>
        </w:rPr>
        <w:t>1</w:t>
      </w:r>
      <w:r>
        <w:rPr>
          <w:rFonts w:cs="Times New Roman"/>
        </w:rPr>
        <w:t>t，消毒液中过氧乙酸含量约15%，消毒液中过氧乙酸最大含量约为0.045t/a，疫苗按最大存储的瓶数200瓶计算，最大储存量为0.05t。</w:t>
      </w:r>
    </w:p>
    <w:p>
      <w:pPr>
        <w:pStyle w:val="3"/>
        <w:ind w:firstLine="480"/>
        <w:rPr>
          <w:rFonts w:cs="Times New Roman"/>
        </w:rPr>
      </w:pPr>
      <w:r>
        <w:rPr>
          <w:rFonts w:cs="Times New Roman"/>
        </w:rPr>
        <w:t>Q值的确定：单元内存在的危险物质为多品种时，则按下式计算。</w:t>
      </w:r>
    </w:p>
    <w:p>
      <w:pPr>
        <w:pStyle w:val="3"/>
        <w:ind w:firstLine="480"/>
        <w:jc w:val="center"/>
        <w:rPr>
          <w:rFonts w:cs="Times New Roman"/>
        </w:rPr>
      </w:pPr>
      <w:r>
        <w:rPr>
          <w:rFonts w:cs="Times New Roman"/>
        </w:rPr>
        <w:drawing>
          <wp:inline distT="0" distB="0" distL="0" distR="0">
            <wp:extent cx="1696085" cy="467995"/>
            <wp:effectExtent l="0" t="0" r="0" b="825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12"/>
                    <a:stretch>
                      <a:fillRect/>
                    </a:stretch>
                  </pic:blipFill>
                  <pic:spPr>
                    <a:xfrm>
                      <a:off x="0" y="0"/>
                      <a:ext cx="1696500" cy="468000"/>
                    </a:xfrm>
                    <a:prstGeom prst="rect">
                      <a:avLst/>
                    </a:prstGeom>
                  </pic:spPr>
                </pic:pic>
              </a:graphicData>
            </a:graphic>
          </wp:inline>
        </w:drawing>
      </w:r>
    </w:p>
    <w:p>
      <w:pPr>
        <w:pStyle w:val="3"/>
        <w:ind w:firstLine="480"/>
        <w:rPr>
          <w:rFonts w:cs="Times New Roman"/>
        </w:rPr>
      </w:pPr>
      <w:r>
        <w:rPr>
          <w:rFonts w:cs="Times New Roman"/>
        </w:rPr>
        <w:t>式中：</w:t>
      </w:r>
      <w:r>
        <w:rPr>
          <w:rFonts w:cs="Times New Roman"/>
          <w:i/>
        </w:rPr>
        <w:t>q</w:t>
      </w:r>
      <w:r>
        <w:rPr>
          <w:rFonts w:cs="Times New Roman"/>
          <w:vertAlign w:val="subscript"/>
        </w:rPr>
        <w:t>1</w:t>
      </w:r>
      <w:r>
        <w:rPr>
          <w:rFonts w:cs="Times New Roman"/>
        </w:rPr>
        <w:t>，</w:t>
      </w:r>
      <w:r>
        <w:rPr>
          <w:rFonts w:cs="Times New Roman"/>
          <w:i/>
        </w:rPr>
        <w:t>q</w:t>
      </w:r>
      <w:r>
        <w:rPr>
          <w:rFonts w:cs="Times New Roman"/>
          <w:vertAlign w:val="subscript"/>
        </w:rPr>
        <w:t>2</w:t>
      </w:r>
      <w:r>
        <w:rPr>
          <w:rFonts w:cs="Times New Roman"/>
        </w:rPr>
        <w:t>，……，</w:t>
      </w:r>
      <w:r>
        <w:rPr>
          <w:rFonts w:cs="Times New Roman"/>
          <w:i/>
        </w:rPr>
        <w:t>q</w:t>
      </w:r>
      <w:r>
        <w:rPr>
          <w:rFonts w:cs="Times New Roman"/>
          <w:vertAlign w:val="subscript"/>
        </w:rPr>
        <w:t>n</w:t>
      </w:r>
      <w:r>
        <w:rPr>
          <w:rFonts w:cs="Times New Roman"/>
        </w:rPr>
        <w:t>为每种危险物质实际存在量，t；</w:t>
      </w:r>
    </w:p>
    <w:p>
      <w:pPr>
        <w:pStyle w:val="3"/>
        <w:ind w:firstLine="1200" w:firstLineChars="500"/>
        <w:rPr>
          <w:rFonts w:cs="Times New Roman"/>
        </w:rPr>
      </w:pPr>
      <w:r>
        <w:rPr>
          <w:rFonts w:cs="Times New Roman"/>
          <w:i/>
        </w:rPr>
        <w:t>Q</w:t>
      </w:r>
      <w:r>
        <w:rPr>
          <w:rFonts w:cs="Times New Roman"/>
          <w:vertAlign w:val="subscript"/>
        </w:rPr>
        <w:t>1</w:t>
      </w:r>
      <w:r>
        <w:rPr>
          <w:rFonts w:cs="Times New Roman"/>
        </w:rPr>
        <w:t>，</w:t>
      </w:r>
      <w:r>
        <w:rPr>
          <w:rFonts w:cs="Times New Roman"/>
          <w:i/>
        </w:rPr>
        <w:t>Q</w:t>
      </w:r>
      <w:r>
        <w:rPr>
          <w:rFonts w:cs="Times New Roman"/>
          <w:vertAlign w:val="subscript"/>
        </w:rPr>
        <w:t>2</w:t>
      </w:r>
      <w:r>
        <w:rPr>
          <w:rFonts w:cs="Times New Roman"/>
        </w:rPr>
        <w:t>，……，</w:t>
      </w:r>
      <w:r>
        <w:rPr>
          <w:rFonts w:cs="Times New Roman"/>
          <w:i/>
        </w:rPr>
        <w:t>Q</w:t>
      </w:r>
      <w:r>
        <w:rPr>
          <w:rFonts w:cs="Times New Roman"/>
          <w:vertAlign w:val="subscript"/>
        </w:rPr>
        <w:t>n</w:t>
      </w:r>
      <w:r>
        <w:rPr>
          <w:rFonts w:cs="Times New Roman"/>
        </w:rPr>
        <w:t>为与各危险物质相对应的临界量，t。</w:t>
      </w:r>
    </w:p>
    <w:p>
      <w:pPr>
        <w:pStyle w:val="3"/>
        <w:ind w:firstLine="1200" w:firstLineChars="500"/>
        <w:rPr>
          <w:rFonts w:cs="Times New Roman"/>
        </w:rPr>
      </w:pPr>
      <w:r>
        <w:rPr>
          <w:rFonts w:cs="Times New Roman"/>
        </w:rPr>
        <w:t>当</w:t>
      </w:r>
      <w:r>
        <w:rPr>
          <w:rFonts w:cs="Times New Roman"/>
          <w:i/>
        </w:rPr>
        <w:t>Q</w:t>
      </w:r>
      <w:r>
        <w:rPr>
          <w:rFonts w:cs="Times New Roman"/>
        </w:rPr>
        <w:t>＜1时，该项目环境风险潜势为I；</w:t>
      </w:r>
    </w:p>
    <w:p>
      <w:pPr>
        <w:pStyle w:val="3"/>
        <w:ind w:firstLine="480"/>
        <w:rPr>
          <w:rFonts w:cs="Times New Roman"/>
        </w:rPr>
      </w:pPr>
      <w:r>
        <w:rPr>
          <w:rFonts w:cs="Times New Roman"/>
        </w:rPr>
        <w:t>当</w:t>
      </w:r>
      <w:r>
        <w:rPr>
          <w:rFonts w:cs="Times New Roman"/>
          <w:i/>
        </w:rPr>
        <w:t>Q</w:t>
      </w:r>
      <w:r>
        <w:rPr>
          <w:rFonts w:cs="Times New Roman"/>
        </w:rPr>
        <w:t>≥1时，将</w:t>
      </w:r>
      <w:r>
        <w:rPr>
          <w:rFonts w:cs="Times New Roman"/>
          <w:i/>
        </w:rPr>
        <w:t>Q</w:t>
      </w:r>
      <w:r>
        <w:rPr>
          <w:rFonts w:cs="Times New Roman"/>
        </w:rPr>
        <w:t>值分为：（1）1≤</w:t>
      </w:r>
      <w:r>
        <w:rPr>
          <w:rFonts w:cs="Times New Roman"/>
          <w:i/>
        </w:rPr>
        <w:t>Q</w:t>
      </w:r>
      <w:r>
        <w:rPr>
          <w:rFonts w:cs="Times New Roman"/>
        </w:rPr>
        <w:t>＜10；（2）10≤</w:t>
      </w:r>
      <w:r>
        <w:rPr>
          <w:rFonts w:cs="Times New Roman"/>
          <w:i/>
        </w:rPr>
        <w:t>Q</w:t>
      </w:r>
      <w:r>
        <w:rPr>
          <w:rFonts w:cs="Times New Roman"/>
        </w:rPr>
        <w:t>＜100；（3）</w:t>
      </w:r>
      <w:r>
        <w:rPr>
          <w:rFonts w:cs="Times New Roman"/>
          <w:i/>
        </w:rPr>
        <w:t>Q</w:t>
      </w:r>
      <w:r>
        <w:rPr>
          <w:rFonts w:cs="Times New Roman"/>
        </w:rPr>
        <w:t>≥100。</w:t>
      </w:r>
    </w:p>
    <w:p>
      <w:pPr>
        <w:pStyle w:val="15"/>
        <w:rPr>
          <w:rFonts w:cs="Times New Roman"/>
        </w:rPr>
      </w:pPr>
      <w:r>
        <w:rPr>
          <w:rFonts w:cs="Times New Roman"/>
        </w:rPr>
        <w:t>表5.3-1   项目主要风险物质及其临界量</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5"/>
        <w:gridCol w:w="1194"/>
        <w:gridCol w:w="1274"/>
        <w:gridCol w:w="1194"/>
        <w:gridCol w:w="1312"/>
        <w:gridCol w:w="3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64" w:type="dxa"/>
            <w:shd w:val="clear" w:color="auto" w:fill="auto"/>
            <w:vAlign w:val="center"/>
          </w:tcPr>
          <w:p>
            <w:pPr>
              <w:pStyle w:val="39"/>
              <w:rPr>
                <w:rFonts w:cs="Times New Roman"/>
              </w:rPr>
            </w:pPr>
            <w:r>
              <w:rPr>
                <w:rFonts w:cs="Times New Roman"/>
              </w:rPr>
              <w:t>名称</w:t>
            </w:r>
          </w:p>
        </w:tc>
        <w:tc>
          <w:tcPr>
            <w:tcW w:w="1263" w:type="dxa"/>
            <w:shd w:val="clear" w:color="auto" w:fill="auto"/>
            <w:vAlign w:val="center"/>
          </w:tcPr>
          <w:p>
            <w:pPr>
              <w:pStyle w:val="39"/>
              <w:rPr>
                <w:rFonts w:cs="Times New Roman"/>
              </w:rPr>
            </w:pPr>
            <w:r>
              <w:rPr>
                <w:rFonts w:cs="Times New Roman"/>
              </w:rPr>
              <w:t>类别</w:t>
            </w:r>
          </w:p>
        </w:tc>
        <w:tc>
          <w:tcPr>
            <w:tcW w:w="1321" w:type="dxa"/>
            <w:shd w:val="clear" w:color="auto" w:fill="auto"/>
            <w:vAlign w:val="center"/>
          </w:tcPr>
          <w:p>
            <w:pPr>
              <w:pStyle w:val="39"/>
              <w:rPr>
                <w:rFonts w:cs="Times New Roman"/>
              </w:rPr>
            </w:pPr>
            <w:r>
              <w:rPr>
                <w:rFonts w:cs="Times New Roman"/>
              </w:rPr>
              <w:t>最大存放量</w:t>
            </w:r>
          </w:p>
        </w:tc>
        <w:tc>
          <w:tcPr>
            <w:tcW w:w="1263" w:type="dxa"/>
            <w:shd w:val="clear" w:color="auto" w:fill="auto"/>
            <w:vAlign w:val="center"/>
          </w:tcPr>
          <w:p>
            <w:pPr>
              <w:pStyle w:val="39"/>
              <w:rPr>
                <w:rFonts w:cs="Times New Roman"/>
              </w:rPr>
            </w:pPr>
            <w:r>
              <w:rPr>
                <w:rFonts w:cs="Times New Roman"/>
              </w:rPr>
              <w:t>存放方式</w:t>
            </w:r>
          </w:p>
        </w:tc>
        <w:tc>
          <w:tcPr>
            <w:tcW w:w="1367" w:type="dxa"/>
            <w:shd w:val="clear" w:color="auto" w:fill="auto"/>
            <w:vAlign w:val="center"/>
          </w:tcPr>
          <w:p>
            <w:pPr>
              <w:pStyle w:val="39"/>
              <w:rPr>
                <w:rFonts w:cs="Times New Roman"/>
              </w:rPr>
            </w:pPr>
            <w:r>
              <w:rPr>
                <w:rFonts w:cs="Times New Roman"/>
              </w:rPr>
              <w:t>附录中临界量（t）</w:t>
            </w:r>
          </w:p>
        </w:tc>
        <w:tc>
          <w:tcPr>
            <w:tcW w:w="2695" w:type="dxa"/>
            <w:vAlign w:val="center"/>
          </w:tcPr>
          <w:p>
            <w:pPr>
              <w:pStyle w:val="39"/>
              <w:rPr>
                <w:rFonts w:cs="Times New Roman"/>
              </w:rPr>
            </w:pPr>
            <w:r>
              <w:rPr>
                <w:rFonts w:cs="Times New Roman"/>
              </w:rPr>
              <w:t>是否构成重大危险源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64" w:type="dxa"/>
            <w:shd w:val="clear" w:color="auto" w:fill="auto"/>
            <w:vAlign w:val="center"/>
          </w:tcPr>
          <w:p>
            <w:pPr>
              <w:pStyle w:val="39"/>
              <w:rPr>
                <w:rFonts w:cs="Times New Roman"/>
              </w:rPr>
            </w:pPr>
            <w:r>
              <w:rPr>
                <w:rFonts w:cs="Times New Roman"/>
              </w:rPr>
              <w:t>柴油</w:t>
            </w:r>
          </w:p>
        </w:tc>
        <w:tc>
          <w:tcPr>
            <w:tcW w:w="1263" w:type="dxa"/>
            <w:shd w:val="clear" w:color="auto" w:fill="auto"/>
            <w:vAlign w:val="center"/>
          </w:tcPr>
          <w:p>
            <w:pPr>
              <w:pStyle w:val="39"/>
              <w:rPr>
                <w:rFonts w:cs="Times New Roman"/>
              </w:rPr>
            </w:pPr>
            <w:r>
              <w:rPr>
                <w:rFonts w:cs="Times New Roman"/>
              </w:rPr>
              <w:t>易燃易爆</w:t>
            </w:r>
          </w:p>
        </w:tc>
        <w:tc>
          <w:tcPr>
            <w:tcW w:w="1321" w:type="dxa"/>
            <w:shd w:val="clear" w:color="auto" w:fill="auto"/>
            <w:vAlign w:val="center"/>
          </w:tcPr>
          <w:p>
            <w:pPr>
              <w:pStyle w:val="39"/>
              <w:rPr>
                <w:rFonts w:cs="Times New Roman"/>
              </w:rPr>
            </w:pPr>
            <w:r>
              <w:rPr>
                <w:rFonts w:hint="eastAsia" w:cs="Times New Roman"/>
              </w:rPr>
              <w:t>1</w:t>
            </w:r>
            <w:r>
              <w:rPr>
                <w:rFonts w:cs="Times New Roman"/>
              </w:rPr>
              <w:t>t</w:t>
            </w:r>
          </w:p>
        </w:tc>
        <w:tc>
          <w:tcPr>
            <w:tcW w:w="1263" w:type="dxa"/>
            <w:shd w:val="clear" w:color="auto" w:fill="auto"/>
            <w:vAlign w:val="center"/>
          </w:tcPr>
          <w:p>
            <w:pPr>
              <w:pStyle w:val="39"/>
              <w:rPr>
                <w:rFonts w:cs="Times New Roman"/>
              </w:rPr>
            </w:pPr>
            <w:r>
              <w:rPr>
                <w:rFonts w:cs="Times New Roman"/>
              </w:rPr>
              <w:t>罐装</w:t>
            </w:r>
          </w:p>
        </w:tc>
        <w:tc>
          <w:tcPr>
            <w:tcW w:w="1367" w:type="dxa"/>
            <w:shd w:val="clear" w:color="auto" w:fill="auto"/>
            <w:vAlign w:val="center"/>
          </w:tcPr>
          <w:p>
            <w:pPr>
              <w:pStyle w:val="39"/>
              <w:rPr>
                <w:rFonts w:cs="Times New Roman"/>
              </w:rPr>
            </w:pPr>
            <w:r>
              <w:rPr>
                <w:rFonts w:cs="Times New Roman"/>
              </w:rPr>
              <w:t>2500</w:t>
            </w:r>
          </w:p>
        </w:tc>
        <w:tc>
          <w:tcPr>
            <w:tcW w:w="2695" w:type="dxa"/>
            <w:vMerge w:val="restart"/>
            <w:vAlign w:val="center"/>
          </w:tcPr>
          <w:p>
            <w:pPr>
              <w:pStyle w:val="39"/>
              <w:rPr>
                <w:rFonts w:cs="Times New Roman"/>
              </w:rPr>
            </w:pPr>
            <w:r>
              <w:rPr>
                <w:rFonts w:hint="eastAsia" w:cs="Times New Roman"/>
              </w:rPr>
              <w:t>1</w:t>
            </w:r>
            <w:r>
              <w:rPr>
                <w:rFonts w:cs="Times New Roman"/>
              </w:rPr>
              <w:t>/2500+0.05/50+0.045/5=0.010</w:t>
            </w:r>
            <w:r>
              <w:rPr>
                <w:rFonts w:hint="eastAsia" w:cs="Times New Roman"/>
              </w:rPr>
              <w:t>4</w:t>
            </w:r>
            <w:r>
              <w:rPr>
                <w:rFonts w:cs="Times New Roma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64" w:type="dxa"/>
            <w:shd w:val="clear" w:color="auto" w:fill="auto"/>
            <w:vAlign w:val="center"/>
          </w:tcPr>
          <w:p>
            <w:pPr>
              <w:pStyle w:val="39"/>
              <w:rPr>
                <w:rFonts w:cs="Times New Roman"/>
              </w:rPr>
            </w:pPr>
            <w:r>
              <w:rPr>
                <w:rFonts w:cs="Times New Roman"/>
              </w:rPr>
              <w:t>疫苗</w:t>
            </w:r>
          </w:p>
        </w:tc>
        <w:tc>
          <w:tcPr>
            <w:tcW w:w="1263" w:type="dxa"/>
            <w:shd w:val="clear" w:color="auto" w:fill="auto"/>
            <w:vAlign w:val="center"/>
          </w:tcPr>
          <w:p>
            <w:pPr>
              <w:pStyle w:val="39"/>
              <w:rPr>
                <w:rFonts w:cs="Times New Roman"/>
              </w:rPr>
            </w:pPr>
            <w:r>
              <w:rPr>
                <w:rFonts w:cs="Times New Roman"/>
              </w:rPr>
              <w:t>/</w:t>
            </w:r>
          </w:p>
        </w:tc>
        <w:tc>
          <w:tcPr>
            <w:tcW w:w="1321" w:type="dxa"/>
            <w:shd w:val="clear" w:color="auto" w:fill="auto"/>
            <w:vAlign w:val="center"/>
          </w:tcPr>
          <w:p>
            <w:pPr>
              <w:pStyle w:val="39"/>
              <w:rPr>
                <w:rFonts w:cs="Times New Roman"/>
              </w:rPr>
            </w:pPr>
            <w:r>
              <w:rPr>
                <w:rFonts w:cs="Times New Roman"/>
              </w:rPr>
              <w:t>0.05</w:t>
            </w:r>
            <w:r>
              <w:rPr>
                <w:rFonts w:hint="eastAsia" w:cs="Times New Roman"/>
              </w:rPr>
              <w:t>t</w:t>
            </w:r>
          </w:p>
        </w:tc>
        <w:tc>
          <w:tcPr>
            <w:tcW w:w="1263" w:type="dxa"/>
            <w:shd w:val="clear" w:color="auto" w:fill="auto"/>
            <w:vAlign w:val="center"/>
          </w:tcPr>
          <w:p>
            <w:pPr>
              <w:pStyle w:val="39"/>
              <w:rPr>
                <w:rFonts w:cs="Times New Roman"/>
              </w:rPr>
            </w:pPr>
            <w:r>
              <w:rPr>
                <w:rFonts w:cs="Times New Roman"/>
              </w:rPr>
              <w:t>瓶装</w:t>
            </w:r>
          </w:p>
        </w:tc>
        <w:tc>
          <w:tcPr>
            <w:tcW w:w="1367" w:type="dxa"/>
            <w:shd w:val="clear" w:color="auto" w:fill="auto"/>
            <w:vAlign w:val="center"/>
          </w:tcPr>
          <w:p>
            <w:pPr>
              <w:pStyle w:val="39"/>
              <w:rPr>
                <w:rFonts w:cs="Times New Roman"/>
              </w:rPr>
            </w:pPr>
            <w:r>
              <w:rPr>
                <w:rFonts w:cs="Times New Roman"/>
              </w:rPr>
              <w:t>50</w:t>
            </w:r>
          </w:p>
        </w:tc>
        <w:tc>
          <w:tcPr>
            <w:tcW w:w="2695" w:type="dxa"/>
            <w:vMerge w:val="continue"/>
            <w:vAlign w:val="center"/>
          </w:tcPr>
          <w:p>
            <w:pPr>
              <w:pStyle w:val="3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264" w:type="dxa"/>
            <w:shd w:val="clear" w:color="auto" w:fill="auto"/>
            <w:vAlign w:val="center"/>
          </w:tcPr>
          <w:p>
            <w:pPr>
              <w:pStyle w:val="39"/>
              <w:rPr>
                <w:rFonts w:cs="Times New Roman"/>
              </w:rPr>
            </w:pPr>
            <w:r>
              <w:rPr>
                <w:rFonts w:cs="Times New Roman"/>
              </w:rPr>
              <w:t>消毒液</w:t>
            </w:r>
          </w:p>
        </w:tc>
        <w:tc>
          <w:tcPr>
            <w:tcW w:w="1263" w:type="dxa"/>
            <w:shd w:val="clear" w:color="auto" w:fill="auto"/>
            <w:vAlign w:val="center"/>
          </w:tcPr>
          <w:p>
            <w:pPr>
              <w:pStyle w:val="39"/>
              <w:rPr>
                <w:rFonts w:cs="Times New Roman"/>
              </w:rPr>
            </w:pPr>
            <w:r>
              <w:rPr>
                <w:rFonts w:cs="Times New Roman"/>
                <w:shd w:val="clear" w:color="auto" w:fill="FFFFFF"/>
              </w:rPr>
              <w:t>强氧化剂</w:t>
            </w:r>
          </w:p>
        </w:tc>
        <w:tc>
          <w:tcPr>
            <w:tcW w:w="1321" w:type="dxa"/>
            <w:shd w:val="clear" w:color="auto" w:fill="auto"/>
            <w:vAlign w:val="center"/>
          </w:tcPr>
          <w:p>
            <w:pPr>
              <w:pStyle w:val="39"/>
              <w:rPr>
                <w:rFonts w:cs="Times New Roman"/>
              </w:rPr>
            </w:pPr>
            <w:r>
              <w:rPr>
                <w:rFonts w:cs="Times New Roman"/>
              </w:rPr>
              <w:t>0.045t</w:t>
            </w:r>
          </w:p>
        </w:tc>
        <w:tc>
          <w:tcPr>
            <w:tcW w:w="1263" w:type="dxa"/>
            <w:shd w:val="clear" w:color="auto" w:fill="auto"/>
            <w:vAlign w:val="center"/>
          </w:tcPr>
          <w:p>
            <w:pPr>
              <w:pStyle w:val="39"/>
              <w:rPr>
                <w:rFonts w:cs="Times New Roman"/>
              </w:rPr>
            </w:pPr>
            <w:r>
              <w:rPr>
                <w:rFonts w:cs="Times New Roman"/>
              </w:rPr>
              <w:t>瓶装</w:t>
            </w:r>
          </w:p>
        </w:tc>
        <w:tc>
          <w:tcPr>
            <w:tcW w:w="1367" w:type="dxa"/>
            <w:shd w:val="clear" w:color="auto" w:fill="auto"/>
            <w:vAlign w:val="center"/>
          </w:tcPr>
          <w:p>
            <w:pPr>
              <w:pStyle w:val="39"/>
              <w:rPr>
                <w:rFonts w:cs="Times New Roman"/>
              </w:rPr>
            </w:pPr>
            <w:r>
              <w:rPr>
                <w:rFonts w:cs="Times New Roman"/>
              </w:rPr>
              <w:t>5</w:t>
            </w:r>
          </w:p>
        </w:tc>
        <w:tc>
          <w:tcPr>
            <w:tcW w:w="2695" w:type="dxa"/>
            <w:vMerge w:val="continue"/>
            <w:vAlign w:val="center"/>
          </w:tcPr>
          <w:p>
            <w:pPr>
              <w:pStyle w:val="39"/>
              <w:rPr>
                <w:rFonts w:cs="Times New Roman"/>
              </w:rPr>
            </w:pPr>
          </w:p>
        </w:tc>
      </w:tr>
    </w:tbl>
    <w:p>
      <w:pPr>
        <w:pStyle w:val="3"/>
        <w:ind w:firstLine="480"/>
        <w:rPr>
          <w:rFonts w:cs="Times New Roman"/>
        </w:rPr>
      </w:pPr>
    </w:p>
    <w:p>
      <w:pPr>
        <w:pStyle w:val="3"/>
        <w:ind w:firstLine="480"/>
        <w:rPr>
          <w:rFonts w:cs="Times New Roman"/>
        </w:rPr>
      </w:pPr>
      <w:r>
        <w:rPr>
          <w:rFonts w:cs="Times New Roman"/>
        </w:rPr>
        <w:t>则本项目</w:t>
      </w:r>
      <w:r>
        <w:rPr>
          <w:rFonts w:cs="Times New Roman"/>
          <w:i/>
        </w:rPr>
        <w:t>Q</w:t>
      </w:r>
      <w:r>
        <w:rPr>
          <w:rFonts w:cs="Times New Roman"/>
        </w:rPr>
        <w:t>值为</w:t>
      </w:r>
      <w:r>
        <w:rPr>
          <w:rFonts w:hint="eastAsia" w:cs="Times New Roman"/>
        </w:rPr>
        <w:t>0.0104</w:t>
      </w:r>
      <w:r>
        <w:rPr>
          <w:rFonts w:cs="Times New Roman"/>
        </w:rPr>
        <w:t>＜1，风险潜势为I，行业与生产工艺危险性分析：项目属于畜禽养殖业，使用风险物质为柴油及消毒液，属于（HJ169-2018）表C.1行业与生产工艺中其他：涉及危险物质的使用、贮存的项目，本项目M=5，本项目工艺危险性为M1。</w:t>
      </w:r>
    </w:p>
    <w:p>
      <w:pPr>
        <w:pStyle w:val="7"/>
        <w:rPr>
          <w:rFonts w:cs="Times New Roman"/>
        </w:rPr>
      </w:pPr>
      <w:r>
        <w:rPr>
          <w:rFonts w:cs="Times New Roman"/>
        </w:rPr>
        <w:t>评价等级确定</w:t>
      </w:r>
    </w:p>
    <w:p>
      <w:pPr>
        <w:pStyle w:val="3"/>
        <w:ind w:firstLine="480"/>
        <w:rPr>
          <w:rFonts w:cs="Times New Roman"/>
        </w:rPr>
      </w:pPr>
      <w:r>
        <w:rPr>
          <w:rFonts w:cs="Times New Roman"/>
        </w:rPr>
        <w:t>根据项目危险物质数量与临界量的比值Q和工艺危险性M，对比《建设项目环境风险评价技术导则》（HJ169-2018）表1，可知项目环境风险评价工作等级为简单分析。</w:t>
      </w:r>
    </w:p>
    <w:p>
      <w:pPr>
        <w:pStyle w:val="15"/>
        <w:rPr>
          <w:rFonts w:cs="Times New Roman"/>
        </w:rPr>
      </w:pPr>
      <w:r>
        <w:rPr>
          <w:rFonts w:cs="Times New Roman"/>
        </w:rPr>
        <w:t>表5.3-2     环境风险评价等级划分</w:t>
      </w:r>
    </w:p>
    <w:tbl>
      <w:tblPr>
        <w:tblStyle w:val="26"/>
        <w:tblW w:w="9122"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1494"/>
        <w:gridCol w:w="1538"/>
        <w:gridCol w:w="2805"/>
        <w:gridCol w:w="1493"/>
        <w:gridCol w:w="1792"/>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PrEx>
        <w:trPr>
          <w:trHeight w:val="397" w:hRule="atLeast"/>
          <w:jc w:val="center"/>
        </w:trPr>
        <w:tc>
          <w:tcPr>
            <w:tcW w:w="1494" w:type="dxa"/>
            <w:vAlign w:val="center"/>
          </w:tcPr>
          <w:p>
            <w:pPr>
              <w:pStyle w:val="39"/>
              <w:rPr>
                <w:rFonts w:cs="Times New Roman"/>
              </w:rPr>
            </w:pPr>
            <w:r>
              <w:rPr>
                <w:rFonts w:cs="Times New Roman"/>
              </w:rPr>
              <w:t>环境风险潜势</w:t>
            </w:r>
          </w:p>
        </w:tc>
        <w:tc>
          <w:tcPr>
            <w:tcW w:w="1538" w:type="dxa"/>
            <w:tcBorders>
              <w:right w:val="single" w:color="auto" w:sz="4" w:space="0"/>
            </w:tcBorders>
            <w:vAlign w:val="center"/>
          </w:tcPr>
          <w:p>
            <w:pPr>
              <w:pStyle w:val="39"/>
              <w:rPr>
                <w:rFonts w:cs="Times New Roman"/>
              </w:rPr>
            </w:pPr>
            <w:r>
              <w:rPr>
                <w:rFonts w:hint="eastAsia" w:ascii="宋体" w:hAnsi="宋体" w:cs="宋体"/>
              </w:rPr>
              <w:t>Ⅳ</w:t>
            </w:r>
            <w:r>
              <w:rPr>
                <w:rFonts w:cs="Times New Roman"/>
              </w:rPr>
              <w:t xml:space="preserve">、 </w:t>
            </w:r>
            <w:r>
              <w:rPr>
                <w:rFonts w:hint="eastAsia" w:ascii="宋体" w:hAnsi="宋体" w:cs="宋体"/>
              </w:rPr>
              <w:t>Ⅳ</w:t>
            </w:r>
            <w:r>
              <w:rPr>
                <w:rFonts w:cs="Times New Roman"/>
                <w:vertAlign w:val="superscript"/>
              </w:rPr>
              <w:t>+</w:t>
            </w:r>
          </w:p>
        </w:tc>
        <w:tc>
          <w:tcPr>
            <w:tcW w:w="2805" w:type="dxa"/>
            <w:tcBorders>
              <w:top w:val="single" w:color="auto" w:sz="4" w:space="0"/>
              <w:left w:val="single" w:color="auto" w:sz="4" w:space="0"/>
              <w:bottom w:val="single" w:color="auto" w:sz="4" w:space="0"/>
            </w:tcBorders>
            <w:vAlign w:val="center"/>
          </w:tcPr>
          <w:p>
            <w:pPr>
              <w:pStyle w:val="39"/>
              <w:rPr>
                <w:rFonts w:cs="Times New Roman"/>
              </w:rPr>
            </w:pPr>
            <w:r>
              <w:rPr>
                <w:rFonts w:hint="eastAsia" w:ascii="宋体" w:hAnsi="宋体" w:cs="宋体"/>
              </w:rPr>
              <w:t>Ⅲ</w:t>
            </w:r>
          </w:p>
        </w:tc>
        <w:tc>
          <w:tcPr>
            <w:tcW w:w="1493" w:type="dxa"/>
            <w:vAlign w:val="center"/>
          </w:tcPr>
          <w:p>
            <w:pPr>
              <w:pStyle w:val="39"/>
              <w:rPr>
                <w:rFonts w:cs="Times New Roman"/>
              </w:rPr>
            </w:pPr>
            <w:r>
              <w:rPr>
                <w:rFonts w:hint="eastAsia" w:ascii="宋体" w:hAnsi="宋体" w:cs="宋体"/>
              </w:rPr>
              <w:t>Ⅱ</w:t>
            </w:r>
          </w:p>
        </w:tc>
        <w:tc>
          <w:tcPr>
            <w:tcW w:w="1792" w:type="dxa"/>
            <w:vAlign w:val="center"/>
          </w:tcPr>
          <w:p>
            <w:pPr>
              <w:pStyle w:val="39"/>
              <w:rPr>
                <w:rFonts w:cs="Times New Roman"/>
              </w:rPr>
            </w:pPr>
            <w:r>
              <w:rPr>
                <w:rFonts w:hint="eastAsia" w:ascii="宋体" w:hAnsi="宋体" w:cs="宋体"/>
              </w:rPr>
              <w:t>Ⅰ</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94" w:type="dxa"/>
            <w:vAlign w:val="center"/>
          </w:tcPr>
          <w:p>
            <w:pPr>
              <w:pStyle w:val="39"/>
              <w:rPr>
                <w:rFonts w:cs="Times New Roman"/>
              </w:rPr>
            </w:pPr>
            <w:r>
              <w:rPr>
                <w:rFonts w:cs="Times New Roman"/>
              </w:rPr>
              <w:t>评价工作等级</w:t>
            </w:r>
          </w:p>
        </w:tc>
        <w:tc>
          <w:tcPr>
            <w:tcW w:w="1538" w:type="dxa"/>
            <w:tcBorders>
              <w:right w:val="single" w:color="auto" w:sz="4" w:space="0"/>
            </w:tcBorders>
            <w:vAlign w:val="center"/>
          </w:tcPr>
          <w:p>
            <w:pPr>
              <w:pStyle w:val="39"/>
              <w:rPr>
                <w:rFonts w:cs="Times New Roman"/>
              </w:rPr>
            </w:pPr>
            <w:r>
              <w:rPr>
                <w:rFonts w:cs="Times New Roman"/>
              </w:rPr>
              <w:t>一</w:t>
            </w:r>
          </w:p>
        </w:tc>
        <w:tc>
          <w:tcPr>
            <w:tcW w:w="2805" w:type="dxa"/>
            <w:tcBorders>
              <w:top w:val="single" w:color="auto" w:sz="4" w:space="0"/>
              <w:left w:val="single" w:color="auto" w:sz="4" w:space="0"/>
              <w:bottom w:val="single" w:color="auto" w:sz="4" w:space="0"/>
            </w:tcBorders>
            <w:vAlign w:val="center"/>
          </w:tcPr>
          <w:p>
            <w:pPr>
              <w:pStyle w:val="39"/>
              <w:rPr>
                <w:rFonts w:cs="Times New Roman"/>
              </w:rPr>
            </w:pPr>
            <w:r>
              <w:rPr>
                <w:rFonts w:cs="Times New Roman"/>
              </w:rPr>
              <w:t>二</w:t>
            </w:r>
          </w:p>
        </w:tc>
        <w:tc>
          <w:tcPr>
            <w:tcW w:w="1493" w:type="dxa"/>
            <w:vAlign w:val="center"/>
          </w:tcPr>
          <w:p>
            <w:pPr>
              <w:pStyle w:val="39"/>
              <w:rPr>
                <w:rFonts w:cs="Times New Roman"/>
              </w:rPr>
            </w:pPr>
            <w:r>
              <w:rPr>
                <w:rFonts w:cs="Times New Roman"/>
              </w:rPr>
              <w:t>三</w:t>
            </w:r>
          </w:p>
        </w:tc>
        <w:tc>
          <w:tcPr>
            <w:tcW w:w="1792" w:type="dxa"/>
            <w:vAlign w:val="center"/>
          </w:tcPr>
          <w:p>
            <w:pPr>
              <w:pStyle w:val="39"/>
              <w:rPr>
                <w:rFonts w:cs="Times New Roman"/>
              </w:rPr>
            </w:pPr>
            <w:r>
              <w:rPr>
                <w:rFonts w:cs="Times New Roman"/>
              </w:rPr>
              <w:t>简单分析</w:t>
            </w:r>
            <w:r>
              <w:rPr>
                <w:rFonts w:cs="Times New Roman"/>
                <w:vertAlign w:val="superscript"/>
              </w:rPr>
              <w:t>a</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122" w:type="dxa"/>
            <w:gridSpan w:val="5"/>
            <w:vAlign w:val="center"/>
          </w:tcPr>
          <w:p>
            <w:pPr>
              <w:pStyle w:val="39"/>
              <w:jc w:val="left"/>
              <w:rPr>
                <w:rFonts w:cs="Times New Roman"/>
              </w:rPr>
            </w:pPr>
            <w:r>
              <w:rPr>
                <w:rFonts w:cs="Times New Roman"/>
              </w:rPr>
              <w:t>a是相对于详细评价工作内容而言，在描述危险物质、环境影响途径、环境危害后果、风险防范措施等方面给出定性的说明。见附录A。</w:t>
            </w:r>
          </w:p>
        </w:tc>
      </w:tr>
    </w:tbl>
    <w:p>
      <w:pPr>
        <w:pStyle w:val="3"/>
        <w:ind w:firstLine="480"/>
      </w:pPr>
    </w:p>
    <w:p>
      <w:pPr>
        <w:pStyle w:val="7"/>
        <w:rPr>
          <w:rFonts w:cs="Times New Roman"/>
        </w:rPr>
      </w:pPr>
      <w:r>
        <w:rPr>
          <w:rFonts w:cs="Times New Roman"/>
        </w:rPr>
        <w:t>环境敏感目标概况</w:t>
      </w:r>
    </w:p>
    <w:p>
      <w:pPr>
        <w:pStyle w:val="3"/>
        <w:ind w:firstLine="480"/>
        <w:rPr>
          <w:rFonts w:cs="Times New Roman"/>
        </w:rPr>
      </w:pPr>
      <w:r>
        <w:rPr>
          <w:rFonts w:cs="Times New Roman"/>
        </w:rPr>
        <w:t>环境风险敏感目标详见第二章节中的表2.7-1。</w:t>
      </w:r>
    </w:p>
    <w:p>
      <w:pPr>
        <w:pStyle w:val="6"/>
        <w:rPr>
          <w:rFonts w:cs="Times New Roman"/>
        </w:rPr>
      </w:pPr>
      <w:bookmarkStart w:id="38" w:name="_Toc11914790"/>
      <w:r>
        <w:rPr>
          <w:rFonts w:cs="Times New Roman"/>
        </w:rPr>
        <w:t>风险事故源分析</w:t>
      </w:r>
      <w:bookmarkEnd w:id="38"/>
    </w:p>
    <w:p>
      <w:pPr>
        <w:pStyle w:val="3"/>
        <w:ind w:firstLine="480"/>
        <w:rPr>
          <w:rFonts w:cs="Times New Roman"/>
        </w:rPr>
      </w:pPr>
      <w:r>
        <w:rPr>
          <w:rFonts w:cs="Times New Roman"/>
        </w:rPr>
        <w:t>本项目涉及的化学物质在不同程度上具有毒性危害。一旦发生易挥发物质泄漏事故，将会对有关区域作业人员、居民及其它人员构成威胁，会对各有关环境圈层造成污染。</w:t>
      </w:r>
    </w:p>
    <w:p>
      <w:pPr>
        <w:pStyle w:val="3"/>
        <w:ind w:firstLine="480"/>
        <w:rPr>
          <w:rFonts w:cs="Times New Roman"/>
          <w:szCs w:val="24"/>
        </w:rPr>
      </w:pPr>
      <w:r>
        <w:rPr>
          <w:rFonts w:cs="Times New Roman"/>
          <w:szCs w:val="24"/>
        </w:rPr>
        <w:t>经综合分析，本项目存在的主要环境风险事故如下：</w:t>
      </w:r>
    </w:p>
    <w:p>
      <w:pPr>
        <w:pStyle w:val="3"/>
        <w:ind w:firstLine="480"/>
        <w:rPr>
          <w:rFonts w:cs="Times New Roman"/>
          <w:szCs w:val="24"/>
        </w:rPr>
      </w:pPr>
      <w:r>
        <w:rPr>
          <w:rFonts w:cs="Times New Roman"/>
          <w:szCs w:val="24"/>
        </w:rPr>
        <w:t>（1）消毒液过氧乙酸、柴油出现裂缝或桶体密封不严等引起渗漏、泄漏；工作人员违章操作或麻痹大意；</w:t>
      </w:r>
    </w:p>
    <w:p>
      <w:pPr>
        <w:pStyle w:val="3"/>
        <w:ind w:firstLine="480"/>
        <w:rPr>
          <w:rFonts w:cs="Times New Roman"/>
          <w:szCs w:val="24"/>
        </w:rPr>
      </w:pPr>
      <w:r>
        <w:rPr>
          <w:rFonts w:cs="Times New Roman"/>
          <w:szCs w:val="24"/>
        </w:rPr>
        <w:t>（2）废气处理设施出现故障，导致颗粒物、二氧化硫废气等大量外排；</w:t>
      </w:r>
    </w:p>
    <w:p>
      <w:pPr>
        <w:pStyle w:val="3"/>
        <w:ind w:firstLine="480"/>
        <w:rPr>
          <w:rFonts w:cs="Times New Roman"/>
          <w:szCs w:val="24"/>
        </w:rPr>
      </w:pPr>
      <w:r>
        <w:rPr>
          <w:rFonts w:cs="Times New Roman"/>
          <w:szCs w:val="24"/>
        </w:rPr>
        <w:t>（3）废水处理设施出现故障，导COD、氨氮等大量外排；</w:t>
      </w:r>
    </w:p>
    <w:p>
      <w:pPr>
        <w:pStyle w:val="3"/>
        <w:ind w:firstLine="480"/>
        <w:rPr>
          <w:rFonts w:cs="Times New Roman"/>
          <w:szCs w:val="24"/>
        </w:rPr>
      </w:pPr>
      <w:r>
        <w:rPr>
          <w:rFonts w:cs="Times New Roman"/>
          <w:szCs w:val="24"/>
        </w:rPr>
        <w:t>（4）危险废物在运输、装卸、处置过程中操作不当所造成的风险；</w:t>
      </w:r>
    </w:p>
    <w:p>
      <w:pPr>
        <w:pStyle w:val="3"/>
        <w:ind w:firstLine="480"/>
        <w:rPr>
          <w:rFonts w:cs="Times New Roman"/>
        </w:rPr>
      </w:pPr>
      <w:r>
        <w:rPr>
          <w:rFonts w:cs="Times New Roman"/>
          <w:szCs w:val="24"/>
        </w:rPr>
        <w:t>（5）交通运输事故引起危险化学品泄漏：运输单位不按规定申办准运手续，驾驶员、押运员未经专门培训，运输车辆达不到规定的技术标准，超限超载、混装混运，不按规定路线、时段运行，甚至违章驾驶等等，都极易引起交通运输事故而导致危化品泄漏。由统计分析和类比调查得到导致污染事故因素顺序为：人为过失〉装置缺陷〉自然因素。最主要的因素是人为操作失误，因为违反操作规程造成事故；其次是设备故障。</w:t>
      </w:r>
    </w:p>
    <w:p>
      <w:pPr>
        <w:pStyle w:val="6"/>
        <w:rPr>
          <w:rFonts w:cs="Times New Roman"/>
        </w:rPr>
      </w:pPr>
      <w:r>
        <w:rPr>
          <w:rFonts w:cs="Times New Roman"/>
        </w:rPr>
        <w:t>环境风险分析</w:t>
      </w:r>
    </w:p>
    <w:p>
      <w:pPr>
        <w:pStyle w:val="7"/>
        <w:rPr>
          <w:rFonts w:cs="Times New Roman"/>
        </w:rPr>
      </w:pPr>
      <w:r>
        <w:rPr>
          <w:rFonts w:cs="Times New Roman"/>
        </w:rPr>
        <w:t>大气环境风险影响分析</w:t>
      </w:r>
    </w:p>
    <w:p>
      <w:pPr>
        <w:pStyle w:val="3"/>
        <w:ind w:firstLine="480"/>
        <w:rPr>
          <w:rFonts w:cs="Times New Roman"/>
        </w:rPr>
      </w:pPr>
      <w:r>
        <w:rPr>
          <w:rFonts w:cs="Times New Roman"/>
        </w:rPr>
        <w:t>（1）风险事故类型</w:t>
      </w:r>
    </w:p>
    <w:p>
      <w:pPr>
        <w:pStyle w:val="3"/>
        <w:ind w:firstLine="480"/>
        <w:rPr>
          <w:rFonts w:cs="Times New Roman"/>
        </w:rPr>
      </w:pPr>
      <w:r>
        <w:rPr>
          <w:rFonts w:cs="Times New Roman"/>
        </w:rPr>
        <w:t>根据项目风险特征，可能对大气环境造成不利影响的突发环境事件为恶臭气体、</w:t>
      </w:r>
      <w:r>
        <w:rPr>
          <w:rFonts w:hint="eastAsia" w:cs="Times New Roman"/>
        </w:rPr>
        <w:t>锅炉</w:t>
      </w:r>
      <w:r>
        <w:rPr>
          <w:rFonts w:cs="Times New Roman"/>
        </w:rPr>
        <w:t>废气非正常工况下的排放。</w:t>
      </w:r>
    </w:p>
    <w:p>
      <w:pPr>
        <w:pStyle w:val="3"/>
        <w:ind w:firstLine="480"/>
        <w:rPr>
          <w:rFonts w:cs="Times New Roman"/>
        </w:rPr>
      </w:pPr>
      <w:r>
        <w:rPr>
          <w:rFonts w:cs="Times New Roman"/>
        </w:rPr>
        <w:t>（2）风险分析</w:t>
      </w:r>
    </w:p>
    <w:p>
      <w:pPr>
        <w:pStyle w:val="3"/>
        <w:ind w:firstLine="480"/>
        <w:rPr>
          <w:rFonts w:cs="Times New Roman"/>
        </w:rPr>
      </w:pPr>
      <w:r>
        <w:rPr>
          <w:rFonts w:cs="Times New Roman"/>
        </w:rPr>
        <w:t>该项目非正常工况废气的排放主要考虑鸡舍通风系统故障的情况。由前文工程分析可知，项目恶臭废气在车间通风良好的状况下均可以达标排放，因此要求建设单位严格加强日常运行管理，正常生产情况下，每天对环保设备的运行情况进行检查，避免上述非正常工况下废气排放对环境可能造成的不利影响。</w:t>
      </w:r>
    </w:p>
    <w:p>
      <w:pPr>
        <w:pStyle w:val="7"/>
        <w:rPr>
          <w:rFonts w:cs="Times New Roman"/>
        </w:rPr>
      </w:pPr>
      <w:r>
        <w:rPr>
          <w:rFonts w:cs="Times New Roman"/>
        </w:rPr>
        <w:t>地表水环境风险影响分析</w:t>
      </w:r>
    </w:p>
    <w:p>
      <w:pPr>
        <w:pStyle w:val="3"/>
        <w:ind w:firstLine="480"/>
        <w:rPr>
          <w:rFonts w:cs="Times New Roman"/>
        </w:rPr>
      </w:pPr>
      <w:r>
        <w:rPr>
          <w:rFonts w:cs="Times New Roman"/>
        </w:rPr>
        <w:t>项目可能造成地表水污染的突发环境事件类型有：生活污水及鸡舍冲洗废水、固废、火灾消防废水因收集、处置不当等造成的事故、柴油及消毒液泄露后随雨水管网排入外环境，影响地表水。</w:t>
      </w:r>
    </w:p>
    <w:p>
      <w:pPr>
        <w:pStyle w:val="3"/>
        <w:ind w:firstLine="480"/>
        <w:rPr>
          <w:rFonts w:cs="Times New Roman"/>
        </w:rPr>
      </w:pPr>
      <w:r>
        <w:rPr>
          <w:rFonts w:cs="Times New Roman"/>
        </w:rPr>
        <w:t>鸡舍设有废水排系统，同时设置有</w:t>
      </w:r>
      <w:r>
        <w:rPr>
          <w:rFonts w:hint="eastAsia" w:cs="Times New Roman"/>
        </w:rPr>
        <w:t>废水收集</w:t>
      </w:r>
      <w:r>
        <w:rPr>
          <w:rFonts w:cs="Times New Roman"/>
        </w:rPr>
        <w:t>池，场区排水口设截止阀，确保泄漏的物料可全部得到收集处理。</w:t>
      </w:r>
    </w:p>
    <w:p>
      <w:pPr>
        <w:pStyle w:val="3"/>
        <w:ind w:firstLine="480"/>
        <w:rPr>
          <w:rFonts w:cs="Times New Roman"/>
        </w:rPr>
      </w:pPr>
      <w:r>
        <w:rPr>
          <w:rFonts w:cs="Times New Roman"/>
        </w:rPr>
        <w:t>因此，项目对地表水的环境风险影响较小。</w:t>
      </w:r>
    </w:p>
    <w:p>
      <w:pPr>
        <w:pStyle w:val="7"/>
        <w:rPr>
          <w:rFonts w:cs="Times New Roman"/>
        </w:rPr>
      </w:pPr>
      <w:r>
        <w:rPr>
          <w:rFonts w:cs="Times New Roman"/>
        </w:rPr>
        <w:t>地下水环境风险影响分析</w:t>
      </w:r>
    </w:p>
    <w:p>
      <w:pPr>
        <w:pStyle w:val="3"/>
        <w:ind w:firstLine="480"/>
        <w:rPr>
          <w:rFonts w:cs="Times New Roman"/>
        </w:rPr>
      </w:pPr>
      <w:r>
        <w:rPr>
          <w:rFonts w:cs="Times New Roman"/>
        </w:rPr>
        <w:t>厂区如不采取相应的防范措施，厂区内废水运输管线发生泄漏、柴油及消毒液桶体泄露、事故后可通过下渗及地下径流等对厂区及下游地区浅层地下水造成污染。</w:t>
      </w:r>
    </w:p>
    <w:p>
      <w:pPr>
        <w:pStyle w:val="3"/>
        <w:ind w:firstLine="480"/>
        <w:rPr>
          <w:rFonts w:cs="Times New Roman"/>
        </w:rPr>
      </w:pPr>
      <w:r>
        <w:rPr>
          <w:rFonts w:cs="Times New Roman"/>
        </w:rPr>
        <w:t>从项目所在地水文地质特性看，项目所在区域包气带岩性主要为粉质粘土，垂向渗透系数在10</w:t>
      </w:r>
      <w:r>
        <w:rPr>
          <w:rFonts w:cs="Times New Roman"/>
          <w:vertAlign w:val="superscript"/>
        </w:rPr>
        <w:t>-7</w:t>
      </w:r>
      <w:r>
        <w:rPr>
          <w:rFonts w:cs="Times New Roman"/>
        </w:rPr>
        <w:t>cm/s左右，地下水埋深较浅，包气带厚度较小，防污性能较差。项目若不采取相应的防范措施，渗漏液有可能对含水层中地下水造成污染。厂区内设备、输送管线、柴油及消毒液存储区发生泄漏事故后，泄漏物料及消防废水等可通过下渗及地下径流对厂区周围浅层地下水造成污染。项目鸡舍均采用水泥硬化地面、污水处理单元等采取重点防渗，在采取以上措施的情况下，泄漏物料、事故废液、废水等对地下水的影响较小。</w:t>
      </w:r>
    </w:p>
    <w:p>
      <w:pPr>
        <w:pStyle w:val="7"/>
        <w:rPr>
          <w:rFonts w:cs="Times New Roman"/>
        </w:rPr>
      </w:pPr>
      <w:r>
        <w:rPr>
          <w:rFonts w:cs="Times New Roman"/>
        </w:rPr>
        <w:t>危险化学品、危险废物的储存和使用的风险评价</w:t>
      </w:r>
    </w:p>
    <w:p>
      <w:pPr>
        <w:pStyle w:val="3"/>
        <w:ind w:firstLine="480"/>
        <w:rPr>
          <w:rFonts w:cs="Times New Roman"/>
        </w:rPr>
      </w:pPr>
      <w:r>
        <w:rPr>
          <w:rStyle w:val="53"/>
          <w:rFonts w:cs="Times New Roman"/>
        </w:rPr>
        <w:t>本项目生产过程中所使用的危险原料主要化学品为柴油、过氧乙酸等。</w:t>
      </w:r>
      <w:r>
        <w:rPr>
          <w:rFonts w:cs="Times New Roman"/>
        </w:rPr>
        <w:t>除此之外，项目还会产生接种疫苗产生的废物、杀虫、消毒水容器及包装物等危险废物。这些危险品原料和危险废物在运输、储存和使用过程中，均可能因自然或人为因素出现事故造成泄漏而污染环境。</w:t>
      </w:r>
    </w:p>
    <w:p>
      <w:pPr>
        <w:pStyle w:val="3"/>
        <w:ind w:firstLine="480"/>
        <w:rPr>
          <w:rFonts w:cs="Times New Roman"/>
        </w:rPr>
      </w:pPr>
      <w:r>
        <w:rPr>
          <w:rFonts w:cs="Times New Roman"/>
        </w:rPr>
        <w:t>危险化学品、危险废物如在装卸、搬运过程中发生倾翻事故，流入水体会污染水环境，对水生物造成毒害影响。</w:t>
      </w:r>
    </w:p>
    <w:p>
      <w:pPr>
        <w:pStyle w:val="3"/>
        <w:ind w:firstLine="480"/>
        <w:rPr>
          <w:rFonts w:cs="Times New Roman"/>
        </w:rPr>
      </w:pPr>
      <w:r>
        <w:rPr>
          <w:rFonts w:cs="Times New Roman"/>
        </w:rPr>
        <w:t>可见，本项目在生产过程中，危废在存放、搬运过程中存在着不同程度的事故风险影响。</w:t>
      </w:r>
    </w:p>
    <w:p>
      <w:pPr>
        <w:pStyle w:val="3"/>
        <w:ind w:firstLine="480"/>
        <w:rPr>
          <w:rFonts w:cs="Times New Roman"/>
        </w:rPr>
      </w:pPr>
      <w:r>
        <w:rPr>
          <w:rFonts w:cs="Times New Roman"/>
        </w:rPr>
        <w:t>因此，本项目需建有独立的危废暂存间，根据危废的种类分类存放。危废由有资质的危险废物处理单位定期上门收集处理。</w:t>
      </w:r>
    </w:p>
    <w:p>
      <w:pPr>
        <w:pStyle w:val="7"/>
        <w:rPr>
          <w:rFonts w:cs="Times New Roman"/>
        </w:rPr>
      </w:pPr>
      <w:r>
        <w:rPr>
          <w:rFonts w:cs="Times New Roman"/>
        </w:rPr>
        <w:t>消防措施</w:t>
      </w:r>
    </w:p>
    <w:p>
      <w:pPr>
        <w:pStyle w:val="3"/>
        <w:ind w:firstLine="480"/>
        <w:rPr>
          <w:rFonts w:cs="Times New Roman"/>
        </w:rPr>
      </w:pPr>
      <w:r>
        <w:rPr>
          <w:rFonts w:cs="Times New Roman"/>
        </w:rPr>
        <w:t>由于本项目场地限制原因，为防止消防废水进入地表水环境，本项目应在厂区雨水排口设置切换设施，并将消防废水导流进入场区事故池中。</w:t>
      </w:r>
    </w:p>
    <w:p>
      <w:pPr>
        <w:pStyle w:val="6"/>
        <w:rPr>
          <w:rFonts w:cs="Times New Roman"/>
        </w:rPr>
      </w:pPr>
      <w:bookmarkStart w:id="39" w:name="_Toc30183"/>
      <w:r>
        <w:rPr>
          <w:rFonts w:cs="Times New Roman"/>
        </w:rPr>
        <w:t>环境风险防范措施及</w:t>
      </w:r>
      <w:bookmarkEnd w:id="39"/>
      <w:r>
        <w:rPr>
          <w:rFonts w:cs="Times New Roman"/>
        </w:rPr>
        <w:t>应急要求</w:t>
      </w:r>
    </w:p>
    <w:p>
      <w:pPr>
        <w:pStyle w:val="7"/>
        <w:rPr>
          <w:rFonts w:cs="Times New Roman"/>
        </w:rPr>
      </w:pPr>
      <w:r>
        <w:rPr>
          <w:rFonts w:cs="Times New Roman"/>
        </w:rPr>
        <w:t>风险防范措施</w:t>
      </w:r>
    </w:p>
    <w:p>
      <w:pPr>
        <w:pStyle w:val="3"/>
        <w:ind w:firstLine="480"/>
        <w:rPr>
          <w:rFonts w:cs="Times New Roman"/>
        </w:rPr>
      </w:pPr>
      <w:r>
        <w:rPr>
          <w:rFonts w:cs="Times New Roman"/>
        </w:rPr>
        <w:t>（1）大气环境风险事故防范措施</w:t>
      </w:r>
    </w:p>
    <w:p>
      <w:pPr>
        <w:pStyle w:val="3"/>
        <w:ind w:firstLine="480"/>
        <w:rPr>
          <w:rFonts w:cs="Times New Roman"/>
        </w:rPr>
      </w:pPr>
      <w:r>
        <w:rPr>
          <w:rFonts w:cs="Times New Roman"/>
        </w:rPr>
        <w:t>本项采取的防范大气环境风险事故采取的措施见表5.3-3。</w:t>
      </w:r>
    </w:p>
    <w:p>
      <w:pPr>
        <w:pStyle w:val="3"/>
        <w:ind w:firstLine="480"/>
        <w:rPr>
          <w:rFonts w:cs="Times New Roman"/>
        </w:rPr>
      </w:pPr>
    </w:p>
    <w:p>
      <w:pPr>
        <w:pStyle w:val="3"/>
        <w:ind w:firstLine="480"/>
        <w:rPr>
          <w:rFonts w:cs="Times New Roman"/>
        </w:rPr>
      </w:pPr>
    </w:p>
    <w:p>
      <w:pPr>
        <w:pStyle w:val="15"/>
        <w:rPr>
          <w:rFonts w:cs="Times New Roman"/>
        </w:rPr>
      </w:pPr>
      <w:r>
        <w:rPr>
          <w:rFonts w:cs="Times New Roman"/>
        </w:rPr>
        <w:t>表5.3-3   防范大气环境风险事故采取的措施</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9"/>
        <w:gridCol w:w="8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79" w:type="pct"/>
            <w:vAlign w:val="center"/>
          </w:tcPr>
          <w:p>
            <w:pPr>
              <w:pStyle w:val="39"/>
              <w:rPr>
                <w:rFonts w:cs="Times New Roman"/>
              </w:rPr>
            </w:pPr>
            <w:r>
              <w:rPr>
                <w:rFonts w:cs="Times New Roman"/>
              </w:rPr>
              <w:t>类别</w:t>
            </w:r>
          </w:p>
        </w:tc>
        <w:tc>
          <w:tcPr>
            <w:tcW w:w="4521" w:type="pct"/>
            <w:vAlign w:val="center"/>
          </w:tcPr>
          <w:p>
            <w:pPr>
              <w:pStyle w:val="39"/>
              <w:rPr>
                <w:rFonts w:cs="Times New Roman"/>
              </w:rPr>
            </w:pPr>
            <w:r>
              <w:rPr>
                <w:rFonts w:cs="Times New Roman"/>
              </w:rPr>
              <w:t>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79" w:type="pct"/>
            <w:vAlign w:val="center"/>
          </w:tcPr>
          <w:p>
            <w:pPr>
              <w:pStyle w:val="39"/>
              <w:rPr>
                <w:rFonts w:cs="Times New Roman"/>
              </w:rPr>
            </w:pPr>
            <w:r>
              <w:rPr>
                <w:rFonts w:cs="Times New Roman"/>
              </w:rPr>
              <w:t>总图布置</w:t>
            </w:r>
          </w:p>
        </w:tc>
        <w:tc>
          <w:tcPr>
            <w:tcW w:w="4521" w:type="pct"/>
            <w:vAlign w:val="center"/>
          </w:tcPr>
          <w:p>
            <w:pPr>
              <w:pStyle w:val="39"/>
              <w:rPr>
                <w:rFonts w:cs="Times New Roman"/>
              </w:rPr>
            </w:pPr>
            <w:r>
              <w:rPr>
                <w:rFonts w:cs="Times New Roman"/>
              </w:rPr>
              <w:t>功能区划分明确，布置合理经济。养殖区适合工艺流程布置需要，鸡粪处理区及</w:t>
            </w:r>
            <w:r>
              <w:rPr>
                <w:rFonts w:hint="eastAsia" w:cs="Times New Roman"/>
              </w:rPr>
              <w:t>废水收集站等</w:t>
            </w:r>
            <w:r>
              <w:rPr>
                <w:rFonts w:cs="Times New Roman"/>
              </w:rPr>
              <w:t>设施临近生产区。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79" w:type="pct"/>
            <w:vMerge w:val="restart"/>
            <w:vAlign w:val="center"/>
          </w:tcPr>
          <w:p>
            <w:pPr>
              <w:pStyle w:val="39"/>
              <w:rPr>
                <w:rFonts w:cs="Times New Roman"/>
              </w:rPr>
            </w:pPr>
            <w:r>
              <w:rPr>
                <w:rFonts w:cs="Times New Roman"/>
              </w:rPr>
              <w:t>建筑安全</w:t>
            </w:r>
          </w:p>
        </w:tc>
        <w:tc>
          <w:tcPr>
            <w:tcW w:w="4521" w:type="pct"/>
            <w:vAlign w:val="center"/>
          </w:tcPr>
          <w:p>
            <w:pPr>
              <w:pStyle w:val="39"/>
              <w:rPr>
                <w:rFonts w:cs="Times New Roman"/>
              </w:rPr>
            </w:pPr>
            <w:r>
              <w:rPr>
                <w:rFonts w:cs="Times New Roman"/>
              </w:rPr>
              <w:t>建（构）筑物的平面布置，严格按照《建筑设计防火规范》的规定，设置环形消防通道。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79" w:type="pct"/>
            <w:vMerge w:val="continue"/>
            <w:vAlign w:val="center"/>
          </w:tcPr>
          <w:p>
            <w:pPr>
              <w:pStyle w:val="39"/>
              <w:rPr>
                <w:rFonts w:cs="Times New Roman"/>
              </w:rPr>
            </w:pPr>
          </w:p>
        </w:tc>
        <w:tc>
          <w:tcPr>
            <w:tcW w:w="4521" w:type="pct"/>
            <w:vAlign w:val="center"/>
          </w:tcPr>
          <w:p>
            <w:pPr>
              <w:pStyle w:val="39"/>
              <w:rPr>
                <w:rFonts w:cs="Times New Roman"/>
              </w:rPr>
            </w:pPr>
            <w:r>
              <w:rPr>
                <w:rFonts w:cs="Times New Roman"/>
              </w:rPr>
              <w:t>建（构）筑物按火灾危险性和耐火等级严格进行防火分区，设置必须的防火门窗等设施。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79" w:type="pct"/>
            <w:vMerge w:val="continue"/>
            <w:vAlign w:val="center"/>
          </w:tcPr>
          <w:p>
            <w:pPr>
              <w:pStyle w:val="39"/>
              <w:rPr>
                <w:rFonts w:cs="Times New Roman"/>
              </w:rPr>
            </w:pPr>
          </w:p>
        </w:tc>
        <w:tc>
          <w:tcPr>
            <w:tcW w:w="4521" w:type="pct"/>
            <w:vAlign w:val="center"/>
          </w:tcPr>
          <w:p>
            <w:pPr>
              <w:pStyle w:val="39"/>
              <w:rPr>
                <w:rFonts w:cs="Times New Roman"/>
              </w:rPr>
            </w:pPr>
            <w:r>
              <w:rPr>
                <w:rFonts w:cs="Times New Roman"/>
              </w:rPr>
              <w:t>根据爆炸和火灾危险性不同，厂房采用相应耐火等级的建筑材料，建筑物内设有便利的疏散通道。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79" w:type="pct"/>
            <w:vMerge w:val="continue"/>
            <w:vAlign w:val="center"/>
          </w:tcPr>
          <w:p>
            <w:pPr>
              <w:pStyle w:val="39"/>
              <w:rPr>
                <w:rFonts w:cs="Times New Roman"/>
              </w:rPr>
            </w:pPr>
          </w:p>
        </w:tc>
        <w:tc>
          <w:tcPr>
            <w:tcW w:w="4521" w:type="pct"/>
            <w:vAlign w:val="center"/>
          </w:tcPr>
          <w:p>
            <w:pPr>
              <w:pStyle w:val="39"/>
              <w:rPr>
                <w:rFonts w:cs="Times New Roman"/>
              </w:rPr>
            </w:pPr>
            <w:r>
              <w:rPr>
                <w:rFonts w:cs="Times New Roman"/>
              </w:rPr>
              <w:t>厂房、框架、排架设置防雷击、雷电感应和防静电接地装置。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79" w:type="pct"/>
            <w:vMerge w:val="restart"/>
            <w:vAlign w:val="center"/>
          </w:tcPr>
          <w:p>
            <w:pPr>
              <w:pStyle w:val="39"/>
              <w:rPr>
                <w:rFonts w:cs="Times New Roman"/>
              </w:rPr>
            </w:pPr>
            <w:r>
              <w:rPr>
                <w:rFonts w:cs="Times New Roman"/>
              </w:rPr>
              <w:t>生产安全</w:t>
            </w:r>
          </w:p>
        </w:tc>
        <w:tc>
          <w:tcPr>
            <w:tcW w:w="4521" w:type="pct"/>
            <w:vAlign w:val="center"/>
          </w:tcPr>
          <w:p>
            <w:pPr>
              <w:pStyle w:val="39"/>
              <w:rPr>
                <w:rFonts w:cs="Times New Roman"/>
              </w:rPr>
            </w:pPr>
            <w:r>
              <w:rPr>
                <w:rFonts w:cs="Times New Roman"/>
              </w:rPr>
              <w:t>定期对设备进行安全监测，检测时间、内容、人员应有记录保存。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79" w:type="pct"/>
            <w:vMerge w:val="continue"/>
            <w:vAlign w:val="center"/>
          </w:tcPr>
          <w:p>
            <w:pPr>
              <w:pStyle w:val="39"/>
              <w:rPr>
                <w:rFonts w:cs="Times New Roman"/>
              </w:rPr>
            </w:pPr>
          </w:p>
        </w:tc>
        <w:tc>
          <w:tcPr>
            <w:tcW w:w="4521" w:type="pct"/>
            <w:vAlign w:val="center"/>
          </w:tcPr>
          <w:p>
            <w:pPr>
              <w:pStyle w:val="39"/>
              <w:rPr>
                <w:rFonts w:cs="Times New Roman"/>
              </w:rPr>
            </w:pPr>
            <w:r>
              <w:rPr>
                <w:rFonts w:cs="Times New Roman"/>
              </w:rPr>
              <w:t>明火控制，维修用火控制，对设备维修检查，需进行维修焊接，应经安全部门确认、准许，并有记录在案。必要设备安装防火、防爆装置。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79" w:type="pct"/>
            <w:vMerge w:val="continue"/>
            <w:vAlign w:val="center"/>
          </w:tcPr>
          <w:p>
            <w:pPr>
              <w:pStyle w:val="39"/>
              <w:rPr>
                <w:rFonts w:cs="Times New Roman"/>
              </w:rPr>
            </w:pPr>
          </w:p>
        </w:tc>
        <w:tc>
          <w:tcPr>
            <w:tcW w:w="4521" w:type="pct"/>
            <w:vAlign w:val="center"/>
          </w:tcPr>
          <w:p>
            <w:pPr>
              <w:pStyle w:val="39"/>
              <w:rPr>
                <w:rFonts w:cs="Times New Roman"/>
              </w:rPr>
            </w:pPr>
            <w:r>
              <w:rPr>
                <w:rFonts w:cs="Times New Roman"/>
              </w:rPr>
              <w:t>电气设备和电线不准超负荷，保险装置应符合规定要求，开关须设有防护罩。</w:t>
            </w:r>
          </w:p>
        </w:tc>
      </w:tr>
    </w:tbl>
    <w:p>
      <w:pPr>
        <w:pStyle w:val="3"/>
        <w:ind w:firstLine="480"/>
        <w:rPr>
          <w:rFonts w:cs="Times New Roman"/>
        </w:rPr>
      </w:pPr>
    </w:p>
    <w:p>
      <w:pPr>
        <w:pStyle w:val="3"/>
        <w:ind w:firstLine="480"/>
        <w:rPr>
          <w:rFonts w:cs="Times New Roman"/>
        </w:rPr>
      </w:pPr>
      <w:r>
        <w:rPr>
          <w:rFonts w:cs="Times New Roman"/>
        </w:rPr>
        <w:t>（2）防范污水污染事故措施</w:t>
      </w:r>
    </w:p>
    <w:p>
      <w:pPr>
        <w:pStyle w:val="3"/>
        <w:ind w:firstLine="480"/>
        <w:rPr>
          <w:rFonts w:eastAsia="Calibri" w:cs="Times New Roman"/>
          <w:bCs/>
          <w:szCs w:val="24"/>
        </w:rPr>
      </w:pPr>
      <w:r>
        <w:rPr>
          <w:rFonts w:cs="Times New Roman"/>
        </w:rPr>
        <w:t>本项目防范废水污染事故采取收集、处理和应急三级防控措施，收集系统收集废水，</w:t>
      </w:r>
      <w:r>
        <w:rPr>
          <w:rFonts w:hint="eastAsia" w:cs="Times New Roman"/>
        </w:rPr>
        <w:t>化粪池</w:t>
      </w:r>
      <w:r>
        <w:rPr>
          <w:rFonts w:cs="Times New Roman"/>
        </w:rPr>
        <w:t>处理废水，出现事故时</w:t>
      </w:r>
      <w:r>
        <w:rPr>
          <w:rFonts w:hint="eastAsia" w:cs="Times New Roman"/>
        </w:rPr>
        <w:t>废水收集池可作为</w:t>
      </w:r>
      <w:r>
        <w:rPr>
          <w:rFonts w:cs="Times New Roman"/>
        </w:rPr>
        <w:t>事故水池作为应急防范</w:t>
      </w:r>
      <w:r>
        <w:rPr>
          <w:rFonts w:eastAsia="Calibri" w:cs="Times New Roman"/>
          <w:bCs/>
          <w:szCs w:val="24"/>
        </w:rPr>
        <w:t>措施，</w:t>
      </w:r>
      <w:r>
        <w:rPr>
          <w:rFonts w:cs="Times New Roman"/>
          <w:bCs/>
          <w:szCs w:val="24"/>
        </w:rPr>
        <w:t>柴油及消毒液有塑料托盘托底、同时设置吸油垫，</w:t>
      </w:r>
      <w:r>
        <w:rPr>
          <w:rFonts w:eastAsia="Calibri" w:cs="Times New Roman"/>
          <w:bCs/>
          <w:szCs w:val="24"/>
        </w:rPr>
        <w:t>可确保正常及事故状态下废水不会对环境造成危害。</w:t>
      </w:r>
    </w:p>
    <w:p>
      <w:pPr>
        <w:pStyle w:val="15"/>
        <w:rPr>
          <w:rFonts w:cs="Times New Roman"/>
        </w:rPr>
      </w:pPr>
      <w:r>
        <w:rPr>
          <w:rFonts w:cs="Times New Roman"/>
        </w:rPr>
        <w:t>表5.3-4 防范废水污染事故措施</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7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09" w:type="pct"/>
            <w:vAlign w:val="center"/>
          </w:tcPr>
          <w:p>
            <w:pPr>
              <w:pStyle w:val="39"/>
              <w:rPr>
                <w:rFonts w:cs="Times New Roman"/>
              </w:rPr>
            </w:pPr>
            <w:r>
              <w:rPr>
                <w:rFonts w:cs="Times New Roman"/>
              </w:rPr>
              <w:t>位置</w:t>
            </w:r>
          </w:p>
        </w:tc>
        <w:tc>
          <w:tcPr>
            <w:tcW w:w="4091" w:type="pct"/>
            <w:vAlign w:val="center"/>
          </w:tcPr>
          <w:p>
            <w:pPr>
              <w:pStyle w:val="39"/>
              <w:rPr>
                <w:rFonts w:cs="Times New Roman"/>
              </w:rPr>
            </w:pPr>
            <w:r>
              <w:rPr>
                <w:rFonts w:cs="Times New Roman"/>
              </w:rPr>
              <w:t>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09" w:type="pct"/>
            <w:vAlign w:val="center"/>
          </w:tcPr>
          <w:p>
            <w:pPr>
              <w:pStyle w:val="39"/>
              <w:rPr>
                <w:rFonts w:cs="Times New Roman"/>
              </w:rPr>
            </w:pPr>
            <w:r>
              <w:rPr>
                <w:rFonts w:cs="Times New Roman"/>
              </w:rPr>
              <w:t>生产储运系统</w:t>
            </w:r>
          </w:p>
        </w:tc>
        <w:tc>
          <w:tcPr>
            <w:tcW w:w="4091" w:type="pct"/>
            <w:vAlign w:val="center"/>
          </w:tcPr>
          <w:p>
            <w:pPr>
              <w:pStyle w:val="39"/>
              <w:rPr>
                <w:rFonts w:cs="Times New Roman"/>
              </w:rPr>
            </w:pPr>
            <w:r>
              <w:rPr>
                <w:rFonts w:cs="Times New Roman"/>
              </w:rPr>
              <w:t>生产区按规范设防火堤或排水沟，对事故情况消防废水进行收集控制，地面全部做好防渗。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09" w:type="pct"/>
            <w:vAlign w:val="center"/>
          </w:tcPr>
          <w:p>
            <w:pPr>
              <w:pStyle w:val="39"/>
              <w:rPr>
                <w:rFonts w:cs="Times New Roman"/>
              </w:rPr>
            </w:pPr>
            <w:r>
              <w:rPr>
                <w:rFonts w:cs="Times New Roman"/>
              </w:rPr>
              <w:t>废水处理站</w:t>
            </w:r>
          </w:p>
        </w:tc>
        <w:tc>
          <w:tcPr>
            <w:tcW w:w="4091" w:type="pct"/>
            <w:vAlign w:val="center"/>
          </w:tcPr>
          <w:p>
            <w:pPr>
              <w:pStyle w:val="39"/>
              <w:rPr>
                <w:rFonts w:cs="Times New Roman"/>
              </w:rPr>
            </w:pPr>
            <w:r>
              <w:rPr>
                <w:rFonts w:cs="Times New Roman"/>
              </w:rPr>
              <w:t>设置符合工艺要求的污水处理系统，废水达标排放。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09" w:type="pct"/>
            <w:vAlign w:val="center"/>
          </w:tcPr>
          <w:p>
            <w:pPr>
              <w:pStyle w:val="39"/>
              <w:rPr>
                <w:rFonts w:cs="Times New Roman"/>
              </w:rPr>
            </w:pPr>
            <w:r>
              <w:rPr>
                <w:rFonts w:cs="Times New Roman"/>
              </w:rPr>
              <w:t>雨排水系统</w:t>
            </w:r>
          </w:p>
        </w:tc>
        <w:tc>
          <w:tcPr>
            <w:tcW w:w="4091" w:type="pct"/>
            <w:vAlign w:val="center"/>
          </w:tcPr>
          <w:p>
            <w:pPr>
              <w:pStyle w:val="39"/>
              <w:rPr>
                <w:rFonts w:cs="Times New Roman"/>
              </w:rPr>
            </w:pPr>
            <w:r>
              <w:rPr>
                <w:rFonts w:cs="Times New Roman"/>
              </w:rPr>
              <w:t>雨排水系统排水口设置集中控制阀，可防止事故水通过雨排水系统进入外环境。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09" w:type="pct"/>
            <w:vAlign w:val="center"/>
          </w:tcPr>
          <w:p>
            <w:pPr>
              <w:pStyle w:val="39"/>
              <w:rPr>
                <w:rFonts w:cs="Times New Roman"/>
              </w:rPr>
            </w:pPr>
            <w:r>
              <w:rPr>
                <w:rFonts w:cs="Times New Roman"/>
              </w:rPr>
              <w:t>事故水池</w:t>
            </w:r>
          </w:p>
        </w:tc>
        <w:tc>
          <w:tcPr>
            <w:tcW w:w="4091" w:type="pct"/>
            <w:vAlign w:val="center"/>
          </w:tcPr>
          <w:p>
            <w:pPr>
              <w:pStyle w:val="39"/>
              <w:rPr>
                <w:rFonts w:cs="Times New Roman"/>
              </w:rPr>
            </w:pPr>
            <w:r>
              <w:rPr>
                <w:rFonts w:cs="Times New Roman"/>
              </w:rPr>
              <w:t>建设事故水池，符合GB50483-2009的规定，确保事故废水不外排。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09" w:type="pct"/>
            <w:vAlign w:val="center"/>
          </w:tcPr>
          <w:p>
            <w:pPr>
              <w:pStyle w:val="39"/>
              <w:rPr>
                <w:rFonts w:cs="Times New Roman"/>
              </w:rPr>
            </w:pPr>
            <w:r>
              <w:rPr>
                <w:rFonts w:cs="Times New Roman"/>
              </w:rPr>
              <w:t>防渗处理</w:t>
            </w:r>
          </w:p>
        </w:tc>
        <w:tc>
          <w:tcPr>
            <w:tcW w:w="4091" w:type="pct"/>
            <w:vAlign w:val="center"/>
          </w:tcPr>
          <w:p>
            <w:pPr>
              <w:pStyle w:val="39"/>
              <w:rPr>
                <w:rFonts w:cs="Times New Roman"/>
              </w:rPr>
            </w:pPr>
            <w:r>
              <w:rPr>
                <w:rFonts w:cs="Times New Roman"/>
              </w:rPr>
              <w:t>废水经密闭管网收集输送，以防止废水漫流或下渗。废水处理设施及管道均进行防渗处理。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09" w:type="pct"/>
            <w:vAlign w:val="center"/>
          </w:tcPr>
          <w:p>
            <w:pPr>
              <w:pStyle w:val="39"/>
              <w:rPr>
                <w:rFonts w:cs="Times New Roman"/>
              </w:rPr>
            </w:pPr>
            <w:r>
              <w:rPr>
                <w:rFonts w:cs="Times New Roman"/>
              </w:rPr>
              <w:t>柴油及消毒液泄露处理</w:t>
            </w:r>
          </w:p>
        </w:tc>
        <w:tc>
          <w:tcPr>
            <w:tcW w:w="4091" w:type="pct"/>
            <w:vAlign w:val="center"/>
          </w:tcPr>
          <w:p>
            <w:pPr>
              <w:pStyle w:val="39"/>
              <w:rPr>
                <w:rFonts w:cs="Times New Roman"/>
              </w:rPr>
            </w:pPr>
            <w:r>
              <w:rPr>
                <w:rFonts w:cs="Times New Roman"/>
              </w:rPr>
              <w:t>设置塑料托盘对柴油桶及消毒液桶进行托底，同时设置吸油垫，在柴油及消毒液发生大孔泄露情况下对其进行吸附</w:t>
            </w:r>
          </w:p>
        </w:tc>
      </w:tr>
    </w:tbl>
    <w:p>
      <w:pPr>
        <w:pStyle w:val="7"/>
        <w:rPr>
          <w:rFonts w:cs="Times New Roman"/>
        </w:rPr>
      </w:pPr>
      <w:r>
        <w:rPr>
          <w:rFonts w:cs="Times New Roman"/>
        </w:rPr>
        <w:t>应急防控措施</w:t>
      </w:r>
    </w:p>
    <w:p>
      <w:pPr>
        <w:pStyle w:val="3"/>
        <w:ind w:firstLine="480"/>
        <w:rPr>
          <w:rFonts w:cs="Times New Roman"/>
        </w:rPr>
      </w:pPr>
      <w:r>
        <w:rPr>
          <w:rFonts w:cs="Times New Roman"/>
        </w:rPr>
        <w:t>项目物料主要为固体，风险事故主要为环保设施故障、污水处理系统发生渗漏、危废暂存间防渗措施不完善等，因此要求企业对车间地面进行分区防渗，并定期对环保设备的运行情况进行检查记录，确保环保设施的正常运行。</w:t>
      </w:r>
    </w:p>
    <w:p>
      <w:pPr>
        <w:pStyle w:val="3"/>
        <w:ind w:firstLine="480"/>
        <w:rPr>
          <w:rFonts w:cs="Times New Roman"/>
        </w:rPr>
      </w:pPr>
      <w:r>
        <w:rPr>
          <w:rFonts w:cs="Times New Roman"/>
        </w:rPr>
        <w:t>当环保设备发生故障时，应即可停止生产，待维修确保环保设备正常运行后再投运。</w:t>
      </w:r>
    </w:p>
    <w:p>
      <w:pPr>
        <w:pStyle w:val="7"/>
        <w:rPr>
          <w:rFonts w:cs="Times New Roman"/>
        </w:rPr>
      </w:pPr>
      <w:r>
        <w:rPr>
          <w:rFonts w:cs="Times New Roman"/>
        </w:rPr>
        <w:t>应急预案</w:t>
      </w:r>
    </w:p>
    <w:p>
      <w:pPr>
        <w:pStyle w:val="3"/>
        <w:ind w:firstLine="480"/>
        <w:rPr>
          <w:rFonts w:cs="Times New Roman"/>
        </w:rPr>
      </w:pPr>
      <w:r>
        <w:rPr>
          <w:rFonts w:cs="Times New Roman"/>
        </w:rPr>
        <w:t xml:space="preserve">应急预案主要内容应根据《建设项目环境风险评价技术导则》（HJ/T169-2018）详细编制，应急预案基本内容见表5.3-5。 </w:t>
      </w:r>
    </w:p>
    <w:p>
      <w:pPr>
        <w:pStyle w:val="61"/>
        <w:spacing w:line="240" w:lineRule="auto"/>
        <w:rPr>
          <w:rFonts w:cs="Times New Roman"/>
        </w:rPr>
      </w:pPr>
      <w:r>
        <w:rPr>
          <w:rFonts w:cs="Times New Roman"/>
        </w:rPr>
        <w:t>表5.3-5  应急预案内容</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5"/>
        <w:gridCol w:w="1714"/>
        <w:gridCol w:w="6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7" w:type="pct"/>
            <w:vAlign w:val="center"/>
          </w:tcPr>
          <w:p>
            <w:pPr>
              <w:pStyle w:val="39"/>
              <w:rPr>
                <w:rFonts w:cs="Times New Roman"/>
              </w:rPr>
            </w:pPr>
            <w:r>
              <w:rPr>
                <w:rFonts w:cs="Times New Roman"/>
              </w:rPr>
              <w:t>序号</w:t>
            </w:r>
          </w:p>
        </w:tc>
        <w:tc>
          <w:tcPr>
            <w:tcW w:w="934" w:type="pct"/>
            <w:vAlign w:val="center"/>
          </w:tcPr>
          <w:p>
            <w:pPr>
              <w:pStyle w:val="39"/>
              <w:rPr>
                <w:rFonts w:cs="Times New Roman"/>
              </w:rPr>
            </w:pPr>
            <w:r>
              <w:rPr>
                <w:rFonts w:cs="Times New Roman"/>
              </w:rPr>
              <w:t>项目</w:t>
            </w:r>
          </w:p>
        </w:tc>
        <w:tc>
          <w:tcPr>
            <w:tcW w:w="3649" w:type="pct"/>
            <w:vAlign w:val="center"/>
          </w:tcPr>
          <w:p>
            <w:pPr>
              <w:pStyle w:val="39"/>
              <w:rPr>
                <w:rFonts w:cs="Times New Roman"/>
              </w:rPr>
            </w:pPr>
            <w:r>
              <w:rPr>
                <w:rFonts w:cs="Times New Roman"/>
              </w:rPr>
              <w:t>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7" w:type="pct"/>
            <w:vAlign w:val="center"/>
          </w:tcPr>
          <w:p>
            <w:pPr>
              <w:pStyle w:val="39"/>
              <w:rPr>
                <w:rFonts w:cs="Times New Roman"/>
              </w:rPr>
            </w:pPr>
            <w:r>
              <w:rPr>
                <w:rFonts w:cs="Times New Roman"/>
              </w:rPr>
              <w:t>1</w:t>
            </w:r>
          </w:p>
        </w:tc>
        <w:tc>
          <w:tcPr>
            <w:tcW w:w="934" w:type="pct"/>
            <w:vAlign w:val="center"/>
          </w:tcPr>
          <w:p>
            <w:pPr>
              <w:pStyle w:val="39"/>
              <w:rPr>
                <w:rFonts w:cs="Times New Roman"/>
              </w:rPr>
            </w:pPr>
            <w:r>
              <w:rPr>
                <w:rFonts w:cs="Times New Roman"/>
              </w:rPr>
              <w:t>危险源情况</w:t>
            </w:r>
          </w:p>
        </w:tc>
        <w:tc>
          <w:tcPr>
            <w:tcW w:w="3649" w:type="pct"/>
            <w:vAlign w:val="center"/>
          </w:tcPr>
          <w:p>
            <w:pPr>
              <w:pStyle w:val="39"/>
              <w:rPr>
                <w:rFonts w:cs="Times New Roman"/>
              </w:rPr>
            </w:pPr>
            <w:r>
              <w:rPr>
                <w:rFonts w:cs="Times New Roman"/>
              </w:rPr>
              <w:t>详细说明危险源类型、数量、分布及其对环境的风险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7" w:type="pct"/>
            <w:vAlign w:val="center"/>
          </w:tcPr>
          <w:p>
            <w:pPr>
              <w:pStyle w:val="39"/>
              <w:rPr>
                <w:rFonts w:cs="Times New Roman"/>
              </w:rPr>
            </w:pPr>
            <w:r>
              <w:rPr>
                <w:rFonts w:cs="Times New Roman"/>
              </w:rPr>
              <w:t>2</w:t>
            </w:r>
          </w:p>
        </w:tc>
        <w:tc>
          <w:tcPr>
            <w:tcW w:w="934" w:type="pct"/>
            <w:vAlign w:val="center"/>
          </w:tcPr>
          <w:p>
            <w:pPr>
              <w:pStyle w:val="39"/>
              <w:rPr>
                <w:rFonts w:cs="Times New Roman"/>
              </w:rPr>
            </w:pPr>
            <w:r>
              <w:rPr>
                <w:rFonts w:cs="Times New Roman"/>
              </w:rPr>
              <w:t>应急计划区</w:t>
            </w:r>
          </w:p>
        </w:tc>
        <w:tc>
          <w:tcPr>
            <w:tcW w:w="3649" w:type="pct"/>
            <w:vAlign w:val="center"/>
          </w:tcPr>
          <w:p>
            <w:pPr>
              <w:pStyle w:val="39"/>
              <w:rPr>
                <w:rFonts w:cs="Times New Roman"/>
              </w:rPr>
            </w:pPr>
            <w:r>
              <w:rPr>
                <w:rFonts w:cs="Times New Roman"/>
              </w:rPr>
              <w:t>危险目标、污水处理设施区、临近地区。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7" w:type="pct"/>
            <w:vAlign w:val="center"/>
          </w:tcPr>
          <w:p>
            <w:pPr>
              <w:pStyle w:val="39"/>
              <w:rPr>
                <w:rFonts w:cs="Times New Roman"/>
              </w:rPr>
            </w:pPr>
            <w:r>
              <w:rPr>
                <w:rFonts w:cs="Times New Roman"/>
              </w:rPr>
              <w:t>3</w:t>
            </w:r>
          </w:p>
        </w:tc>
        <w:tc>
          <w:tcPr>
            <w:tcW w:w="934" w:type="pct"/>
            <w:vAlign w:val="center"/>
          </w:tcPr>
          <w:p>
            <w:pPr>
              <w:pStyle w:val="39"/>
              <w:rPr>
                <w:rFonts w:cs="Times New Roman"/>
              </w:rPr>
            </w:pPr>
            <w:r>
              <w:rPr>
                <w:rFonts w:cs="Times New Roman"/>
              </w:rPr>
              <w:t>应急组织</w:t>
            </w:r>
          </w:p>
        </w:tc>
        <w:tc>
          <w:tcPr>
            <w:tcW w:w="3649" w:type="pct"/>
            <w:vAlign w:val="center"/>
          </w:tcPr>
          <w:p>
            <w:pPr>
              <w:pStyle w:val="39"/>
              <w:rPr>
                <w:rFonts w:cs="Times New Roman"/>
              </w:rPr>
            </w:pPr>
            <w:r>
              <w:rPr>
                <w:rFonts w:cs="Times New Roman"/>
              </w:rPr>
              <w:t>企业：成立公司应急指挥小组，由公司最高领导层担任小组长，负责现场全面指挥，专业救援队伍负责事故控制、救援和善后处理。</w:t>
            </w:r>
          </w:p>
          <w:p>
            <w:pPr>
              <w:pStyle w:val="39"/>
              <w:rPr>
                <w:rFonts w:cs="Times New Roman"/>
              </w:rPr>
            </w:pPr>
            <w:r>
              <w:rPr>
                <w:rFonts w:cs="Times New Roman"/>
              </w:rPr>
              <w:t>临近地区：地区指挥部负责企业附近地区全面指挥，救援，管制和疏散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7" w:type="pct"/>
            <w:vAlign w:val="center"/>
          </w:tcPr>
          <w:p>
            <w:pPr>
              <w:pStyle w:val="39"/>
              <w:rPr>
                <w:rFonts w:cs="Times New Roman"/>
              </w:rPr>
            </w:pPr>
            <w:r>
              <w:rPr>
                <w:rFonts w:cs="Times New Roman"/>
              </w:rPr>
              <w:t>4</w:t>
            </w:r>
          </w:p>
        </w:tc>
        <w:tc>
          <w:tcPr>
            <w:tcW w:w="934" w:type="pct"/>
            <w:vAlign w:val="center"/>
          </w:tcPr>
          <w:p>
            <w:pPr>
              <w:pStyle w:val="39"/>
              <w:rPr>
                <w:rFonts w:cs="Times New Roman"/>
              </w:rPr>
            </w:pPr>
            <w:r>
              <w:rPr>
                <w:rFonts w:cs="Times New Roman"/>
              </w:rPr>
              <w:t>应急状态分类应急响应程序</w:t>
            </w:r>
          </w:p>
        </w:tc>
        <w:tc>
          <w:tcPr>
            <w:tcW w:w="3649" w:type="pct"/>
            <w:vAlign w:val="center"/>
          </w:tcPr>
          <w:p>
            <w:pPr>
              <w:pStyle w:val="39"/>
              <w:rPr>
                <w:rFonts w:cs="Times New Roman"/>
              </w:rPr>
            </w:pPr>
            <w:r>
              <w:rPr>
                <w:rFonts w:cs="Times New Roman"/>
              </w:rPr>
              <w:t>规定环境风险事故的级别及相应的应急状态分类，以此制定相应的应急响应程序。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7" w:type="pct"/>
            <w:vAlign w:val="center"/>
          </w:tcPr>
          <w:p>
            <w:pPr>
              <w:pStyle w:val="39"/>
              <w:rPr>
                <w:rFonts w:cs="Times New Roman"/>
              </w:rPr>
            </w:pPr>
            <w:r>
              <w:rPr>
                <w:rFonts w:cs="Times New Roman"/>
              </w:rPr>
              <w:t>5</w:t>
            </w:r>
          </w:p>
        </w:tc>
        <w:tc>
          <w:tcPr>
            <w:tcW w:w="934" w:type="pct"/>
            <w:vAlign w:val="center"/>
          </w:tcPr>
          <w:p>
            <w:pPr>
              <w:pStyle w:val="39"/>
              <w:rPr>
                <w:rFonts w:cs="Times New Roman"/>
              </w:rPr>
            </w:pPr>
            <w:r>
              <w:rPr>
                <w:rFonts w:cs="Times New Roman"/>
              </w:rPr>
              <w:t>应急设施</w:t>
            </w:r>
          </w:p>
          <w:p>
            <w:pPr>
              <w:pStyle w:val="39"/>
              <w:rPr>
                <w:rFonts w:cs="Times New Roman"/>
              </w:rPr>
            </w:pPr>
            <w:r>
              <w:rPr>
                <w:rFonts w:cs="Times New Roman"/>
              </w:rPr>
              <w:t>设备与材料</w:t>
            </w:r>
          </w:p>
        </w:tc>
        <w:tc>
          <w:tcPr>
            <w:tcW w:w="3649" w:type="pct"/>
            <w:vAlign w:val="center"/>
          </w:tcPr>
          <w:p>
            <w:pPr>
              <w:pStyle w:val="39"/>
              <w:rPr>
                <w:rFonts w:cs="Times New Roman"/>
              </w:rPr>
            </w:pPr>
            <w:r>
              <w:rPr>
                <w:rFonts w:cs="Times New Roman"/>
              </w:rPr>
              <w:t>生产装置所在车间：防火灾、爆炸事故的应急设施、设备与材料，主要为消防器材、消防服等； 临界地区：烧伤人员急救所用的一些药品、器材。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7" w:type="pct"/>
            <w:vAlign w:val="center"/>
          </w:tcPr>
          <w:p>
            <w:pPr>
              <w:pStyle w:val="39"/>
              <w:rPr>
                <w:rFonts w:cs="Times New Roman"/>
              </w:rPr>
            </w:pPr>
            <w:r>
              <w:rPr>
                <w:rFonts w:cs="Times New Roman"/>
              </w:rPr>
              <w:t>6</w:t>
            </w:r>
          </w:p>
        </w:tc>
        <w:tc>
          <w:tcPr>
            <w:tcW w:w="934" w:type="pct"/>
            <w:vAlign w:val="center"/>
          </w:tcPr>
          <w:p>
            <w:pPr>
              <w:pStyle w:val="39"/>
              <w:rPr>
                <w:rFonts w:cs="Times New Roman"/>
              </w:rPr>
            </w:pPr>
            <w:r>
              <w:rPr>
                <w:rFonts w:cs="Times New Roman"/>
              </w:rPr>
              <w:t>应急通讯</w:t>
            </w:r>
          </w:p>
          <w:p>
            <w:pPr>
              <w:pStyle w:val="39"/>
              <w:rPr>
                <w:rFonts w:cs="Times New Roman"/>
              </w:rPr>
            </w:pPr>
            <w:r>
              <w:rPr>
                <w:rFonts w:cs="Times New Roman"/>
              </w:rPr>
              <w:t>通告与交通</w:t>
            </w:r>
          </w:p>
        </w:tc>
        <w:tc>
          <w:tcPr>
            <w:tcW w:w="3649" w:type="pct"/>
            <w:vAlign w:val="center"/>
          </w:tcPr>
          <w:p>
            <w:pPr>
              <w:pStyle w:val="39"/>
              <w:rPr>
                <w:rFonts w:cs="Times New Roman"/>
              </w:rPr>
            </w:pPr>
            <w:r>
              <w:rPr>
                <w:rFonts w:cs="Times New Roman"/>
              </w:rPr>
              <w:t>规定应急状态下的通讯、通告方式和交通保障、管理等事项。可充分利用现代化的通信设施，如手机、固定电话、广播、电视等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7" w:type="pct"/>
            <w:vAlign w:val="center"/>
          </w:tcPr>
          <w:p>
            <w:pPr>
              <w:pStyle w:val="39"/>
              <w:rPr>
                <w:rFonts w:cs="Times New Roman"/>
              </w:rPr>
            </w:pPr>
            <w:r>
              <w:rPr>
                <w:rFonts w:cs="Times New Roman"/>
              </w:rPr>
              <w:t>7</w:t>
            </w:r>
          </w:p>
        </w:tc>
        <w:tc>
          <w:tcPr>
            <w:tcW w:w="934" w:type="pct"/>
            <w:vAlign w:val="center"/>
          </w:tcPr>
          <w:p>
            <w:pPr>
              <w:pStyle w:val="39"/>
              <w:rPr>
                <w:rFonts w:cs="Times New Roman"/>
              </w:rPr>
            </w:pPr>
            <w:r>
              <w:rPr>
                <w:rFonts w:cs="Times New Roman"/>
              </w:rPr>
              <w:t>应急环境监测及事故后评价</w:t>
            </w:r>
          </w:p>
        </w:tc>
        <w:tc>
          <w:tcPr>
            <w:tcW w:w="3649" w:type="pct"/>
            <w:vAlign w:val="center"/>
          </w:tcPr>
          <w:p>
            <w:pPr>
              <w:pStyle w:val="39"/>
              <w:rPr>
                <w:rFonts w:cs="Times New Roman"/>
              </w:rPr>
            </w:pPr>
            <w:r>
              <w:rPr>
                <w:rFonts w:cs="Times New Roman"/>
              </w:rPr>
              <w:t>由专业人员对环境分析事故现场进行应急监测，对事故性质、严重程度均所造成的环境危害后果进行评估，吸取经验教训避免再次发生事故，为指挥部门提供决策依据。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7" w:type="pct"/>
            <w:vAlign w:val="center"/>
          </w:tcPr>
          <w:p>
            <w:pPr>
              <w:pStyle w:val="39"/>
              <w:rPr>
                <w:rFonts w:cs="Times New Roman"/>
              </w:rPr>
            </w:pPr>
            <w:r>
              <w:rPr>
                <w:rFonts w:cs="Times New Roman"/>
              </w:rPr>
              <w:t>8</w:t>
            </w:r>
          </w:p>
        </w:tc>
        <w:tc>
          <w:tcPr>
            <w:tcW w:w="934" w:type="pct"/>
            <w:vAlign w:val="center"/>
          </w:tcPr>
          <w:p>
            <w:pPr>
              <w:pStyle w:val="39"/>
              <w:rPr>
                <w:rFonts w:cs="Times New Roman"/>
              </w:rPr>
            </w:pPr>
            <w:r>
              <w:rPr>
                <w:rFonts w:cs="Times New Roman"/>
              </w:rPr>
              <w:t>应急防护措施</w:t>
            </w:r>
          </w:p>
          <w:p>
            <w:pPr>
              <w:pStyle w:val="39"/>
              <w:rPr>
                <w:rFonts w:cs="Times New Roman"/>
              </w:rPr>
            </w:pPr>
            <w:r>
              <w:rPr>
                <w:rFonts w:cs="Times New Roman"/>
              </w:rPr>
              <w:t>及需使用器材</w:t>
            </w:r>
          </w:p>
        </w:tc>
        <w:tc>
          <w:tcPr>
            <w:tcW w:w="3649" w:type="pct"/>
            <w:vAlign w:val="center"/>
          </w:tcPr>
          <w:p>
            <w:pPr>
              <w:pStyle w:val="39"/>
              <w:rPr>
                <w:rFonts w:cs="Times New Roman"/>
              </w:rPr>
            </w:pPr>
            <w:r>
              <w:rPr>
                <w:rFonts w:cs="Times New Roman"/>
              </w:rPr>
              <w:t>事故现场：控制事故发展，防止扩大、蔓延及连锁反应；相应的设施器材配备；临近地区：控制防火区域，控制和消除环境污染的措施及相应的设备配备。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7" w:type="pct"/>
            <w:vAlign w:val="center"/>
          </w:tcPr>
          <w:p>
            <w:pPr>
              <w:pStyle w:val="39"/>
              <w:rPr>
                <w:rFonts w:cs="Times New Roman"/>
              </w:rPr>
            </w:pPr>
            <w:r>
              <w:rPr>
                <w:rFonts w:cs="Times New Roman"/>
              </w:rPr>
              <w:t>9</w:t>
            </w:r>
          </w:p>
        </w:tc>
        <w:tc>
          <w:tcPr>
            <w:tcW w:w="934" w:type="pct"/>
            <w:vAlign w:val="center"/>
          </w:tcPr>
          <w:p>
            <w:pPr>
              <w:pStyle w:val="39"/>
              <w:rPr>
                <w:rFonts w:cs="Times New Roman"/>
              </w:rPr>
            </w:pPr>
            <w:r>
              <w:rPr>
                <w:rFonts w:cs="Times New Roman"/>
              </w:rPr>
              <w:t>撤离组织计划医疗救护与保护公众健康</w:t>
            </w:r>
          </w:p>
        </w:tc>
        <w:tc>
          <w:tcPr>
            <w:tcW w:w="3649" w:type="pct"/>
            <w:vAlign w:val="center"/>
          </w:tcPr>
          <w:p>
            <w:pPr>
              <w:pStyle w:val="39"/>
              <w:rPr>
                <w:rFonts w:cs="Times New Roman"/>
              </w:rPr>
            </w:pPr>
            <w:r>
              <w:rPr>
                <w:rFonts w:cs="Times New Roman"/>
              </w:rPr>
              <w:t>事故现场：事故处理人员制定现场及临近装置人员的撤离组织计划和紧急救护方案；临近地区：制定受事故影响的临近地区内人员对公众的疏散组织计划和紧急救护方案。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7" w:type="pct"/>
            <w:vAlign w:val="center"/>
          </w:tcPr>
          <w:p>
            <w:pPr>
              <w:pStyle w:val="39"/>
              <w:rPr>
                <w:rFonts w:cs="Times New Roman"/>
              </w:rPr>
            </w:pPr>
            <w:r>
              <w:rPr>
                <w:rFonts w:cs="Times New Roman"/>
              </w:rPr>
              <w:t>10</w:t>
            </w:r>
          </w:p>
        </w:tc>
        <w:tc>
          <w:tcPr>
            <w:tcW w:w="934" w:type="pct"/>
            <w:vAlign w:val="center"/>
          </w:tcPr>
          <w:p>
            <w:pPr>
              <w:pStyle w:val="39"/>
              <w:rPr>
                <w:rFonts w:cs="Times New Roman"/>
              </w:rPr>
            </w:pPr>
            <w:r>
              <w:rPr>
                <w:rFonts w:cs="Times New Roman"/>
              </w:rPr>
              <w:t>应急状态中止</w:t>
            </w:r>
          </w:p>
          <w:p>
            <w:pPr>
              <w:pStyle w:val="39"/>
              <w:rPr>
                <w:rFonts w:cs="Times New Roman"/>
              </w:rPr>
            </w:pPr>
            <w:r>
              <w:rPr>
                <w:rFonts w:cs="Times New Roman"/>
              </w:rPr>
              <w:t>恢复措施</w:t>
            </w:r>
          </w:p>
        </w:tc>
        <w:tc>
          <w:tcPr>
            <w:tcW w:w="3649" w:type="pct"/>
            <w:vAlign w:val="center"/>
          </w:tcPr>
          <w:p>
            <w:pPr>
              <w:pStyle w:val="39"/>
              <w:rPr>
                <w:rFonts w:cs="Times New Roman"/>
              </w:rPr>
            </w:pPr>
            <w:r>
              <w:rPr>
                <w:rFonts w:cs="Times New Roman"/>
              </w:rPr>
              <w:t>事故现场：规定应急状态终止秩序；事故现场善后处理，回复生产措施；</w:t>
            </w:r>
          </w:p>
          <w:p>
            <w:pPr>
              <w:pStyle w:val="39"/>
              <w:rPr>
                <w:rFonts w:cs="Times New Roman"/>
              </w:rPr>
            </w:pPr>
            <w:r>
              <w:rPr>
                <w:rFonts w:cs="Times New Roman"/>
              </w:rPr>
              <w:t>临近地区：解除事故警戒，公众返回和善后回复措施。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7" w:type="pct"/>
            <w:vAlign w:val="center"/>
          </w:tcPr>
          <w:p>
            <w:pPr>
              <w:pStyle w:val="39"/>
              <w:rPr>
                <w:rFonts w:cs="Times New Roman"/>
              </w:rPr>
            </w:pPr>
            <w:r>
              <w:rPr>
                <w:rFonts w:cs="Times New Roman"/>
              </w:rPr>
              <w:t>11</w:t>
            </w:r>
          </w:p>
        </w:tc>
        <w:tc>
          <w:tcPr>
            <w:tcW w:w="934" w:type="pct"/>
            <w:vAlign w:val="center"/>
          </w:tcPr>
          <w:p>
            <w:pPr>
              <w:pStyle w:val="39"/>
              <w:rPr>
                <w:rFonts w:cs="Times New Roman"/>
              </w:rPr>
            </w:pPr>
            <w:r>
              <w:rPr>
                <w:rFonts w:cs="Times New Roman"/>
              </w:rPr>
              <w:t>人员培训</w:t>
            </w:r>
          </w:p>
          <w:p>
            <w:pPr>
              <w:pStyle w:val="39"/>
              <w:rPr>
                <w:rFonts w:cs="Times New Roman"/>
              </w:rPr>
            </w:pPr>
            <w:r>
              <w:rPr>
                <w:rFonts w:cs="Times New Roman"/>
              </w:rPr>
              <w:t>与演习</w:t>
            </w:r>
          </w:p>
        </w:tc>
        <w:tc>
          <w:tcPr>
            <w:tcW w:w="3649" w:type="pct"/>
            <w:vAlign w:val="center"/>
          </w:tcPr>
          <w:p>
            <w:pPr>
              <w:pStyle w:val="39"/>
              <w:rPr>
                <w:rFonts w:cs="Times New Roman"/>
              </w:rPr>
            </w:pPr>
            <w:r>
              <w:rPr>
                <w:rFonts w:cs="Times New Roman"/>
              </w:rPr>
              <w:t>应急计划制定后，平时安排事故出路人员进行相关知识培训并进行事故应急处理演习；对工厂工人进行安全卫生教育。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7" w:type="pct"/>
            <w:vAlign w:val="center"/>
          </w:tcPr>
          <w:p>
            <w:pPr>
              <w:pStyle w:val="39"/>
              <w:rPr>
                <w:rFonts w:cs="Times New Roman"/>
              </w:rPr>
            </w:pPr>
            <w:r>
              <w:rPr>
                <w:rFonts w:cs="Times New Roman"/>
              </w:rPr>
              <w:t>12</w:t>
            </w:r>
          </w:p>
        </w:tc>
        <w:tc>
          <w:tcPr>
            <w:tcW w:w="934" w:type="pct"/>
            <w:vAlign w:val="center"/>
          </w:tcPr>
          <w:p>
            <w:pPr>
              <w:pStyle w:val="39"/>
              <w:rPr>
                <w:rFonts w:cs="Times New Roman"/>
              </w:rPr>
            </w:pPr>
            <w:r>
              <w:rPr>
                <w:rFonts w:cs="Times New Roman"/>
              </w:rPr>
              <w:t>公众教育</w:t>
            </w:r>
          </w:p>
          <w:p>
            <w:pPr>
              <w:pStyle w:val="39"/>
              <w:rPr>
                <w:rFonts w:cs="Times New Roman"/>
              </w:rPr>
            </w:pPr>
            <w:r>
              <w:rPr>
                <w:rFonts w:cs="Times New Roman"/>
              </w:rPr>
              <w:t>信息发布</w:t>
            </w:r>
          </w:p>
        </w:tc>
        <w:tc>
          <w:tcPr>
            <w:tcW w:w="3649" w:type="pct"/>
            <w:vAlign w:val="center"/>
          </w:tcPr>
          <w:p>
            <w:pPr>
              <w:pStyle w:val="39"/>
              <w:rPr>
                <w:rFonts w:cs="Times New Roman"/>
              </w:rPr>
            </w:pPr>
            <w:r>
              <w:rPr>
                <w:rFonts w:cs="Times New Roman"/>
              </w:rPr>
              <w:t>对工厂临近地区公众开展环境风险事故预防教育、应急知识培训并定期发布相关信息。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7" w:type="pct"/>
            <w:vAlign w:val="center"/>
          </w:tcPr>
          <w:p>
            <w:pPr>
              <w:pStyle w:val="39"/>
              <w:rPr>
                <w:rFonts w:cs="Times New Roman"/>
              </w:rPr>
            </w:pPr>
            <w:r>
              <w:rPr>
                <w:rFonts w:cs="Times New Roman"/>
              </w:rPr>
              <w:t>13</w:t>
            </w:r>
          </w:p>
        </w:tc>
        <w:tc>
          <w:tcPr>
            <w:tcW w:w="934" w:type="pct"/>
            <w:vAlign w:val="center"/>
          </w:tcPr>
          <w:p>
            <w:pPr>
              <w:pStyle w:val="39"/>
              <w:rPr>
                <w:rFonts w:cs="Times New Roman"/>
              </w:rPr>
            </w:pPr>
            <w:r>
              <w:rPr>
                <w:rFonts w:cs="Times New Roman"/>
              </w:rPr>
              <w:t>记录和报告</w:t>
            </w:r>
          </w:p>
        </w:tc>
        <w:tc>
          <w:tcPr>
            <w:tcW w:w="3649" w:type="pct"/>
            <w:vAlign w:val="center"/>
          </w:tcPr>
          <w:p>
            <w:pPr>
              <w:pStyle w:val="39"/>
              <w:rPr>
                <w:rFonts w:cs="Times New Roman"/>
              </w:rPr>
            </w:pPr>
            <w:r>
              <w:rPr>
                <w:rFonts w:cs="Times New Roman"/>
              </w:rPr>
              <w:t>设应急事故专门记录，建立档案和报告制度，设专门部门负责管理。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7" w:type="pct"/>
            <w:vAlign w:val="center"/>
          </w:tcPr>
          <w:p>
            <w:pPr>
              <w:pStyle w:val="39"/>
              <w:rPr>
                <w:rFonts w:cs="Times New Roman"/>
              </w:rPr>
            </w:pPr>
            <w:r>
              <w:rPr>
                <w:rFonts w:cs="Times New Roman"/>
              </w:rPr>
              <w:t>14</w:t>
            </w:r>
          </w:p>
        </w:tc>
        <w:tc>
          <w:tcPr>
            <w:tcW w:w="934" w:type="pct"/>
            <w:vAlign w:val="center"/>
          </w:tcPr>
          <w:p>
            <w:pPr>
              <w:pStyle w:val="39"/>
              <w:rPr>
                <w:rFonts w:cs="Times New Roman"/>
              </w:rPr>
            </w:pPr>
            <w:r>
              <w:rPr>
                <w:rFonts w:cs="Times New Roman"/>
              </w:rPr>
              <w:t>附件</w:t>
            </w:r>
          </w:p>
        </w:tc>
        <w:tc>
          <w:tcPr>
            <w:tcW w:w="3649" w:type="pct"/>
            <w:vAlign w:val="center"/>
          </w:tcPr>
          <w:p>
            <w:pPr>
              <w:pStyle w:val="39"/>
              <w:rPr>
                <w:rFonts w:cs="Times New Roman"/>
              </w:rPr>
            </w:pPr>
            <w:r>
              <w:rPr>
                <w:rFonts w:cs="Times New Roman"/>
              </w:rPr>
              <w:t>准备并形成环境风险事故应急处理有关的附件材料。</w:t>
            </w:r>
          </w:p>
        </w:tc>
      </w:tr>
    </w:tbl>
    <w:p>
      <w:pPr>
        <w:pStyle w:val="3"/>
        <w:ind w:firstLine="480"/>
        <w:rPr>
          <w:rFonts w:cs="Times New Roman"/>
        </w:rPr>
      </w:pPr>
      <w:r>
        <w:rPr>
          <w:rFonts w:cs="Times New Roman"/>
        </w:rPr>
        <w:br w:type="page"/>
      </w:r>
    </w:p>
    <w:p>
      <w:pPr>
        <w:pStyle w:val="6"/>
        <w:rPr>
          <w:rFonts w:cs="Times New Roman"/>
        </w:rPr>
      </w:pPr>
      <w:r>
        <w:rPr>
          <w:rFonts w:cs="Times New Roman"/>
        </w:rPr>
        <w:t>分析结论</w:t>
      </w:r>
    </w:p>
    <w:p>
      <w:pPr>
        <w:pStyle w:val="61"/>
        <w:spacing w:line="240" w:lineRule="auto"/>
        <w:rPr>
          <w:rFonts w:cs="Times New Roman"/>
        </w:rPr>
      </w:pPr>
      <w:r>
        <w:rPr>
          <w:rFonts w:cs="Times New Roman"/>
        </w:rPr>
        <w:t>表5.3-6 建设项目环境风险简单分析内容表</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3"/>
        <w:gridCol w:w="1488"/>
        <w:gridCol w:w="1488"/>
        <w:gridCol w:w="1488"/>
        <w:gridCol w:w="1488"/>
        <w:gridCol w:w="1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5" w:type="pct"/>
            <w:vAlign w:val="center"/>
          </w:tcPr>
          <w:p>
            <w:pPr>
              <w:pStyle w:val="39"/>
              <w:rPr>
                <w:rFonts w:cs="Times New Roman"/>
              </w:rPr>
            </w:pPr>
            <w:r>
              <w:rPr>
                <w:rFonts w:cs="Times New Roman"/>
              </w:rPr>
              <w:t>建设项目名称</w:t>
            </w:r>
          </w:p>
        </w:tc>
        <w:tc>
          <w:tcPr>
            <w:tcW w:w="4055" w:type="pct"/>
            <w:gridSpan w:val="5"/>
            <w:vAlign w:val="center"/>
          </w:tcPr>
          <w:p>
            <w:pPr>
              <w:pStyle w:val="39"/>
              <w:rPr>
                <w:rFonts w:cs="Times New Roman"/>
              </w:rPr>
            </w:pPr>
            <w:r>
              <w:rPr>
                <w:rFonts w:hint="eastAsia" w:cs="Times New Roman"/>
              </w:rPr>
              <w:t>湖南安发</w:t>
            </w:r>
            <w:r>
              <w:rPr>
                <w:rFonts w:cs="Times New Roman"/>
              </w:rPr>
              <w:t>原生态农业旅游开发有限公司养鸡场项目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5" w:type="pct"/>
            <w:vAlign w:val="center"/>
          </w:tcPr>
          <w:p>
            <w:pPr>
              <w:pStyle w:val="39"/>
              <w:rPr>
                <w:rFonts w:cs="Times New Roman"/>
              </w:rPr>
            </w:pPr>
            <w:r>
              <w:rPr>
                <w:rFonts w:cs="Times New Roman"/>
              </w:rPr>
              <w:t>建设地点</w:t>
            </w:r>
          </w:p>
        </w:tc>
        <w:tc>
          <w:tcPr>
            <w:tcW w:w="811" w:type="pct"/>
            <w:vAlign w:val="center"/>
          </w:tcPr>
          <w:p>
            <w:pPr>
              <w:pStyle w:val="39"/>
              <w:rPr>
                <w:rFonts w:cs="Times New Roman"/>
              </w:rPr>
            </w:pPr>
            <w:r>
              <w:rPr>
                <w:rFonts w:cs="Times New Roman"/>
              </w:rPr>
              <w:t>（湖南）省</w:t>
            </w:r>
          </w:p>
        </w:tc>
        <w:tc>
          <w:tcPr>
            <w:tcW w:w="811" w:type="pct"/>
            <w:vAlign w:val="center"/>
          </w:tcPr>
          <w:p>
            <w:pPr>
              <w:pStyle w:val="39"/>
              <w:rPr>
                <w:rFonts w:cs="Times New Roman"/>
              </w:rPr>
            </w:pPr>
            <w:r>
              <w:rPr>
                <w:rFonts w:cs="Times New Roman"/>
              </w:rPr>
              <w:t>（</w:t>
            </w:r>
            <w:r>
              <w:rPr>
                <w:rFonts w:hint="eastAsia" w:cs="Times New Roman"/>
              </w:rPr>
              <w:t>衡阳</w:t>
            </w:r>
            <w:r>
              <w:rPr>
                <w:rFonts w:cs="Times New Roman"/>
              </w:rPr>
              <w:t>）市</w:t>
            </w:r>
          </w:p>
        </w:tc>
        <w:tc>
          <w:tcPr>
            <w:tcW w:w="811" w:type="pct"/>
            <w:vAlign w:val="center"/>
          </w:tcPr>
          <w:p>
            <w:pPr>
              <w:pStyle w:val="39"/>
              <w:rPr>
                <w:rFonts w:cs="Times New Roman"/>
              </w:rPr>
            </w:pPr>
            <w:r>
              <w:rPr>
                <w:rFonts w:cs="Times New Roman"/>
              </w:rPr>
              <w:t>（/）区</w:t>
            </w:r>
          </w:p>
        </w:tc>
        <w:tc>
          <w:tcPr>
            <w:tcW w:w="811" w:type="pct"/>
            <w:vAlign w:val="center"/>
          </w:tcPr>
          <w:p>
            <w:pPr>
              <w:pStyle w:val="39"/>
              <w:rPr>
                <w:rFonts w:cs="Times New Roman"/>
              </w:rPr>
            </w:pPr>
            <w:r>
              <w:rPr>
                <w:rFonts w:cs="Times New Roman"/>
              </w:rPr>
              <w:t>（</w:t>
            </w:r>
            <w:r>
              <w:rPr>
                <w:rFonts w:hint="eastAsia" w:cs="Times New Roman"/>
              </w:rPr>
              <w:t>衡阳</w:t>
            </w:r>
            <w:r>
              <w:rPr>
                <w:rFonts w:cs="Times New Roman"/>
              </w:rPr>
              <w:t>）县</w:t>
            </w:r>
          </w:p>
        </w:tc>
        <w:tc>
          <w:tcPr>
            <w:tcW w:w="812" w:type="pct"/>
            <w:vAlign w:val="center"/>
          </w:tcPr>
          <w:p>
            <w:pPr>
              <w:pStyle w:val="39"/>
              <w:rPr>
                <w:rFonts w:cs="Times New Roman"/>
              </w:rPr>
            </w:pPr>
            <w:r>
              <w:rPr>
                <w:rFonts w:cs="Times New Roman"/>
              </w:rPr>
              <w:t>（</w:t>
            </w:r>
            <w:r>
              <w:rPr>
                <w:rFonts w:hint="eastAsia" w:cs="Times New Roman"/>
              </w:rPr>
              <w:t>台</w:t>
            </w:r>
            <w:r>
              <w:rPr>
                <w:rFonts w:cs="Times New Roman"/>
              </w:rPr>
              <w:t>源）镇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5" w:type="pct"/>
            <w:vAlign w:val="center"/>
          </w:tcPr>
          <w:p>
            <w:pPr>
              <w:pStyle w:val="39"/>
              <w:rPr>
                <w:rFonts w:cs="Times New Roman"/>
              </w:rPr>
            </w:pPr>
            <w:r>
              <w:rPr>
                <w:rFonts w:cs="Times New Roman"/>
              </w:rPr>
              <w:t>地理坐标</w:t>
            </w:r>
          </w:p>
        </w:tc>
        <w:tc>
          <w:tcPr>
            <w:tcW w:w="4055" w:type="pct"/>
            <w:gridSpan w:val="5"/>
            <w:vAlign w:val="center"/>
          </w:tcPr>
          <w:p>
            <w:pPr>
              <w:pStyle w:val="39"/>
              <w:rPr>
                <w:rFonts w:cs="Times New Roman"/>
              </w:rPr>
            </w:pPr>
            <w:r>
              <w:rPr>
                <w:rFonts w:cs="Times New Roman"/>
              </w:rPr>
              <w:t>东经：112°23'40.7382"；北纬：27°4'39.6789</w:t>
            </w:r>
            <w:r>
              <w:rPr>
                <w:rFonts w:hint="eastAsia"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5" w:type="pct"/>
            <w:vAlign w:val="center"/>
          </w:tcPr>
          <w:p>
            <w:pPr>
              <w:pStyle w:val="39"/>
              <w:rPr>
                <w:rFonts w:cs="Times New Roman"/>
              </w:rPr>
            </w:pPr>
            <w:r>
              <w:rPr>
                <w:rFonts w:cs="Times New Roman"/>
              </w:rPr>
              <w:t>环境影响途径及危害后果</w:t>
            </w:r>
          </w:p>
        </w:tc>
        <w:tc>
          <w:tcPr>
            <w:tcW w:w="4055" w:type="pct"/>
            <w:gridSpan w:val="5"/>
            <w:vAlign w:val="center"/>
          </w:tcPr>
          <w:p>
            <w:pPr>
              <w:pStyle w:val="39"/>
              <w:rPr>
                <w:rFonts w:cs="Times New Roman"/>
                <w:kern w:val="0"/>
                <w:szCs w:val="22"/>
              </w:rPr>
            </w:pPr>
            <w:r>
              <w:rPr>
                <w:rFonts w:cs="Times New Roman"/>
                <w:kern w:val="0"/>
                <w:szCs w:val="22"/>
              </w:rPr>
              <w:t>如发生泄露，柴油、过氧乙酸会顺着地面蔓延至排水沟，最终排入外环境；遇明火可导致火灾；废气处理设施失效导致废气污染周边环境；废水事故排放污染周边环境，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5" w:type="pct"/>
            <w:vAlign w:val="center"/>
          </w:tcPr>
          <w:p>
            <w:pPr>
              <w:pStyle w:val="39"/>
              <w:rPr>
                <w:rFonts w:cs="Times New Roman"/>
              </w:rPr>
            </w:pPr>
            <w:r>
              <w:rPr>
                <w:rFonts w:cs="Times New Roman"/>
              </w:rPr>
              <w:t>风险防范措施要求</w:t>
            </w:r>
          </w:p>
        </w:tc>
        <w:tc>
          <w:tcPr>
            <w:tcW w:w="4055" w:type="pct"/>
            <w:gridSpan w:val="5"/>
            <w:vAlign w:val="center"/>
          </w:tcPr>
          <w:p>
            <w:pPr>
              <w:pStyle w:val="39"/>
              <w:rPr>
                <w:rFonts w:cs="Times New Roman"/>
              </w:rPr>
            </w:pPr>
            <w:r>
              <w:rPr>
                <w:rFonts w:hint="eastAsia" w:ascii="宋体" w:hAnsi="宋体" w:cs="宋体"/>
                <w:kern w:val="0"/>
                <w:szCs w:val="22"/>
              </w:rPr>
              <w:t>①</w:t>
            </w:r>
            <w:r>
              <w:rPr>
                <w:rFonts w:cs="Times New Roman"/>
                <w:kern w:val="0"/>
                <w:szCs w:val="22"/>
              </w:rPr>
              <w:t>认真执行《危险化学品装卸作业一般安全守则》，建立可操作的安全管理制度，有专职人员负责安全消防工作；</w:t>
            </w:r>
            <w:r>
              <w:rPr>
                <w:rFonts w:hint="eastAsia" w:ascii="宋体" w:hAnsi="宋体" w:cs="宋体"/>
                <w:kern w:val="0"/>
                <w:szCs w:val="22"/>
              </w:rPr>
              <w:t>②</w:t>
            </w:r>
            <w:r>
              <w:rPr>
                <w:rFonts w:cs="Times New Roman"/>
                <w:kern w:val="0"/>
                <w:szCs w:val="22"/>
              </w:rPr>
              <w:t>配备消防设备和消防器材，一切消防器材不准动乱用，并要定期检查；</w:t>
            </w:r>
            <w:r>
              <w:rPr>
                <w:rFonts w:hint="eastAsia" w:ascii="宋体" w:hAnsi="宋体" w:cs="宋体"/>
                <w:kern w:val="0"/>
                <w:szCs w:val="22"/>
              </w:rPr>
              <w:t>③</w:t>
            </w:r>
            <w:r>
              <w:rPr>
                <w:rFonts w:cs="Times New Roman"/>
                <w:kern w:val="0"/>
                <w:szCs w:val="22"/>
              </w:rPr>
              <w:t>各种设备要做到定员、定岗、定机管理，对有特殊要求的设备，操作人员必须经过岗位训，并持有操作证方可上岗；</w:t>
            </w:r>
            <w:r>
              <w:rPr>
                <w:rFonts w:hint="eastAsia" w:ascii="宋体" w:hAnsi="宋体" w:cs="宋体"/>
                <w:kern w:val="0"/>
                <w:szCs w:val="22"/>
              </w:rPr>
              <w:t>④</w:t>
            </w:r>
            <w:r>
              <w:rPr>
                <w:rFonts w:cs="Times New Roman"/>
                <w:kern w:val="0"/>
                <w:szCs w:val="22"/>
              </w:rPr>
              <w:t>作业前，要检查确认所有设备设施及环境处于安全工作状态。发生火灾时用铁铲或水桶将砂子散开，覆盖火焰，使其熄灭；</w:t>
            </w:r>
            <w:r>
              <w:rPr>
                <w:rFonts w:hint="eastAsia" w:ascii="宋体" w:hAnsi="宋体" w:cs="宋体"/>
                <w:kern w:val="0"/>
                <w:szCs w:val="22"/>
              </w:rPr>
              <w:t>⑤</w:t>
            </w:r>
            <w:r>
              <w:rPr>
                <w:rFonts w:cs="Times New Roman"/>
                <w:kern w:val="0"/>
                <w:szCs w:val="22"/>
              </w:rPr>
              <w:t>相关人员应认真巡视检查。严防跑、冒、滴、漏、凝管等情况发生；</w:t>
            </w:r>
            <w:r>
              <w:rPr>
                <w:rFonts w:hint="eastAsia" w:ascii="宋体" w:hAnsi="宋体" w:cs="宋体"/>
                <w:kern w:val="0"/>
                <w:szCs w:val="22"/>
              </w:rPr>
              <w:t>⑥</w:t>
            </w:r>
            <w:r>
              <w:rPr>
                <w:rFonts w:cs="Times New Roman"/>
                <w:kern w:val="0"/>
                <w:szCs w:val="22"/>
              </w:rPr>
              <w:t>设置规范危化品仓库、危废暂存间；</w:t>
            </w:r>
            <w:r>
              <w:rPr>
                <w:rFonts w:hint="eastAsia" w:ascii="宋体" w:hAnsi="宋体" w:cs="宋体"/>
                <w:kern w:val="0"/>
                <w:szCs w:val="22"/>
              </w:rPr>
              <w:t>⑦</w:t>
            </w:r>
            <w:r>
              <w:rPr>
                <w:rFonts w:cs="Times New Roman"/>
                <w:kern w:val="0"/>
                <w:szCs w:val="22"/>
              </w:rPr>
              <w:t>雨水排口设置切换阀。</w:t>
            </w:r>
            <w:r>
              <w:rPr>
                <w:rFonts w:hint="eastAsia" w:ascii="宋体" w:hAnsi="宋体" w:cs="宋体"/>
                <w:kern w:val="0"/>
                <w:szCs w:val="22"/>
                <w:u w:val="single"/>
              </w:rPr>
              <w:t>⑦</w:t>
            </w:r>
            <w:r>
              <w:rPr>
                <w:rFonts w:cs="Times New Roman"/>
                <w:kern w:val="0"/>
                <w:szCs w:val="22"/>
                <w:u w:val="single"/>
              </w:rPr>
              <w:t>增设塑料托盘及吸油垫。</w:t>
            </w:r>
          </w:p>
        </w:tc>
      </w:tr>
    </w:tbl>
    <w:p>
      <w:pPr>
        <w:pStyle w:val="3"/>
        <w:ind w:firstLine="480"/>
        <w:rPr>
          <w:rFonts w:cs="Times New Roman"/>
        </w:rPr>
      </w:pPr>
    </w:p>
    <w:p>
      <w:pPr>
        <w:pStyle w:val="3"/>
        <w:ind w:firstLine="480"/>
        <w:rPr>
          <w:rFonts w:cs="Times New Roman"/>
        </w:rPr>
      </w:pPr>
      <w:r>
        <w:rPr>
          <w:rFonts w:cs="Times New Roman"/>
        </w:rPr>
        <w:t>综上所述，项目存在一定风险，建设单位只要认真落实上述各项相关风险防范措施、严格管理，将能有效地防止事故的发生；一旦发生事故，依靠完善的安全防护设施和事故应急措施则能及时控制事故，防止事故的蔓延，在此基础上，项目的环境风险影响风险可控可管，是可以接受的。</w:t>
      </w:r>
    </w:p>
    <w:p>
      <w:pPr>
        <w:pStyle w:val="3"/>
        <w:ind w:firstLine="480"/>
      </w:pPr>
      <w:r>
        <w:br w:type="page"/>
      </w:r>
    </w:p>
    <w:p>
      <w:pPr>
        <w:pStyle w:val="2"/>
      </w:pPr>
      <w:bookmarkStart w:id="40" w:name="_Toc80889087"/>
      <w:r>
        <w:rPr>
          <w:rFonts w:hint="eastAsia"/>
        </w:rPr>
        <w:t>环保</w:t>
      </w:r>
      <w:r>
        <w:t>措施及其技术经济论证</w:t>
      </w:r>
      <w:bookmarkEnd w:id="40"/>
    </w:p>
    <w:p>
      <w:pPr>
        <w:pStyle w:val="5"/>
      </w:pPr>
      <w:bookmarkStart w:id="41" w:name="_Toc80889088"/>
      <w:r>
        <w:rPr>
          <w:rFonts w:hint="eastAsia"/>
        </w:rPr>
        <w:t>施工期</w:t>
      </w:r>
      <w:r>
        <w:t>污染防治措施</w:t>
      </w:r>
      <w:bookmarkEnd w:id="41"/>
    </w:p>
    <w:p>
      <w:pPr>
        <w:pStyle w:val="6"/>
        <w:rPr>
          <w:rFonts w:cs="Times New Roman"/>
        </w:rPr>
      </w:pPr>
      <w:r>
        <w:rPr>
          <w:rFonts w:cs="Times New Roman"/>
        </w:rPr>
        <w:t>施工期地表水污染防治措施</w:t>
      </w:r>
    </w:p>
    <w:p>
      <w:pPr>
        <w:pStyle w:val="3"/>
        <w:ind w:firstLine="480"/>
        <w:rPr>
          <w:rFonts w:cs="Times New Roman"/>
        </w:rPr>
      </w:pPr>
      <w:r>
        <w:rPr>
          <w:rFonts w:cs="Times New Roman"/>
        </w:rPr>
        <w:t>施工期要按照《建设工程施工现场环境保护工作基本标准》，采取如下的水污染防治措施：</w:t>
      </w:r>
    </w:p>
    <w:p>
      <w:pPr>
        <w:pStyle w:val="3"/>
        <w:ind w:firstLine="480"/>
        <w:rPr>
          <w:rFonts w:cs="Times New Roman"/>
        </w:rPr>
      </w:pPr>
      <w:r>
        <w:rPr>
          <w:rFonts w:cs="Times New Roman"/>
        </w:rPr>
        <w:t>（1）施工场地四周设排水沟，设置固定的车辆冲洗场所，施工燃油机械维护和冲洗的含油污水经隔油、沉淀处理后回用。同时加强施工机械管理，防止油的跑、冒、漏、滴。隔油池/沉淀池位置根据施工作业场地，由施工方自行安排。</w:t>
      </w:r>
    </w:p>
    <w:p>
      <w:pPr>
        <w:pStyle w:val="3"/>
        <w:ind w:firstLine="480"/>
        <w:rPr>
          <w:rFonts w:cs="Times New Roman"/>
        </w:rPr>
      </w:pPr>
      <w:r>
        <w:rPr>
          <w:rFonts w:cs="Times New Roman"/>
        </w:rPr>
        <w:t>（2）厂区土石方开挖应科学规划，按着“当天开挖多少，及时推平、碾压多少”的原则进行施工，避免不必要的堆、弃土造成水土流失污染水体。</w:t>
      </w:r>
    </w:p>
    <w:p>
      <w:pPr>
        <w:pStyle w:val="3"/>
        <w:ind w:firstLine="480"/>
        <w:rPr>
          <w:rFonts w:cs="Times New Roman"/>
        </w:rPr>
      </w:pPr>
      <w:r>
        <w:rPr>
          <w:rFonts w:cs="Times New Roman"/>
        </w:rPr>
        <w:t>（3）工程完工后尽快完善项目区绿化或固化地面，尽量减少雨水对裸露地表的冲刷，减小水土流失对地表水的影响。</w:t>
      </w:r>
    </w:p>
    <w:p>
      <w:pPr>
        <w:pStyle w:val="3"/>
        <w:ind w:firstLine="480"/>
        <w:rPr>
          <w:rFonts w:cs="Times New Roman"/>
        </w:rPr>
      </w:pPr>
      <w:r>
        <w:rPr>
          <w:rFonts w:cs="Times New Roman"/>
        </w:rPr>
        <w:t>（4）在场地内修建2×2×1m</w:t>
      </w:r>
      <w:r>
        <w:rPr>
          <w:rFonts w:cs="Times New Roman"/>
          <w:vertAlign w:val="superscript"/>
        </w:rPr>
        <w:t>3</w:t>
      </w:r>
      <w:r>
        <w:rPr>
          <w:rFonts w:cs="Times New Roman"/>
        </w:rPr>
        <w:t>的沉淀池，废水经沉淀处理后全部回用，不外排。</w:t>
      </w:r>
    </w:p>
    <w:p>
      <w:pPr>
        <w:pStyle w:val="3"/>
        <w:ind w:firstLine="480"/>
        <w:rPr>
          <w:rFonts w:cs="Times New Roman"/>
        </w:rPr>
      </w:pPr>
      <w:r>
        <w:rPr>
          <w:rFonts w:cs="Times New Roman"/>
        </w:rPr>
        <w:t>（5）除了对施工期各用水点产生的废水采取防治措施外，还须对施工建筑材料集中堆放，并采取一定的防雨淋措施，如修建0.5m高的砖砌防冲刷围墙，并及时清扫施工运输工程中抛洒的上述建筑材料，以免这些物质随雨水冲刷污染附近水体。</w:t>
      </w:r>
    </w:p>
    <w:p>
      <w:pPr>
        <w:pStyle w:val="3"/>
        <w:ind w:firstLine="480"/>
        <w:rPr>
          <w:rFonts w:cs="Times New Roman"/>
        </w:rPr>
      </w:pPr>
      <w:r>
        <w:rPr>
          <w:rFonts w:cs="Times New Roman"/>
        </w:rPr>
        <w:t>（6）施工场地内不设施工生活营地，不设食堂，无含油生活污水排放。施工场地设临时</w:t>
      </w:r>
      <w:r>
        <w:rPr>
          <w:rFonts w:hint="eastAsia" w:cs="Times New Roman"/>
        </w:rPr>
        <w:t>临时公厕</w:t>
      </w:r>
      <w:r>
        <w:rPr>
          <w:rFonts w:cs="Times New Roman"/>
        </w:rPr>
        <w:t>，工人如厕废水经</w:t>
      </w:r>
      <w:r>
        <w:rPr>
          <w:rFonts w:hint="eastAsia" w:cs="Times New Roman"/>
        </w:rPr>
        <w:t>临时公厕</w:t>
      </w:r>
      <w:r>
        <w:rPr>
          <w:rFonts w:cs="Times New Roman"/>
        </w:rPr>
        <w:t>收集处理后，委托周边村民定期清掏运走作为周边农田肥料。</w:t>
      </w:r>
    </w:p>
    <w:p>
      <w:pPr>
        <w:pStyle w:val="3"/>
        <w:ind w:firstLine="480"/>
        <w:rPr>
          <w:rFonts w:cs="Times New Roman"/>
        </w:rPr>
      </w:pPr>
      <w:r>
        <w:rPr>
          <w:rFonts w:cs="Times New Roman"/>
        </w:rPr>
        <w:t>通过采取以上措施，施工废水基本做到循环利用，对区域水环境影响较小。</w:t>
      </w:r>
    </w:p>
    <w:p>
      <w:pPr>
        <w:pStyle w:val="6"/>
        <w:rPr>
          <w:rFonts w:cs="Times New Roman"/>
        </w:rPr>
      </w:pPr>
      <w:r>
        <w:rPr>
          <w:rFonts w:cs="Times New Roman"/>
        </w:rPr>
        <w:t>施工期大气污染防治措施</w:t>
      </w:r>
    </w:p>
    <w:p>
      <w:pPr>
        <w:pStyle w:val="3"/>
        <w:ind w:firstLine="480"/>
        <w:rPr>
          <w:rFonts w:cs="Times New Roman"/>
        </w:rPr>
      </w:pPr>
      <w:r>
        <w:rPr>
          <w:rFonts w:cs="Times New Roman"/>
        </w:rPr>
        <w:t>为了使建设项目在建设期间施工废气对周围环境的影响减少到尽可能小的程度，本评价建议采取以下防护措施：</w:t>
      </w:r>
    </w:p>
    <w:p>
      <w:pPr>
        <w:pStyle w:val="3"/>
        <w:ind w:firstLine="480"/>
        <w:rPr>
          <w:rFonts w:cs="Times New Roman"/>
        </w:rPr>
      </w:pPr>
      <w:r>
        <w:rPr>
          <w:rFonts w:cs="Times New Roman"/>
        </w:rPr>
        <w:t>（1）工地应设专职人员负责扬尘控制措施的实施和监督。各工地应有专人负责逸散性材料、垃圾、渣土、裸地等密闭、覆盖、洒水作业等，并记录扬尘控制措施的实施情况。工地周围环境的保洁。施工单位保洁责任区的范围应根据施工扬尘影响情况确定，一般设在施工工地周围20m范围内。</w:t>
      </w:r>
    </w:p>
    <w:p>
      <w:pPr>
        <w:pStyle w:val="3"/>
        <w:ind w:firstLine="480"/>
        <w:rPr>
          <w:rFonts w:cs="Times New Roman"/>
        </w:rPr>
      </w:pPr>
      <w:r>
        <w:rPr>
          <w:rFonts w:cs="Times New Roman"/>
        </w:rPr>
        <w:t>（2）在施工期间，应根据不同空气污染指数范围和大风、高温、干燥、晴天、雨天等各种不同气象条件要求，建立保洁制度，包括洒水、清扫方式、频次等。根据气象预报风速达五级以上时，需停止工地室外作业，并做好覆盖工作。</w:t>
      </w:r>
    </w:p>
    <w:p>
      <w:pPr>
        <w:pStyle w:val="3"/>
        <w:ind w:firstLine="480"/>
        <w:rPr>
          <w:rFonts w:cs="Times New Roman"/>
        </w:rPr>
      </w:pPr>
      <w:r>
        <w:rPr>
          <w:rFonts w:cs="Times New Roman"/>
        </w:rPr>
        <w:t>（3）施工过程中使用水泥、石灰、砂石、铺装材料等易产生扬尘的建筑材料，应采取密闭存储、设置围挡或堆砌围墙、采用防尘布苫盖等有效防尘措施。</w:t>
      </w:r>
    </w:p>
    <w:p>
      <w:pPr>
        <w:pStyle w:val="3"/>
        <w:ind w:firstLine="480"/>
        <w:rPr>
          <w:rFonts w:cs="Times New Roman"/>
        </w:rPr>
      </w:pPr>
      <w:r>
        <w:rPr>
          <w:rFonts w:cs="Times New Roman"/>
        </w:rPr>
        <w:t>（4）施工过程中产生的建筑垃圾，应及时清运。若在工地内堆置超过一周的，则应采取覆盖防尘布、防尘网，定期喷洒抑尘剂、定期喷水压尘等措施，防止风蚀起尘及水蚀迁移。</w:t>
      </w:r>
    </w:p>
    <w:p>
      <w:pPr>
        <w:pStyle w:val="3"/>
        <w:ind w:firstLine="480"/>
        <w:rPr>
          <w:rFonts w:cs="Times New Roman"/>
        </w:rPr>
      </w:pPr>
      <w:r>
        <w:rPr>
          <w:rFonts w:cs="Times New Roman"/>
        </w:rPr>
        <w:t>（5）渣料运输必须采用专用的密封运输车，施工现场应设置车辆冲洗装置，对开出的渣土车辆进行清洗，以减少渣土沿路洒落。</w:t>
      </w:r>
    </w:p>
    <w:p>
      <w:pPr>
        <w:pStyle w:val="3"/>
        <w:ind w:firstLine="480"/>
        <w:rPr>
          <w:rFonts w:cs="Times New Roman"/>
        </w:rPr>
      </w:pPr>
      <w:r>
        <w:rPr>
          <w:rFonts w:cs="Times New Roman"/>
        </w:rPr>
        <w:t>（6）对于粉状物料的运输和堆放，必须采取遮盖措施，防止因风吹而引起扬尘。</w:t>
      </w:r>
    </w:p>
    <w:p>
      <w:pPr>
        <w:pStyle w:val="3"/>
        <w:ind w:firstLine="480"/>
        <w:rPr>
          <w:rFonts w:cs="Times New Roman"/>
          <w:b/>
        </w:rPr>
      </w:pPr>
      <w:r>
        <w:rPr>
          <w:rFonts w:cs="Times New Roman"/>
        </w:rPr>
        <w:t>通过采取以上措施，施工场地扬尘对环境的影响将会大大降低，措施可行。</w:t>
      </w:r>
    </w:p>
    <w:p>
      <w:pPr>
        <w:pStyle w:val="6"/>
        <w:rPr>
          <w:rFonts w:cs="Times New Roman"/>
        </w:rPr>
      </w:pPr>
      <w:r>
        <w:rPr>
          <w:rFonts w:cs="Times New Roman"/>
        </w:rPr>
        <w:t>施工期噪声防治措施</w:t>
      </w:r>
    </w:p>
    <w:p>
      <w:pPr>
        <w:pStyle w:val="3"/>
        <w:ind w:firstLine="480"/>
        <w:rPr>
          <w:rFonts w:cs="Times New Roman"/>
        </w:rPr>
      </w:pPr>
      <w:r>
        <w:rPr>
          <w:rFonts w:cs="Times New Roman"/>
        </w:rPr>
        <w:t>为进一步减轻项目施工噪声对周边环境敏感点的影响，施工噪声控制措施具体如下：</w:t>
      </w:r>
    </w:p>
    <w:p>
      <w:pPr>
        <w:pStyle w:val="3"/>
        <w:ind w:firstLine="480"/>
        <w:rPr>
          <w:rFonts w:cs="Times New Roman"/>
        </w:rPr>
      </w:pPr>
      <w:r>
        <w:rPr>
          <w:rFonts w:cs="Times New Roman"/>
        </w:rPr>
        <w:t>（1）选用低噪声施工设备，固定机械设备与挖土、运土机械，如挖土机、推土机等，可以通过排气管消音器和隔离发机振动部件的方法降低噪声；</w:t>
      </w:r>
    </w:p>
    <w:p>
      <w:pPr>
        <w:pStyle w:val="3"/>
        <w:ind w:firstLine="480"/>
        <w:rPr>
          <w:rFonts w:cs="Times New Roman"/>
        </w:rPr>
      </w:pPr>
      <w:r>
        <w:rPr>
          <w:rFonts w:cs="Times New Roman"/>
        </w:rPr>
        <w:t>（2）合理安排施工作业，尽量避免多台强噪声施工机械在同一地点同时施工；</w:t>
      </w:r>
    </w:p>
    <w:p>
      <w:pPr>
        <w:pStyle w:val="3"/>
        <w:ind w:firstLine="480"/>
        <w:rPr>
          <w:rFonts w:cs="Times New Roman"/>
        </w:rPr>
      </w:pPr>
      <w:r>
        <w:rPr>
          <w:rFonts w:cs="Times New Roman"/>
        </w:rPr>
        <w:t>（3）加强对施工机械和设备维护保养，避免由于设备性能减退而使噪声增大；</w:t>
      </w:r>
    </w:p>
    <w:p>
      <w:pPr>
        <w:pStyle w:val="3"/>
        <w:ind w:firstLine="480"/>
        <w:rPr>
          <w:rFonts w:cs="Times New Roman"/>
        </w:rPr>
      </w:pPr>
      <w:r>
        <w:rPr>
          <w:rFonts w:cs="Times New Roman"/>
        </w:rPr>
        <w:t>（4）对位置相对固定的机械设备，尽量放入操作间内，高噪声设备设临时隔声屏障，如可拆卸活动彩板围挡等；</w:t>
      </w:r>
    </w:p>
    <w:p>
      <w:pPr>
        <w:pStyle w:val="3"/>
        <w:ind w:firstLine="480"/>
        <w:rPr>
          <w:rFonts w:cs="Times New Roman"/>
        </w:rPr>
      </w:pPr>
      <w:r>
        <w:rPr>
          <w:rFonts w:cs="Times New Roman"/>
        </w:rPr>
        <w:t>（5）合理安排施工时间，夜间禁止施工，施工期噪声按《建筑施工场界环境噪声排放标准》（GB12523-2011）进行控制，合理安排施工时间，严格控制高噪声设备的施工时段，在夜间22：00至次日清晨6：00和午休时间停止高噪声设备的施工作业，以免影响居民休息，避免高噪声设备同时施工，主要噪声源尽量安排在昼间非正常休息时间内进行的要求；</w:t>
      </w:r>
    </w:p>
    <w:p>
      <w:pPr>
        <w:pStyle w:val="3"/>
        <w:ind w:firstLine="480"/>
        <w:rPr>
          <w:rFonts w:cs="Times New Roman"/>
        </w:rPr>
      </w:pPr>
      <w:r>
        <w:rPr>
          <w:rFonts w:cs="Times New Roman"/>
        </w:rPr>
        <w:t>（6）加强与周围居民沟通，规范夜间施工作业规范，夜间施工照明及电焊操作不得影响邻近居民，施工前及夜间施工应向县环保部门申报；</w:t>
      </w:r>
    </w:p>
    <w:p>
      <w:pPr>
        <w:pStyle w:val="3"/>
        <w:ind w:firstLine="480"/>
        <w:rPr>
          <w:rFonts w:cs="Times New Roman"/>
        </w:rPr>
      </w:pPr>
      <w:r>
        <w:rPr>
          <w:rFonts w:cs="Times New Roman"/>
        </w:rPr>
        <w:t>（7）夜间施工除需办理环保审批手续外，并提前告知受影响群众，征得群众谅解。</w:t>
      </w:r>
    </w:p>
    <w:p>
      <w:pPr>
        <w:pStyle w:val="3"/>
        <w:ind w:firstLine="480"/>
        <w:rPr>
          <w:rFonts w:cs="Times New Roman"/>
        </w:rPr>
      </w:pPr>
      <w:r>
        <w:rPr>
          <w:rFonts w:cs="Times New Roman"/>
        </w:rPr>
        <w:t>（8）减少交通噪声，大型载重车辆在进出施工场地时应限速20km/h，并禁止鸣笛。</w:t>
      </w:r>
    </w:p>
    <w:p>
      <w:pPr>
        <w:pStyle w:val="3"/>
        <w:ind w:firstLine="480"/>
        <w:rPr>
          <w:rFonts w:cs="Times New Roman"/>
        </w:rPr>
      </w:pPr>
      <w:r>
        <w:rPr>
          <w:rFonts w:cs="Times New Roman"/>
        </w:rPr>
        <w:t>（9）建议在用地范围四周设置临时围挡墙、临时声屏障以减轻施工噪声对附近居民区生产的影响。</w:t>
      </w:r>
    </w:p>
    <w:p>
      <w:pPr>
        <w:pStyle w:val="3"/>
        <w:ind w:firstLine="480"/>
        <w:rPr>
          <w:rFonts w:cs="Times New Roman"/>
        </w:rPr>
      </w:pPr>
      <w:r>
        <w:rPr>
          <w:rFonts w:cs="Times New Roman"/>
        </w:rPr>
        <w:t>采取上述措施后可建立减少施工期噪声对区域声环境的影响。</w:t>
      </w:r>
    </w:p>
    <w:p>
      <w:pPr>
        <w:pStyle w:val="6"/>
        <w:rPr>
          <w:rFonts w:cs="Times New Roman"/>
        </w:rPr>
      </w:pPr>
      <w:r>
        <w:rPr>
          <w:rFonts w:cs="Times New Roman"/>
        </w:rPr>
        <w:t>施工期固体废物防治措施</w:t>
      </w:r>
    </w:p>
    <w:p>
      <w:pPr>
        <w:pStyle w:val="3"/>
        <w:ind w:firstLine="480"/>
        <w:rPr>
          <w:rFonts w:cs="Times New Roman"/>
        </w:rPr>
      </w:pPr>
      <w:r>
        <w:rPr>
          <w:rFonts w:cs="Times New Roman"/>
        </w:rPr>
        <w:t>（1）</w:t>
      </w:r>
      <w:r>
        <w:rPr>
          <w:rFonts w:cs="Times New Roman"/>
          <w:lang w:val="zh-CN"/>
        </w:rPr>
        <w:t>精心设计与组织整个场地的土石方工程施工，尽量实现挖、填土方基本平衡，避免长距离运土；</w:t>
      </w:r>
    </w:p>
    <w:p>
      <w:pPr>
        <w:pStyle w:val="3"/>
        <w:ind w:firstLine="480"/>
        <w:rPr>
          <w:rFonts w:cs="Times New Roman"/>
        </w:rPr>
      </w:pPr>
      <w:r>
        <w:rPr>
          <w:rFonts w:cs="Times New Roman"/>
        </w:rPr>
        <w:t>（2）</w:t>
      </w:r>
      <w:r>
        <w:rPr>
          <w:rFonts w:cs="Times New Roman"/>
          <w:lang w:val="zh-CN"/>
        </w:rPr>
        <w:t>车辆每次离开场地前，要清洗干净粘带的泥土，在气候干燥时在车顶上盖上帆布以防泥土在运输过程中飞扬；</w:t>
      </w:r>
    </w:p>
    <w:p>
      <w:pPr>
        <w:pStyle w:val="3"/>
        <w:ind w:firstLine="480"/>
        <w:rPr>
          <w:rFonts w:cs="Times New Roman"/>
        </w:rPr>
      </w:pPr>
      <w:r>
        <w:rPr>
          <w:rFonts w:cs="Times New Roman"/>
        </w:rPr>
        <w:t>（3）</w:t>
      </w:r>
      <w:r>
        <w:rPr>
          <w:rFonts w:cs="Times New Roman"/>
          <w:lang w:val="zh-CN"/>
        </w:rPr>
        <w:t>施工期产生的的建筑垃圾主要包括一些包装袋、碎木块、废水泥浇注体等应尽量由施工单位回收利用；不能回收利用的则送往</w:t>
      </w:r>
      <w:r>
        <w:rPr>
          <w:rFonts w:hint="eastAsia" w:cs="Times New Roman"/>
          <w:lang w:val="zh-CN"/>
        </w:rPr>
        <w:t>衡阳县</w:t>
      </w:r>
      <w:r>
        <w:rPr>
          <w:rFonts w:cs="Times New Roman"/>
          <w:lang w:val="zh-CN"/>
        </w:rPr>
        <w:t>渣土办指定的建筑垃圾填埋场集中处置</w:t>
      </w:r>
      <w:r>
        <w:rPr>
          <w:rFonts w:cs="Times New Roman"/>
        </w:rPr>
        <w:t>；</w:t>
      </w:r>
    </w:p>
    <w:p>
      <w:pPr>
        <w:pStyle w:val="3"/>
        <w:ind w:firstLine="480"/>
        <w:rPr>
          <w:rFonts w:cs="Times New Roman"/>
        </w:rPr>
      </w:pPr>
      <w:r>
        <w:rPr>
          <w:rFonts w:cs="Times New Roman"/>
        </w:rPr>
        <w:t>（4）对不能利用的其它建筑垃圾和生活垃圾集中收集后，根据城市有关卫生管理条例，由</w:t>
      </w:r>
      <w:r>
        <w:rPr>
          <w:rFonts w:cs="Times New Roman"/>
          <w:lang w:val="zh-CN"/>
        </w:rPr>
        <w:t>环卫部门统一清运</w:t>
      </w:r>
      <w:r>
        <w:rPr>
          <w:rFonts w:cs="Times New Roman"/>
        </w:rPr>
        <w:t>处置。</w:t>
      </w:r>
    </w:p>
    <w:p>
      <w:pPr>
        <w:pStyle w:val="3"/>
        <w:ind w:firstLine="480"/>
        <w:rPr>
          <w:rFonts w:cs="Times New Roman"/>
        </w:rPr>
      </w:pPr>
      <w:r>
        <w:rPr>
          <w:rFonts w:cs="Times New Roman"/>
        </w:rPr>
        <w:t>（5）施工期生活垃圾由环卫部门要求进行处理。</w:t>
      </w:r>
    </w:p>
    <w:p>
      <w:pPr>
        <w:pStyle w:val="3"/>
        <w:ind w:firstLine="480"/>
        <w:rPr>
          <w:rFonts w:cs="Times New Roman"/>
        </w:rPr>
      </w:pPr>
      <w:r>
        <w:rPr>
          <w:rFonts w:cs="Times New Roman"/>
        </w:rPr>
        <w:t>通过以上措施处理，固体废物污染可得到有效控制，并避免二次污染的产生，措施可行。</w:t>
      </w:r>
    </w:p>
    <w:p>
      <w:pPr>
        <w:pStyle w:val="6"/>
        <w:rPr>
          <w:rFonts w:cs="Times New Roman"/>
        </w:rPr>
      </w:pPr>
      <w:r>
        <w:rPr>
          <w:rFonts w:cs="Times New Roman"/>
        </w:rPr>
        <w:t>施工期生态防护措施</w:t>
      </w:r>
    </w:p>
    <w:p>
      <w:pPr>
        <w:pStyle w:val="3"/>
        <w:ind w:firstLine="480"/>
        <w:rPr>
          <w:rFonts w:cs="Times New Roman"/>
        </w:rPr>
      </w:pPr>
      <w:r>
        <w:rPr>
          <w:rFonts w:hint="eastAsia" w:ascii="宋体" w:hAnsi="宋体" w:cs="宋体"/>
        </w:rPr>
        <w:t>①</w:t>
      </w:r>
      <w:r>
        <w:rPr>
          <w:rFonts w:cs="Times New Roman"/>
        </w:rPr>
        <w:t>施工前期应将表土层进行剥离暂存，用于后期绿化用土；项目建设力求同自然景观、生态环境相融合。区内基础及服务设施建设应严格设计、施工，以对周围植被和生态环境破坏最小为宜；平面布置与空间应合理布局，水、电、通讯、截排水等应统一规划施工，避免重复开挖。</w:t>
      </w:r>
    </w:p>
    <w:p>
      <w:pPr>
        <w:pStyle w:val="3"/>
        <w:ind w:firstLine="480"/>
        <w:rPr>
          <w:rFonts w:cs="Times New Roman"/>
        </w:rPr>
      </w:pPr>
      <w:r>
        <w:rPr>
          <w:rFonts w:hint="eastAsia" w:ascii="宋体" w:hAnsi="宋体" w:cs="宋体"/>
        </w:rPr>
        <w:t>②</w:t>
      </w:r>
      <w:r>
        <w:rPr>
          <w:rFonts w:cs="Times New Roman"/>
        </w:rPr>
        <w:t>项目建设要按总体规划进行，筛选最佳方案，尽量减小施工噪声源强。最大限度减少施工对动植物的影响，避免给生态环境造成严重的破坏。</w:t>
      </w:r>
    </w:p>
    <w:p>
      <w:pPr>
        <w:pStyle w:val="3"/>
        <w:ind w:firstLine="480"/>
        <w:rPr>
          <w:rFonts w:cs="Times New Roman"/>
        </w:rPr>
      </w:pPr>
      <w:r>
        <w:rPr>
          <w:rFonts w:hint="eastAsia" w:ascii="宋体" w:hAnsi="宋体" w:cs="宋体"/>
        </w:rPr>
        <w:t>③</w:t>
      </w:r>
      <w:r>
        <w:rPr>
          <w:rFonts w:cs="Times New Roman"/>
        </w:rPr>
        <w:t>项目建设时，要合理规划施工时的临时用地，对那些不必要的占地和施工要尽量避免。</w:t>
      </w:r>
    </w:p>
    <w:p>
      <w:pPr>
        <w:pStyle w:val="3"/>
        <w:ind w:firstLine="480"/>
        <w:rPr>
          <w:rFonts w:cs="Times New Roman"/>
        </w:rPr>
      </w:pPr>
      <w:r>
        <w:rPr>
          <w:rFonts w:hint="eastAsia" w:ascii="宋体" w:hAnsi="宋体" w:cs="宋体"/>
        </w:rPr>
        <w:t>④</w:t>
      </w:r>
      <w:r>
        <w:rPr>
          <w:rFonts w:cs="Times New Roman"/>
        </w:rPr>
        <w:t>施工完成后，要实施植被恢复工程、绿化补缺工程建设，对生态环境已遭破坏的地段，要进行全面绿化恢复，种植当地观赏性好的野生花草灌木和乡土树种，恢复原有生态平衡和自然环境，恢复项目所在地的景观效果。</w:t>
      </w:r>
    </w:p>
    <w:p>
      <w:pPr>
        <w:pStyle w:val="3"/>
        <w:ind w:firstLine="480"/>
        <w:rPr>
          <w:rFonts w:cs="Times New Roman"/>
        </w:rPr>
      </w:pPr>
      <w:r>
        <w:rPr>
          <w:rFonts w:hint="eastAsia" w:ascii="宋体" w:hAnsi="宋体" w:cs="宋体"/>
        </w:rPr>
        <w:t>⑤</w:t>
      </w:r>
      <w:r>
        <w:rPr>
          <w:rFonts w:cs="Times New Roman"/>
        </w:rPr>
        <w:t>项目建设完成后，短期内植被受到破坏，要按照规划的绿化方案进行人工绿化，绿化植物在选用本地物种的基础上还引进一些其他物种，以增加植被的多样性，绿化率达到40%。</w:t>
      </w:r>
    </w:p>
    <w:p>
      <w:pPr>
        <w:pStyle w:val="6"/>
        <w:rPr>
          <w:rFonts w:cs="Times New Roman"/>
        </w:rPr>
      </w:pPr>
      <w:r>
        <w:rPr>
          <w:rFonts w:cs="Times New Roman"/>
        </w:rPr>
        <w:t>施工期水土流失防治措施</w:t>
      </w:r>
    </w:p>
    <w:p>
      <w:pPr>
        <w:pStyle w:val="3"/>
        <w:ind w:firstLine="480"/>
        <w:rPr>
          <w:rFonts w:cs="Times New Roman"/>
          <w:u w:val="single"/>
        </w:rPr>
      </w:pPr>
      <w:r>
        <w:rPr>
          <w:rFonts w:cs="Times New Roman"/>
          <w:u w:val="single"/>
        </w:rPr>
        <w:t>为了减少施工期间的水土流失，根据工程区自然条件及工程的特点，提出以下水土保持管理措施要求：</w:t>
      </w:r>
    </w:p>
    <w:p>
      <w:pPr>
        <w:pStyle w:val="3"/>
        <w:ind w:firstLine="480"/>
        <w:rPr>
          <w:rFonts w:cs="Times New Roman"/>
          <w:u w:val="single"/>
        </w:rPr>
      </w:pPr>
      <w:r>
        <w:rPr>
          <w:rFonts w:cs="Times New Roman"/>
          <w:u w:val="single"/>
        </w:rPr>
        <w:t>（1）工程施工期间，施工单位应严格执行《建设工程施工场地文明施工及环境管理暂行规定》，对地面水的排放进行组织设计，严禁乱排、乱流污染道路、环境；</w:t>
      </w:r>
    </w:p>
    <w:p>
      <w:pPr>
        <w:pStyle w:val="3"/>
        <w:ind w:firstLine="480"/>
        <w:rPr>
          <w:rFonts w:cs="Times New Roman"/>
          <w:u w:val="single"/>
        </w:rPr>
      </w:pPr>
      <w:r>
        <w:rPr>
          <w:rFonts w:cs="Times New Roman"/>
          <w:u w:val="single"/>
        </w:rPr>
        <w:t>（2）施工时，避免高填深埋，做到少取土，少弃土，少占地，搞好挖填土方平衡，最大限度的减少临时用地；同时做好各项排水、截水、防止水土流失的设计，做好必要的截水沟和沉砂池，防止雨天水土流失污染附近村庄、水体。对施工产生的余泥，应尽可能就地回填，对不能迅速找到回填工地的余泥，要申报有关部门，及时运走，堆放到合适的地方，绝不能乱堆乱放，影响环境；</w:t>
      </w:r>
    </w:p>
    <w:p>
      <w:pPr>
        <w:pStyle w:val="3"/>
        <w:ind w:firstLine="480"/>
        <w:rPr>
          <w:rFonts w:cs="Times New Roman"/>
          <w:u w:val="single"/>
        </w:rPr>
      </w:pPr>
      <w:r>
        <w:rPr>
          <w:rFonts w:cs="Times New Roman"/>
          <w:u w:val="single"/>
        </w:rPr>
        <w:t>（3）在项目建设充分利用地块内原有的地形地貌，依山就势进行规划设计，在尽量少破坏原有生态的基础上营造优美的厂区环境，同时合理安排施工计划、施工程序，协调好各个施工步骤。雨季中尽量减少开挖面，并争取土料随挖、随运，减少推土裸土的暴露时间，以避免受降雨的直接冲刷，在暴雨期，还应采取应急措施，尽量用覆盖物覆盖新开面，防止冲刷和崩塌</w:t>
      </w:r>
      <w:r>
        <w:rPr>
          <w:rFonts w:hint="eastAsia" w:cs="Times New Roman"/>
          <w:u w:val="single"/>
        </w:rPr>
        <w:t>，</w:t>
      </w:r>
      <w:r>
        <w:rPr>
          <w:rFonts w:cs="Times New Roman"/>
          <w:u w:val="single"/>
        </w:rPr>
        <w:t>特别是西北人造假山应</w:t>
      </w:r>
      <w:r>
        <w:rPr>
          <w:rFonts w:hint="eastAsia" w:cs="Times New Roman"/>
          <w:u w:val="single"/>
        </w:rPr>
        <w:t>避开</w:t>
      </w:r>
      <w:r>
        <w:rPr>
          <w:rFonts w:cs="Times New Roman"/>
          <w:u w:val="single"/>
        </w:rPr>
        <w:t>雨季，尽快</w:t>
      </w:r>
      <w:r>
        <w:rPr>
          <w:rFonts w:hint="eastAsia" w:cs="Times New Roman"/>
          <w:u w:val="single"/>
        </w:rPr>
        <w:t>压实</w:t>
      </w:r>
      <w:r>
        <w:rPr>
          <w:rFonts w:cs="Times New Roman"/>
          <w:u w:val="single"/>
        </w:rPr>
        <w:t>并恢复植被，做好</w:t>
      </w:r>
      <w:r>
        <w:rPr>
          <w:rFonts w:hint="eastAsia" w:cs="Times New Roman"/>
          <w:u w:val="single"/>
        </w:rPr>
        <w:t>水体</w:t>
      </w:r>
      <w:r>
        <w:rPr>
          <w:rFonts w:cs="Times New Roman"/>
          <w:u w:val="single"/>
        </w:rPr>
        <w:t>流失各项防护措施；</w:t>
      </w:r>
    </w:p>
    <w:p>
      <w:pPr>
        <w:pStyle w:val="3"/>
        <w:ind w:firstLine="480"/>
        <w:rPr>
          <w:rFonts w:cs="Times New Roman"/>
          <w:u w:val="single"/>
        </w:rPr>
      </w:pPr>
      <w:r>
        <w:rPr>
          <w:rFonts w:cs="Times New Roman"/>
          <w:u w:val="single"/>
        </w:rPr>
        <w:t>（4）施工场地做到土料随填随压，不留松土。同时，要开边沟，防止上游的径流通过，填土作业应尽量集中和避开暴雨期</w:t>
      </w:r>
    </w:p>
    <w:p>
      <w:pPr>
        <w:pStyle w:val="3"/>
        <w:ind w:firstLine="480"/>
        <w:rPr>
          <w:rFonts w:cs="Times New Roman"/>
          <w:u w:val="single"/>
        </w:rPr>
      </w:pPr>
      <w:r>
        <w:rPr>
          <w:rFonts w:cs="Times New Roman"/>
          <w:u w:val="single"/>
        </w:rPr>
        <w:t>（5）派专人对各项防护措施进行定期的检查，对出现险情的措施进行及时的整改和补救，防止重大险情的发生；</w:t>
      </w:r>
    </w:p>
    <w:p>
      <w:pPr>
        <w:pStyle w:val="3"/>
        <w:ind w:firstLine="480"/>
        <w:rPr>
          <w:rFonts w:cs="Times New Roman"/>
          <w:u w:val="single"/>
        </w:rPr>
      </w:pPr>
      <w:r>
        <w:rPr>
          <w:rFonts w:cs="Times New Roman"/>
          <w:u w:val="single"/>
        </w:rPr>
        <w:t>（6）每完成一项工程，应立即对其场地进行清理整治，完善排水设施，及时进行绿化，尽快恢复植被，减少水土流失。</w:t>
      </w:r>
    </w:p>
    <w:p>
      <w:pPr>
        <w:pStyle w:val="3"/>
        <w:ind w:firstLine="480"/>
        <w:rPr>
          <w:u w:val="single"/>
        </w:rPr>
      </w:pPr>
      <w:r>
        <w:rPr>
          <w:rFonts w:hint="eastAsia"/>
          <w:u w:val="single"/>
        </w:rPr>
        <w:t>总之，项目建设要严格控制施工季节、次序和施工方式等，避免雨季施工，采取滚动施工、分片建设，先围后挖（填），围一片、挖（填）一片、绿化一片、建设一片，严防大面积开花、拖延工期。必要时，在围堤内侧衬土工布拦挡泥浆渗流和外溢，修建临时性多级沉淀池，投加絮凝沉降剂。</w:t>
      </w:r>
    </w:p>
    <w:p>
      <w:pPr>
        <w:pStyle w:val="3"/>
        <w:ind w:firstLine="480"/>
        <w:rPr>
          <w:rFonts w:cs="Times New Roman"/>
          <w:u w:val="single"/>
        </w:rPr>
      </w:pPr>
      <w:r>
        <w:rPr>
          <w:rFonts w:hint="eastAsia"/>
          <w:u w:val="single"/>
        </w:rPr>
        <w:t>本工程由于有开挖和填方，地面植被恢复需要一定的时间，所采取的水土保持绿化设施与将在大约一年左右时间逐渐发挥作用，同时因工程结束，工程区永久占地被固化，绿化区种植植被、一些水土保持设施也相继建成，因此，将会使道路因施工期引起的水土流失现状有所改善，所以营运期的水土侵蚀模数和水土流失量也将大大减少。</w:t>
      </w:r>
    </w:p>
    <w:p>
      <w:pPr>
        <w:pStyle w:val="3"/>
        <w:ind w:firstLine="480"/>
        <w:rPr>
          <w:u w:val="single"/>
        </w:rPr>
      </w:pPr>
      <w:r>
        <w:rPr>
          <w:rFonts w:cs="Times New Roman"/>
          <w:u w:val="single"/>
        </w:rPr>
        <w:t>项目施工期需认真落实上述措施防止水土流失，上述措施落实后水土流失大大减少，措施可行。</w:t>
      </w:r>
    </w:p>
    <w:p>
      <w:pPr>
        <w:pStyle w:val="5"/>
      </w:pPr>
      <w:bookmarkStart w:id="42" w:name="_Toc80889089"/>
      <w:r>
        <w:rPr>
          <w:rFonts w:hint="eastAsia"/>
        </w:rPr>
        <w:t>营运期</w:t>
      </w:r>
      <w:r>
        <w:t>污染防治措施</w:t>
      </w:r>
      <w:bookmarkEnd w:id="42"/>
    </w:p>
    <w:p>
      <w:pPr>
        <w:pStyle w:val="6"/>
        <w:rPr>
          <w:rFonts w:cs="Times New Roman"/>
        </w:rPr>
      </w:pPr>
      <w:r>
        <w:rPr>
          <w:rFonts w:cs="Times New Roman"/>
        </w:rPr>
        <w:t>大气污染防治措施及其可行性分析</w:t>
      </w:r>
    </w:p>
    <w:p>
      <w:pPr>
        <w:pStyle w:val="3"/>
        <w:ind w:firstLine="480"/>
        <w:rPr>
          <w:rFonts w:cs="Times New Roman"/>
        </w:rPr>
      </w:pPr>
      <w:r>
        <w:rPr>
          <w:rFonts w:cs="Times New Roman"/>
        </w:rPr>
        <w:t>本项目恶臭气体主要来源于鸡舍、鸡粪处理区散发的含H</w:t>
      </w:r>
      <w:r>
        <w:rPr>
          <w:rFonts w:cs="Times New Roman"/>
          <w:vertAlign w:val="subscript"/>
        </w:rPr>
        <w:t>2</w:t>
      </w:r>
      <w:r>
        <w:rPr>
          <w:rFonts w:cs="Times New Roman"/>
        </w:rPr>
        <w:t>S、NH</w:t>
      </w:r>
      <w:r>
        <w:rPr>
          <w:rFonts w:cs="Times New Roman"/>
          <w:vertAlign w:val="subscript"/>
        </w:rPr>
        <w:t>3</w:t>
      </w:r>
      <w:r>
        <w:rPr>
          <w:rFonts w:cs="Times New Roman"/>
        </w:rPr>
        <w:t>等气体。</w:t>
      </w:r>
    </w:p>
    <w:p>
      <w:pPr>
        <w:pStyle w:val="7"/>
        <w:rPr>
          <w:rFonts w:cs="Times New Roman"/>
        </w:rPr>
      </w:pPr>
      <w:r>
        <w:rPr>
          <w:rFonts w:cs="Times New Roman"/>
        </w:rPr>
        <w:t>鸡舍恶臭治理措施</w:t>
      </w:r>
    </w:p>
    <w:p>
      <w:pPr>
        <w:pStyle w:val="3"/>
        <w:ind w:firstLine="480"/>
        <w:rPr>
          <w:rFonts w:cs="Times New Roman"/>
        </w:rPr>
      </w:pPr>
      <w:r>
        <w:rPr>
          <w:rFonts w:cs="Times New Roman"/>
        </w:rPr>
        <w:t>（1）及时清理鸡舍</w:t>
      </w:r>
    </w:p>
    <w:p>
      <w:pPr>
        <w:pStyle w:val="3"/>
        <w:ind w:firstLine="480"/>
        <w:rPr>
          <w:rFonts w:cs="Times New Roman"/>
        </w:rPr>
      </w:pPr>
      <w:r>
        <w:rPr>
          <w:rFonts w:hint="eastAsia" w:ascii="宋体" w:hAnsi="宋体" w:cs="宋体"/>
        </w:rPr>
        <w:t>①</w:t>
      </w:r>
      <w:r>
        <w:rPr>
          <w:rFonts w:cs="Times New Roman"/>
        </w:rPr>
        <w:t>有资料表明，温度高时恶臭气体浓度高，鸡粪在1-2周后发酵较快，粪便暴露面积大的发酵率高。项目采用自动清粪系统收集</w:t>
      </w:r>
      <w:r>
        <w:rPr>
          <w:rFonts w:hint="eastAsia" w:cs="Times New Roman"/>
        </w:rPr>
        <w:t>，每8小时启动一次清粪系统</w:t>
      </w:r>
      <w:r>
        <w:rPr>
          <w:rFonts w:cs="Times New Roman"/>
        </w:rPr>
        <w:t>，</w:t>
      </w:r>
      <w:r>
        <w:rPr>
          <w:rFonts w:hint="eastAsia" w:cs="Times New Roman"/>
        </w:rPr>
        <w:t>每天清理三次，</w:t>
      </w:r>
      <w:r>
        <w:rPr>
          <w:rFonts w:cs="Times New Roman"/>
        </w:rPr>
        <w:t>保证粪便尽快从鸡舍内清粪，在鸡舍内加强通风，加速粪便干燥，可减少鸡粪污染。</w:t>
      </w:r>
    </w:p>
    <w:p>
      <w:pPr>
        <w:pStyle w:val="3"/>
        <w:ind w:firstLine="480"/>
        <w:rPr>
          <w:rFonts w:cs="Times New Roman"/>
        </w:rPr>
      </w:pPr>
      <w:r>
        <w:rPr>
          <w:rFonts w:hint="eastAsia" w:ascii="宋体" w:hAnsi="宋体" w:cs="宋体"/>
        </w:rPr>
        <w:t>②</w:t>
      </w:r>
      <w:r>
        <w:rPr>
          <w:rFonts w:cs="Times New Roman"/>
        </w:rPr>
        <w:t>为防止蚊蝇孳生，应根据蚊蝇生活习性，采用人工、机械配合喷药的方法预防蚊蝇孳生。</w:t>
      </w:r>
    </w:p>
    <w:p>
      <w:pPr>
        <w:pStyle w:val="3"/>
        <w:ind w:firstLine="480"/>
        <w:rPr>
          <w:rFonts w:cs="Times New Roman"/>
        </w:rPr>
      </w:pPr>
      <w:r>
        <w:rPr>
          <w:rFonts w:hint="eastAsia" w:ascii="宋体" w:hAnsi="宋体" w:cs="宋体"/>
        </w:rPr>
        <w:t>③</w:t>
      </w:r>
      <w:r>
        <w:rPr>
          <w:rFonts w:cs="Times New Roman"/>
        </w:rPr>
        <w:t>加强鸡舍与饲料堆放地的灭鼠工作，预防疾病的传播。</w:t>
      </w:r>
    </w:p>
    <w:p>
      <w:pPr>
        <w:pStyle w:val="3"/>
        <w:ind w:firstLine="480"/>
        <w:rPr>
          <w:rFonts w:cs="Times New Roman"/>
        </w:rPr>
      </w:pPr>
      <w:r>
        <w:rPr>
          <w:rFonts w:cs="Times New Roman"/>
        </w:rPr>
        <w:t>（2）强化鸡舍消毒措施</w:t>
      </w:r>
    </w:p>
    <w:p>
      <w:pPr>
        <w:pStyle w:val="3"/>
        <w:ind w:firstLine="480"/>
        <w:rPr>
          <w:rFonts w:cs="Times New Roman"/>
        </w:rPr>
      </w:pPr>
      <w:r>
        <w:rPr>
          <w:rFonts w:hint="eastAsia" w:ascii="宋体" w:hAnsi="宋体" w:cs="宋体"/>
        </w:rPr>
        <w:t>①</w:t>
      </w:r>
      <w:r>
        <w:rPr>
          <w:rFonts w:cs="Times New Roman"/>
        </w:rPr>
        <w:t>全部鸡舍配备地面消毒设备。</w:t>
      </w:r>
    </w:p>
    <w:p>
      <w:pPr>
        <w:pStyle w:val="3"/>
        <w:ind w:firstLine="480"/>
        <w:rPr>
          <w:rFonts w:cs="Times New Roman"/>
        </w:rPr>
      </w:pPr>
      <w:r>
        <w:rPr>
          <w:rFonts w:hint="eastAsia" w:ascii="宋体" w:hAnsi="宋体" w:cs="宋体"/>
        </w:rPr>
        <w:t>②</w:t>
      </w:r>
      <w:r>
        <w:rPr>
          <w:rFonts w:cs="Times New Roman"/>
        </w:rPr>
        <w:t>车棚内设有车辆清洗消毒设施。</w:t>
      </w:r>
    </w:p>
    <w:p>
      <w:pPr>
        <w:pStyle w:val="3"/>
        <w:ind w:firstLine="480"/>
        <w:rPr>
          <w:rFonts w:cs="Times New Roman"/>
        </w:rPr>
      </w:pPr>
      <w:r>
        <w:rPr>
          <w:rFonts w:hint="eastAsia" w:ascii="宋体" w:hAnsi="宋体" w:cs="宋体"/>
        </w:rPr>
        <w:t>③</w:t>
      </w:r>
      <w:r>
        <w:rPr>
          <w:rFonts w:cs="Times New Roman"/>
        </w:rPr>
        <w:t>病禽隔离间设置车轮、鞋靴消毒池。</w:t>
      </w:r>
    </w:p>
    <w:p>
      <w:pPr>
        <w:pStyle w:val="3"/>
        <w:ind w:firstLine="480"/>
        <w:rPr>
          <w:rFonts w:cs="Times New Roman"/>
        </w:rPr>
      </w:pPr>
      <w:r>
        <w:rPr>
          <w:rFonts w:cs="Times New Roman"/>
        </w:rPr>
        <w:t>（3）科学设计日粮，提高饲料利用率</w:t>
      </w:r>
    </w:p>
    <w:p>
      <w:pPr>
        <w:pStyle w:val="3"/>
        <w:ind w:firstLine="480"/>
        <w:rPr>
          <w:rFonts w:cs="Times New Roman"/>
        </w:rPr>
      </w:pPr>
      <w:r>
        <w:rPr>
          <w:rFonts w:cs="Times New Roman"/>
        </w:rPr>
        <w:t>鸡食用饲料后，饲料在消化道消化过程中（尤其后段肠道），因微生物腐败分解而产生臭气；同时，没有消化吸收部分在体外被微生物降解，也产生恶臭。产生的污物越多，臭气就越多。提高日粮的消化率，减少干物质（特别是蛋白质）排出量，既减少肠道臭气的产生，又可减少粪便排出后的臭气的产生，这是减少臭气来源的有效措施。</w:t>
      </w:r>
    </w:p>
    <w:p>
      <w:pPr>
        <w:pStyle w:val="3"/>
        <w:ind w:firstLine="480"/>
        <w:rPr>
          <w:rFonts w:cs="Times New Roman"/>
        </w:rPr>
      </w:pPr>
      <w:r>
        <w:rPr>
          <w:rFonts w:cs="Times New Roman"/>
        </w:rPr>
        <w:t>（4）合理使用饲料添加剂</w:t>
      </w:r>
    </w:p>
    <w:p>
      <w:pPr>
        <w:pStyle w:val="3"/>
        <w:ind w:firstLine="480"/>
        <w:rPr>
          <w:rFonts w:cs="Times New Roman"/>
        </w:rPr>
      </w:pPr>
      <w:r>
        <w:rPr>
          <w:rFonts w:cs="Times New Roman"/>
        </w:rPr>
        <w:t>日粮中添加酶制剂、酸制剂、EM制剂、兰丝属植物提取物、沸石等，对控制恶臭具有重要作用。</w:t>
      </w:r>
    </w:p>
    <w:p>
      <w:pPr>
        <w:pStyle w:val="3"/>
        <w:ind w:firstLine="480"/>
        <w:rPr>
          <w:rFonts w:cs="Times New Roman"/>
        </w:rPr>
      </w:pPr>
      <w:r>
        <w:rPr>
          <w:rFonts w:cs="Times New Roman"/>
        </w:rPr>
        <w:t>（5）加强鸡舍管理</w:t>
      </w:r>
    </w:p>
    <w:p>
      <w:pPr>
        <w:pStyle w:val="3"/>
        <w:ind w:firstLine="480"/>
        <w:rPr>
          <w:rFonts w:cs="Times New Roman"/>
        </w:rPr>
      </w:pPr>
      <w:r>
        <w:rPr>
          <w:rFonts w:hint="eastAsia" w:ascii="宋体" w:hAnsi="宋体" w:cs="宋体"/>
        </w:rPr>
        <w:t>①</w:t>
      </w:r>
      <w:r>
        <w:rPr>
          <w:rFonts w:cs="Times New Roman"/>
        </w:rPr>
        <w:t>在鸡舍保持通风，促进不利气象下污染物的扩散。鸡舍内做好防潮和保暖可以适当减少舍内有害气体含量。</w:t>
      </w:r>
    </w:p>
    <w:p>
      <w:pPr>
        <w:pStyle w:val="3"/>
        <w:ind w:firstLine="480"/>
        <w:rPr>
          <w:rFonts w:cs="Times New Roman"/>
        </w:rPr>
      </w:pPr>
      <w:r>
        <w:rPr>
          <w:rFonts w:hint="eastAsia" w:ascii="宋体" w:hAnsi="宋体" w:cs="宋体"/>
        </w:rPr>
        <w:t>②</w:t>
      </w:r>
      <w:r>
        <w:rPr>
          <w:rFonts w:cs="Times New Roman"/>
        </w:rPr>
        <w:t>通过控制饲养密度、采用节水型饮水器等措施抑制或减少臭气的产生。</w:t>
      </w:r>
    </w:p>
    <w:p>
      <w:pPr>
        <w:pStyle w:val="3"/>
        <w:ind w:firstLine="480"/>
        <w:rPr>
          <w:rFonts w:cs="Times New Roman"/>
        </w:rPr>
      </w:pPr>
      <w:r>
        <w:rPr>
          <w:rFonts w:hint="eastAsia" w:ascii="宋体" w:hAnsi="宋体" w:cs="宋体"/>
        </w:rPr>
        <w:t>③</w:t>
      </w:r>
      <w:r>
        <w:rPr>
          <w:rFonts w:cs="Times New Roman"/>
        </w:rPr>
        <w:t>鸡舍内做好防潮和保暖可以适当减少舍内有害气体含量。此外，垫草具有较强的吸收有害气体的能力，鸡舍铺设垫草也可减少有害气体。</w:t>
      </w:r>
    </w:p>
    <w:p>
      <w:pPr>
        <w:pStyle w:val="3"/>
        <w:ind w:firstLine="480"/>
        <w:rPr>
          <w:rFonts w:cs="Times New Roman"/>
        </w:rPr>
      </w:pPr>
      <w:r>
        <w:rPr>
          <w:rFonts w:cs="Times New Roman"/>
        </w:rPr>
        <w:t>（6）养鸡场加强绿化</w:t>
      </w:r>
    </w:p>
    <w:p>
      <w:pPr>
        <w:pStyle w:val="3"/>
        <w:ind w:firstLine="480"/>
        <w:rPr>
          <w:rFonts w:cs="Times New Roman"/>
        </w:rPr>
      </w:pPr>
      <w:r>
        <w:rPr>
          <w:rFonts w:hint="eastAsia" w:ascii="宋体" w:hAnsi="宋体" w:cs="宋体"/>
        </w:rPr>
        <w:t>①</w:t>
      </w:r>
      <w:r>
        <w:rPr>
          <w:rFonts w:cs="Times New Roman"/>
        </w:rPr>
        <w:t>在场界四周设置高4-5m的绿色隔离带，可种树2-3排，并加高场区围墙，并种植芳香的木本植物。鉴于养殖行业的特殊性，在树种选择上，不仅要考虑美化效果，还必须考虑在除臭、防火、吸尘、杀菌等方面的作用。建议选用柑桔、柚、紫薇、广玉兰等树种；白兰、茉莉、结缕草、美人蕉、菊花、金鱼草等花草。</w:t>
      </w:r>
    </w:p>
    <w:p>
      <w:pPr>
        <w:pStyle w:val="3"/>
        <w:ind w:firstLine="480"/>
        <w:rPr>
          <w:rFonts w:cs="Times New Roman"/>
        </w:rPr>
      </w:pPr>
      <w:r>
        <w:rPr>
          <w:rFonts w:hint="eastAsia" w:ascii="宋体" w:hAnsi="宋体" w:cs="宋体"/>
        </w:rPr>
        <w:t>②</w:t>
      </w:r>
      <w:r>
        <w:rPr>
          <w:rFonts w:cs="Times New Roman"/>
        </w:rPr>
        <w:t>在办公区、职工生活区有足够的绿化，场内空地和公路边尽量植树及种植花草形成多层防护层，以最大限度地防止场区牲畜粪便臭味对周围敏感保护目标居民的影响。</w:t>
      </w:r>
    </w:p>
    <w:p>
      <w:pPr>
        <w:pStyle w:val="3"/>
        <w:ind w:firstLine="480"/>
        <w:rPr>
          <w:rFonts w:cs="Times New Roman"/>
        </w:rPr>
      </w:pPr>
      <w:r>
        <w:rPr>
          <w:rFonts w:cs="Times New Roman"/>
        </w:rPr>
        <w:t>经采取上述综合防治措施后，通过优化饲料+喷洒除臭剂+加强绿化，项目鸡舍恶臭H</w:t>
      </w:r>
      <w:r>
        <w:rPr>
          <w:rFonts w:cs="Times New Roman"/>
          <w:vertAlign w:val="subscript"/>
        </w:rPr>
        <w:t>2</w:t>
      </w:r>
      <w:r>
        <w:rPr>
          <w:rFonts w:cs="Times New Roman"/>
        </w:rPr>
        <w:t>S、NH</w:t>
      </w:r>
      <w:r>
        <w:rPr>
          <w:rFonts w:cs="Times New Roman"/>
          <w:vertAlign w:val="subscript"/>
        </w:rPr>
        <w:t>3</w:t>
      </w:r>
      <w:r>
        <w:rPr>
          <w:rFonts w:cs="Times New Roman"/>
        </w:rPr>
        <w:t>满足《恶臭污染物排放标准》（GB14554-93）表1中二级排放标准（新、改、扩建）的要求，不会对周围环境空气和环境敏感点造成明显影响，治理措施可行。</w:t>
      </w:r>
    </w:p>
    <w:p>
      <w:pPr>
        <w:pStyle w:val="7"/>
        <w:rPr>
          <w:rFonts w:cs="Times New Roman"/>
        </w:rPr>
      </w:pPr>
      <w:r>
        <w:rPr>
          <w:rFonts w:cs="Times New Roman"/>
        </w:rPr>
        <w:t>鸡粪处理区恶臭治理措施</w:t>
      </w:r>
    </w:p>
    <w:p>
      <w:pPr>
        <w:pStyle w:val="3"/>
        <w:ind w:firstLine="480"/>
      </w:pPr>
      <w:r>
        <w:rPr>
          <w:rFonts w:cs="Times New Roman"/>
        </w:rPr>
        <w:t>本项目配套建</w:t>
      </w:r>
      <w:r>
        <w:rPr>
          <w:rFonts w:hint="eastAsia" w:cs="Times New Roman"/>
        </w:rPr>
        <w:t>设</w:t>
      </w:r>
      <w:r>
        <w:rPr>
          <w:rFonts w:cs="Times New Roman"/>
        </w:rPr>
        <w:t>的鸡粪处理装置</w:t>
      </w:r>
      <w:r>
        <w:rPr>
          <w:rFonts w:hint="eastAsia" w:cs="Times New Roman"/>
        </w:rPr>
        <w:t>——</w:t>
      </w:r>
      <w:r>
        <w:rPr>
          <w:rFonts w:hint="eastAsia"/>
        </w:rPr>
        <w:t>多赛干燥机</w:t>
      </w:r>
      <w:r>
        <w:rPr>
          <w:rFonts w:cs="Times New Roman"/>
        </w:rPr>
        <w:t>，</w:t>
      </w:r>
      <w:r>
        <w:rPr>
          <w:rFonts w:hint="eastAsia"/>
        </w:rPr>
        <w:t>安装在鸡舍北侧，设备外部采用密封处理，建有压力仓，鸡舍尾端排出的废气由安装的10台高压风机引入到鸡粪干燥设备中间，通过粪板上面的密布缝隙进行鸡粪的干燥和粉尘的处理，同时通过</w:t>
      </w:r>
      <w:r>
        <w:rPr>
          <w:rFonts w:hint="eastAsia" w:cs="Times New Roman"/>
          <w:kern w:val="0"/>
        </w:rPr>
        <w:t>鸡舍内的热气将新鲜鸡粪直接干燥成有机肥，一批次有机肥时长8小时，由于鸡粪逐步干燥，每天可</w:t>
      </w:r>
      <w:r>
        <w:rPr>
          <w:rFonts w:cs="Times New Roman"/>
          <w:kern w:val="0"/>
        </w:rPr>
        <w:t>生产三批次有机肥，</w:t>
      </w:r>
      <w:r>
        <w:rPr>
          <w:rFonts w:hint="eastAsia" w:cs="Times New Roman"/>
          <w:kern w:val="0"/>
        </w:rPr>
        <w:t>同时</w:t>
      </w:r>
      <w:r>
        <w:rPr>
          <w:rFonts w:cs="Times New Roman"/>
          <w:kern w:val="0"/>
        </w:rPr>
        <w:t>评价要求建设单位定时对鸡粪处理区喷洒除臭剂，</w:t>
      </w:r>
      <w:r>
        <w:rPr>
          <w:rFonts w:hint="eastAsia" w:cs="Times New Roman"/>
          <w:kern w:val="0"/>
        </w:rPr>
        <w:t>因此鸡粪处理区产生的恶臭远低于鸡粪发酵过程产生的恶臭气体，</w:t>
      </w:r>
      <w:r>
        <w:rPr>
          <w:rFonts w:hint="eastAsia"/>
        </w:rPr>
        <w:t>很好的解决了鸡粪发酵产生的恶臭气体导致的环境污染问题。</w:t>
      </w:r>
    </w:p>
    <w:p>
      <w:pPr>
        <w:pStyle w:val="3"/>
        <w:ind w:firstLine="480"/>
      </w:pPr>
      <w:r>
        <w:rPr>
          <w:rFonts w:hint="eastAsia"/>
        </w:rPr>
        <w:t>根据设计单位提供的资料，</w:t>
      </w:r>
      <w:r>
        <w:rPr>
          <w:rFonts w:hint="eastAsia" w:cs="Times New Roman"/>
        </w:rPr>
        <w:t>目前法国</w:t>
      </w:r>
      <w:r>
        <w:rPr>
          <w:rFonts w:hint="eastAsia"/>
        </w:rPr>
        <w:t>多赛干燥机已在全国多省市养鸡场投入使用，如安徽省黄山市歙县黄山市同乐生态农业有限公司，该公司年存栏12万羽蛋鸡；湖南省衡阳市衡东县衡阳鲜盛农产品有限公司，该公司年存栏</w:t>
      </w:r>
      <w:r>
        <w:t>5</w:t>
      </w:r>
      <w:r>
        <w:rPr>
          <w:rFonts w:hint="eastAsia"/>
        </w:rPr>
        <w:t>万只肉鸡；湖北省武汉市湖北全盛生态农业发展有限公司，该公司年存栏</w:t>
      </w:r>
      <w:r>
        <w:t>4.5</w:t>
      </w:r>
      <w:r>
        <w:rPr>
          <w:rFonts w:hint="eastAsia"/>
        </w:rPr>
        <w:t>万只肉鸡；广西省梧州市广东温氏食品集团股份有限公司，该公司年存栏11.6万只蛋鸡等等。该设备运行效果稳定、有机肥生产率高、恶臭气体产生少。因此，评价认为在确保设备正常运行的情况下恶臭气体可做到达标排放。</w:t>
      </w:r>
    </w:p>
    <w:p>
      <w:pPr>
        <w:pStyle w:val="7"/>
        <w:rPr>
          <w:rFonts w:cs="Times New Roman"/>
        </w:rPr>
      </w:pPr>
      <w:r>
        <w:rPr>
          <w:rFonts w:hint="eastAsia"/>
        </w:rPr>
        <w:t>锅炉燃烧废气</w:t>
      </w:r>
      <w:r>
        <w:rPr>
          <w:rFonts w:cs="Times New Roman"/>
        </w:rPr>
        <w:t>治理措施</w:t>
      </w:r>
    </w:p>
    <w:p>
      <w:pPr>
        <w:pStyle w:val="3"/>
        <w:ind w:firstLine="480"/>
      </w:pPr>
      <w:r>
        <w:rPr>
          <w:rFonts w:hint="eastAsia"/>
        </w:rPr>
        <w:t>本项目</w:t>
      </w:r>
      <w:r>
        <w:t>锅炉采用</w:t>
      </w:r>
      <w:r>
        <w:rPr>
          <w:rFonts w:hint="eastAsia"/>
        </w:rPr>
        <w:t>生物质颗粒作为燃料</w:t>
      </w:r>
      <w:r>
        <w:t>，</w:t>
      </w:r>
      <w:r>
        <w:rPr>
          <w:rFonts w:hint="eastAsia"/>
        </w:rPr>
        <w:t>燃烧</w:t>
      </w:r>
      <w:r>
        <w:t>废气</w:t>
      </w:r>
      <w:r>
        <w:rPr>
          <w:rFonts w:hint="eastAsia"/>
        </w:rPr>
        <w:t>经过布袋除尘器后</w:t>
      </w:r>
      <w:r>
        <w:t>通过</w:t>
      </w:r>
      <w:r>
        <w:rPr>
          <w:rFonts w:hint="eastAsia"/>
        </w:rPr>
        <w:t>20</w:t>
      </w:r>
      <w:r>
        <w:t>m</w:t>
      </w:r>
      <w:r>
        <w:rPr>
          <w:rFonts w:hint="eastAsia"/>
        </w:rPr>
        <w:t>高</w:t>
      </w:r>
      <w:r>
        <w:t>排气筒外排，通过工程分析可知，</w:t>
      </w:r>
      <w:r>
        <w:rPr>
          <w:rFonts w:cs="Times New Roman"/>
        </w:rPr>
        <w:t>锅炉燃烧废气中SO</w:t>
      </w:r>
      <w:r>
        <w:rPr>
          <w:rFonts w:cs="Times New Roman"/>
          <w:vertAlign w:val="subscript"/>
        </w:rPr>
        <w:t>2</w:t>
      </w:r>
      <w:r>
        <w:rPr>
          <w:rFonts w:cs="Times New Roman"/>
        </w:rPr>
        <w:t>排放浓度为177.06mg/m</w:t>
      </w:r>
      <w:r>
        <w:rPr>
          <w:rFonts w:cs="Times New Roman"/>
          <w:vertAlign w:val="superscript"/>
        </w:rPr>
        <w:t>3</w:t>
      </w:r>
      <w:r>
        <w:rPr>
          <w:rFonts w:cs="Times New Roman"/>
        </w:rPr>
        <w:t>＜850mg/m</w:t>
      </w:r>
      <w:r>
        <w:rPr>
          <w:rFonts w:cs="Times New Roman"/>
          <w:vertAlign w:val="superscript"/>
        </w:rPr>
        <w:t>3</w:t>
      </w:r>
      <w:r>
        <w:rPr>
          <w:rFonts w:cs="Times New Roman"/>
        </w:rPr>
        <w:t>，NO</w:t>
      </w:r>
      <w:r>
        <w:rPr>
          <w:rFonts w:cs="Times New Roman"/>
          <w:vertAlign w:val="subscript"/>
        </w:rPr>
        <w:t>X</w:t>
      </w:r>
      <w:r>
        <w:rPr>
          <w:rFonts w:cs="Times New Roman"/>
        </w:rPr>
        <w:t>排放浓度为133.78mg/m</w:t>
      </w:r>
      <w:r>
        <w:rPr>
          <w:rFonts w:cs="Times New Roman"/>
          <w:vertAlign w:val="superscript"/>
        </w:rPr>
        <w:t>3</w:t>
      </w:r>
      <w:r>
        <w:rPr>
          <w:rFonts w:cs="Times New Roman"/>
        </w:rPr>
        <w:t>＜300mg/m</w:t>
      </w:r>
      <w:r>
        <w:rPr>
          <w:rFonts w:cs="Times New Roman"/>
          <w:vertAlign w:val="superscript"/>
        </w:rPr>
        <w:t>3</w:t>
      </w:r>
      <w:r>
        <w:rPr>
          <w:rFonts w:hint="eastAsia" w:cs="Times New Roman"/>
        </w:rPr>
        <w:t>、TSP排放浓度为</w:t>
      </w:r>
      <w:r>
        <w:rPr>
          <w:rFonts w:hint="eastAsia" w:eastAsia="等线" w:cs="Times New Roman"/>
          <w:color w:val="000000"/>
        </w:rPr>
        <w:t>30.12</w:t>
      </w:r>
      <w:r>
        <w:rPr>
          <w:rFonts w:cs="Times New Roman"/>
        </w:rPr>
        <w:t>mg/m</w:t>
      </w:r>
      <w:r>
        <w:rPr>
          <w:rFonts w:cs="Times New Roman"/>
          <w:vertAlign w:val="superscript"/>
        </w:rPr>
        <w:t>3</w:t>
      </w:r>
      <w:r>
        <w:rPr>
          <w:rFonts w:cs="Times New Roman"/>
        </w:rPr>
        <w:t>＜200mg/m</w:t>
      </w:r>
      <w:r>
        <w:rPr>
          <w:rFonts w:cs="Times New Roman"/>
          <w:vertAlign w:val="superscript"/>
        </w:rPr>
        <w:t>3</w:t>
      </w:r>
      <w:r>
        <w:rPr>
          <w:rFonts w:cs="Times New Roman"/>
        </w:rPr>
        <w:t>，可满足</w:t>
      </w:r>
      <w:r>
        <w:rPr>
          <w:rFonts w:hint="eastAsia"/>
          <w:u w:val="single"/>
        </w:rPr>
        <w:t>《工业炉窑大气污染物排放标准》（GB9078-1996）中的干燥窑炉二级排放标准的</w:t>
      </w:r>
      <w:r>
        <w:rPr>
          <w:u w:val="single"/>
        </w:rPr>
        <w:t>排放浓度限值要求（</w:t>
      </w:r>
      <w:r>
        <w:rPr>
          <w:rFonts w:hint="eastAsia"/>
          <w:u w:val="single"/>
        </w:rPr>
        <w:t>其中</w:t>
      </w:r>
      <w:r>
        <w:rPr>
          <w:u w:val="single"/>
        </w:rPr>
        <w:t>SO</w:t>
      </w:r>
      <w:r>
        <w:rPr>
          <w:u w:val="single"/>
          <w:vertAlign w:val="subscript"/>
        </w:rPr>
        <w:t>2</w:t>
      </w:r>
      <w:r>
        <w:rPr>
          <w:rFonts w:hint="eastAsia"/>
          <w:u w:val="single"/>
        </w:rPr>
        <w:t>850</w:t>
      </w:r>
      <w:r>
        <w:rPr>
          <w:u w:val="single"/>
        </w:rPr>
        <w:t>mg/m</w:t>
      </w:r>
      <w:r>
        <w:rPr>
          <w:u w:val="single"/>
          <w:vertAlign w:val="superscript"/>
        </w:rPr>
        <w:t>3</w:t>
      </w:r>
      <w:r>
        <w:rPr>
          <w:rFonts w:hint="eastAsia"/>
          <w:u w:val="single"/>
        </w:rPr>
        <w:t>；</w:t>
      </w:r>
      <w:r>
        <w:rPr>
          <w:u w:val="single"/>
        </w:rPr>
        <w:t>烟尘</w:t>
      </w:r>
      <w:r>
        <w:rPr>
          <w:rFonts w:hint="eastAsia"/>
          <w:u w:val="single"/>
        </w:rPr>
        <w:t>200</w:t>
      </w:r>
      <w:r>
        <w:rPr>
          <w:u w:val="single"/>
        </w:rPr>
        <w:t>mg/m</w:t>
      </w:r>
      <w:r>
        <w:rPr>
          <w:u w:val="single"/>
          <w:vertAlign w:val="superscript"/>
        </w:rPr>
        <w:t>3</w:t>
      </w:r>
      <w:r>
        <w:rPr>
          <w:rFonts w:hint="eastAsia"/>
          <w:u w:val="single"/>
        </w:rPr>
        <w:t>；</w:t>
      </w:r>
      <w:r>
        <w:rPr>
          <w:u w:val="single"/>
        </w:rPr>
        <w:t>NO</w:t>
      </w:r>
      <w:r>
        <w:rPr>
          <w:u w:val="single"/>
          <w:vertAlign w:val="subscript"/>
        </w:rPr>
        <w:t>x</w:t>
      </w:r>
      <w:r>
        <w:rPr>
          <w:u w:val="single"/>
        </w:rPr>
        <w:t>无控制要求</w:t>
      </w:r>
      <w:r>
        <w:rPr>
          <w:rFonts w:hint="eastAsia"/>
          <w:u w:val="single"/>
        </w:rPr>
        <w:t>，</w:t>
      </w:r>
      <w:r>
        <w:rPr>
          <w:u w:val="single"/>
        </w:rPr>
        <w:t>因此NO</w:t>
      </w:r>
      <w:r>
        <w:rPr>
          <w:u w:val="single"/>
          <w:vertAlign w:val="subscript"/>
        </w:rPr>
        <w:t>x</w:t>
      </w:r>
      <w:r>
        <w:rPr>
          <w:u w:val="single"/>
        </w:rPr>
        <w:t>排气</w:t>
      </w:r>
      <w:r>
        <w:rPr>
          <w:rFonts w:hint="eastAsia"/>
          <w:u w:val="single"/>
        </w:rPr>
        <w:t>浓度参考《锅炉大气污染物排放标准》（GB13271-2014）中表2新建锅炉中燃煤锅炉</w:t>
      </w:r>
      <w:r>
        <w:rPr>
          <w:u w:val="single"/>
        </w:rPr>
        <w:t>NO</w:t>
      </w:r>
      <w:r>
        <w:rPr>
          <w:u w:val="single"/>
          <w:vertAlign w:val="subscript"/>
        </w:rPr>
        <w:t>x</w:t>
      </w:r>
      <w:r>
        <w:rPr>
          <w:rFonts w:hint="eastAsia"/>
          <w:u w:val="single"/>
        </w:rPr>
        <w:t xml:space="preserve"> </w:t>
      </w:r>
      <w:r>
        <w:rPr>
          <w:u w:val="single"/>
        </w:rPr>
        <w:t>3</w:t>
      </w:r>
      <w:r>
        <w:rPr>
          <w:rFonts w:hint="eastAsia"/>
          <w:u w:val="single"/>
        </w:rPr>
        <w:t>00mg/m</w:t>
      </w:r>
      <w:r>
        <w:rPr>
          <w:rFonts w:hint="eastAsia"/>
          <w:u w:val="single"/>
          <w:vertAlign w:val="superscript"/>
        </w:rPr>
        <w:t>3</w:t>
      </w:r>
      <w:r>
        <w:rPr>
          <w:rFonts w:hint="eastAsia"/>
          <w:u w:val="single"/>
        </w:rPr>
        <w:t>的排放控制要求</w:t>
      </w:r>
      <w:r>
        <w:rPr>
          <w:u w:val="single"/>
        </w:rPr>
        <w:t>）。</w:t>
      </w:r>
      <w:r>
        <w:rPr>
          <w:rFonts w:cs="Times New Roman"/>
        </w:rPr>
        <w:t>。</w:t>
      </w:r>
    </w:p>
    <w:p>
      <w:pPr>
        <w:pStyle w:val="7"/>
        <w:rPr>
          <w:rFonts w:cs="Times New Roman"/>
        </w:rPr>
      </w:pPr>
      <w:r>
        <w:rPr>
          <w:rFonts w:cs="Times New Roman"/>
        </w:rPr>
        <w:t>备用发电机废气</w:t>
      </w:r>
    </w:p>
    <w:p>
      <w:pPr>
        <w:pStyle w:val="3"/>
        <w:ind w:firstLine="480"/>
        <w:rPr>
          <w:rFonts w:cs="Times New Roman"/>
        </w:rPr>
      </w:pPr>
      <w:r>
        <w:rPr>
          <w:rFonts w:cs="Times New Roman"/>
        </w:rPr>
        <w:t>项目备用发电机以清洁能源普通柴油为燃料，满足《普通柴油》（GB252-2015）的规定，且使用时间少，尾气经引到专用排烟通道屋顶排放后，可达《大气污染物综合排放标准》(GB16297-1996)中表2中二级标准限值要求，对环境影响较小。</w:t>
      </w:r>
    </w:p>
    <w:p>
      <w:pPr>
        <w:pStyle w:val="7"/>
        <w:rPr>
          <w:rFonts w:cs="Times New Roman"/>
        </w:rPr>
      </w:pPr>
      <w:r>
        <w:rPr>
          <w:rFonts w:cs="Times New Roman"/>
        </w:rPr>
        <w:t>食堂油烟</w:t>
      </w:r>
    </w:p>
    <w:p>
      <w:pPr>
        <w:pStyle w:val="3"/>
        <w:ind w:firstLine="480"/>
      </w:pPr>
      <w:r>
        <w:rPr>
          <w:rFonts w:cs="Times New Roman"/>
        </w:rPr>
        <w:t>食堂厨房应安装油烟净化器处理设施，最低去除效率要达到</w:t>
      </w:r>
      <w:r>
        <w:rPr>
          <w:rFonts w:eastAsia="TimesNewRomanPSMT" w:cs="Times New Roman"/>
        </w:rPr>
        <w:t>60%</w:t>
      </w:r>
      <w:r>
        <w:rPr>
          <w:rFonts w:cs="Times New Roman"/>
        </w:rPr>
        <w:t>，经处理的油烟引至食堂楼顶排放，经计算，本项目员工食堂油烟经处理后可以达到《饮食业油烟排放标准（试行）》（</w:t>
      </w:r>
      <w:r>
        <w:rPr>
          <w:rFonts w:eastAsia="TimesNewRomanPSMT" w:cs="Times New Roman"/>
        </w:rPr>
        <w:t>GB18483-2001</w:t>
      </w:r>
      <w:r>
        <w:rPr>
          <w:rFonts w:cs="Times New Roman"/>
        </w:rPr>
        <w:t>）小型标准的要求，对周边大气环境的影响较小。</w:t>
      </w:r>
    </w:p>
    <w:p>
      <w:pPr>
        <w:pStyle w:val="6"/>
      </w:pPr>
      <w:r>
        <w:rPr>
          <w:rFonts w:hint="eastAsia"/>
        </w:rPr>
        <w:t>地表水污染措施及可行性分析</w:t>
      </w:r>
    </w:p>
    <w:p>
      <w:pPr>
        <w:pStyle w:val="7"/>
      </w:pPr>
      <w:r>
        <w:rPr>
          <w:rFonts w:hint="eastAsia"/>
        </w:rPr>
        <w:t>废水污染措施及可行性分析</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本项目废水主要为</w:t>
      </w:r>
      <w:r>
        <w:rPr>
          <w:rFonts w:hint="eastAsia" w:ascii="Times New Roman" w:hAnsi="Times New Roman" w:cs="Times New Roman"/>
          <w:sz w:val="24"/>
          <w:szCs w:val="24"/>
        </w:rPr>
        <w:t>办公住宿产生的生活废水和</w:t>
      </w:r>
      <w:r>
        <w:rPr>
          <w:rFonts w:ascii="Times New Roman" w:hAnsi="Times New Roman" w:cs="Times New Roman"/>
          <w:sz w:val="24"/>
          <w:szCs w:val="24"/>
        </w:rPr>
        <w:t>鸡舍冲洗废水。</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鸡舍冲洗废水排放量为331.22 m</w:t>
      </w:r>
      <w:r>
        <w:rPr>
          <w:rFonts w:ascii="Times New Roman" w:hAnsi="Times New Roman" w:cs="Times New Roman"/>
          <w:sz w:val="24"/>
          <w:szCs w:val="24"/>
          <w:vertAlign w:val="superscript"/>
        </w:rPr>
        <w:t>3</w:t>
      </w:r>
      <w:r>
        <w:rPr>
          <w:rFonts w:ascii="Times New Roman" w:hAnsi="Times New Roman" w:cs="Times New Roman"/>
          <w:sz w:val="24"/>
          <w:szCs w:val="24"/>
        </w:rPr>
        <w:t>/a，生活污水排放量为</w:t>
      </w:r>
      <w:r>
        <w:rPr>
          <w:rFonts w:hint="eastAsia" w:ascii="Times New Roman" w:hAnsi="Times New Roman" w:cs="Times New Roman"/>
          <w:sz w:val="24"/>
          <w:szCs w:val="24"/>
        </w:rPr>
        <w:t>1679</w:t>
      </w:r>
      <w:r>
        <w:rPr>
          <w:rFonts w:ascii="Times New Roman" w:hAnsi="Times New Roman" w:cs="Times New Roman"/>
          <w:sz w:val="24"/>
          <w:szCs w:val="24"/>
        </w:rPr>
        <w:t>m</w:t>
      </w:r>
      <w:r>
        <w:rPr>
          <w:rFonts w:ascii="Times New Roman" w:hAnsi="Times New Roman" w:cs="Times New Roman"/>
          <w:sz w:val="24"/>
          <w:szCs w:val="24"/>
          <w:vertAlign w:val="superscript"/>
        </w:rPr>
        <w:t>3</w:t>
      </w:r>
      <w:r>
        <w:rPr>
          <w:rFonts w:ascii="Times New Roman" w:hAnsi="Times New Roman" w:cs="Times New Roman"/>
          <w:sz w:val="24"/>
          <w:szCs w:val="24"/>
        </w:rPr>
        <w:t>/a</w:t>
      </w:r>
      <w:r>
        <w:rPr>
          <w:rFonts w:hint="eastAsia" w:ascii="Times New Roman" w:hAnsi="Times New Roman" w:cs="Times New Roman"/>
          <w:sz w:val="24"/>
          <w:szCs w:val="24"/>
        </w:rPr>
        <w:t>，产生的废水总量为</w:t>
      </w:r>
      <w:r>
        <w:rPr>
          <w:rFonts w:ascii="Times New Roman" w:hAnsi="Times New Roman" w:cs="Times New Roman"/>
          <w:sz w:val="24"/>
          <w:szCs w:val="24"/>
        </w:rPr>
        <w:t>2010.22</w:t>
      </w:r>
      <w:r>
        <w:rPr>
          <w:rFonts w:hint="eastAsia" w:ascii="Times New Roman" w:hAnsi="Times New Roman" w:cs="Times New Roman"/>
          <w:sz w:val="24"/>
          <w:szCs w:val="24"/>
        </w:rPr>
        <w:t>m</w:t>
      </w:r>
      <w:r>
        <w:rPr>
          <w:rFonts w:hint="eastAsia" w:ascii="Times New Roman" w:hAnsi="Times New Roman" w:cs="Times New Roman"/>
          <w:sz w:val="24"/>
          <w:szCs w:val="24"/>
          <w:vertAlign w:val="superscript"/>
        </w:rPr>
        <w:t>3</w:t>
      </w:r>
      <w:r>
        <w:rPr>
          <w:rFonts w:hint="eastAsia" w:ascii="Times New Roman" w:hAnsi="Times New Roman" w:cs="Times New Roman"/>
          <w:sz w:val="24"/>
          <w:szCs w:val="24"/>
        </w:rPr>
        <w:t>/a（5.5m</w:t>
      </w:r>
      <w:r>
        <w:rPr>
          <w:rFonts w:hint="eastAsia" w:ascii="Times New Roman" w:hAnsi="Times New Roman" w:cs="Times New Roman"/>
          <w:sz w:val="24"/>
          <w:szCs w:val="24"/>
          <w:vertAlign w:val="superscript"/>
        </w:rPr>
        <w:t>3</w:t>
      </w:r>
      <w:r>
        <w:rPr>
          <w:rFonts w:hint="eastAsia" w:ascii="Times New Roman" w:hAnsi="Times New Roman" w:cs="Times New Roman"/>
          <w:sz w:val="24"/>
          <w:szCs w:val="24"/>
        </w:rPr>
        <w:t>/d）</w:t>
      </w:r>
      <w:r>
        <w:rPr>
          <w:rFonts w:ascii="Times New Roman" w:hAnsi="Times New Roman" w:cs="Times New Roman"/>
          <w:sz w:val="24"/>
          <w:szCs w:val="24"/>
        </w:rPr>
        <w:t>。本项目鸡舍冲洗废水</w:t>
      </w:r>
      <w:r>
        <w:rPr>
          <w:rFonts w:hint="eastAsia" w:ascii="Times New Roman" w:hAnsi="Times New Roman" w:cs="Times New Roman"/>
          <w:sz w:val="24"/>
          <w:szCs w:val="24"/>
        </w:rPr>
        <w:t>通过水泵与生活污水</w:t>
      </w:r>
      <w:r>
        <w:rPr>
          <w:rFonts w:ascii="Times New Roman" w:hAnsi="Times New Roman" w:cs="Times New Roman"/>
          <w:sz w:val="24"/>
          <w:szCs w:val="24"/>
        </w:rPr>
        <w:t>一同进入化粪池处理</w:t>
      </w:r>
      <w:r>
        <w:rPr>
          <w:rFonts w:hint="eastAsia" w:ascii="Times New Roman" w:hAnsi="Times New Roman" w:cs="Times New Roman"/>
          <w:sz w:val="24"/>
          <w:szCs w:val="24"/>
        </w:rPr>
        <w:t>用作农肥。</w:t>
      </w:r>
    </w:p>
    <w:p>
      <w:pPr>
        <w:pStyle w:val="3"/>
        <w:ind w:firstLine="480"/>
      </w:pPr>
      <w:r>
        <w:rPr>
          <w:rFonts w:hint="eastAsia"/>
        </w:rPr>
        <w:t>化粪池处理生活污水，尾水用作农肥的工艺是市场上的成熟工艺。由于本项目尚在筹建过程中，化粪池大小还未确定，评价建议化粪池大小按平均水量的15~20天污水产生量进行核算，设计规模约100m</w:t>
      </w:r>
      <w:r>
        <w:rPr>
          <w:rFonts w:hint="eastAsia"/>
          <w:vertAlign w:val="superscript"/>
        </w:rPr>
        <w:t>3</w:t>
      </w:r>
      <w:r>
        <w:rPr>
          <w:rFonts w:hint="eastAsia"/>
        </w:rPr>
        <w:t>基本能满足要求，根据前章5.2.2节分析可知：</w:t>
      </w:r>
      <w:r>
        <w:rPr>
          <w:rFonts w:hint="eastAsia" w:cs="Times New Roman" w:eastAsiaTheme="minorEastAsia"/>
        </w:rPr>
        <w:t>处理好的废水及时通过粪污槽罐车运至建设单位在果园、蔬菜、药材等各种植区域设置农肥贮存池，</w:t>
      </w:r>
      <w:r>
        <w:rPr>
          <w:rFonts w:hint="eastAsia"/>
        </w:rPr>
        <w:t>可</w:t>
      </w:r>
      <w:r>
        <w:t>有效</w:t>
      </w:r>
      <w:r>
        <w:rPr>
          <w:rFonts w:hint="eastAsia"/>
        </w:rPr>
        <w:t>避免废水产生高峰期厂区废水收集过久的情况，同时也可避免雨季废水暂存及消纳农肥区域用肥过度造成地表水污染的问题。</w:t>
      </w:r>
    </w:p>
    <w:p>
      <w:pPr>
        <w:pStyle w:val="3"/>
        <w:ind w:firstLine="480"/>
      </w:pPr>
      <w:r>
        <w:rPr>
          <w:rFonts w:hint="eastAsia"/>
        </w:rPr>
        <w:t>因此，评价认为</w:t>
      </w:r>
      <w:r>
        <w:rPr>
          <w:rFonts w:hint="eastAsia" w:cs="Times New Roman"/>
          <w:szCs w:val="24"/>
        </w:rPr>
        <w:t>活废水和</w:t>
      </w:r>
      <w:r>
        <w:rPr>
          <w:rFonts w:cs="Times New Roman" w:eastAsiaTheme="minorEastAsia"/>
          <w:szCs w:val="24"/>
        </w:rPr>
        <w:t>鸡舍冲洗废水</w:t>
      </w:r>
      <w:r>
        <w:rPr>
          <w:rFonts w:hint="eastAsia" w:cs="Times New Roman" w:eastAsiaTheme="minorEastAsia"/>
          <w:szCs w:val="24"/>
        </w:rPr>
        <w:t>通过化粪池处理后用作农肥措施可行。</w:t>
      </w:r>
    </w:p>
    <w:p>
      <w:pPr>
        <w:pStyle w:val="7"/>
        <w:rPr>
          <w:rFonts w:cs="Times New Roman"/>
        </w:rPr>
      </w:pPr>
      <w:r>
        <w:rPr>
          <w:rFonts w:cs="Times New Roman"/>
        </w:rPr>
        <w:t>初期雨水污染防治措施及可行性分析</w:t>
      </w:r>
    </w:p>
    <w:p>
      <w:pPr>
        <w:pStyle w:val="3"/>
        <w:ind w:firstLine="480"/>
      </w:pPr>
      <w:r>
        <w:rPr>
          <w:rFonts w:cs="Times New Roman" w:eastAsiaTheme="minorEastAsia"/>
          <w:szCs w:val="24"/>
        </w:rPr>
        <w:t>为了减少初期雨水中夹杂入厂区鸡粪等物质而影响地表水体，评价建议做好以下措施：①做好厂区雨污分流，对有屋檐的地方和道路两侧必须设置雨水沟，防止雨水倒积在室内后排出，形成雨污混流；②对鸡粪运输车辆采取防洒落措施，减少鸡粪在运输过程中的洒落；及时对运输道路洒落的鸡粪进行清扫收集，防止雨水冲刷入雨水沟。</w:t>
      </w:r>
    </w:p>
    <w:p>
      <w:pPr>
        <w:pStyle w:val="3"/>
        <w:ind w:firstLine="480"/>
        <w:rPr>
          <w:rFonts w:cs="Times New Roman"/>
          <w:u w:val="single"/>
        </w:rPr>
      </w:pPr>
      <w:r>
        <w:t>项目产生的初期雨水</w:t>
      </w:r>
      <w:r>
        <w:rPr>
          <w:rFonts w:hint="eastAsia"/>
        </w:rPr>
        <w:t>通过沟渠进入北侧水塘，该水塘已与建设单位签订租赁协议，初期雨水产生量为1615m³/次，北侧</w:t>
      </w:r>
      <w:r>
        <w:t>水塘长约</w:t>
      </w:r>
      <w:r>
        <w:rPr>
          <w:rFonts w:hint="eastAsia"/>
        </w:rPr>
        <w:t>180</w:t>
      </w:r>
      <w:r>
        <w:t>m</w:t>
      </w:r>
      <w:r>
        <w:rPr>
          <w:rFonts w:hint="eastAsia"/>
        </w:rPr>
        <w:t>，</w:t>
      </w:r>
      <w:r>
        <w:t>宽约</w:t>
      </w:r>
      <w:r>
        <w:rPr>
          <w:rFonts w:hint="eastAsia"/>
        </w:rPr>
        <w:t>100</w:t>
      </w:r>
      <w:r>
        <w:t>m</w:t>
      </w:r>
      <w:r>
        <w:rPr>
          <w:rFonts w:hint="eastAsia"/>
        </w:rPr>
        <w:t>，容积约</w:t>
      </w:r>
      <w:r>
        <w:t>为</w:t>
      </w:r>
      <w:r>
        <w:rPr>
          <w:rFonts w:hint="eastAsia"/>
        </w:rPr>
        <w:t>3.6万m</w:t>
      </w:r>
      <w:r>
        <w:rPr>
          <w:rFonts w:hint="eastAsia"/>
          <w:vertAlign w:val="superscript"/>
        </w:rPr>
        <w:t>3</w:t>
      </w:r>
      <w:r>
        <w:rPr>
          <w:rFonts w:hint="eastAsia"/>
        </w:rPr>
        <w:t>，</w:t>
      </w:r>
      <w:r>
        <w:t>现已蓄水约</w:t>
      </w:r>
      <w:r>
        <w:rPr>
          <w:rFonts w:hint="eastAsia"/>
        </w:rPr>
        <w:t>2.5万</w:t>
      </w:r>
      <w:r>
        <w:t>m</w:t>
      </w:r>
      <w:r>
        <w:rPr>
          <w:vertAlign w:val="superscript"/>
        </w:rPr>
        <w:t>3</w:t>
      </w:r>
      <w:r>
        <w:rPr>
          <w:rFonts w:hint="eastAsia"/>
        </w:rPr>
        <w:t>，</w:t>
      </w:r>
      <w:r>
        <w:t>剩余</w:t>
      </w:r>
      <w:r>
        <w:rPr>
          <w:rFonts w:hint="eastAsia"/>
        </w:rPr>
        <w:t>容积11000m³＞1615m</w:t>
      </w:r>
      <w:r>
        <w:rPr>
          <w:rFonts w:hint="eastAsia"/>
          <w:vertAlign w:val="superscript"/>
        </w:rPr>
        <w:t>3</w:t>
      </w:r>
      <w:r>
        <w:rPr>
          <w:rFonts w:hint="eastAsia"/>
        </w:rPr>
        <w:t>；可见</w:t>
      </w:r>
      <w:r>
        <w:t>，个水塘</w:t>
      </w:r>
      <w:r>
        <w:rPr>
          <w:rFonts w:hint="eastAsia"/>
        </w:rPr>
        <w:t>可</w:t>
      </w:r>
      <w:r>
        <w:t>容纳</w:t>
      </w:r>
      <w:r>
        <w:rPr>
          <w:rFonts w:hint="eastAsia"/>
        </w:rPr>
        <w:t>本项目</w:t>
      </w:r>
      <w:r>
        <w:t>初期雨水</w:t>
      </w:r>
      <w:r>
        <w:rPr>
          <w:rFonts w:hint="eastAsia"/>
        </w:rPr>
        <w:t>的</w:t>
      </w:r>
      <w:r>
        <w:t>量</w:t>
      </w:r>
      <w:r>
        <w:rPr>
          <w:rFonts w:hint="eastAsia"/>
        </w:rPr>
        <w:t>；</w:t>
      </w:r>
      <w:r>
        <w:t>能够满足本项目初期雨水</w:t>
      </w:r>
      <w:r>
        <w:rPr>
          <w:rFonts w:hint="eastAsia"/>
        </w:rPr>
        <w:t>容积</w:t>
      </w:r>
      <w:r>
        <w:t>需求</w:t>
      </w:r>
      <w:r>
        <w:rPr>
          <w:rFonts w:hint="eastAsia"/>
        </w:rPr>
        <w:t>，下雨时，雨水管网收纳并导流外排至水塘中，对环境影响较小。</w:t>
      </w:r>
    </w:p>
    <w:p>
      <w:pPr>
        <w:pStyle w:val="6"/>
        <w:rPr>
          <w:rFonts w:cs="Times New Roman"/>
        </w:rPr>
      </w:pPr>
      <w:r>
        <w:rPr>
          <w:rFonts w:cs="Times New Roman"/>
        </w:rPr>
        <w:t>地下水环境保护措施及其可行性分析</w:t>
      </w:r>
    </w:p>
    <w:p>
      <w:pPr>
        <w:pStyle w:val="7"/>
        <w:rPr>
          <w:rFonts w:cs="Times New Roman"/>
        </w:rPr>
      </w:pPr>
      <w:r>
        <w:rPr>
          <w:rFonts w:cs="Times New Roman"/>
        </w:rPr>
        <w:t>地下水污染防治分区及防治措施</w:t>
      </w:r>
    </w:p>
    <w:p>
      <w:pPr>
        <w:pStyle w:val="3"/>
        <w:ind w:firstLine="480"/>
        <w:rPr>
          <w:rFonts w:cs="Times New Roman"/>
        </w:rPr>
      </w:pPr>
      <w:r>
        <w:rPr>
          <w:rFonts w:cs="Times New Roman"/>
        </w:rPr>
        <w:t>（1）地下水防渗原则</w:t>
      </w:r>
    </w:p>
    <w:p>
      <w:pPr>
        <w:pStyle w:val="3"/>
        <w:ind w:firstLine="480"/>
        <w:rPr>
          <w:rFonts w:cs="Times New Roman"/>
        </w:rPr>
      </w:pPr>
      <w:r>
        <w:rPr>
          <w:rFonts w:cs="Times New Roman"/>
        </w:rPr>
        <w:t>针对项目可能发生的地下水污染，污染防治措施按照“源头控制、末端防治、污染监控、应急响应”相结合的原则，从污染物的产生、入渗、扩散、应急响应全阶段进行控制。</w:t>
      </w:r>
    </w:p>
    <w:p>
      <w:pPr>
        <w:pStyle w:val="3"/>
        <w:ind w:firstLine="480"/>
        <w:rPr>
          <w:rFonts w:cs="Times New Roman"/>
        </w:rPr>
      </w:pPr>
      <w:r>
        <w:rPr>
          <w:rFonts w:hint="eastAsia" w:ascii="宋体" w:hAnsi="宋体" w:cs="宋体"/>
        </w:rPr>
        <w:t>①</w:t>
      </w:r>
      <w:r>
        <w:rPr>
          <w:rFonts w:cs="Times New Roman"/>
        </w:rPr>
        <w:t>源头控制措施：主要包括废水</w:t>
      </w:r>
      <w:r>
        <w:rPr>
          <w:rFonts w:hint="eastAsia" w:cs="Times New Roman"/>
        </w:rPr>
        <w:t>收集</w:t>
      </w:r>
      <w:r>
        <w:rPr>
          <w:rFonts w:cs="Times New Roman"/>
        </w:rPr>
        <w:t>池、</w:t>
      </w:r>
      <w:r>
        <w:rPr>
          <w:rFonts w:hint="eastAsia" w:cs="Times New Roman"/>
        </w:rPr>
        <w:t>化粪池</w:t>
      </w:r>
      <w:r>
        <w:rPr>
          <w:rFonts w:cs="Times New Roman"/>
        </w:rPr>
        <w:t>底部进行防渗处理，生产厂房、厂区地坪（除绿化区外）尽可能采取防渗处理，防止废水下渗污染地下水。</w:t>
      </w:r>
    </w:p>
    <w:p>
      <w:pPr>
        <w:pStyle w:val="3"/>
        <w:ind w:firstLine="480"/>
        <w:rPr>
          <w:rFonts w:cs="Times New Roman"/>
        </w:rPr>
      </w:pPr>
      <w:r>
        <w:rPr>
          <w:rFonts w:hint="eastAsia" w:ascii="宋体" w:hAnsi="宋体" w:cs="宋体"/>
        </w:rPr>
        <w:t>②</w:t>
      </w:r>
      <w:r>
        <w:rPr>
          <w:rFonts w:cs="Times New Roman"/>
        </w:rPr>
        <w:t>末端控制措施：主要包括建设区域污染区地面的防渗措施和泄漏、渗漏污染物收集措施，即在污染区地面进行防渗处理，再做进一步的处理。末端控制采取分区防渗，按重点污染防治区、一般污染防治区和非污染区防渗措施有区别的防渗原则。</w:t>
      </w:r>
    </w:p>
    <w:p>
      <w:pPr>
        <w:pStyle w:val="3"/>
        <w:ind w:firstLine="480"/>
        <w:rPr>
          <w:rFonts w:cs="Times New Roman"/>
        </w:rPr>
      </w:pPr>
      <w:r>
        <w:rPr>
          <w:rFonts w:hint="eastAsia" w:ascii="宋体" w:hAnsi="宋体" w:cs="宋体"/>
        </w:rPr>
        <w:t>③</w:t>
      </w:r>
      <w:r>
        <w:rPr>
          <w:rFonts w:cs="Times New Roman"/>
        </w:rPr>
        <w:t>污染监控体系：实施覆盖生产区的地下水污染监控系统，建立完善的监测制度，配备先进的检测仪器和设备，科学合理设置地下水监控井，及时发现污染、控制污染。</w:t>
      </w:r>
    </w:p>
    <w:p>
      <w:pPr>
        <w:pStyle w:val="3"/>
        <w:ind w:firstLine="480"/>
        <w:rPr>
          <w:rFonts w:cs="Times New Roman"/>
        </w:rPr>
      </w:pPr>
      <w:r>
        <w:rPr>
          <w:rFonts w:hint="eastAsia" w:ascii="宋体" w:hAnsi="宋体" w:cs="宋体"/>
        </w:rPr>
        <w:t>④</w:t>
      </w:r>
      <w:r>
        <w:rPr>
          <w:rFonts w:cs="Times New Roman"/>
        </w:rPr>
        <w:t>应急响应措施：包括一旦发现地下水污染事故，立即启动应急预案、采取应急措施控制地下水污染，并使污染得到治理。</w:t>
      </w:r>
    </w:p>
    <w:p>
      <w:pPr>
        <w:pStyle w:val="3"/>
        <w:ind w:firstLine="480"/>
        <w:rPr>
          <w:rFonts w:cs="Times New Roman"/>
        </w:rPr>
      </w:pPr>
      <w:r>
        <w:rPr>
          <w:rFonts w:cs="Times New Roman"/>
        </w:rPr>
        <w:t>（2）地面防渗设施</w:t>
      </w:r>
    </w:p>
    <w:p>
      <w:pPr>
        <w:pStyle w:val="3"/>
        <w:ind w:firstLine="480"/>
        <w:rPr>
          <w:rFonts w:cs="Times New Roman"/>
        </w:rPr>
      </w:pPr>
      <w:r>
        <w:rPr>
          <w:rFonts w:cs="Times New Roman"/>
        </w:rPr>
        <w:t>根据可能泄漏至地面区域污染物的性质和生产单元的构筑方式划分为：重点污染防治区、一般污染防治区和非污染防治区。</w:t>
      </w:r>
    </w:p>
    <w:p>
      <w:pPr>
        <w:pStyle w:val="3"/>
        <w:ind w:firstLine="480"/>
        <w:rPr>
          <w:rFonts w:cs="Times New Roman"/>
        </w:rPr>
      </w:pPr>
      <w:r>
        <w:rPr>
          <w:rFonts w:hint="eastAsia" w:ascii="宋体" w:hAnsi="宋体" w:cs="宋体"/>
        </w:rPr>
        <w:t>①</w:t>
      </w:r>
      <w:r>
        <w:rPr>
          <w:rFonts w:cs="Times New Roman"/>
        </w:rPr>
        <w:t>重点污染防治区</w:t>
      </w:r>
    </w:p>
    <w:p>
      <w:pPr>
        <w:pStyle w:val="3"/>
        <w:ind w:firstLine="480"/>
        <w:rPr>
          <w:rFonts w:cs="Times New Roman"/>
        </w:rPr>
      </w:pPr>
      <w:r>
        <w:rPr>
          <w:rFonts w:cs="Times New Roman"/>
        </w:rPr>
        <w:t>对地下水环境有污染的物料或污染物泄漏后，不能及时发现和处理的区域或部位，主要包括鸡舍、鸡粪处理区、</w:t>
      </w:r>
      <w:r>
        <w:rPr>
          <w:rFonts w:hint="eastAsia" w:cs="Times New Roman"/>
        </w:rPr>
        <w:t>化粪池</w:t>
      </w:r>
      <w:r>
        <w:rPr>
          <w:rFonts w:cs="Times New Roman"/>
        </w:rPr>
        <w:t>、</w:t>
      </w:r>
      <w:r>
        <w:rPr>
          <w:rFonts w:hint="eastAsia" w:cs="Times New Roman"/>
        </w:rPr>
        <w:t>废水收集池</w:t>
      </w:r>
      <w:r>
        <w:rPr>
          <w:rFonts w:cs="Times New Roman"/>
        </w:rPr>
        <w:t>、危废暂存间等。对于重点污染防治区，按照《危险废物贮存污染控制标准》（GB18597-2001）、《危险废物污染防治技术政策》等危险废物处理的相关标准、法律法规的要求，参照《危废物安全填埋处置工程建设技术要求》、《危险废物填埋场污染控制标准》（GB18598-2001）进行防渗设计。</w:t>
      </w:r>
    </w:p>
    <w:p>
      <w:pPr>
        <w:pStyle w:val="3"/>
        <w:ind w:firstLine="480"/>
        <w:rPr>
          <w:rFonts w:cs="Times New Roman"/>
        </w:rPr>
      </w:pPr>
      <w:r>
        <w:rPr>
          <w:rFonts w:cs="Times New Roman"/>
        </w:rPr>
        <w:t>重点污染区防渗要求：堆放场基础必须防渗，防渗层为至少1m 厚粘土层（渗透系数≤10</w:t>
      </w:r>
      <w:r>
        <w:rPr>
          <w:rFonts w:cs="Times New Roman"/>
          <w:vertAlign w:val="superscript"/>
        </w:rPr>
        <w:t>-7</w:t>
      </w:r>
      <w:r>
        <w:rPr>
          <w:rFonts w:cs="Times New Roman"/>
        </w:rPr>
        <w:t>cm/s，或2mm厚高密度聚乙烯，或至少2mm厚的其他人工材料，渗透系数≤10</w:t>
      </w:r>
      <w:r>
        <w:rPr>
          <w:rFonts w:cs="Times New Roman"/>
          <w:vertAlign w:val="superscript"/>
        </w:rPr>
        <w:t>-10</w:t>
      </w:r>
      <w:r>
        <w:rPr>
          <w:rFonts w:cs="Times New Roman"/>
        </w:rPr>
        <w:t>cm/s）。</w:t>
      </w:r>
    </w:p>
    <w:p>
      <w:pPr>
        <w:pStyle w:val="3"/>
        <w:ind w:firstLine="480"/>
        <w:rPr>
          <w:rFonts w:cs="Times New Roman"/>
        </w:rPr>
      </w:pPr>
      <w:r>
        <w:rPr>
          <w:rFonts w:hint="eastAsia" w:ascii="宋体" w:hAnsi="宋体" w:cs="宋体"/>
        </w:rPr>
        <w:t>②</w:t>
      </w:r>
      <w:r>
        <w:rPr>
          <w:rFonts w:cs="Times New Roman"/>
        </w:rPr>
        <w:t>一般污染防治区</w:t>
      </w:r>
    </w:p>
    <w:p>
      <w:pPr>
        <w:pStyle w:val="3"/>
        <w:ind w:firstLine="480"/>
        <w:rPr>
          <w:rFonts w:cs="Times New Roman"/>
        </w:rPr>
      </w:pPr>
      <w:r>
        <w:rPr>
          <w:rFonts w:cs="Times New Roman"/>
        </w:rPr>
        <w:t>主要为除重点污染防治区外的生产区域等。对于一般污染防治区，参照《</w:t>
      </w:r>
      <w:r>
        <w:rPr>
          <w:rFonts w:hint="eastAsia" w:cs="Times New Roman"/>
        </w:rPr>
        <w:t>一般工业固体废物贮存和填埋污染控制标准》（GB18599-2020）</w:t>
      </w:r>
      <w:r>
        <w:rPr>
          <w:rFonts w:cs="Times New Roman"/>
        </w:rPr>
        <w:t>进行设计。</w:t>
      </w:r>
    </w:p>
    <w:p>
      <w:pPr>
        <w:pStyle w:val="3"/>
        <w:ind w:firstLine="480"/>
        <w:rPr>
          <w:rFonts w:cs="Times New Roman"/>
        </w:rPr>
      </w:pPr>
      <w:r>
        <w:rPr>
          <w:rFonts w:cs="Times New Roman"/>
        </w:rPr>
        <w:t>一般污染区防渗要求：操作条件下的单位面积渗透量不大于厚度为1.5m，渗透系数≤10</w:t>
      </w:r>
      <w:r>
        <w:rPr>
          <w:rFonts w:cs="Times New Roman"/>
          <w:vertAlign w:val="superscript"/>
        </w:rPr>
        <w:t>-7</w:t>
      </w:r>
      <w:r>
        <w:rPr>
          <w:rFonts w:cs="Times New Roman"/>
        </w:rPr>
        <w:t>cm/s。</w:t>
      </w:r>
    </w:p>
    <w:p>
      <w:pPr>
        <w:pStyle w:val="3"/>
        <w:ind w:firstLine="480"/>
        <w:rPr>
          <w:rFonts w:cs="Times New Roman"/>
        </w:rPr>
      </w:pPr>
      <w:r>
        <w:rPr>
          <w:rFonts w:hint="eastAsia" w:ascii="宋体" w:hAnsi="宋体" w:cs="宋体"/>
        </w:rPr>
        <w:t>③</w:t>
      </w:r>
      <w:r>
        <w:rPr>
          <w:rFonts w:cs="Times New Roman"/>
        </w:rPr>
        <w:t>非污染防治区</w:t>
      </w:r>
    </w:p>
    <w:p>
      <w:pPr>
        <w:pStyle w:val="3"/>
        <w:ind w:firstLine="480"/>
        <w:rPr>
          <w:rFonts w:cs="Times New Roman"/>
        </w:rPr>
      </w:pPr>
      <w:r>
        <w:rPr>
          <w:rFonts w:cs="Times New Roman"/>
        </w:rPr>
        <w:t>指不会对地下水环境造成污染的区域。主要包括</w:t>
      </w:r>
      <w:r>
        <w:rPr>
          <w:rFonts w:hint="eastAsia" w:cs="Times New Roman"/>
        </w:rPr>
        <w:t>办公宿舍楼</w:t>
      </w:r>
      <w:r>
        <w:rPr>
          <w:rFonts w:cs="Times New Roman"/>
        </w:rPr>
        <w:t>、道路、绿地等。对于基本上不产生污染物的非污染防治区，不采取专门针对地下水污染的防治措施。</w:t>
      </w:r>
    </w:p>
    <w:p>
      <w:pPr>
        <w:pStyle w:val="3"/>
        <w:ind w:firstLine="480"/>
        <w:rPr>
          <w:rFonts w:cs="Times New Roman"/>
        </w:rPr>
      </w:pPr>
      <w:r>
        <w:rPr>
          <w:rFonts w:cs="Times New Roman"/>
        </w:rPr>
        <w:t>根据场区污染防治分区，其各分区防渗内容具体见表6.2-3。地下水分区防渗图见附图。</w:t>
      </w:r>
    </w:p>
    <w:p>
      <w:pPr>
        <w:pStyle w:val="15"/>
        <w:rPr>
          <w:rFonts w:cs="Times New Roman"/>
        </w:rPr>
      </w:pPr>
      <w:r>
        <w:rPr>
          <w:rFonts w:cs="Times New Roman"/>
        </w:rPr>
        <w:t>表6.2-3   厂区地下水污染防护区分类</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9"/>
        <w:gridCol w:w="1426"/>
        <w:gridCol w:w="1984"/>
        <w:gridCol w:w="1843"/>
        <w:gridCol w:w="3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09" w:type="dxa"/>
            <w:vAlign w:val="center"/>
          </w:tcPr>
          <w:p>
            <w:pPr>
              <w:pStyle w:val="39"/>
              <w:rPr>
                <w:rFonts w:cs="Times New Roman"/>
              </w:rPr>
            </w:pPr>
            <w:r>
              <w:rPr>
                <w:rFonts w:cs="Times New Roman"/>
              </w:rPr>
              <w:t>序号</w:t>
            </w:r>
          </w:p>
        </w:tc>
        <w:tc>
          <w:tcPr>
            <w:tcW w:w="1426" w:type="dxa"/>
            <w:vAlign w:val="center"/>
          </w:tcPr>
          <w:p>
            <w:pPr>
              <w:pStyle w:val="39"/>
              <w:rPr>
                <w:rFonts w:cs="Times New Roman"/>
              </w:rPr>
            </w:pPr>
            <w:r>
              <w:rPr>
                <w:rFonts w:cs="Times New Roman"/>
              </w:rPr>
              <w:t>防治区分区</w:t>
            </w:r>
          </w:p>
        </w:tc>
        <w:tc>
          <w:tcPr>
            <w:tcW w:w="1984" w:type="dxa"/>
            <w:vAlign w:val="center"/>
          </w:tcPr>
          <w:p>
            <w:pPr>
              <w:pStyle w:val="39"/>
              <w:rPr>
                <w:rFonts w:cs="Times New Roman"/>
              </w:rPr>
            </w:pPr>
            <w:r>
              <w:rPr>
                <w:rFonts w:cs="Times New Roman"/>
              </w:rPr>
              <w:t>装置或构筑物名称</w:t>
            </w:r>
          </w:p>
        </w:tc>
        <w:tc>
          <w:tcPr>
            <w:tcW w:w="1843" w:type="dxa"/>
            <w:vAlign w:val="center"/>
          </w:tcPr>
          <w:p>
            <w:pPr>
              <w:pStyle w:val="39"/>
              <w:rPr>
                <w:rFonts w:cs="Times New Roman"/>
              </w:rPr>
            </w:pPr>
            <w:r>
              <w:rPr>
                <w:rFonts w:cs="Times New Roman"/>
              </w:rPr>
              <w:t>防渗区域</w:t>
            </w:r>
          </w:p>
        </w:tc>
        <w:tc>
          <w:tcPr>
            <w:tcW w:w="3111" w:type="dxa"/>
            <w:vAlign w:val="center"/>
          </w:tcPr>
          <w:p>
            <w:pPr>
              <w:pStyle w:val="39"/>
              <w:rPr>
                <w:rFonts w:cs="Times New Roman"/>
              </w:rPr>
            </w:pPr>
            <w:r>
              <w:rPr>
                <w:rFonts w:cs="Times New Roman"/>
              </w:rPr>
              <w:t>防渗技术要求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09" w:type="dxa"/>
            <w:vAlign w:val="center"/>
          </w:tcPr>
          <w:p>
            <w:pPr>
              <w:pStyle w:val="39"/>
              <w:rPr>
                <w:rFonts w:cs="Times New Roman"/>
              </w:rPr>
            </w:pPr>
            <w:r>
              <w:rPr>
                <w:rFonts w:cs="Times New Roman"/>
              </w:rPr>
              <w:t>1</w:t>
            </w:r>
          </w:p>
        </w:tc>
        <w:tc>
          <w:tcPr>
            <w:tcW w:w="1426" w:type="dxa"/>
            <w:vMerge w:val="restart"/>
            <w:vAlign w:val="center"/>
          </w:tcPr>
          <w:p>
            <w:pPr>
              <w:widowControl w:val="0"/>
              <w:autoSpaceDE w:val="0"/>
              <w:autoSpaceDN w:val="0"/>
              <w:snapToGrid/>
              <w:jc w:val="left"/>
              <w:rPr>
                <w:rFonts w:ascii="Times New Roman" w:hAnsi="Times New Roman" w:eastAsia="宋体" w:cs="Times New Roman"/>
              </w:rPr>
            </w:pPr>
            <w:r>
              <w:rPr>
                <w:rFonts w:ascii="Times New Roman" w:hAnsi="Times New Roman" w:eastAsia="宋体" w:cs="Times New Roman"/>
                <w:kern w:val="0"/>
              </w:rPr>
              <w:t>重点污染防治区</w:t>
            </w:r>
          </w:p>
        </w:tc>
        <w:tc>
          <w:tcPr>
            <w:tcW w:w="1984" w:type="dxa"/>
            <w:vAlign w:val="center"/>
          </w:tcPr>
          <w:p>
            <w:pPr>
              <w:pStyle w:val="39"/>
              <w:rPr>
                <w:rFonts w:cs="Times New Roman"/>
              </w:rPr>
            </w:pPr>
            <w:r>
              <w:rPr>
                <w:rFonts w:cs="Times New Roman"/>
              </w:rPr>
              <w:t>鸡舍</w:t>
            </w:r>
          </w:p>
        </w:tc>
        <w:tc>
          <w:tcPr>
            <w:tcW w:w="1843" w:type="dxa"/>
            <w:vAlign w:val="center"/>
          </w:tcPr>
          <w:p>
            <w:pPr>
              <w:pStyle w:val="39"/>
              <w:rPr>
                <w:rFonts w:cs="Times New Roman"/>
              </w:rPr>
            </w:pPr>
            <w:r>
              <w:rPr>
                <w:rFonts w:cs="Times New Roman"/>
              </w:rPr>
              <w:t>地面</w:t>
            </w:r>
          </w:p>
        </w:tc>
        <w:tc>
          <w:tcPr>
            <w:tcW w:w="3111" w:type="dxa"/>
            <w:vMerge w:val="restart"/>
            <w:vAlign w:val="center"/>
          </w:tcPr>
          <w:p>
            <w:pPr>
              <w:pStyle w:val="39"/>
              <w:rPr>
                <w:rFonts w:cs="Times New Roman"/>
              </w:rPr>
            </w:pPr>
            <w:r>
              <w:rPr>
                <w:rFonts w:cs="Times New Roman"/>
              </w:rPr>
              <w:t>防渗层为至少1m 后粘土（渗透系数≤10</w:t>
            </w:r>
            <w:r>
              <w:rPr>
                <w:rFonts w:cs="Times New Roman"/>
                <w:vertAlign w:val="superscript"/>
              </w:rPr>
              <w:t>-7</w:t>
            </w:r>
            <w:r>
              <w:rPr>
                <w:rFonts w:cs="Times New Roman"/>
              </w:rPr>
              <w:t>cm/s，或2mm厚高密度聚乙烯，或执照2mm厚的其他人工材料，渗透系数≤10</w:t>
            </w:r>
            <w:r>
              <w:rPr>
                <w:rFonts w:cs="Times New Roman"/>
                <w:vertAlign w:val="superscript"/>
              </w:rPr>
              <w:t>-10</w:t>
            </w:r>
            <w:r>
              <w:rPr>
                <w:rFonts w:cs="Times New Roman"/>
              </w:rPr>
              <w:t>cm/s）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09" w:type="dxa"/>
            <w:vAlign w:val="center"/>
          </w:tcPr>
          <w:p>
            <w:pPr>
              <w:pStyle w:val="39"/>
              <w:rPr>
                <w:rFonts w:cs="Times New Roman"/>
              </w:rPr>
            </w:pPr>
            <w:r>
              <w:rPr>
                <w:rFonts w:cs="Times New Roman"/>
              </w:rPr>
              <w:t>2</w:t>
            </w:r>
          </w:p>
        </w:tc>
        <w:tc>
          <w:tcPr>
            <w:tcW w:w="1426" w:type="dxa"/>
            <w:vMerge w:val="continue"/>
            <w:vAlign w:val="center"/>
          </w:tcPr>
          <w:p>
            <w:pPr>
              <w:pStyle w:val="39"/>
              <w:rPr>
                <w:rFonts w:cs="Times New Roman"/>
              </w:rPr>
            </w:pPr>
          </w:p>
        </w:tc>
        <w:tc>
          <w:tcPr>
            <w:tcW w:w="1984" w:type="dxa"/>
            <w:vAlign w:val="center"/>
          </w:tcPr>
          <w:p>
            <w:pPr>
              <w:pStyle w:val="39"/>
              <w:rPr>
                <w:rFonts w:cs="Times New Roman"/>
              </w:rPr>
            </w:pPr>
            <w:r>
              <w:rPr>
                <w:rFonts w:cs="Times New Roman"/>
              </w:rPr>
              <w:t>鸡粪处理区</w:t>
            </w:r>
          </w:p>
        </w:tc>
        <w:tc>
          <w:tcPr>
            <w:tcW w:w="1843" w:type="dxa"/>
            <w:vAlign w:val="center"/>
          </w:tcPr>
          <w:p>
            <w:pPr>
              <w:pStyle w:val="39"/>
              <w:rPr>
                <w:rFonts w:cs="Times New Roman"/>
              </w:rPr>
            </w:pPr>
            <w:r>
              <w:rPr>
                <w:rFonts w:cs="Times New Roman"/>
                <w:kern w:val="0"/>
              </w:rPr>
              <w:t>底部、四周、地面</w:t>
            </w:r>
          </w:p>
        </w:tc>
        <w:tc>
          <w:tcPr>
            <w:tcW w:w="3111" w:type="dxa"/>
            <w:vMerge w:val="continue"/>
            <w:vAlign w:val="center"/>
          </w:tcPr>
          <w:p>
            <w:pPr>
              <w:pStyle w:val="3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09" w:type="dxa"/>
            <w:vAlign w:val="center"/>
          </w:tcPr>
          <w:p>
            <w:pPr>
              <w:pStyle w:val="39"/>
              <w:rPr>
                <w:rFonts w:cs="Times New Roman"/>
              </w:rPr>
            </w:pPr>
            <w:r>
              <w:rPr>
                <w:rFonts w:cs="Times New Roman"/>
              </w:rPr>
              <w:t>3</w:t>
            </w:r>
          </w:p>
        </w:tc>
        <w:tc>
          <w:tcPr>
            <w:tcW w:w="1426" w:type="dxa"/>
            <w:vMerge w:val="continue"/>
            <w:vAlign w:val="center"/>
          </w:tcPr>
          <w:p>
            <w:pPr>
              <w:pStyle w:val="39"/>
              <w:rPr>
                <w:rFonts w:cs="Times New Roman"/>
              </w:rPr>
            </w:pPr>
          </w:p>
        </w:tc>
        <w:tc>
          <w:tcPr>
            <w:tcW w:w="1984" w:type="dxa"/>
            <w:vAlign w:val="center"/>
          </w:tcPr>
          <w:p>
            <w:pPr>
              <w:pStyle w:val="39"/>
              <w:rPr>
                <w:rFonts w:cs="Times New Roman"/>
              </w:rPr>
            </w:pPr>
            <w:r>
              <w:rPr>
                <w:rFonts w:hint="eastAsia" w:cs="Times New Roman"/>
              </w:rPr>
              <w:t>化粪池</w:t>
            </w:r>
          </w:p>
        </w:tc>
        <w:tc>
          <w:tcPr>
            <w:tcW w:w="1843" w:type="dxa"/>
            <w:vAlign w:val="center"/>
          </w:tcPr>
          <w:p>
            <w:pPr>
              <w:pStyle w:val="39"/>
              <w:rPr>
                <w:rFonts w:cs="Times New Roman"/>
              </w:rPr>
            </w:pPr>
            <w:r>
              <w:rPr>
                <w:rFonts w:cs="Times New Roman"/>
                <w:kern w:val="0"/>
              </w:rPr>
              <w:t>底部、四周、地面</w:t>
            </w:r>
          </w:p>
        </w:tc>
        <w:tc>
          <w:tcPr>
            <w:tcW w:w="3111" w:type="dxa"/>
            <w:vMerge w:val="continue"/>
            <w:vAlign w:val="center"/>
          </w:tcPr>
          <w:p>
            <w:pPr>
              <w:pStyle w:val="3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09" w:type="dxa"/>
            <w:vAlign w:val="center"/>
          </w:tcPr>
          <w:p>
            <w:pPr>
              <w:pStyle w:val="39"/>
              <w:rPr>
                <w:rFonts w:cs="Times New Roman"/>
              </w:rPr>
            </w:pPr>
            <w:r>
              <w:rPr>
                <w:rFonts w:cs="Times New Roman"/>
              </w:rPr>
              <w:t>4</w:t>
            </w:r>
          </w:p>
        </w:tc>
        <w:tc>
          <w:tcPr>
            <w:tcW w:w="1426" w:type="dxa"/>
            <w:vMerge w:val="continue"/>
            <w:vAlign w:val="center"/>
          </w:tcPr>
          <w:p>
            <w:pPr>
              <w:pStyle w:val="39"/>
              <w:rPr>
                <w:rFonts w:cs="Times New Roman"/>
              </w:rPr>
            </w:pPr>
          </w:p>
        </w:tc>
        <w:tc>
          <w:tcPr>
            <w:tcW w:w="1984" w:type="dxa"/>
            <w:vAlign w:val="center"/>
          </w:tcPr>
          <w:p>
            <w:pPr>
              <w:pStyle w:val="39"/>
              <w:rPr>
                <w:rFonts w:cs="Times New Roman"/>
              </w:rPr>
            </w:pPr>
            <w:r>
              <w:rPr>
                <w:rFonts w:hint="eastAsia" w:cs="Times New Roman"/>
              </w:rPr>
              <w:t>废水收集池</w:t>
            </w:r>
          </w:p>
        </w:tc>
        <w:tc>
          <w:tcPr>
            <w:tcW w:w="1843" w:type="dxa"/>
            <w:vAlign w:val="center"/>
          </w:tcPr>
          <w:p>
            <w:pPr>
              <w:pStyle w:val="39"/>
              <w:rPr>
                <w:rFonts w:cs="Times New Roman"/>
              </w:rPr>
            </w:pPr>
            <w:r>
              <w:rPr>
                <w:rFonts w:cs="Times New Roman"/>
                <w:kern w:val="0"/>
              </w:rPr>
              <w:t>管道及敷设管沟</w:t>
            </w:r>
          </w:p>
        </w:tc>
        <w:tc>
          <w:tcPr>
            <w:tcW w:w="3111" w:type="dxa"/>
            <w:vMerge w:val="continue"/>
            <w:vAlign w:val="center"/>
          </w:tcPr>
          <w:p>
            <w:pPr>
              <w:pStyle w:val="3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09" w:type="dxa"/>
            <w:vAlign w:val="center"/>
          </w:tcPr>
          <w:p>
            <w:pPr>
              <w:pStyle w:val="39"/>
              <w:rPr>
                <w:rFonts w:cs="Times New Roman"/>
              </w:rPr>
            </w:pPr>
            <w:r>
              <w:rPr>
                <w:rFonts w:cs="Times New Roman"/>
              </w:rPr>
              <w:t>5</w:t>
            </w:r>
          </w:p>
        </w:tc>
        <w:tc>
          <w:tcPr>
            <w:tcW w:w="1426" w:type="dxa"/>
            <w:vMerge w:val="continue"/>
            <w:vAlign w:val="center"/>
          </w:tcPr>
          <w:p>
            <w:pPr>
              <w:pStyle w:val="39"/>
              <w:rPr>
                <w:rFonts w:cs="Times New Roman"/>
              </w:rPr>
            </w:pPr>
          </w:p>
        </w:tc>
        <w:tc>
          <w:tcPr>
            <w:tcW w:w="1984" w:type="dxa"/>
            <w:vAlign w:val="center"/>
          </w:tcPr>
          <w:p>
            <w:pPr>
              <w:pStyle w:val="39"/>
              <w:rPr>
                <w:rFonts w:cs="Times New Roman"/>
              </w:rPr>
            </w:pPr>
            <w:r>
              <w:rPr>
                <w:rFonts w:cs="Times New Roman"/>
              </w:rPr>
              <w:t>危废暂存间</w:t>
            </w:r>
          </w:p>
        </w:tc>
        <w:tc>
          <w:tcPr>
            <w:tcW w:w="1843" w:type="dxa"/>
            <w:vAlign w:val="center"/>
          </w:tcPr>
          <w:p>
            <w:pPr>
              <w:pStyle w:val="39"/>
              <w:rPr>
                <w:rFonts w:cs="Times New Roman"/>
              </w:rPr>
            </w:pPr>
            <w:r>
              <w:rPr>
                <w:rFonts w:cs="Times New Roman"/>
                <w:kern w:val="0"/>
              </w:rPr>
              <w:t>底部、四周、地面</w:t>
            </w:r>
          </w:p>
        </w:tc>
        <w:tc>
          <w:tcPr>
            <w:tcW w:w="3111" w:type="dxa"/>
            <w:vMerge w:val="continue"/>
            <w:vAlign w:val="center"/>
          </w:tcPr>
          <w:p>
            <w:pPr>
              <w:pStyle w:val="3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09" w:type="dxa"/>
            <w:vAlign w:val="center"/>
          </w:tcPr>
          <w:p>
            <w:pPr>
              <w:pStyle w:val="39"/>
              <w:rPr>
                <w:rFonts w:cs="Times New Roman"/>
              </w:rPr>
            </w:pPr>
            <w:r>
              <w:rPr>
                <w:rFonts w:cs="Times New Roman"/>
              </w:rPr>
              <w:t>9</w:t>
            </w:r>
          </w:p>
        </w:tc>
        <w:tc>
          <w:tcPr>
            <w:tcW w:w="1426" w:type="dxa"/>
            <w:vAlign w:val="center"/>
          </w:tcPr>
          <w:p>
            <w:pPr>
              <w:pStyle w:val="39"/>
              <w:rPr>
                <w:rFonts w:cs="Times New Roman"/>
              </w:rPr>
            </w:pPr>
            <w:r>
              <w:rPr>
                <w:rFonts w:cs="Times New Roman"/>
              </w:rPr>
              <w:t>一般污染防治分区</w:t>
            </w:r>
          </w:p>
        </w:tc>
        <w:tc>
          <w:tcPr>
            <w:tcW w:w="1984" w:type="dxa"/>
            <w:vAlign w:val="center"/>
          </w:tcPr>
          <w:p>
            <w:pPr>
              <w:pStyle w:val="39"/>
              <w:rPr>
                <w:rFonts w:cs="Times New Roman"/>
              </w:rPr>
            </w:pPr>
            <w:r>
              <w:rPr>
                <w:rFonts w:hint="eastAsia" w:cs="Times New Roman"/>
              </w:rPr>
              <w:t>蛋库、有机肥成品仓库</w:t>
            </w:r>
            <w:r>
              <w:rPr>
                <w:rFonts w:cs="Times New Roman"/>
              </w:rPr>
              <w:t>等</w:t>
            </w:r>
          </w:p>
        </w:tc>
        <w:tc>
          <w:tcPr>
            <w:tcW w:w="1843" w:type="dxa"/>
            <w:vAlign w:val="center"/>
          </w:tcPr>
          <w:p>
            <w:pPr>
              <w:pStyle w:val="39"/>
              <w:rPr>
                <w:rFonts w:cs="Times New Roman"/>
              </w:rPr>
            </w:pPr>
            <w:r>
              <w:rPr>
                <w:rFonts w:cs="Times New Roman"/>
                <w:kern w:val="0"/>
              </w:rPr>
              <w:t>地面</w:t>
            </w:r>
          </w:p>
        </w:tc>
        <w:tc>
          <w:tcPr>
            <w:tcW w:w="3111" w:type="dxa"/>
            <w:vAlign w:val="center"/>
          </w:tcPr>
          <w:p>
            <w:pPr>
              <w:pStyle w:val="39"/>
              <w:rPr>
                <w:rFonts w:cs="Times New Roman"/>
              </w:rPr>
            </w:pPr>
            <w:r>
              <w:rPr>
                <w:rFonts w:cs="Times New Roman"/>
              </w:rPr>
              <w:t>渗透量不大于厚度为1.5m，渗透系数≤10</w:t>
            </w:r>
            <w:r>
              <w:rPr>
                <w:rFonts w:cs="Times New Roman"/>
                <w:vertAlign w:val="superscript"/>
              </w:rPr>
              <w:t>-7</w:t>
            </w:r>
            <w:r>
              <w:rPr>
                <w:rFonts w:cs="Times New Roman"/>
              </w:rPr>
              <w:t>cm/s</w:t>
            </w:r>
          </w:p>
        </w:tc>
      </w:tr>
    </w:tbl>
    <w:p>
      <w:pPr>
        <w:pStyle w:val="3"/>
        <w:ind w:firstLine="480"/>
        <w:rPr>
          <w:rFonts w:cs="Times New Roman"/>
        </w:rPr>
      </w:pPr>
    </w:p>
    <w:p>
      <w:pPr>
        <w:pStyle w:val="3"/>
        <w:ind w:firstLine="480"/>
        <w:rPr>
          <w:rFonts w:cs="Times New Roman"/>
        </w:rPr>
      </w:pPr>
      <w:r>
        <w:rPr>
          <w:rFonts w:cs="Times New Roman"/>
        </w:rPr>
        <w:t>防止地下水污染，要预防为主、防治结合，把预防污染作为基本原则，把治理作为补救措施。要求项目建设单位根据地下水污染防控要求做好各污染防治区的防渗措施。</w:t>
      </w:r>
    </w:p>
    <w:p>
      <w:pPr>
        <w:pStyle w:val="3"/>
        <w:ind w:firstLine="480"/>
        <w:rPr>
          <w:rFonts w:cs="Times New Roman"/>
        </w:rPr>
      </w:pPr>
      <w:r>
        <w:rPr>
          <w:rFonts w:hint="eastAsia" w:ascii="宋体" w:hAnsi="宋体" w:cs="宋体"/>
        </w:rPr>
        <w:t>①</w:t>
      </w:r>
      <w:r>
        <w:rPr>
          <w:rFonts w:cs="Times New Roman"/>
        </w:rPr>
        <w:t>场区内做好雨污分流。废水采用HDPE管输送至污水处理站，做好污水管道的防渗处理，杜绝污水渗漏，确保污水收集系统衔接良好。</w:t>
      </w:r>
    </w:p>
    <w:p>
      <w:pPr>
        <w:pStyle w:val="3"/>
        <w:ind w:firstLine="480"/>
        <w:rPr>
          <w:rFonts w:cs="Times New Roman"/>
        </w:rPr>
      </w:pPr>
      <w:r>
        <w:rPr>
          <w:rFonts w:hint="eastAsia" w:ascii="宋体" w:hAnsi="宋体" w:cs="宋体"/>
        </w:rPr>
        <w:t>②</w:t>
      </w:r>
      <w:r>
        <w:rPr>
          <w:rFonts w:cs="Times New Roman"/>
        </w:rPr>
        <w:t>鸡舍、鸡粪处理区、</w:t>
      </w:r>
      <w:r>
        <w:rPr>
          <w:rFonts w:hint="eastAsia" w:cs="Times New Roman"/>
        </w:rPr>
        <w:t>化粪池</w:t>
      </w:r>
      <w:r>
        <w:rPr>
          <w:rFonts w:cs="Times New Roman"/>
        </w:rPr>
        <w:t>、</w:t>
      </w:r>
      <w:r>
        <w:rPr>
          <w:rFonts w:hint="eastAsia" w:cs="Times New Roman"/>
        </w:rPr>
        <w:t>废水收集池</w:t>
      </w:r>
      <w:r>
        <w:rPr>
          <w:rFonts w:cs="Times New Roman"/>
        </w:rPr>
        <w:t>、危废暂存间等重点区域采用均防渗材料铺设，并都加以硬化。在做好防渗工作的前提下，能够杜绝污染源对地下水的影响。</w:t>
      </w:r>
    </w:p>
    <w:p>
      <w:pPr>
        <w:pStyle w:val="3"/>
        <w:ind w:firstLine="480"/>
        <w:rPr>
          <w:rFonts w:cs="Times New Roman"/>
        </w:rPr>
      </w:pPr>
      <w:r>
        <w:rPr>
          <w:rFonts w:hint="eastAsia" w:ascii="宋体" w:hAnsi="宋体" w:cs="宋体"/>
        </w:rPr>
        <w:t>③</w:t>
      </w:r>
      <w:r>
        <w:rPr>
          <w:rFonts w:cs="Times New Roman"/>
        </w:rPr>
        <w:t>在项目运营时，加强现场巡查，下面地面雨水量较大时，重点检查有无渗漏情况，若发现问题，及时分析原因，找到渗透点制定整改措施，尽快修补，确保防腐防渗层的完整性。综上，采取上述措施基本可以消除项目建设对地下水造成的不利影响，措施可行。</w:t>
      </w:r>
    </w:p>
    <w:p>
      <w:pPr>
        <w:pStyle w:val="3"/>
        <w:ind w:firstLine="480"/>
        <w:rPr>
          <w:rFonts w:cs="Times New Roman"/>
        </w:rPr>
      </w:pPr>
      <w:r>
        <w:rPr>
          <w:rFonts w:cs="Times New Roman"/>
        </w:rPr>
        <w:t>（3）环境管理</w:t>
      </w:r>
    </w:p>
    <w:p>
      <w:pPr>
        <w:pStyle w:val="3"/>
        <w:ind w:firstLine="480"/>
        <w:rPr>
          <w:rFonts w:cs="Times New Roman"/>
        </w:rPr>
      </w:pPr>
      <w:r>
        <w:rPr>
          <w:rFonts w:hint="eastAsia" w:ascii="宋体" w:hAnsi="宋体" w:cs="宋体"/>
        </w:rPr>
        <w:t>①</w:t>
      </w:r>
      <w:r>
        <w:rPr>
          <w:rFonts w:cs="Times New Roman"/>
        </w:rPr>
        <w:t>对于养殖场各污染防治区的防渗结构应根据环评要求进行设计和建设，确保各污染防治区的防渗能力满足要求。</w:t>
      </w:r>
    </w:p>
    <w:p>
      <w:pPr>
        <w:pStyle w:val="3"/>
        <w:ind w:firstLine="480"/>
        <w:rPr>
          <w:rFonts w:cs="Times New Roman"/>
        </w:rPr>
      </w:pPr>
      <w:r>
        <w:rPr>
          <w:rFonts w:hint="eastAsia" w:ascii="宋体" w:hAnsi="宋体" w:cs="宋体"/>
        </w:rPr>
        <w:t>②</w:t>
      </w:r>
      <w:r>
        <w:rPr>
          <w:rFonts w:cs="Times New Roman"/>
        </w:rPr>
        <w:t>防渗措施和各污染防治区的防渗效果应作为项目竣工环保验收内容之一。</w:t>
      </w:r>
    </w:p>
    <w:p>
      <w:pPr>
        <w:pStyle w:val="3"/>
        <w:ind w:firstLine="480"/>
        <w:rPr>
          <w:rFonts w:cs="Times New Roman"/>
        </w:rPr>
      </w:pPr>
      <w:r>
        <w:rPr>
          <w:rFonts w:hint="eastAsia" w:ascii="宋体" w:hAnsi="宋体" w:cs="宋体"/>
        </w:rPr>
        <w:t>③</w:t>
      </w:r>
      <w:r>
        <w:rPr>
          <w:rFonts w:cs="Times New Roman"/>
        </w:rPr>
        <w:t>若污染事故发生或发现监控井地下水受到污染时，应及时报告项目环境管理机构负责人，由其采取必要的应急处置措施及防治措施，当事故发展事态继续发展，场区应急措施及防治措施无法控制事故事态时，应及时上报环保主管部门请求援助。</w:t>
      </w:r>
    </w:p>
    <w:p>
      <w:pPr>
        <w:pStyle w:val="3"/>
        <w:ind w:firstLine="480"/>
        <w:rPr>
          <w:rFonts w:cs="Times New Roman"/>
        </w:rPr>
      </w:pPr>
      <w:r>
        <w:rPr>
          <w:rFonts w:hint="eastAsia" w:ascii="宋体" w:hAnsi="宋体" w:cs="宋体"/>
        </w:rPr>
        <w:t>④</w:t>
      </w:r>
      <w:r>
        <w:rPr>
          <w:rFonts w:cs="Times New Roman"/>
        </w:rPr>
        <w:t>建立地下水监测管理体系，制定跟踪监测计划、建立跟踪监测制度，定期进行监测，以便及时发现问题，采取措施。</w:t>
      </w:r>
    </w:p>
    <w:p>
      <w:pPr>
        <w:pStyle w:val="3"/>
        <w:ind w:firstLine="480"/>
        <w:rPr>
          <w:rFonts w:cs="Times New Roman"/>
        </w:rPr>
      </w:pPr>
      <w:r>
        <w:rPr>
          <w:rFonts w:hint="eastAsia" w:ascii="宋体" w:hAnsi="宋体" w:cs="宋体"/>
        </w:rPr>
        <w:t>⑤</w:t>
      </w:r>
      <w:r>
        <w:rPr>
          <w:rFonts w:cs="Times New Roman"/>
        </w:rPr>
        <w:t>防止地下水污染，要预防为主、防治结合，把预防污染作为基本原则，把治理作为补救措施。要求项目建设单位根据地下水污染防控要求做好各污染防治区的防渗措施。</w:t>
      </w:r>
    </w:p>
    <w:p>
      <w:pPr>
        <w:pStyle w:val="7"/>
        <w:rPr>
          <w:rFonts w:cs="Times New Roman"/>
        </w:rPr>
      </w:pPr>
      <w:r>
        <w:rPr>
          <w:rFonts w:cs="Times New Roman"/>
        </w:rPr>
        <w:t>地下水水质监控要求</w:t>
      </w:r>
    </w:p>
    <w:p>
      <w:pPr>
        <w:pStyle w:val="3"/>
        <w:ind w:firstLine="480"/>
        <w:rPr>
          <w:rFonts w:cs="Times New Roman"/>
        </w:rPr>
      </w:pPr>
      <w:r>
        <w:rPr>
          <w:rFonts w:cs="Times New Roman"/>
        </w:rPr>
        <w:t>（1）地下水监控</w:t>
      </w:r>
    </w:p>
    <w:p>
      <w:pPr>
        <w:pStyle w:val="3"/>
        <w:ind w:firstLine="480"/>
        <w:rPr>
          <w:rFonts w:cs="Times New Roman"/>
        </w:rPr>
      </w:pPr>
      <w:r>
        <w:rPr>
          <w:rFonts w:cs="Times New Roman"/>
        </w:rPr>
        <w:t>为了及时准确地掌握厂址及下游地区地下水环境质量状况和地下水体中污染物的动态变化，本项目应建立地下水长期监控系统，包括科学、合理地设置地下水污染监控井，建立完善的监测制度，配备先进的检测仪器和设备，以便及时发现，及时控制。</w:t>
      </w:r>
    </w:p>
    <w:p>
      <w:pPr>
        <w:pStyle w:val="3"/>
        <w:ind w:firstLine="480"/>
        <w:rPr>
          <w:rFonts w:cs="Times New Roman"/>
        </w:rPr>
      </w:pPr>
      <w:r>
        <w:rPr>
          <w:rFonts w:cs="Times New Roman"/>
        </w:rPr>
        <w:t>（1）监测井布置</w:t>
      </w:r>
    </w:p>
    <w:p>
      <w:pPr>
        <w:pStyle w:val="3"/>
        <w:ind w:firstLine="480"/>
        <w:rPr>
          <w:rFonts w:cs="Times New Roman"/>
        </w:rPr>
      </w:pPr>
      <w:r>
        <w:rPr>
          <w:rFonts w:cs="Times New Roman"/>
        </w:rPr>
        <w:t>根据《环境影响评价技术导则—地下水环境》HJ610-2016 中跟踪监测点位设置要求：“三级评价的建设项目，一般不少于1个，应至少在建设项目场地下游布置1个”。</w:t>
      </w:r>
    </w:p>
    <w:p>
      <w:pPr>
        <w:pStyle w:val="3"/>
        <w:ind w:firstLine="480"/>
        <w:rPr>
          <w:rFonts w:cs="Times New Roman"/>
        </w:rPr>
      </w:pPr>
      <w:r>
        <w:rPr>
          <w:rFonts w:cs="Times New Roman"/>
        </w:rPr>
        <w:t>本项目地下水评价等级为三级，依据地下水监测原则结合项目情况，参照《地下水环境监测技术规范》(HJ/T164-2004)的要求，应在本项目场区设地下水监测井1口</w:t>
      </w:r>
      <w:r>
        <w:rPr>
          <w:rFonts w:hint="eastAsia" w:cs="Times New Roman"/>
        </w:rPr>
        <w:t>，项目水井可作为地下水监测井</w:t>
      </w:r>
      <w:r>
        <w:rPr>
          <w:rFonts w:cs="Times New Roman"/>
        </w:rPr>
        <w:t>。</w:t>
      </w:r>
    </w:p>
    <w:p>
      <w:pPr>
        <w:pStyle w:val="3"/>
        <w:ind w:firstLine="480"/>
        <w:rPr>
          <w:rFonts w:cs="Times New Roman"/>
        </w:rPr>
      </w:pPr>
      <w:r>
        <w:rPr>
          <w:rFonts w:cs="Times New Roman"/>
        </w:rPr>
        <w:t>（2）监测项目及频率</w:t>
      </w:r>
    </w:p>
    <w:p>
      <w:pPr>
        <w:pStyle w:val="3"/>
        <w:ind w:firstLine="480"/>
        <w:rPr>
          <w:rFonts w:cs="Times New Roman"/>
        </w:rPr>
      </w:pPr>
      <w:r>
        <w:rPr>
          <w:rFonts w:cs="Times New Roman"/>
        </w:rPr>
        <w:t>监测项目应包括pH、COD、总硬度、溶解性固体、NH3-N、总大肠菌群数、亚硝酸盐等。监测频次为1次/年。</w:t>
      </w:r>
    </w:p>
    <w:p>
      <w:pPr>
        <w:pStyle w:val="3"/>
        <w:ind w:firstLine="480"/>
        <w:rPr>
          <w:rFonts w:cs="Times New Roman"/>
        </w:rPr>
      </w:pPr>
      <w:r>
        <w:rPr>
          <w:rFonts w:cs="Times New Roman"/>
        </w:rPr>
        <w:t>（3）监测机构、人员</w:t>
      </w:r>
    </w:p>
    <w:p>
      <w:pPr>
        <w:pStyle w:val="3"/>
        <w:ind w:firstLine="480"/>
        <w:rPr>
          <w:rFonts w:cs="Times New Roman"/>
        </w:rPr>
      </w:pPr>
      <w:r>
        <w:rPr>
          <w:rFonts w:cs="Times New Roman"/>
        </w:rPr>
        <w:t>项目厂安全环保部门设立地下水动态监测小组，专人负责地下水跟踪监测事宜。地下水监测人员应具备相关监测知识和技能，持证上岗。若自身不具备地下水监测条件，可定期委托有相关资质监测单位进行。</w:t>
      </w:r>
    </w:p>
    <w:p>
      <w:pPr>
        <w:pStyle w:val="3"/>
        <w:ind w:firstLine="480"/>
        <w:rPr>
          <w:rFonts w:cs="Times New Roman"/>
        </w:rPr>
      </w:pPr>
      <w:r>
        <w:rPr>
          <w:rFonts w:cs="Times New Roman"/>
        </w:rPr>
        <w:t>（4）监测数据管理</w:t>
      </w:r>
    </w:p>
    <w:p>
      <w:pPr>
        <w:pStyle w:val="3"/>
        <w:ind w:firstLine="480"/>
      </w:pPr>
      <w:r>
        <w:rPr>
          <w:rFonts w:cs="Times New Roman"/>
        </w:rPr>
        <w:t>监测结果应按项目有关规定及时建立档案，并定期向厂安全环保部门汇报，对于常规监测数据应该进行公开，特别是对本项目所在区域的居民进行公开，满足法律中关于知情权的要求。如发现异常或发生事故，加密监测频次，改为每天监测一次，并分析污染原因，确定泄漏污染源，及时采取应急措施。</w:t>
      </w:r>
    </w:p>
    <w:p>
      <w:pPr>
        <w:pStyle w:val="6"/>
        <w:rPr>
          <w:rFonts w:cs="Times New Roman"/>
        </w:rPr>
      </w:pPr>
      <w:r>
        <w:rPr>
          <w:rFonts w:cs="Times New Roman"/>
        </w:rPr>
        <w:t>噪声污染治理措施及其可行性分析</w:t>
      </w:r>
    </w:p>
    <w:p>
      <w:pPr>
        <w:pStyle w:val="3"/>
        <w:ind w:firstLine="480"/>
        <w:rPr>
          <w:rFonts w:cs="Times New Roman"/>
        </w:rPr>
      </w:pPr>
      <w:r>
        <w:rPr>
          <w:rFonts w:cs="Times New Roman"/>
        </w:rPr>
        <w:t>噪声防治主要从两方面：一、从噪声源上控制降低噪声；二、从传播途径上控制降低噪声。具体分析如下：</w:t>
      </w:r>
    </w:p>
    <w:p>
      <w:pPr>
        <w:pStyle w:val="3"/>
        <w:ind w:firstLine="480"/>
        <w:rPr>
          <w:rFonts w:cs="Times New Roman"/>
        </w:rPr>
      </w:pPr>
      <w:r>
        <w:rPr>
          <w:rFonts w:cs="Times New Roman"/>
        </w:rPr>
        <w:t>（1）从噪声源上控制降低噪声</w:t>
      </w:r>
    </w:p>
    <w:p>
      <w:pPr>
        <w:pStyle w:val="3"/>
        <w:ind w:firstLine="480"/>
        <w:rPr>
          <w:rFonts w:cs="Times New Roman"/>
        </w:rPr>
      </w:pPr>
      <w:r>
        <w:rPr>
          <w:rFonts w:hint="eastAsia" w:ascii="宋体" w:hAnsi="宋体" w:cs="宋体"/>
        </w:rPr>
        <w:t>①</w:t>
      </w:r>
      <w:r>
        <w:rPr>
          <w:rFonts w:cs="Times New Roman"/>
        </w:rPr>
        <w:t>选用低噪声源生产设备</w:t>
      </w:r>
    </w:p>
    <w:p>
      <w:pPr>
        <w:pStyle w:val="3"/>
        <w:ind w:firstLine="480"/>
        <w:rPr>
          <w:rFonts w:cs="Times New Roman"/>
        </w:rPr>
      </w:pPr>
      <w:r>
        <w:rPr>
          <w:rFonts w:cs="Times New Roman"/>
        </w:rPr>
        <w:t>项目生产设备的选型应当选用低噪声、低能耗的生产设备，不但可以减少噪声对周围环境的污染，也可以节约能源符合清洁生产的要求。</w:t>
      </w:r>
    </w:p>
    <w:p>
      <w:pPr>
        <w:pStyle w:val="3"/>
        <w:ind w:firstLine="480"/>
        <w:rPr>
          <w:rFonts w:cs="Times New Roman"/>
        </w:rPr>
      </w:pPr>
      <w:r>
        <w:rPr>
          <w:rFonts w:hint="eastAsia" w:ascii="宋体" w:hAnsi="宋体" w:cs="宋体"/>
        </w:rPr>
        <w:t>②</w:t>
      </w:r>
      <w:r>
        <w:rPr>
          <w:rFonts w:cs="Times New Roman"/>
        </w:rPr>
        <w:t>采用降噪措施</w:t>
      </w:r>
    </w:p>
    <w:p>
      <w:pPr>
        <w:pStyle w:val="3"/>
        <w:ind w:firstLine="480"/>
        <w:rPr>
          <w:rFonts w:cs="Times New Roman"/>
        </w:rPr>
      </w:pPr>
      <w:r>
        <w:rPr>
          <w:rFonts w:cs="Times New Roman"/>
        </w:rPr>
        <w:t>根据项目生产设备类型及产生的噪声类别，采用的降噪措施主要有隔振、隔声、消声措施。</w:t>
      </w:r>
    </w:p>
    <w:p>
      <w:pPr>
        <w:pStyle w:val="15"/>
        <w:rPr>
          <w:rFonts w:cs="Times New Roman"/>
        </w:rPr>
      </w:pPr>
      <w:r>
        <w:rPr>
          <w:rFonts w:cs="Times New Roman"/>
        </w:rPr>
        <w:t>表6.2-4   几种声学控制技术的适用场合及减噪效果</w:t>
      </w:r>
    </w:p>
    <w:tbl>
      <w:tblPr>
        <w:tblStyle w:val="2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2"/>
        <w:gridCol w:w="1495"/>
        <w:gridCol w:w="4363"/>
        <w:gridCol w:w="2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57" w:type="pct"/>
            <w:vAlign w:val="center"/>
          </w:tcPr>
          <w:p>
            <w:pPr>
              <w:pStyle w:val="39"/>
              <w:rPr>
                <w:rFonts w:cs="Times New Roman"/>
              </w:rPr>
            </w:pPr>
            <w:r>
              <w:rPr>
                <w:rFonts w:cs="Times New Roman"/>
              </w:rPr>
              <w:t>序号</w:t>
            </w:r>
          </w:p>
        </w:tc>
        <w:tc>
          <w:tcPr>
            <w:tcW w:w="815" w:type="pct"/>
            <w:vAlign w:val="center"/>
          </w:tcPr>
          <w:p>
            <w:pPr>
              <w:pStyle w:val="39"/>
              <w:rPr>
                <w:rFonts w:cs="Times New Roman"/>
              </w:rPr>
            </w:pPr>
            <w:r>
              <w:rPr>
                <w:rFonts w:cs="Times New Roman"/>
              </w:rPr>
              <w:t>控制措施</w:t>
            </w:r>
          </w:p>
        </w:tc>
        <w:tc>
          <w:tcPr>
            <w:tcW w:w="2378" w:type="pct"/>
            <w:vAlign w:val="center"/>
          </w:tcPr>
          <w:p>
            <w:pPr>
              <w:pStyle w:val="39"/>
              <w:rPr>
                <w:rFonts w:cs="Times New Roman"/>
              </w:rPr>
            </w:pPr>
            <w:r>
              <w:rPr>
                <w:rFonts w:cs="Times New Roman"/>
              </w:rPr>
              <w:t>使用场合</w:t>
            </w:r>
          </w:p>
        </w:tc>
        <w:tc>
          <w:tcPr>
            <w:tcW w:w="1250" w:type="pct"/>
            <w:vAlign w:val="center"/>
          </w:tcPr>
          <w:p>
            <w:pPr>
              <w:pStyle w:val="39"/>
              <w:rPr>
                <w:rFonts w:cs="Times New Roman"/>
              </w:rPr>
            </w:pPr>
            <w:r>
              <w:rPr>
                <w:rFonts w:cs="Times New Roman"/>
              </w:rPr>
              <w:t>减噪效果 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57" w:type="pct"/>
            <w:vAlign w:val="center"/>
          </w:tcPr>
          <w:p>
            <w:pPr>
              <w:pStyle w:val="39"/>
              <w:rPr>
                <w:rFonts w:cs="Times New Roman"/>
              </w:rPr>
            </w:pPr>
            <w:r>
              <w:rPr>
                <w:rFonts w:cs="Times New Roman"/>
              </w:rPr>
              <w:t>1</w:t>
            </w:r>
          </w:p>
        </w:tc>
        <w:tc>
          <w:tcPr>
            <w:tcW w:w="815" w:type="pct"/>
            <w:vAlign w:val="center"/>
          </w:tcPr>
          <w:p>
            <w:pPr>
              <w:pStyle w:val="39"/>
              <w:rPr>
                <w:rFonts w:cs="Times New Roman"/>
              </w:rPr>
            </w:pPr>
            <w:r>
              <w:rPr>
                <w:rFonts w:cs="Times New Roman"/>
                <w:kern w:val="0"/>
              </w:rPr>
              <w:t>吸声</w:t>
            </w:r>
          </w:p>
        </w:tc>
        <w:tc>
          <w:tcPr>
            <w:tcW w:w="2378" w:type="pct"/>
            <w:vAlign w:val="center"/>
          </w:tcPr>
          <w:p>
            <w:pPr>
              <w:pStyle w:val="39"/>
              <w:rPr>
                <w:rFonts w:cs="Times New Roman"/>
              </w:rPr>
            </w:pPr>
            <w:r>
              <w:rPr>
                <w:rFonts w:cs="Times New Roman"/>
                <w:kern w:val="0"/>
              </w:rPr>
              <w:t>车间噪声设备多而分散</w:t>
            </w:r>
          </w:p>
        </w:tc>
        <w:tc>
          <w:tcPr>
            <w:tcW w:w="1250" w:type="pct"/>
            <w:vAlign w:val="center"/>
          </w:tcPr>
          <w:p>
            <w:pPr>
              <w:pStyle w:val="39"/>
              <w:rPr>
                <w:rFonts w:cs="Times New Roman"/>
              </w:rPr>
            </w:pPr>
            <w:r>
              <w:rPr>
                <w:rFonts w:eastAsia="TimesNewRomanPSMT" w:cs="Times New Roman"/>
                <w:kern w:val="0"/>
              </w:rPr>
              <w:t>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57" w:type="pct"/>
            <w:vAlign w:val="center"/>
          </w:tcPr>
          <w:p>
            <w:pPr>
              <w:pStyle w:val="39"/>
              <w:rPr>
                <w:rFonts w:cs="Times New Roman"/>
              </w:rPr>
            </w:pPr>
            <w:r>
              <w:rPr>
                <w:rFonts w:cs="Times New Roman"/>
              </w:rPr>
              <w:t>2</w:t>
            </w:r>
          </w:p>
        </w:tc>
        <w:tc>
          <w:tcPr>
            <w:tcW w:w="815" w:type="pct"/>
            <w:vAlign w:val="center"/>
          </w:tcPr>
          <w:p>
            <w:pPr>
              <w:pStyle w:val="39"/>
              <w:rPr>
                <w:rFonts w:cs="Times New Roman"/>
              </w:rPr>
            </w:pPr>
            <w:r>
              <w:rPr>
                <w:rFonts w:cs="Times New Roman"/>
                <w:kern w:val="0"/>
              </w:rPr>
              <w:t>隔音</w:t>
            </w:r>
          </w:p>
        </w:tc>
        <w:tc>
          <w:tcPr>
            <w:tcW w:w="2378" w:type="pct"/>
            <w:vAlign w:val="center"/>
          </w:tcPr>
          <w:p>
            <w:pPr>
              <w:pStyle w:val="39"/>
              <w:rPr>
                <w:rFonts w:cs="Times New Roman"/>
              </w:rPr>
            </w:pPr>
            <w:r>
              <w:rPr>
                <w:rFonts w:cs="Times New Roman"/>
                <w:kern w:val="0"/>
              </w:rPr>
              <w:t>车间工人多，噪声设备少，用隔音罩，反之用隔音屏，两者均不宜封闭时采用隔音屏</w:t>
            </w:r>
          </w:p>
        </w:tc>
        <w:tc>
          <w:tcPr>
            <w:tcW w:w="1250" w:type="pct"/>
            <w:vAlign w:val="center"/>
          </w:tcPr>
          <w:p>
            <w:pPr>
              <w:pStyle w:val="39"/>
              <w:rPr>
                <w:rFonts w:cs="Times New Roman"/>
              </w:rPr>
            </w:pPr>
            <w:r>
              <w:rPr>
                <w:rFonts w:eastAsia="TimesNewRomanPSMT" w:cs="Times New Roman"/>
                <w:kern w:val="0"/>
              </w:rPr>
              <w:t>10~40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57" w:type="pct"/>
            <w:vAlign w:val="center"/>
          </w:tcPr>
          <w:p>
            <w:pPr>
              <w:pStyle w:val="39"/>
              <w:rPr>
                <w:rFonts w:cs="Times New Roman"/>
              </w:rPr>
            </w:pPr>
            <w:r>
              <w:rPr>
                <w:rFonts w:cs="Times New Roman"/>
              </w:rPr>
              <w:t>3</w:t>
            </w:r>
          </w:p>
        </w:tc>
        <w:tc>
          <w:tcPr>
            <w:tcW w:w="815" w:type="pct"/>
            <w:vAlign w:val="center"/>
          </w:tcPr>
          <w:p>
            <w:pPr>
              <w:pStyle w:val="39"/>
              <w:rPr>
                <w:rFonts w:cs="Times New Roman"/>
              </w:rPr>
            </w:pPr>
            <w:r>
              <w:rPr>
                <w:rFonts w:cs="Times New Roman"/>
                <w:kern w:val="0"/>
              </w:rPr>
              <w:t>消声器</w:t>
            </w:r>
          </w:p>
        </w:tc>
        <w:tc>
          <w:tcPr>
            <w:tcW w:w="2378" w:type="pct"/>
            <w:vAlign w:val="center"/>
          </w:tcPr>
          <w:p>
            <w:pPr>
              <w:pStyle w:val="39"/>
              <w:rPr>
                <w:rFonts w:cs="Times New Roman"/>
              </w:rPr>
            </w:pPr>
            <w:r>
              <w:rPr>
                <w:rFonts w:cs="Times New Roman"/>
                <w:kern w:val="0"/>
              </w:rPr>
              <w:t>气动设备的空气动力性噪声</w:t>
            </w:r>
          </w:p>
        </w:tc>
        <w:tc>
          <w:tcPr>
            <w:tcW w:w="1250" w:type="pct"/>
            <w:vAlign w:val="center"/>
          </w:tcPr>
          <w:p>
            <w:pPr>
              <w:pStyle w:val="39"/>
              <w:rPr>
                <w:rFonts w:cs="Times New Roman"/>
              </w:rPr>
            </w:pPr>
            <w:r>
              <w:rPr>
                <w:rFonts w:eastAsia="TimesNewRomanPSMT" w:cs="Times New Roman"/>
                <w:kern w:val="0"/>
              </w:rPr>
              <w:t>15~40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57" w:type="pct"/>
            <w:vAlign w:val="center"/>
          </w:tcPr>
          <w:p>
            <w:pPr>
              <w:pStyle w:val="39"/>
              <w:rPr>
                <w:rFonts w:cs="Times New Roman"/>
              </w:rPr>
            </w:pPr>
            <w:r>
              <w:rPr>
                <w:rFonts w:cs="Times New Roman"/>
              </w:rPr>
              <w:t>4</w:t>
            </w:r>
          </w:p>
        </w:tc>
        <w:tc>
          <w:tcPr>
            <w:tcW w:w="815" w:type="pct"/>
            <w:vAlign w:val="center"/>
          </w:tcPr>
          <w:p>
            <w:pPr>
              <w:pStyle w:val="39"/>
              <w:rPr>
                <w:rFonts w:cs="Times New Roman"/>
              </w:rPr>
            </w:pPr>
            <w:r>
              <w:rPr>
                <w:rFonts w:cs="Times New Roman"/>
                <w:kern w:val="0"/>
              </w:rPr>
              <w:t>隔振</w:t>
            </w:r>
          </w:p>
        </w:tc>
        <w:tc>
          <w:tcPr>
            <w:tcW w:w="2378" w:type="pct"/>
            <w:vAlign w:val="center"/>
          </w:tcPr>
          <w:p>
            <w:pPr>
              <w:pStyle w:val="39"/>
              <w:rPr>
                <w:rFonts w:cs="Times New Roman"/>
              </w:rPr>
            </w:pPr>
            <w:r>
              <w:rPr>
                <w:rFonts w:cs="Times New Roman"/>
                <w:kern w:val="0"/>
              </w:rPr>
              <w:t>机械振动厉害</w:t>
            </w:r>
          </w:p>
        </w:tc>
        <w:tc>
          <w:tcPr>
            <w:tcW w:w="1250" w:type="pct"/>
            <w:vAlign w:val="center"/>
          </w:tcPr>
          <w:p>
            <w:pPr>
              <w:pStyle w:val="39"/>
              <w:rPr>
                <w:rFonts w:cs="Times New Roman"/>
              </w:rPr>
            </w:pPr>
            <w:r>
              <w:rPr>
                <w:rFonts w:eastAsia="TimesNewRomanPSMT" w:cs="Times New Roman"/>
                <w:kern w:val="0"/>
              </w:rPr>
              <w:t>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57" w:type="pct"/>
            <w:vAlign w:val="center"/>
          </w:tcPr>
          <w:p>
            <w:pPr>
              <w:pStyle w:val="39"/>
              <w:rPr>
                <w:rFonts w:cs="Times New Roman"/>
              </w:rPr>
            </w:pPr>
            <w:r>
              <w:rPr>
                <w:rFonts w:cs="Times New Roman"/>
              </w:rPr>
              <w:t>5</w:t>
            </w:r>
          </w:p>
        </w:tc>
        <w:tc>
          <w:tcPr>
            <w:tcW w:w="815" w:type="pct"/>
            <w:vAlign w:val="center"/>
          </w:tcPr>
          <w:p>
            <w:pPr>
              <w:pStyle w:val="39"/>
              <w:rPr>
                <w:rFonts w:cs="Times New Roman"/>
              </w:rPr>
            </w:pPr>
            <w:r>
              <w:rPr>
                <w:rFonts w:cs="Times New Roman"/>
                <w:kern w:val="0"/>
              </w:rPr>
              <w:t>减振</w:t>
            </w:r>
          </w:p>
        </w:tc>
        <w:tc>
          <w:tcPr>
            <w:tcW w:w="2378" w:type="pct"/>
            <w:vAlign w:val="center"/>
          </w:tcPr>
          <w:p>
            <w:pPr>
              <w:pStyle w:val="39"/>
              <w:rPr>
                <w:rFonts w:cs="Times New Roman"/>
              </w:rPr>
            </w:pPr>
            <w:r>
              <w:rPr>
                <w:rFonts w:cs="Times New Roman"/>
                <w:kern w:val="0"/>
              </w:rPr>
              <w:t>设备金属外壳、管道等振动噪声严重</w:t>
            </w:r>
          </w:p>
        </w:tc>
        <w:tc>
          <w:tcPr>
            <w:tcW w:w="1250" w:type="pct"/>
            <w:vAlign w:val="center"/>
          </w:tcPr>
          <w:p>
            <w:pPr>
              <w:pStyle w:val="39"/>
              <w:rPr>
                <w:rFonts w:cs="Times New Roman"/>
              </w:rPr>
            </w:pPr>
            <w:r>
              <w:rPr>
                <w:rFonts w:eastAsia="TimesNewRomanPSMT" w:cs="Times New Roman"/>
                <w:kern w:val="0"/>
              </w:rPr>
              <w:t>5~15</w:t>
            </w:r>
          </w:p>
        </w:tc>
      </w:tr>
    </w:tbl>
    <w:p>
      <w:pPr>
        <w:pStyle w:val="3"/>
        <w:tabs>
          <w:tab w:val="left" w:pos="2168"/>
        </w:tabs>
        <w:ind w:firstLine="480"/>
        <w:rPr>
          <w:rFonts w:cs="Times New Roman"/>
        </w:rPr>
      </w:pPr>
      <w:r>
        <w:rPr>
          <w:rFonts w:cs="Times New Roman"/>
        </w:rPr>
        <w:tab/>
      </w:r>
    </w:p>
    <w:p>
      <w:pPr>
        <w:pStyle w:val="3"/>
        <w:tabs>
          <w:tab w:val="left" w:pos="2168"/>
        </w:tabs>
        <w:ind w:firstLine="480"/>
        <w:rPr>
          <w:rFonts w:cs="Times New Roman"/>
        </w:rPr>
      </w:pPr>
      <w:r>
        <w:rPr>
          <w:rFonts w:cs="Times New Roman"/>
        </w:rPr>
        <w:t>（2）从传播途径上控制降低噪声</w:t>
      </w:r>
    </w:p>
    <w:p>
      <w:pPr>
        <w:pStyle w:val="3"/>
        <w:tabs>
          <w:tab w:val="left" w:pos="2168"/>
        </w:tabs>
        <w:ind w:firstLine="480"/>
        <w:rPr>
          <w:rFonts w:cs="Times New Roman"/>
        </w:rPr>
      </w:pPr>
      <w:r>
        <w:rPr>
          <w:rFonts w:hint="eastAsia" w:ascii="宋体" w:hAnsi="宋体" w:cs="宋体"/>
        </w:rPr>
        <w:t>①</w:t>
      </w:r>
      <w:r>
        <w:rPr>
          <w:rFonts w:cs="Times New Roman"/>
        </w:rPr>
        <w:t>建筑物隔声。水泵、风机等强噪声设备也应采用封闭式结构，门窗采用隔声效果显著的材料和结构方式。</w:t>
      </w:r>
    </w:p>
    <w:p>
      <w:pPr>
        <w:pStyle w:val="3"/>
        <w:tabs>
          <w:tab w:val="left" w:pos="2168"/>
        </w:tabs>
        <w:ind w:firstLine="480"/>
        <w:rPr>
          <w:rFonts w:cs="Times New Roman"/>
        </w:rPr>
      </w:pPr>
      <w:r>
        <w:rPr>
          <w:rFonts w:hint="eastAsia" w:ascii="宋体" w:hAnsi="宋体" w:cs="宋体"/>
        </w:rPr>
        <w:t>②</w:t>
      </w:r>
      <w:r>
        <w:rPr>
          <w:rFonts w:cs="Times New Roman"/>
        </w:rPr>
        <w:t>在厂界及车间外，结合场区绿化，种植一些吸尘、消声效果较好的常绿乔木和灌木，即可美化环境，又可以减轻噪声对外界的影响。</w:t>
      </w:r>
    </w:p>
    <w:p>
      <w:pPr>
        <w:pStyle w:val="3"/>
        <w:tabs>
          <w:tab w:val="left" w:pos="2168"/>
        </w:tabs>
        <w:ind w:firstLine="480"/>
        <w:rPr>
          <w:rFonts w:cs="Times New Roman"/>
        </w:rPr>
      </w:pPr>
      <w:r>
        <w:rPr>
          <w:rFonts w:hint="eastAsia" w:ascii="宋体" w:hAnsi="宋体" w:cs="宋体"/>
        </w:rPr>
        <w:t>③</w:t>
      </w:r>
      <w:r>
        <w:rPr>
          <w:rFonts w:cs="Times New Roman"/>
        </w:rPr>
        <w:t>项目主要生产设备在布置时应当相对远离厂界。</w:t>
      </w:r>
    </w:p>
    <w:p>
      <w:pPr>
        <w:pStyle w:val="3"/>
        <w:ind w:firstLine="480"/>
        <w:rPr>
          <w:rFonts w:cs="Times New Roman"/>
        </w:rPr>
      </w:pPr>
      <w:r>
        <w:rPr>
          <w:rFonts w:cs="Times New Roman"/>
        </w:rPr>
        <w:t>通过以上分析，项目对高噪声设备采取如下控制措施，见表6.2-5。</w:t>
      </w:r>
    </w:p>
    <w:p>
      <w:pPr>
        <w:pStyle w:val="15"/>
        <w:rPr>
          <w:rFonts w:cs="Times New Roman"/>
        </w:rPr>
      </w:pPr>
      <w:r>
        <w:rPr>
          <w:rFonts w:cs="Times New Roman"/>
        </w:rPr>
        <w:t xml:space="preserve">表6.2-5   </w:t>
      </w:r>
      <w:r>
        <w:rPr>
          <w:rFonts w:eastAsia="TimesNewRomanPS-BoldMT" w:cs="Times New Roman"/>
          <w:b/>
          <w:bCs/>
        </w:rPr>
        <w:t xml:space="preserve"> </w:t>
      </w:r>
      <w:r>
        <w:rPr>
          <w:rFonts w:cs="Times New Roman"/>
        </w:rPr>
        <w:t>项目主要设备噪声防治措施  单位：dB(A)</w:t>
      </w:r>
    </w:p>
    <w:tbl>
      <w:tblPr>
        <w:tblStyle w:val="2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559"/>
        <w:gridCol w:w="708"/>
        <w:gridCol w:w="4396"/>
        <w:gridCol w:w="708"/>
        <w:gridCol w:w="1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68" w:type="pct"/>
            <w:vAlign w:val="center"/>
          </w:tcPr>
          <w:p>
            <w:pPr>
              <w:pStyle w:val="39"/>
              <w:rPr>
                <w:rFonts w:cs="Times New Roman"/>
              </w:rPr>
            </w:pPr>
            <w:r>
              <w:rPr>
                <w:rFonts w:cs="Times New Roman"/>
              </w:rPr>
              <w:t>序号</w:t>
            </w:r>
          </w:p>
        </w:tc>
        <w:tc>
          <w:tcPr>
            <w:tcW w:w="850" w:type="pct"/>
            <w:vAlign w:val="center"/>
          </w:tcPr>
          <w:p>
            <w:pPr>
              <w:pStyle w:val="39"/>
              <w:rPr>
                <w:rFonts w:cs="Times New Roman"/>
              </w:rPr>
            </w:pPr>
            <w:r>
              <w:rPr>
                <w:rFonts w:cs="Times New Roman"/>
              </w:rPr>
              <w:t>污染源</w:t>
            </w:r>
          </w:p>
        </w:tc>
        <w:tc>
          <w:tcPr>
            <w:tcW w:w="386" w:type="pct"/>
            <w:vAlign w:val="center"/>
          </w:tcPr>
          <w:p>
            <w:pPr>
              <w:pStyle w:val="39"/>
              <w:rPr>
                <w:rFonts w:cs="Times New Roman"/>
              </w:rPr>
            </w:pPr>
            <w:r>
              <w:rPr>
                <w:rFonts w:cs="Times New Roman"/>
              </w:rPr>
              <w:t>最大声级值</w:t>
            </w:r>
          </w:p>
        </w:tc>
        <w:tc>
          <w:tcPr>
            <w:tcW w:w="2396" w:type="pct"/>
            <w:vAlign w:val="center"/>
          </w:tcPr>
          <w:p>
            <w:pPr>
              <w:pStyle w:val="39"/>
              <w:rPr>
                <w:rFonts w:cs="Times New Roman"/>
              </w:rPr>
            </w:pPr>
            <w:r>
              <w:rPr>
                <w:rFonts w:cs="Times New Roman"/>
              </w:rPr>
              <w:t>治理措施</w:t>
            </w:r>
          </w:p>
        </w:tc>
        <w:tc>
          <w:tcPr>
            <w:tcW w:w="386" w:type="pct"/>
            <w:vAlign w:val="center"/>
          </w:tcPr>
          <w:p>
            <w:pPr>
              <w:pStyle w:val="39"/>
              <w:rPr>
                <w:rFonts w:cs="Times New Roman"/>
              </w:rPr>
            </w:pPr>
            <w:r>
              <w:rPr>
                <w:rFonts w:cs="Times New Roman"/>
              </w:rPr>
              <w:t>降噪效果</w:t>
            </w:r>
          </w:p>
        </w:tc>
        <w:tc>
          <w:tcPr>
            <w:tcW w:w="614" w:type="pct"/>
            <w:vAlign w:val="center"/>
          </w:tcPr>
          <w:p>
            <w:pPr>
              <w:pStyle w:val="39"/>
              <w:rPr>
                <w:rFonts w:cs="Times New Roman"/>
              </w:rPr>
            </w:pPr>
            <w:r>
              <w:rPr>
                <w:rFonts w:cs="Times New Roman"/>
              </w:rPr>
              <w:t>降噪后的噪声值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68" w:type="pct"/>
            <w:vAlign w:val="center"/>
          </w:tcPr>
          <w:p>
            <w:pPr>
              <w:pStyle w:val="39"/>
              <w:rPr>
                <w:rFonts w:cs="Times New Roman"/>
              </w:rPr>
            </w:pPr>
            <w:r>
              <w:rPr>
                <w:rFonts w:cs="Times New Roman"/>
              </w:rPr>
              <w:t>1</w:t>
            </w:r>
          </w:p>
        </w:tc>
        <w:tc>
          <w:tcPr>
            <w:tcW w:w="850" w:type="pct"/>
            <w:vAlign w:val="center"/>
          </w:tcPr>
          <w:p>
            <w:pPr>
              <w:pStyle w:val="39"/>
            </w:pPr>
            <w:r>
              <w:t>鸡叫</w:t>
            </w:r>
          </w:p>
        </w:tc>
        <w:tc>
          <w:tcPr>
            <w:tcW w:w="386" w:type="pct"/>
            <w:vAlign w:val="center"/>
          </w:tcPr>
          <w:p>
            <w:pPr>
              <w:pStyle w:val="39"/>
            </w:pPr>
            <w:r>
              <w:rPr>
                <w:rFonts w:hint="eastAsia"/>
              </w:rPr>
              <w:t>5</w:t>
            </w:r>
            <w:r>
              <w:t>5</w:t>
            </w:r>
          </w:p>
        </w:tc>
        <w:tc>
          <w:tcPr>
            <w:tcW w:w="2396" w:type="pct"/>
            <w:vAlign w:val="center"/>
          </w:tcPr>
          <w:p>
            <w:pPr>
              <w:pStyle w:val="39"/>
            </w:pPr>
            <w:r>
              <w:t>鸡舍隔声</w:t>
            </w:r>
          </w:p>
        </w:tc>
        <w:tc>
          <w:tcPr>
            <w:tcW w:w="386" w:type="pct"/>
            <w:vAlign w:val="center"/>
          </w:tcPr>
          <w:p>
            <w:pPr>
              <w:pStyle w:val="39"/>
            </w:pPr>
            <w:r>
              <w:t>10</w:t>
            </w:r>
          </w:p>
        </w:tc>
        <w:tc>
          <w:tcPr>
            <w:tcW w:w="614" w:type="pct"/>
            <w:vAlign w:val="center"/>
          </w:tcPr>
          <w:p>
            <w:pPr>
              <w:pStyle w:val="39"/>
            </w:pPr>
            <w:r>
              <w:rPr>
                <w:rFonts w:hint="eastAsia"/>
              </w:rPr>
              <w:t>4</w:t>
            </w:r>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68" w:type="pct"/>
            <w:vAlign w:val="center"/>
          </w:tcPr>
          <w:p>
            <w:pPr>
              <w:pStyle w:val="39"/>
              <w:rPr>
                <w:rFonts w:cs="Times New Roman"/>
              </w:rPr>
            </w:pPr>
            <w:r>
              <w:rPr>
                <w:rFonts w:cs="Times New Roman"/>
              </w:rPr>
              <w:t>2</w:t>
            </w:r>
          </w:p>
        </w:tc>
        <w:tc>
          <w:tcPr>
            <w:tcW w:w="850" w:type="pct"/>
            <w:vAlign w:val="center"/>
          </w:tcPr>
          <w:p>
            <w:pPr>
              <w:pStyle w:val="39"/>
            </w:pPr>
            <w:r>
              <w:rPr>
                <w:rFonts w:hint="eastAsia"/>
              </w:rPr>
              <w:t>水泵</w:t>
            </w:r>
          </w:p>
        </w:tc>
        <w:tc>
          <w:tcPr>
            <w:tcW w:w="386" w:type="pct"/>
            <w:vAlign w:val="center"/>
          </w:tcPr>
          <w:p>
            <w:pPr>
              <w:pStyle w:val="39"/>
            </w:pPr>
            <w:r>
              <w:t>80</w:t>
            </w:r>
          </w:p>
        </w:tc>
        <w:tc>
          <w:tcPr>
            <w:tcW w:w="2396" w:type="pct"/>
            <w:vAlign w:val="center"/>
          </w:tcPr>
          <w:p>
            <w:pPr>
              <w:pStyle w:val="39"/>
            </w:pPr>
            <w:r>
              <w:t>选用低噪声设备，采取减振隔声</w:t>
            </w:r>
          </w:p>
        </w:tc>
        <w:tc>
          <w:tcPr>
            <w:tcW w:w="386" w:type="pct"/>
            <w:vAlign w:val="center"/>
          </w:tcPr>
          <w:p>
            <w:pPr>
              <w:pStyle w:val="39"/>
            </w:pPr>
            <w:r>
              <w:rPr>
                <w:rFonts w:hint="eastAsia"/>
              </w:rPr>
              <w:t>18</w:t>
            </w:r>
          </w:p>
        </w:tc>
        <w:tc>
          <w:tcPr>
            <w:tcW w:w="614" w:type="pct"/>
            <w:vAlign w:val="center"/>
          </w:tcPr>
          <w:p>
            <w:pPr>
              <w:pStyle w:val="39"/>
            </w:pPr>
            <w:r>
              <w:rPr>
                <w:rFonts w:hint="eastAsia"/>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68" w:type="pct"/>
            <w:vAlign w:val="center"/>
          </w:tcPr>
          <w:p>
            <w:pPr>
              <w:pStyle w:val="39"/>
              <w:rPr>
                <w:rFonts w:cs="Times New Roman"/>
              </w:rPr>
            </w:pPr>
            <w:r>
              <w:rPr>
                <w:rFonts w:cs="Times New Roman"/>
              </w:rPr>
              <w:t>3</w:t>
            </w:r>
          </w:p>
        </w:tc>
        <w:tc>
          <w:tcPr>
            <w:tcW w:w="850" w:type="pct"/>
            <w:vAlign w:val="center"/>
          </w:tcPr>
          <w:p>
            <w:pPr>
              <w:pStyle w:val="39"/>
            </w:pPr>
            <w:r>
              <w:rPr>
                <w:rFonts w:hint="eastAsia"/>
              </w:rPr>
              <w:t>刮板输送机</w:t>
            </w:r>
          </w:p>
        </w:tc>
        <w:tc>
          <w:tcPr>
            <w:tcW w:w="386" w:type="pct"/>
            <w:vAlign w:val="center"/>
          </w:tcPr>
          <w:p>
            <w:pPr>
              <w:pStyle w:val="39"/>
            </w:pPr>
            <w:r>
              <w:t>80</w:t>
            </w:r>
          </w:p>
        </w:tc>
        <w:tc>
          <w:tcPr>
            <w:tcW w:w="2396" w:type="pct"/>
            <w:vAlign w:val="center"/>
          </w:tcPr>
          <w:p>
            <w:pPr>
              <w:pStyle w:val="39"/>
            </w:pPr>
            <w:r>
              <w:t>选用低噪声设备，采取加装减震垫、房屋隔声</w:t>
            </w:r>
          </w:p>
        </w:tc>
        <w:tc>
          <w:tcPr>
            <w:tcW w:w="386" w:type="pct"/>
            <w:vAlign w:val="center"/>
          </w:tcPr>
          <w:p>
            <w:pPr>
              <w:pStyle w:val="39"/>
            </w:pPr>
            <w:r>
              <w:rPr>
                <w:rFonts w:hint="eastAsia"/>
              </w:rPr>
              <w:t>18</w:t>
            </w:r>
          </w:p>
        </w:tc>
        <w:tc>
          <w:tcPr>
            <w:tcW w:w="614" w:type="pct"/>
            <w:vAlign w:val="center"/>
          </w:tcPr>
          <w:p>
            <w:pPr>
              <w:pStyle w:val="39"/>
            </w:pPr>
            <w: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68" w:type="pct"/>
            <w:vAlign w:val="center"/>
          </w:tcPr>
          <w:p>
            <w:pPr>
              <w:pStyle w:val="39"/>
              <w:rPr>
                <w:rFonts w:cs="Times New Roman"/>
              </w:rPr>
            </w:pPr>
            <w:r>
              <w:rPr>
                <w:rFonts w:cs="Times New Roman"/>
              </w:rPr>
              <w:t>4</w:t>
            </w:r>
          </w:p>
        </w:tc>
        <w:tc>
          <w:tcPr>
            <w:tcW w:w="850" w:type="pct"/>
            <w:vAlign w:val="center"/>
          </w:tcPr>
          <w:p>
            <w:pPr>
              <w:pStyle w:val="39"/>
            </w:pPr>
            <w:r>
              <w:rPr>
                <w:rFonts w:hint="eastAsia"/>
              </w:rPr>
              <w:t>鸡舍通风系统</w:t>
            </w:r>
          </w:p>
        </w:tc>
        <w:tc>
          <w:tcPr>
            <w:tcW w:w="386" w:type="pct"/>
            <w:vAlign w:val="center"/>
          </w:tcPr>
          <w:p>
            <w:pPr>
              <w:pStyle w:val="39"/>
            </w:pPr>
            <w:r>
              <w:t>80</w:t>
            </w:r>
          </w:p>
        </w:tc>
        <w:tc>
          <w:tcPr>
            <w:tcW w:w="2396" w:type="pct"/>
            <w:vAlign w:val="center"/>
          </w:tcPr>
          <w:p>
            <w:pPr>
              <w:pStyle w:val="39"/>
            </w:pPr>
            <w:r>
              <w:t>选用低噪声设备，采取加装减震垫</w:t>
            </w:r>
          </w:p>
        </w:tc>
        <w:tc>
          <w:tcPr>
            <w:tcW w:w="386" w:type="pct"/>
            <w:vAlign w:val="center"/>
          </w:tcPr>
          <w:p>
            <w:pPr>
              <w:pStyle w:val="39"/>
            </w:pPr>
            <w:r>
              <w:t>8</w:t>
            </w:r>
          </w:p>
        </w:tc>
        <w:tc>
          <w:tcPr>
            <w:tcW w:w="614" w:type="pct"/>
            <w:vAlign w:val="center"/>
          </w:tcPr>
          <w:p>
            <w:pPr>
              <w:pStyle w:val="39"/>
            </w:pPr>
            <w:r>
              <w:rPr>
                <w:rFonts w:hint="eastAsia"/>
              </w:rPr>
              <w:t>7</w:t>
            </w: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68" w:type="pct"/>
            <w:vAlign w:val="center"/>
          </w:tcPr>
          <w:p>
            <w:pPr>
              <w:pStyle w:val="39"/>
              <w:rPr>
                <w:rFonts w:cs="Times New Roman"/>
              </w:rPr>
            </w:pPr>
            <w:r>
              <w:rPr>
                <w:rFonts w:cs="Times New Roman"/>
              </w:rPr>
              <w:t>5</w:t>
            </w:r>
          </w:p>
        </w:tc>
        <w:tc>
          <w:tcPr>
            <w:tcW w:w="850" w:type="pct"/>
            <w:vAlign w:val="center"/>
          </w:tcPr>
          <w:p>
            <w:pPr>
              <w:pStyle w:val="39"/>
            </w:pPr>
            <w:r>
              <w:rPr>
                <w:rFonts w:hint="eastAsia"/>
              </w:rPr>
              <w:t>鸡蛋分选设备</w:t>
            </w:r>
          </w:p>
        </w:tc>
        <w:tc>
          <w:tcPr>
            <w:tcW w:w="386" w:type="pct"/>
            <w:vAlign w:val="center"/>
          </w:tcPr>
          <w:p>
            <w:pPr>
              <w:pStyle w:val="39"/>
            </w:pPr>
            <w:r>
              <w:t>90</w:t>
            </w:r>
          </w:p>
        </w:tc>
        <w:tc>
          <w:tcPr>
            <w:tcW w:w="2396" w:type="pct"/>
            <w:vAlign w:val="center"/>
          </w:tcPr>
          <w:p>
            <w:pPr>
              <w:pStyle w:val="39"/>
            </w:pPr>
            <w:r>
              <w:t>选用低噪声设备，采取加装减震垫、房屋隔声</w:t>
            </w:r>
          </w:p>
        </w:tc>
        <w:tc>
          <w:tcPr>
            <w:tcW w:w="386" w:type="pct"/>
            <w:vAlign w:val="center"/>
          </w:tcPr>
          <w:p>
            <w:pPr>
              <w:pStyle w:val="39"/>
            </w:pPr>
            <w:r>
              <w:t>18</w:t>
            </w:r>
          </w:p>
        </w:tc>
        <w:tc>
          <w:tcPr>
            <w:tcW w:w="614" w:type="pct"/>
            <w:vAlign w:val="center"/>
          </w:tcPr>
          <w:p>
            <w:pPr>
              <w:pStyle w:val="39"/>
            </w:pPr>
            <w:r>
              <w:rPr>
                <w:rFonts w:hint="eastAsia"/>
              </w:rPr>
              <w:t>7</w:t>
            </w: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68" w:type="pct"/>
            <w:vAlign w:val="center"/>
          </w:tcPr>
          <w:p>
            <w:pPr>
              <w:pStyle w:val="39"/>
              <w:rPr>
                <w:rFonts w:cs="Times New Roman"/>
              </w:rPr>
            </w:pPr>
            <w:r>
              <w:rPr>
                <w:rFonts w:hint="eastAsia" w:cs="Times New Roman"/>
              </w:rPr>
              <w:t>6</w:t>
            </w:r>
          </w:p>
        </w:tc>
        <w:tc>
          <w:tcPr>
            <w:tcW w:w="850" w:type="pct"/>
            <w:vAlign w:val="center"/>
          </w:tcPr>
          <w:p>
            <w:pPr>
              <w:pStyle w:val="39"/>
            </w:pPr>
            <w:r>
              <w:rPr>
                <w:rFonts w:hint="eastAsia"/>
              </w:rPr>
              <w:t>多赛干燥机</w:t>
            </w:r>
          </w:p>
        </w:tc>
        <w:tc>
          <w:tcPr>
            <w:tcW w:w="386" w:type="pct"/>
            <w:vAlign w:val="center"/>
          </w:tcPr>
          <w:p>
            <w:pPr>
              <w:pStyle w:val="39"/>
            </w:pPr>
            <w:r>
              <w:t>90</w:t>
            </w:r>
          </w:p>
        </w:tc>
        <w:tc>
          <w:tcPr>
            <w:tcW w:w="2396" w:type="pct"/>
            <w:vAlign w:val="center"/>
          </w:tcPr>
          <w:p>
            <w:pPr>
              <w:pStyle w:val="39"/>
            </w:pPr>
            <w:r>
              <w:t>选用低噪声设备，采取加装减震垫、隔声</w:t>
            </w:r>
          </w:p>
        </w:tc>
        <w:tc>
          <w:tcPr>
            <w:tcW w:w="386" w:type="pct"/>
            <w:vAlign w:val="center"/>
          </w:tcPr>
          <w:p>
            <w:pPr>
              <w:pStyle w:val="39"/>
            </w:pPr>
            <w:r>
              <w:t>18</w:t>
            </w:r>
          </w:p>
        </w:tc>
        <w:tc>
          <w:tcPr>
            <w:tcW w:w="614" w:type="pct"/>
            <w:vAlign w:val="center"/>
          </w:tcPr>
          <w:p>
            <w:pPr>
              <w:pStyle w:val="39"/>
            </w:pPr>
            <w:r>
              <w:t>72</w:t>
            </w:r>
          </w:p>
        </w:tc>
      </w:tr>
    </w:tbl>
    <w:p>
      <w:pPr>
        <w:pStyle w:val="3"/>
        <w:ind w:firstLine="480"/>
        <w:rPr>
          <w:rFonts w:cs="Times New Roman"/>
        </w:rPr>
      </w:pPr>
    </w:p>
    <w:p>
      <w:pPr>
        <w:pStyle w:val="3"/>
        <w:ind w:firstLine="480"/>
        <w:rPr>
          <w:rFonts w:cs="Times New Roman"/>
        </w:rPr>
      </w:pPr>
      <w:r>
        <w:rPr>
          <w:rFonts w:cs="Times New Roman"/>
        </w:rPr>
        <w:t>经上述治理后可有效减少各类噪声源在厂房内外的扩散，降低噪声对环境造成的污染。根据预测结果，项目各设备经采取有效的降噪措施，项目养殖场边界噪声可以达到《工业企业厂界环境噪声排放标准》（GB12348-2008）中2类标准。因此，处理措施技术经济合理可行。</w:t>
      </w:r>
    </w:p>
    <w:p>
      <w:pPr>
        <w:pStyle w:val="6"/>
      </w:pPr>
      <w:r>
        <w:t>固体废物污染治理措施及其可行性分析</w:t>
      </w:r>
    </w:p>
    <w:p>
      <w:pPr>
        <w:pStyle w:val="3"/>
        <w:tabs>
          <w:tab w:val="left" w:pos="2168"/>
        </w:tabs>
        <w:ind w:firstLine="480"/>
        <w:rPr>
          <w:rFonts w:cs="Times New Roman"/>
        </w:rPr>
      </w:pPr>
      <w:r>
        <w:rPr>
          <w:rFonts w:cs="Times New Roman"/>
        </w:rPr>
        <w:t>根据工程分析结果，包括鸡粪、病死鸡、</w:t>
      </w:r>
      <w:r>
        <w:rPr>
          <w:rFonts w:hint="eastAsia" w:cs="Times New Roman"/>
        </w:rPr>
        <w:t>蛋液及</w:t>
      </w:r>
      <w:r>
        <w:rPr>
          <w:rFonts w:cs="Times New Roman"/>
        </w:rPr>
        <w:t>蛋壳、废包装物料、医疗垃圾、污泥和员工办公生活垃圾等。</w:t>
      </w:r>
    </w:p>
    <w:p>
      <w:pPr>
        <w:pStyle w:val="3"/>
        <w:tabs>
          <w:tab w:val="left" w:pos="2168"/>
        </w:tabs>
        <w:ind w:firstLine="480"/>
        <w:rPr>
          <w:rFonts w:cs="Times New Roman"/>
        </w:rPr>
      </w:pPr>
      <w:r>
        <w:rPr>
          <w:rFonts w:cs="Times New Roman"/>
        </w:rPr>
        <w:t>（1）鸡粪</w:t>
      </w:r>
    </w:p>
    <w:p>
      <w:pPr>
        <w:pStyle w:val="3"/>
        <w:tabs>
          <w:tab w:val="left" w:pos="2168"/>
        </w:tabs>
        <w:ind w:firstLine="480"/>
        <w:rPr>
          <w:rFonts w:cs="Times New Roman"/>
        </w:rPr>
      </w:pPr>
      <w:r>
        <w:rPr>
          <w:rFonts w:cs="Times New Roman"/>
        </w:rPr>
        <w:t>项目鸡粪采用</w:t>
      </w:r>
      <w:r>
        <w:rPr>
          <w:rFonts w:hint="eastAsia" w:cs="Times New Roman"/>
        </w:rPr>
        <w:t>法国多赛干燥机</w:t>
      </w:r>
      <w:r>
        <w:rPr>
          <w:rFonts w:cs="Times New Roman"/>
        </w:rPr>
        <w:t>制作有机肥；鸡粪产生量约为</w:t>
      </w:r>
      <w:r>
        <w:rPr>
          <w:rFonts w:hint="eastAsia" w:cs="Times New Roman"/>
          <w:kern w:val="0"/>
        </w:rPr>
        <w:t>9638.28t/a</w:t>
      </w:r>
      <w:r>
        <w:rPr>
          <w:rFonts w:cs="Times New Roman"/>
        </w:rPr>
        <w:t>。</w:t>
      </w:r>
    </w:p>
    <w:p>
      <w:pPr>
        <w:pStyle w:val="3"/>
        <w:tabs>
          <w:tab w:val="left" w:pos="2168"/>
        </w:tabs>
        <w:ind w:firstLine="480"/>
        <w:rPr>
          <w:rFonts w:cs="Times New Roman"/>
        </w:rPr>
      </w:pPr>
      <w:r>
        <w:rPr>
          <w:rFonts w:hint="eastAsia" w:cs="Times New Roman"/>
        </w:rPr>
        <w:t>法国多赛干燥机</w:t>
      </w:r>
      <w:r>
        <w:rPr>
          <w:rFonts w:cs="Times New Roman"/>
        </w:rPr>
        <w:t>环保处理技术工艺简介：</w:t>
      </w:r>
    </w:p>
    <w:p>
      <w:pPr>
        <w:pStyle w:val="3"/>
        <w:ind w:firstLine="480"/>
      </w:pPr>
      <w:r>
        <w:rPr>
          <w:rFonts w:hint="eastAsia"/>
        </w:rPr>
        <w:t>多赛干燥机是带式干燥设备，安装在鸡舍北侧，鸡舍内部的鸡粪（含水率约为75%）通过传输带传链接到鸡粪处理设备的传输装置把鸡舍内部的鸡粪传送到鸡粪干燥设备上；鸡粪传送到处理设备最上层粪板上，通过摆动的传输设备把鸡粪均匀的分布在处理设备上面；设备外部采用密封处理，建有压力仓，鸡舍尾端排出的废气由高压风机引入到鸡粪干燥设备中间，通过粪板上面的密布缝隙进行鸡粪的干燥和粉尘的处理。整个系统每8个小时启动一次，每次进料铺满干燥设备一层，同时最下层干鸡粪完成出料；</w:t>
      </w:r>
      <w:r>
        <w:rPr>
          <w:rFonts w:cs="Times New Roman"/>
        </w:rPr>
        <w:t>粪便的水分</w:t>
      </w:r>
      <w:r>
        <w:rPr>
          <w:rFonts w:hint="eastAsia" w:cs="Times New Roman"/>
        </w:rPr>
        <w:t>在干燥机内以最快的速度</w:t>
      </w:r>
      <w:r>
        <w:rPr>
          <w:rFonts w:cs="Times New Roman"/>
        </w:rPr>
        <w:t>蒸发，从而使粪便体积减少，达到减量化、稳定化处理目的。</w:t>
      </w:r>
      <w:r>
        <w:rPr>
          <w:rFonts w:hint="eastAsia" w:cs="Times New Roman"/>
        </w:rPr>
        <w:t>水分蒸发</w:t>
      </w:r>
      <w:r>
        <w:rPr>
          <w:rFonts w:cs="Times New Roman"/>
        </w:rPr>
        <w:t>过程中能够使病原菌和寄生虫死亡，死亡率≥95%，达到粪便无害化处理的目的。处理后的物料一部分作为回流物料与新进物料混合，大部分进入有机肥车间陈化处理后作为有机肥料出售，实现粪便的资源化利用。</w:t>
      </w:r>
      <w:r>
        <w:rPr>
          <w:rFonts w:hint="eastAsia" w:cs="Times New Roman"/>
        </w:rPr>
        <w:t>由于鸡粪基本不会进行</w:t>
      </w:r>
      <w:r>
        <w:rPr>
          <w:rFonts w:cs="Times New Roman"/>
        </w:rPr>
        <w:t>发酵</w:t>
      </w:r>
      <w:r>
        <w:rPr>
          <w:rFonts w:hint="eastAsia" w:cs="Times New Roman"/>
        </w:rPr>
        <w:t>，因此减少了恶臭气体的产生对环境空气产生污染</w:t>
      </w:r>
      <w:r>
        <w:rPr>
          <w:rFonts w:cs="Times New Roman"/>
        </w:rPr>
        <w:t>。</w:t>
      </w:r>
    </w:p>
    <w:p>
      <w:pPr>
        <w:pStyle w:val="3"/>
        <w:tabs>
          <w:tab w:val="left" w:pos="2168"/>
        </w:tabs>
        <w:ind w:firstLine="480"/>
        <w:rPr>
          <w:rFonts w:cs="Times New Roman"/>
        </w:rPr>
      </w:pPr>
      <w:r>
        <w:rPr>
          <w:rFonts w:cs="Times New Roman"/>
        </w:rPr>
        <w:t>项目采用</w:t>
      </w:r>
      <w:r>
        <w:rPr>
          <w:rFonts w:hint="eastAsia"/>
        </w:rPr>
        <w:t>多赛干燥机</w:t>
      </w:r>
      <w:r>
        <w:rPr>
          <w:rFonts w:cs="Times New Roman"/>
        </w:rPr>
        <w:t>生产有机肥，类比</w:t>
      </w:r>
      <w:r>
        <w:rPr>
          <w:rFonts w:hint="eastAsia"/>
        </w:rPr>
        <w:t>湖南省衡阳市衡东县衡阳鲜盛农产品有限公司</w:t>
      </w:r>
      <w:r>
        <w:rPr>
          <w:rFonts w:cs="Times New Roman"/>
        </w:rPr>
        <w:t>，该项目鸡粪与本项目采用相同的</w:t>
      </w:r>
      <w:r>
        <w:rPr>
          <w:rFonts w:hint="eastAsia" w:cs="Times New Roman"/>
        </w:rPr>
        <w:t>设备</w:t>
      </w:r>
      <w:r>
        <w:rPr>
          <w:rFonts w:cs="Times New Roman"/>
        </w:rPr>
        <w:t>，竣工验收中有机肥经检测可满足《畜禽养殖业污染治理工程技术规范》（HJ497-2009）和关于印发《畜禽粪污资源化利用行动方案》（2017-2020）中的相关规定，处置措施可行。</w:t>
      </w:r>
    </w:p>
    <w:p>
      <w:pPr>
        <w:pStyle w:val="3"/>
        <w:tabs>
          <w:tab w:val="left" w:pos="2168"/>
        </w:tabs>
        <w:ind w:firstLine="480"/>
        <w:rPr>
          <w:rFonts w:cs="Times New Roman"/>
        </w:rPr>
      </w:pPr>
      <w:r>
        <w:rPr>
          <w:rFonts w:cs="Times New Roman"/>
        </w:rPr>
        <w:t>（2）病死鸡、</w:t>
      </w:r>
      <w:r>
        <w:rPr>
          <w:rFonts w:hint="eastAsia" w:cs="Times New Roman"/>
        </w:rPr>
        <w:t>蛋液</w:t>
      </w:r>
      <w:r>
        <w:rPr>
          <w:rFonts w:cs="Times New Roman"/>
        </w:rPr>
        <w:t>和蛋壳</w:t>
      </w:r>
    </w:p>
    <w:p>
      <w:pPr>
        <w:pStyle w:val="3"/>
        <w:tabs>
          <w:tab w:val="left" w:pos="2168"/>
        </w:tabs>
        <w:ind w:firstLine="480"/>
        <w:rPr>
          <w:rFonts w:cs="Times New Roman"/>
          <w:u w:val="single"/>
        </w:rPr>
      </w:pPr>
      <w:r>
        <w:rPr>
          <w:rFonts w:hint="eastAsia" w:cs="Times New Roman"/>
          <w:u w:val="single"/>
        </w:rPr>
        <w:t>病死鸡暂存</w:t>
      </w:r>
      <w:r>
        <w:rPr>
          <w:rFonts w:cs="Times New Roman"/>
          <w:u w:val="single"/>
        </w:rPr>
        <w:t>在</w:t>
      </w:r>
      <w:r>
        <w:rPr>
          <w:rFonts w:hint="eastAsia" w:cs="Times New Roman"/>
          <w:u w:val="single"/>
        </w:rPr>
        <w:t>冰柜</w:t>
      </w:r>
      <w:r>
        <w:rPr>
          <w:rFonts w:cs="Times New Roman"/>
          <w:u w:val="single"/>
        </w:rPr>
        <w:t>内</w:t>
      </w:r>
      <w:r>
        <w:rPr>
          <w:rFonts w:hint="eastAsia" w:cs="Times New Roman"/>
          <w:u w:val="single"/>
        </w:rPr>
        <w:t>，</w:t>
      </w:r>
      <w:r>
        <w:rPr>
          <w:rFonts w:cs="Times New Roman"/>
          <w:u w:val="single"/>
        </w:rPr>
        <w:t>定期</w:t>
      </w:r>
      <w:r>
        <w:rPr>
          <w:rFonts w:hint="eastAsia" w:ascii="宋体" w:hAnsi="宋体" w:cs="宋体"/>
          <w:kern w:val="0"/>
          <w:szCs w:val="24"/>
          <w:u w:val="single"/>
        </w:rPr>
        <w:t>委托</w:t>
      </w:r>
      <w:r>
        <w:rPr>
          <w:rFonts w:ascii="宋体" w:hAnsi="宋体" w:cs="宋体"/>
          <w:kern w:val="0"/>
          <w:szCs w:val="24"/>
          <w:u w:val="single"/>
        </w:rPr>
        <w:t>衡阳县畜牧水产局统一</w:t>
      </w:r>
      <w:r>
        <w:rPr>
          <w:rFonts w:hint="eastAsia" w:ascii="宋体" w:hAnsi="宋体" w:cs="宋体"/>
          <w:kern w:val="0"/>
          <w:szCs w:val="24"/>
          <w:u w:val="single"/>
        </w:rPr>
        <w:t>收集，再</w:t>
      </w:r>
      <w:r>
        <w:rPr>
          <w:rFonts w:ascii="宋体" w:hAnsi="宋体" w:cs="宋体"/>
          <w:kern w:val="0"/>
          <w:szCs w:val="24"/>
          <w:u w:val="single"/>
        </w:rPr>
        <w:t>运至衡阳</w:t>
      </w:r>
      <w:r>
        <w:rPr>
          <w:rFonts w:hint="eastAsia" w:ascii="宋体" w:hAnsi="宋体" w:cs="宋体"/>
          <w:kern w:val="0"/>
          <w:szCs w:val="24"/>
          <w:u w:val="single"/>
        </w:rPr>
        <w:t>市</w:t>
      </w:r>
      <w:r>
        <w:rPr>
          <w:rFonts w:ascii="宋体" w:hAnsi="宋体" w:cs="宋体"/>
          <w:kern w:val="0"/>
          <w:szCs w:val="24"/>
          <w:u w:val="single"/>
        </w:rPr>
        <w:t>禾和</w:t>
      </w:r>
      <w:r>
        <w:rPr>
          <w:rFonts w:hint="eastAsia" w:ascii="宋体" w:hAnsi="宋体" w:cs="宋体"/>
          <w:kern w:val="0"/>
          <w:szCs w:val="24"/>
          <w:u w:val="single"/>
        </w:rPr>
        <w:t>动物无害化处理有限</w:t>
      </w:r>
      <w:r>
        <w:rPr>
          <w:rFonts w:ascii="宋体" w:hAnsi="宋体" w:cs="宋体"/>
          <w:kern w:val="0"/>
          <w:szCs w:val="24"/>
          <w:u w:val="single"/>
        </w:rPr>
        <w:t>公司无害化处置</w:t>
      </w:r>
      <w:r>
        <w:rPr>
          <w:rFonts w:hint="eastAsia" w:ascii="宋体" w:hAnsi="宋体" w:cs="宋体"/>
          <w:kern w:val="0"/>
          <w:szCs w:val="24"/>
          <w:u w:val="single"/>
        </w:rPr>
        <w:t>。</w:t>
      </w:r>
      <w:r>
        <w:rPr>
          <w:rFonts w:cs="Times New Roman"/>
          <w:u w:val="single"/>
        </w:rPr>
        <w:t>蛋壳收集</w:t>
      </w:r>
      <w:r>
        <w:rPr>
          <w:rFonts w:hint="eastAsia" w:cs="Times New Roman"/>
          <w:u w:val="single"/>
        </w:rPr>
        <w:t>破碎</w:t>
      </w:r>
      <w:r>
        <w:rPr>
          <w:rFonts w:cs="Times New Roman"/>
          <w:u w:val="single"/>
        </w:rPr>
        <w:t>后</w:t>
      </w:r>
      <w:r>
        <w:rPr>
          <w:rFonts w:hint="eastAsia" w:cs="Times New Roman"/>
          <w:u w:val="single"/>
        </w:rPr>
        <w:t>与鸡粪</w:t>
      </w:r>
      <w:r>
        <w:rPr>
          <w:rFonts w:cs="Times New Roman"/>
          <w:u w:val="single"/>
        </w:rPr>
        <w:t>一并制作成有机肥外售</w:t>
      </w:r>
      <w:r>
        <w:rPr>
          <w:rFonts w:hint="eastAsia" w:cs="Times New Roman"/>
          <w:u w:val="single"/>
        </w:rPr>
        <w:t>；</w:t>
      </w:r>
      <w:r>
        <w:rPr>
          <w:rFonts w:cs="Times New Roman"/>
          <w:u w:val="single"/>
        </w:rPr>
        <w:t>劣质蛋和破壳蛋制成蛋液</w:t>
      </w:r>
      <w:r>
        <w:rPr>
          <w:rFonts w:hint="eastAsia" w:cs="Times New Roman"/>
          <w:u w:val="single"/>
        </w:rPr>
        <w:t>作为企业自养甲鱼饲料；</w:t>
      </w:r>
      <w:r>
        <w:rPr>
          <w:rFonts w:cs="Times New Roman"/>
          <w:u w:val="single"/>
        </w:rPr>
        <w:t>得到有效物处理处置。</w:t>
      </w:r>
    </w:p>
    <w:p>
      <w:pPr>
        <w:pStyle w:val="3"/>
        <w:tabs>
          <w:tab w:val="left" w:pos="2168"/>
        </w:tabs>
        <w:ind w:firstLine="480"/>
        <w:rPr>
          <w:rFonts w:cs="Times New Roman"/>
          <w:u w:val="single"/>
        </w:rPr>
      </w:pPr>
      <w:r>
        <w:rPr>
          <w:rFonts w:cs="Times New Roman"/>
          <w:u w:val="single"/>
        </w:rPr>
        <w:t>要求建设单位结合本项目按照《病死动物无害化处理技术规范》有关规定对病死鸡进行管理、暂存和运输，具体要求如下：</w:t>
      </w:r>
    </w:p>
    <w:p>
      <w:pPr>
        <w:pStyle w:val="3"/>
        <w:tabs>
          <w:tab w:val="left" w:pos="2168"/>
        </w:tabs>
        <w:ind w:firstLine="480"/>
        <w:rPr>
          <w:rFonts w:cs="Times New Roman"/>
          <w:u w:val="single"/>
        </w:rPr>
      </w:pPr>
      <w:r>
        <w:rPr>
          <w:rFonts w:hint="eastAsia" w:ascii="宋体" w:hAnsi="宋体" w:cs="宋体"/>
          <w:u w:val="single"/>
        </w:rPr>
        <w:t>①</w:t>
      </w:r>
      <w:r>
        <w:rPr>
          <w:rFonts w:cs="Times New Roman"/>
          <w:u w:val="single"/>
        </w:rPr>
        <w:t>定期对</w:t>
      </w:r>
      <w:r>
        <w:rPr>
          <w:rFonts w:hint="eastAsia" w:cs="Times New Roman"/>
          <w:u w:val="single"/>
        </w:rPr>
        <w:t>暂存病死鸡</w:t>
      </w:r>
      <w:r>
        <w:rPr>
          <w:rFonts w:cs="Times New Roman"/>
          <w:u w:val="single"/>
        </w:rPr>
        <w:t>的冰柜进行清洗消毒；</w:t>
      </w:r>
    </w:p>
    <w:p>
      <w:pPr>
        <w:pStyle w:val="3"/>
        <w:tabs>
          <w:tab w:val="left" w:pos="2168"/>
        </w:tabs>
        <w:ind w:firstLine="480"/>
        <w:rPr>
          <w:rFonts w:cs="Times New Roman"/>
          <w:u w:val="single"/>
        </w:rPr>
      </w:pPr>
      <w:r>
        <w:rPr>
          <w:rFonts w:hint="eastAsia" w:ascii="宋体" w:hAnsi="宋体" w:cs="宋体"/>
          <w:u w:val="single"/>
        </w:rPr>
        <w:t>②</w:t>
      </w:r>
      <w:r>
        <w:rPr>
          <w:rFonts w:cs="Times New Roman"/>
          <w:u w:val="single"/>
        </w:rPr>
        <w:t>病死动物的收集、暂存、装运、无害化处理等环节应建有台帐和记录。</w:t>
      </w:r>
    </w:p>
    <w:p>
      <w:pPr>
        <w:pStyle w:val="3"/>
        <w:tabs>
          <w:tab w:val="left" w:pos="2168"/>
        </w:tabs>
        <w:ind w:firstLine="480"/>
        <w:rPr>
          <w:u w:val="single"/>
        </w:rPr>
      </w:pPr>
      <w:r>
        <w:rPr>
          <w:rFonts w:hint="eastAsia" w:ascii="宋体" w:hAnsi="宋体" w:cs="宋体"/>
          <w:kern w:val="0"/>
          <w:szCs w:val="24"/>
          <w:u w:val="single"/>
        </w:rPr>
        <w:t>由于</w:t>
      </w:r>
      <w:r>
        <w:rPr>
          <w:rFonts w:ascii="宋体" w:hAnsi="宋体" w:cs="宋体"/>
          <w:kern w:val="0"/>
          <w:szCs w:val="24"/>
          <w:u w:val="single"/>
        </w:rPr>
        <w:t>衡阳县病死畜禽无害化处置中心由于各种</w:t>
      </w:r>
      <w:r>
        <w:rPr>
          <w:rFonts w:hint="eastAsia" w:ascii="宋体" w:hAnsi="宋体" w:cs="宋体"/>
          <w:kern w:val="0"/>
          <w:szCs w:val="24"/>
          <w:u w:val="single"/>
        </w:rPr>
        <w:t>原因</w:t>
      </w:r>
      <w:r>
        <w:rPr>
          <w:rFonts w:ascii="宋体" w:hAnsi="宋体" w:cs="宋体"/>
          <w:kern w:val="0"/>
          <w:szCs w:val="24"/>
          <w:u w:val="single"/>
        </w:rPr>
        <w:t>暂未建设，</w:t>
      </w:r>
      <w:r>
        <w:rPr>
          <w:rFonts w:hint="eastAsia" w:ascii="宋体" w:hAnsi="宋体" w:cs="宋体"/>
          <w:kern w:val="0"/>
          <w:szCs w:val="24"/>
          <w:u w:val="single"/>
        </w:rPr>
        <w:t>根据</w:t>
      </w:r>
      <w:r>
        <w:rPr>
          <w:rFonts w:ascii="宋体" w:hAnsi="宋体" w:cs="宋体"/>
          <w:kern w:val="0"/>
          <w:szCs w:val="24"/>
          <w:u w:val="single"/>
        </w:rPr>
        <w:t>衡阳</w:t>
      </w:r>
      <w:r>
        <w:rPr>
          <w:rFonts w:hint="eastAsia" w:ascii="宋体" w:hAnsi="宋体" w:cs="宋体"/>
          <w:kern w:val="0"/>
          <w:szCs w:val="24"/>
          <w:u w:val="single"/>
        </w:rPr>
        <w:t>规划</w:t>
      </w:r>
      <w:r>
        <w:rPr>
          <w:rFonts w:ascii="宋体" w:hAnsi="宋体" w:cs="宋体"/>
          <w:kern w:val="0"/>
          <w:szCs w:val="24"/>
          <w:u w:val="single"/>
        </w:rPr>
        <w:t>体系布局，</w:t>
      </w:r>
      <w:r>
        <w:rPr>
          <w:rFonts w:hint="eastAsia" w:ascii="宋体" w:hAnsi="宋体" w:cs="宋体"/>
          <w:kern w:val="0"/>
          <w:szCs w:val="24"/>
          <w:u w:val="single"/>
        </w:rPr>
        <w:t>未</w:t>
      </w:r>
      <w:r>
        <w:rPr>
          <w:rFonts w:ascii="宋体" w:hAnsi="宋体" w:cs="宋体"/>
          <w:kern w:val="0"/>
          <w:szCs w:val="24"/>
          <w:u w:val="single"/>
        </w:rPr>
        <w:t>建设</w:t>
      </w:r>
      <w:r>
        <w:rPr>
          <w:rFonts w:hint="eastAsia" w:ascii="宋体" w:hAnsi="宋体" w:cs="宋体"/>
          <w:kern w:val="0"/>
          <w:szCs w:val="24"/>
          <w:u w:val="single"/>
        </w:rPr>
        <w:t>无害化处理中心的畜禽养殖县，每县建设1个病死畜禽收集中心，负责集中收集本县的病死畜禽，再由受委托的邻县无害化处理中心定期转运，并进行集中处理，</w:t>
      </w:r>
      <w:r>
        <w:rPr>
          <w:rFonts w:ascii="宋体" w:hAnsi="宋体" w:cs="宋体"/>
          <w:kern w:val="0"/>
          <w:szCs w:val="24"/>
          <w:u w:val="single"/>
        </w:rPr>
        <w:t>本项目委托衡阳县畜牧水产局统一</w:t>
      </w:r>
      <w:r>
        <w:rPr>
          <w:rFonts w:hint="eastAsia" w:ascii="宋体" w:hAnsi="宋体" w:cs="宋体"/>
          <w:kern w:val="0"/>
          <w:szCs w:val="24"/>
          <w:u w:val="single"/>
        </w:rPr>
        <w:t>收集病死</w:t>
      </w:r>
      <w:r>
        <w:rPr>
          <w:rFonts w:ascii="宋体" w:hAnsi="宋体" w:cs="宋体"/>
          <w:kern w:val="0"/>
          <w:szCs w:val="24"/>
          <w:u w:val="single"/>
        </w:rPr>
        <w:t>鸡，并送至衡阳</w:t>
      </w:r>
      <w:r>
        <w:rPr>
          <w:rFonts w:hint="eastAsia" w:ascii="宋体" w:hAnsi="宋体" w:cs="宋体"/>
          <w:kern w:val="0"/>
          <w:szCs w:val="24"/>
          <w:u w:val="single"/>
        </w:rPr>
        <w:t>市</w:t>
      </w:r>
      <w:r>
        <w:rPr>
          <w:rFonts w:ascii="宋体" w:hAnsi="宋体" w:cs="宋体"/>
          <w:kern w:val="0"/>
          <w:szCs w:val="24"/>
          <w:u w:val="single"/>
        </w:rPr>
        <w:t>禾和</w:t>
      </w:r>
      <w:r>
        <w:rPr>
          <w:rFonts w:hint="eastAsia" w:ascii="宋体" w:hAnsi="宋体" w:cs="宋体"/>
          <w:kern w:val="0"/>
          <w:szCs w:val="24"/>
          <w:u w:val="single"/>
        </w:rPr>
        <w:t>动物无害化处理有限</w:t>
      </w:r>
      <w:r>
        <w:rPr>
          <w:rFonts w:ascii="宋体" w:hAnsi="宋体" w:cs="宋体"/>
          <w:kern w:val="0"/>
          <w:szCs w:val="24"/>
          <w:u w:val="single"/>
        </w:rPr>
        <w:t>公司</w:t>
      </w:r>
      <w:r>
        <w:rPr>
          <w:rFonts w:hint="eastAsia" w:ascii="宋体" w:hAnsi="宋体" w:cs="宋体"/>
          <w:kern w:val="0"/>
          <w:szCs w:val="24"/>
          <w:u w:val="single"/>
        </w:rPr>
        <w:t>无害化</w:t>
      </w:r>
      <w:r>
        <w:rPr>
          <w:rFonts w:ascii="宋体" w:hAnsi="宋体" w:cs="宋体"/>
          <w:kern w:val="0"/>
          <w:szCs w:val="24"/>
          <w:u w:val="single"/>
        </w:rPr>
        <w:t>处置，该公司</w:t>
      </w:r>
      <w:r>
        <w:rPr>
          <w:rFonts w:hint="eastAsia" w:ascii="宋体" w:hAnsi="宋体" w:cs="宋体"/>
          <w:kern w:val="0"/>
          <w:szCs w:val="24"/>
          <w:u w:val="single"/>
        </w:rPr>
        <w:t>位于衡南县廖田镇长力村，</w:t>
      </w:r>
      <w:r>
        <w:rPr>
          <w:rFonts w:hint="eastAsia"/>
          <w:u w:val="single"/>
        </w:rPr>
        <w:t>年处理能力10000吨，</w:t>
      </w:r>
      <w:r>
        <w:rPr>
          <w:u w:val="single"/>
        </w:rPr>
        <w:t>于</w:t>
      </w:r>
      <w:r>
        <w:rPr>
          <w:rFonts w:hint="eastAsia"/>
          <w:u w:val="single"/>
        </w:rPr>
        <w:t>2018年</w:t>
      </w:r>
      <w:r>
        <w:rPr>
          <w:u w:val="single"/>
        </w:rPr>
        <w:t>正式投入运行，</w:t>
      </w:r>
      <w:r>
        <w:rPr>
          <w:rFonts w:hint="eastAsia"/>
          <w:u w:val="single"/>
        </w:rPr>
        <w:t>因此</w:t>
      </w:r>
      <w:r>
        <w:rPr>
          <w:u w:val="single"/>
        </w:rPr>
        <w:t>，本项目病死鸡由</w:t>
      </w:r>
      <w:r>
        <w:rPr>
          <w:rFonts w:ascii="宋体" w:hAnsi="宋体" w:cs="宋体"/>
          <w:kern w:val="0"/>
          <w:szCs w:val="24"/>
          <w:u w:val="single"/>
        </w:rPr>
        <w:t>衡阳</w:t>
      </w:r>
      <w:r>
        <w:rPr>
          <w:rFonts w:hint="eastAsia" w:ascii="宋体" w:hAnsi="宋体" w:cs="宋体"/>
          <w:kern w:val="0"/>
          <w:szCs w:val="24"/>
          <w:u w:val="single"/>
        </w:rPr>
        <w:t>市</w:t>
      </w:r>
      <w:r>
        <w:rPr>
          <w:rFonts w:ascii="宋体" w:hAnsi="宋体" w:cs="宋体"/>
          <w:kern w:val="0"/>
          <w:szCs w:val="24"/>
          <w:u w:val="single"/>
        </w:rPr>
        <w:t>禾和</w:t>
      </w:r>
      <w:r>
        <w:rPr>
          <w:rFonts w:hint="eastAsia" w:ascii="宋体" w:hAnsi="宋体" w:cs="宋体"/>
          <w:kern w:val="0"/>
          <w:szCs w:val="24"/>
          <w:u w:val="single"/>
        </w:rPr>
        <w:t>动物无害化处理有限</w:t>
      </w:r>
      <w:r>
        <w:rPr>
          <w:rFonts w:ascii="宋体" w:hAnsi="宋体" w:cs="宋体"/>
          <w:kern w:val="0"/>
          <w:szCs w:val="24"/>
          <w:u w:val="single"/>
        </w:rPr>
        <w:t>公司</w:t>
      </w:r>
      <w:r>
        <w:rPr>
          <w:rFonts w:hint="eastAsia" w:ascii="宋体" w:hAnsi="宋体" w:cs="宋体"/>
          <w:kern w:val="0"/>
          <w:szCs w:val="24"/>
          <w:u w:val="single"/>
        </w:rPr>
        <w:t>无害化</w:t>
      </w:r>
      <w:r>
        <w:rPr>
          <w:rFonts w:ascii="宋体" w:hAnsi="宋体" w:cs="宋体"/>
          <w:kern w:val="0"/>
          <w:szCs w:val="24"/>
          <w:u w:val="single"/>
        </w:rPr>
        <w:t>处置</w:t>
      </w:r>
      <w:r>
        <w:rPr>
          <w:rFonts w:cs="Times New Roman"/>
          <w:bCs/>
          <w:u w:val="single"/>
        </w:rPr>
        <w:t>符合</w:t>
      </w:r>
      <w:r>
        <w:rPr>
          <w:rFonts w:cs="Times New Roman"/>
          <w:u w:val="single"/>
          <w:lang w:val="zh-CN"/>
        </w:rPr>
        <w:t>《病死动物无害化处理技术规范》（农医发[2013]34号）的有关规定</w:t>
      </w:r>
      <w:r>
        <w:rPr>
          <w:rFonts w:hint="eastAsia" w:cs="Times New Roman"/>
          <w:u w:val="single"/>
          <w:lang w:val="zh-CN"/>
        </w:rPr>
        <w:t>，</w:t>
      </w:r>
      <w:r>
        <w:rPr>
          <w:rFonts w:cs="Times New Roman"/>
          <w:u w:val="single"/>
          <w:lang w:val="zh-CN"/>
        </w:rPr>
        <w:t>方案</w:t>
      </w:r>
      <w:r>
        <w:rPr>
          <w:rFonts w:hint="eastAsia" w:ascii="宋体" w:hAnsi="宋体" w:cs="宋体"/>
          <w:kern w:val="0"/>
          <w:szCs w:val="24"/>
          <w:u w:val="single"/>
        </w:rPr>
        <w:t>可行</w:t>
      </w:r>
      <w:r>
        <w:rPr>
          <w:rFonts w:ascii="宋体" w:hAnsi="宋体" w:cs="宋体"/>
          <w:kern w:val="0"/>
          <w:szCs w:val="24"/>
          <w:u w:val="single"/>
        </w:rPr>
        <w:t>。</w:t>
      </w:r>
    </w:p>
    <w:p>
      <w:pPr>
        <w:pStyle w:val="3"/>
        <w:tabs>
          <w:tab w:val="left" w:pos="2168"/>
        </w:tabs>
        <w:ind w:firstLine="480"/>
        <w:rPr>
          <w:rFonts w:cs="Times New Roman"/>
        </w:rPr>
      </w:pPr>
      <w:r>
        <w:rPr>
          <w:rFonts w:cs="Times New Roman"/>
        </w:rPr>
        <w:t>（3）废包装物料</w:t>
      </w:r>
    </w:p>
    <w:p>
      <w:pPr>
        <w:pStyle w:val="3"/>
        <w:tabs>
          <w:tab w:val="left" w:pos="2168"/>
        </w:tabs>
        <w:ind w:firstLine="480"/>
        <w:rPr>
          <w:rFonts w:cs="Times New Roman"/>
        </w:rPr>
      </w:pPr>
      <w:r>
        <w:rPr>
          <w:rFonts w:cs="Times New Roman"/>
        </w:rPr>
        <w:t>项目饲料使用产生包装袋由交由供应商回收处理，不外排。</w:t>
      </w:r>
    </w:p>
    <w:p>
      <w:pPr>
        <w:pStyle w:val="3"/>
        <w:tabs>
          <w:tab w:val="left" w:pos="2168"/>
        </w:tabs>
        <w:ind w:firstLine="480"/>
        <w:rPr>
          <w:rFonts w:cs="Times New Roman"/>
        </w:rPr>
      </w:pPr>
      <w:r>
        <w:rPr>
          <w:rFonts w:cs="Times New Roman"/>
        </w:rPr>
        <w:t>（4）医疗垃圾</w:t>
      </w:r>
    </w:p>
    <w:p>
      <w:pPr>
        <w:pStyle w:val="3"/>
        <w:tabs>
          <w:tab w:val="left" w:pos="2168"/>
        </w:tabs>
        <w:ind w:firstLine="480"/>
        <w:rPr>
          <w:rFonts w:cs="Times New Roman"/>
        </w:rPr>
      </w:pPr>
      <w:r>
        <w:rPr>
          <w:rFonts w:cs="Times New Roman"/>
        </w:rPr>
        <w:t>项目药品包装物、注射器等防疫废物为危险废物，按照《国家危险废物名录》（2016年）的危险废物的来源及危害组分或废物名称的说明，项目所产生的防疫垃圾编号为HW01 中的非特定行业类别。建设单位应在试生产前落实处置单位（与有相关资质的单位完成签约），避免生产后因没有落实处理单位而使固废长期堆放产生二次污染问题。</w:t>
      </w:r>
    </w:p>
    <w:p>
      <w:pPr>
        <w:pStyle w:val="3"/>
        <w:tabs>
          <w:tab w:val="left" w:pos="2168"/>
        </w:tabs>
        <w:ind w:firstLine="480"/>
        <w:rPr>
          <w:rFonts w:cs="Times New Roman"/>
        </w:rPr>
      </w:pPr>
      <w:r>
        <w:rPr>
          <w:rFonts w:cs="Times New Roman"/>
        </w:rPr>
        <w:t>本项目设置1个危险废物暂存间，建筑面积约10㎡，用来暂存项目产生的危险废物。</w:t>
      </w:r>
    </w:p>
    <w:p>
      <w:pPr>
        <w:pStyle w:val="15"/>
        <w:rPr>
          <w:rFonts w:cs="Times New Roman"/>
        </w:rPr>
      </w:pPr>
      <w:r>
        <w:rPr>
          <w:rFonts w:cs="Times New Roman"/>
        </w:rPr>
        <w:t>表6.2-6  建设项目危险废物贮存场所（设施）基本情况表</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0"/>
        <w:gridCol w:w="992"/>
        <w:gridCol w:w="1008"/>
        <w:gridCol w:w="1196"/>
        <w:gridCol w:w="992"/>
        <w:gridCol w:w="1002"/>
        <w:gridCol w:w="992"/>
        <w:gridCol w:w="998"/>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19" w:type="dxa"/>
            <w:vAlign w:val="center"/>
          </w:tcPr>
          <w:p>
            <w:pPr>
              <w:pStyle w:val="39"/>
              <w:rPr>
                <w:rFonts w:cs="Times New Roman"/>
              </w:rPr>
            </w:pPr>
            <w:r>
              <w:rPr>
                <w:rFonts w:cs="Times New Roman"/>
              </w:rPr>
              <w:t>贮存场所（设施）名称</w:t>
            </w:r>
          </w:p>
        </w:tc>
        <w:tc>
          <w:tcPr>
            <w:tcW w:w="1019" w:type="dxa"/>
            <w:vAlign w:val="center"/>
          </w:tcPr>
          <w:p>
            <w:pPr>
              <w:pStyle w:val="39"/>
              <w:rPr>
                <w:rFonts w:cs="Times New Roman"/>
              </w:rPr>
            </w:pPr>
            <w:r>
              <w:rPr>
                <w:rFonts w:cs="Times New Roman"/>
              </w:rPr>
              <w:t>危险废物名称</w:t>
            </w:r>
          </w:p>
        </w:tc>
        <w:tc>
          <w:tcPr>
            <w:tcW w:w="1019" w:type="dxa"/>
            <w:vAlign w:val="center"/>
          </w:tcPr>
          <w:p>
            <w:pPr>
              <w:pStyle w:val="39"/>
              <w:rPr>
                <w:rFonts w:cs="Times New Roman"/>
              </w:rPr>
            </w:pPr>
            <w:r>
              <w:rPr>
                <w:rFonts w:cs="Times New Roman"/>
              </w:rPr>
              <w:t>危险废物类别</w:t>
            </w:r>
          </w:p>
        </w:tc>
        <w:tc>
          <w:tcPr>
            <w:tcW w:w="1019" w:type="dxa"/>
            <w:vAlign w:val="center"/>
          </w:tcPr>
          <w:p>
            <w:pPr>
              <w:pStyle w:val="39"/>
              <w:rPr>
                <w:rFonts w:cs="Times New Roman"/>
              </w:rPr>
            </w:pPr>
            <w:r>
              <w:rPr>
                <w:rFonts w:cs="Times New Roman"/>
              </w:rPr>
              <w:t>危险废物代码</w:t>
            </w:r>
          </w:p>
        </w:tc>
        <w:tc>
          <w:tcPr>
            <w:tcW w:w="1019" w:type="dxa"/>
            <w:vAlign w:val="center"/>
          </w:tcPr>
          <w:p>
            <w:pPr>
              <w:pStyle w:val="39"/>
              <w:rPr>
                <w:rFonts w:cs="Times New Roman"/>
              </w:rPr>
            </w:pPr>
            <w:r>
              <w:rPr>
                <w:rFonts w:cs="Times New Roman"/>
              </w:rPr>
              <w:t>位置</w:t>
            </w:r>
          </w:p>
        </w:tc>
        <w:tc>
          <w:tcPr>
            <w:tcW w:w="1019" w:type="dxa"/>
            <w:vAlign w:val="center"/>
          </w:tcPr>
          <w:p>
            <w:pPr>
              <w:pStyle w:val="39"/>
              <w:rPr>
                <w:rFonts w:cs="Times New Roman"/>
              </w:rPr>
            </w:pPr>
            <w:r>
              <w:rPr>
                <w:rFonts w:cs="Times New Roman"/>
              </w:rPr>
              <w:t>占地面积</w:t>
            </w:r>
          </w:p>
        </w:tc>
        <w:tc>
          <w:tcPr>
            <w:tcW w:w="1019" w:type="dxa"/>
            <w:vAlign w:val="center"/>
          </w:tcPr>
          <w:p>
            <w:pPr>
              <w:pStyle w:val="39"/>
              <w:rPr>
                <w:rFonts w:cs="Times New Roman"/>
              </w:rPr>
            </w:pPr>
            <w:r>
              <w:rPr>
                <w:rFonts w:cs="Times New Roman"/>
              </w:rPr>
              <w:t>贮存方</w:t>
            </w:r>
          </w:p>
          <w:p>
            <w:pPr>
              <w:pStyle w:val="39"/>
              <w:rPr>
                <w:rFonts w:cs="Times New Roman"/>
              </w:rPr>
            </w:pPr>
            <w:r>
              <w:rPr>
                <w:rFonts w:cs="Times New Roman"/>
              </w:rPr>
              <w:t>式</w:t>
            </w:r>
          </w:p>
        </w:tc>
        <w:tc>
          <w:tcPr>
            <w:tcW w:w="1020" w:type="dxa"/>
            <w:vAlign w:val="center"/>
          </w:tcPr>
          <w:p>
            <w:pPr>
              <w:pStyle w:val="39"/>
              <w:rPr>
                <w:rFonts w:cs="Times New Roman"/>
              </w:rPr>
            </w:pPr>
            <w:r>
              <w:rPr>
                <w:rFonts w:cs="Times New Roman"/>
              </w:rPr>
              <w:t>贮存能力</w:t>
            </w:r>
          </w:p>
        </w:tc>
        <w:tc>
          <w:tcPr>
            <w:tcW w:w="1020" w:type="dxa"/>
            <w:vAlign w:val="center"/>
          </w:tcPr>
          <w:p>
            <w:pPr>
              <w:pStyle w:val="39"/>
              <w:rPr>
                <w:rFonts w:cs="Times New Roman"/>
              </w:rPr>
            </w:pPr>
            <w:r>
              <w:rPr>
                <w:rFonts w:cs="Times New Roman"/>
              </w:rPr>
              <w:t>贮存周期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19" w:type="dxa"/>
            <w:vAlign w:val="center"/>
          </w:tcPr>
          <w:p>
            <w:pPr>
              <w:pStyle w:val="39"/>
              <w:rPr>
                <w:rFonts w:cs="Times New Roman"/>
              </w:rPr>
            </w:pPr>
            <w:r>
              <w:rPr>
                <w:rFonts w:cs="Times New Roman"/>
                <w:kern w:val="0"/>
              </w:rPr>
              <w:t>危废暂存间</w:t>
            </w:r>
          </w:p>
        </w:tc>
        <w:tc>
          <w:tcPr>
            <w:tcW w:w="1019" w:type="dxa"/>
            <w:vAlign w:val="center"/>
          </w:tcPr>
          <w:p>
            <w:pPr>
              <w:pStyle w:val="39"/>
              <w:rPr>
                <w:rFonts w:cs="Times New Roman"/>
              </w:rPr>
            </w:pPr>
            <w:r>
              <w:rPr>
                <w:rFonts w:cs="Times New Roman"/>
                <w:kern w:val="0"/>
              </w:rPr>
              <w:t>医疗垃圾</w:t>
            </w:r>
          </w:p>
        </w:tc>
        <w:tc>
          <w:tcPr>
            <w:tcW w:w="1019" w:type="dxa"/>
            <w:vAlign w:val="center"/>
          </w:tcPr>
          <w:p>
            <w:pPr>
              <w:pStyle w:val="39"/>
              <w:rPr>
                <w:rFonts w:cs="Times New Roman"/>
              </w:rPr>
            </w:pPr>
            <w:r>
              <w:rPr>
                <w:rFonts w:eastAsia="TimesNewRomanPSMT" w:cs="Times New Roman"/>
                <w:kern w:val="0"/>
              </w:rPr>
              <w:t>HW49</w:t>
            </w:r>
          </w:p>
        </w:tc>
        <w:tc>
          <w:tcPr>
            <w:tcW w:w="1019" w:type="dxa"/>
            <w:vAlign w:val="center"/>
          </w:tcPr>
          <w:p>
            <w:pPr>
              <w:pStyle w:val="39"/>
              <w:rPr>
                <w:rFonts w:cs="Times New Roman"/>
              </w:rPr>
            </w:pPr>
            <w:r>
              <w:rPr>
                <w:rFonts w:eastAsia="TimesNewRomanPSMT" w:cs="Times New Roman"/>
                <w:kern w:val="0"/>
              </w:rPr>
              <w:t>900-041-49</w:t>
            </w:r>
          </w:p>
        </w:tc>
        <w:tc>
          <w:tcPr>
            <w:tcW w:w="1019" w:type="dxa"/>
            <w:vAlign w:val="center"/>
          </w:tcPr>
          <w:p>
            <w:pPr>
              <w:pStyle w:val="39"/>
              <w:rPr>
                <w:rFonts w:cs="Times New Roman"/>
              </w:rPr>
            </w:pPr>
            <w:r>
              <w:rPr>
                <w:rFonts w:hint="eastAsia" w:cs="Times New Roman"/>
              </w:rPr>
              <w:t>辅助用房防疫室内</w:t>
            </w:r>
          </w:p>
        </w:tc>
        <w:tc>
          <w:tcPr>
            <w:tcW w:w="1019" w:type="dxa"/>
            <w:vAlign w:val="center"/>
          </w:tcPr>
          <w:p>
            <w:pPr>
              <w:pStyle w:val="39"/>
              <w:rPr>
                <w:rFonts w:cs="Times New Roman"/>
              </w:rPr>
            </w:pPr>
            <w:r>
              <w:rPr>
                <w:rFonts w:eastAsia="TimesNewRomanPSMT" w:cs="Times New Roman"/>
                <w:kern w:val="0"/>
              </w:rPr>
              <w:t>10m</w:t>
            </w:r>
            <w:r>
              <w:rPr>
                <w:rFonts w:eastAsia="TimesNewRomanPSMT" w:cs="Times New Roman"/>
                <w:kern w:val="0"/>
                <w:vertAlign w:val="superscript"/>
              </w:rPr>
              <w:t>2</w:t>
            </w:r>
          </w:p>
        </w:tc>
        <w:tc>
          <w:tcPr>
            <w:tcW w:w="1019" w:type="dxa"/>
            <w:vAlign w:val="center"/>
          </w:tcPr>
          <w:p>
            <w:pPr>
              <w:pStyle w:val="39"/>
              <w:rPr>
                <w:rFonts w:cs="Times New Roman"/>
                <w:kern w:val="0"/>
              </w:rPr>
            </w:pPr>
            <w:r>
              <w:rPr>
                <w:rFonts w:cs="Times New Roman"/>
                <w:kern w:val="0"/>
              </w:rPr>
              <w:t>胶桶密</w:t>
            </w:r>
          </w:p>
          <w:p>
            <w:pPr>
              <w:pStyle w:val="39"/>
              <w:rPr>
                <w:rFonts w:cs="Times New Roman"/>
              </w:rPr>
            </w:pPr>
            <w:r>
              <w:rPr>
                <w:rFonts w:cs="Times New Roman"/>
                <w:kern w:val="0"/>
              </w:rPr>
              <w:t>封贮存</w:t>
            </w:r>
          </w:p>
        </w:tc>
        <w:tc>
          <w:tcPr>
            <w:tcW w:w="1020" w:type="dxa"/>
            <w:vAlign w:val="center"/>
          </w:tcPr>
          <w:p>
            <w:pPr>
              <w:pStyle w:val="39"/>
              <w:rPr>
                <w:rFonts w:cs="Times New Roman"/>
              </w:rPr>
            </w:pPr>
            <w:r>
              <w:rPr>
                <w:rFonts w:eastAsia="TimesNewRomanPSMT" w:cs="Times New Roman"/>
                <w:kern w:val="0"/>
              </w:rPr>
              <w:t>0.</w:t>
            </w:r>
            <w:r>
              <w:rPr>
                <w:rFonts w:hint="eastAsia" w:eastAsia="TimesNewRomanPSMT" w:cs="Times New Roman"/>
                <w:kern w:val="0"/>
              </w:rPr>
              <w:t>5</w:t>
            </w:r>
            <w:r>
              <w:rPr>
                <w:rFonts w:eastAsia="TimesNewRomanPSMT" w:cs="Times New Roman"/>
                <w:kern w:val="0"/>
              </w:rPr>
              <w:t>t</w:t>
            </w:r>
          </w:p>
        </w:tc>
        <w:tc>
          <w:tcPr>
            <w:tcW w:w="1020" w:type="dxa"/>
            <w:vAlign w:val="center"/>
          </w:tcPr>
          <w:p>
            <w:pPr>
              <w:pStyle w:val="39"/>
              <w:rPr>
                <w:rFonts w:cs="Times New Roman"/>
              </w:rPr>
            </w:pPr>
            <w:r>
              <w:rPr>
                <w:rFonts w:eastAsia="TimesNewRomanPSMT" w:cs="Times New Roman"/>
                <w:kern w:val="0"/>
              </w:rPr>
              <w:t>2</w:t>
            </w:r>
            <w:r>
              <w:rPr>
                <w:rFonts w:cs="Times New Roman"/>
                <w:kern w:val="0"/>
              </w:rPr>
              <w:t>个月</w:t>
            </w:r>
          </w:p>
        </w:tc>
      </w:tr>
    </w:tbl>
    <w:p>
      <w:pPr>
        <w:pStyle w:val="3"/>
        <w:tabs>
          <w:tab w:val="left" w:pos="2168"/>
        </w:tabs>
        <w:ind w:firstLine="480"/>
        <w:rPr>
          <w:rFonts w:cs="Times New Roman"/>
        </w:rPr>
      </w:pPr>
    </w:p>
    <w:p>
      <w:pPr>
        <w:pStyle w:val="3"/>
        <w:tabs>
          <w:tab w:val="left" w:pos="2168"/>
        </w:tabs>
        <w:ind w:firstLine="480"/>
        <w:rPr>
          <w:rFonts w:cs="Times New Roman"/>
        </w:rPr>
      </w:pPr>
      <w:r>
        <w:rPr>
          <w:rFonts w:cs="Times New Roman"/>
        </w:rPr>
        <w:t>防疫废物在《中华人民共和国固体废物污染环境防治法》中第四章关于危险废物污染环境防治中及《医疗废物管理条例》中的作了特别规定。因此，项目建成后，防疫废物的处置应依以上规定执行，即指定专人收集，定点保存于密闭的危废暂存间，并委托有资质单位进行处理，不得擅自随意焚烧处置。要求建设单位结合本项目建设，建立专用防疫废物暂时贮存库房。</w:t>
      </w:r>
    </w:p>
    <w:p>
      <w:pPr>
        <w:pStyle w:val="3"/>
        <w:tabs>
          <w:tab w:val="left" w:pos="2168"/>
        </w:tabs>
        <w:ind w:firstLine="480"/>
        <w:rPr>
          <w:rFonts w:cs="Times New Roman"/>
        </w:rPr>
      </w:pPr>
      <w:r>
        <w:rPr>
          <w:rFonts w:cs="Times New Roman"/>
        </w:rPr>
        <w:t>防疫废物暂时贮存库房应满足下述要求：</w:t>
      </w:r>
    </w:p>
    <w:p>
      <w:pPr>
        <w:pStyle w:val="3"/>
        <w:tabs>
          <w:tab w:val="left" w:pos="2168"/>
        </w:tabs>
        <w:ind w:firstLine="480"/>
        <w:rPr>
          <w:rFonts w:cs="Times New Roman"/>
        </w:rPr>
      </w:pPr>
      <w:r>
        <w:rPr>
          <w:rFonts w:hint="eastAsia" w:ascii="宋体" w:hAnsi="宋体" w:cs="宋体"/>
        </w:rPr>
        <w:t>①</w:t>
      </w:r>
      <w:r>
        <w:rPr>
          <w:rFonts w:cs="Times New Roman"/>
        </w:rPr>
        <w:t>必须与生活垃圾存放地分开，隔离、防水、防硒、防雨、防渗、防火处理，并设置警示标志。地基高度应确保设施内不受雨洪冲击或浸泡；</w:t>
      </w:r>
    </w:p>
    <w:p>
      <w:pPr>
        <w:pStyle w:val="3"/>
        <w:tabs>
          <w:tab w:val="left" w:pos="2168"/>
        </w:tabs>
        <w:ind w:firstLine="480"/>
        <w:rPr>
          <w:rFonts w:cs="Times New Roman"/>
        </w:rPr>
      </w:pPr>
      <w:r>
        <w:rPr>
          <w:rFonts w:hint="eastAsia" w:ascii="宋体" w:hAnsi="宋体" w:cs="宋体"/>
        </w:rPr>
        <w:t>②</w:t>
      </w:r>
      <w:r>
        <w:rPr>
          <w:rFonts w:cs="Times New Roman"/>
        </w:rPr>
        <w:t>必须与生产区和人员活动密集区隔开，方便防疫废物的装卸、装卸人员及运送车辆的出入；</w:t>
      </w:r>
    </w:p>
    <w:p>
      <w:pPr>
        <w:pStyle w:val="3"/>
        <w:tabs>
          <w:tab w:val="left" w:pos="2168"/>
        </w:tabs>
        <w:ind w:firstLine="480"/>
        <w:rPr>
          <w:rFonts w:cs="Times New Roman"/>
        </w:rPr>
      </w:pPr>
      <w:r>
        <w:rPr>
          <w:rFonts w:hint="eastAsia" w:ascii="宋体" w:hAnsi="宋体" w:cs="宋体"/>
        </w:rPr>
        <w:t>③</w:t>
      </w:r>
      <w:r>
        <w:rPr>
          <w:rFonts w:cs="Times New Roman"/>
        </w:rPr>
        <w:t>应有严密的封闭措施，设专人管理，避免非工作人员进出，以及防鼠、防蚊蝇、防蟑螂、防盗以及预防儿童接触等安全措施；</w:t>
      </w:r>
    </w:p>
    <w:p>
      <w:pPr>
        <w:pStyle w:val="3"/>
        <w:tabs>
          <w:tab w:val="left" w:pos="2168"/>
        </w:tabs>
        <w:ind w:firstLine="480"/>
        <w:rPr>
          <w:rFonts w:cs="Times New Roman"/>
        </w:rPr>
      </w:pPr>
      <w:r>
        <w:rPr>
          <w:rFonts w:hint="eastAsia" w:ascii="宋体" w:hAnsi="宋体" w:cs="宋体"/>
        </w:rPr>
        <w:t>④</w:t>
      </w:r>
      <w:r>
        <w:rPr>
          <w:rFonts w:cs="Times New Roman"/>
        </w:rPr>
        <w:t>避免阳光直射库内，应有良好的照明设备和通风条件；</w:t>
      </w:r>
    </w:p>
    <w:p>
      <w:pPr>
        <w:pStyle w:val="3"/>
        <w:tabs>
          <w:tab w:val="left" w:pos="2168"/>
        </w:tabs>
        <w:ind w:firstLine="480"/>
        <w:rPr>
          <w:rFonts w:cs="Times New Roman"/>
        </w:rPr>
      </w:pPr>
      <w:r>
        <w:rPr>
          <w:rFonts w:hint="eastAsia" w:ascii="宋体" w:hAnsi="宋体" w:cs="宋体"/>
        </w:rPr>
        <w:t>⑤</w:t>
      </w:r>
      <w:r>
        <w:rPr>
          <w:rFonts w:cs="Times New Roman"/>
        </w:rPr>
        <w:t>库房内应张贴“禁止吸烟、饮食”的警示标识；</w:t>
      </w:r>
    </w:p>
    <w:p>
      <w:pPr>
        <w:pStyle w:val="3"/>
        <w:tabs>
          <w:tab w:val="left" w:pos="2168"/>
        </w:tabs>
        <w:ind w:firstLine="480"/>
        <w:rPr>
          <w:rFonts w:cs="Times New Roman"/>
        </w:rPr>
      </w:pPr>
      <w:r>
        <w:rPr>
          <w:rFonts w:hint="eastAsia" w:ascii="宋体" w:hAnsi="宋体" w:cs="宋体"/>
        </w:rPr>
        <w:t>⑥</w:t>
      </w:r>
      <w:r>
        <w:rPr>
          <w:rFonts w:cs="Times New Roman"/>
        </w:rPr>
        <w:t>应按GB15562.2和卫生、环保部门制定的专用防疫废物警示标识要求，在库房外的明显处同时设置危险废物和防疫废物的警示标识。</w:t>
      </w:r>
    </w:p>
    <w:p>
      <w:pPr>
        <w:pStyle w:val="3"/>
        <w:tabs>
          <w:tab w:val="left" w:pos="2168"/>
        </w:tabs>
        <w:ind w:firstLine="480"/>
        <w:rPr>
          <w:rFonts w:cs="Times New Roman"/>
        </w:rPr>
      </w:pPr>
      <w:r>
        <w:rPr>
          <w:rFonts w:hint="eastAsia" w:ascii="宋体" w:hAnsi="宋体" w:cs="宋体"/>
        </w:rPr>
        <w:t>⑦</w:t>
      </w:r>
      <w:r>
        <w:rPr>
          <w:rFonts w:cs="Times New Roman"/>
        </w:rPr>
        <w:t>应使用符合标准的容器盛装危险废物，并分类编号，容器及其材质应满足相应的强度要求；</w:t>
      </w:r>
    </w:p>
    <w:p>
      <w:pPr>
        <w:pStyle w:val="3"/>
        <w:tabs>
          <w:tab w:val="left" w:pos="2168"/>
        </w:tabs>
        <w:ind w:firstLine="480"/>
        <w:rPr>
          <w:rFonts w:cs="Times New Roman"/>
        </w:rPr>
      </w:pPr>
      <w:r>
        <w:rPr>
          <w:rFonts w:hint="eastAsia" w:ascii="宋体" w:hAnsi="宋体" w:cs="宋体"/>
        </w:rPr>
        <w:t>⑧</w:t>
      </w:r>
      <w:r>
        <w:rPr>
          <w:rFonts w:cs="Times New Roman"/>
        </w:rPr>
        <w:t>容器表面必须粘贴符合标准的标签（见《危险废物贮存污染控制标准》（GB18597-2001）附录A），标示贮存日期、名称、成份、数量及特性指标；</w:t>
      </w:r>
    </w:p>
    <w:p>
      <w:pPr>
        <w:pStyle w:val="3"/>
        <w:tabs>
          <w:tab w:val="left" w:pos="2168"/>
        </w:tabs>
        <w:ind w:firstLine="480"/>
        <w:rPr>
          <w:rFonts w:cs="Times New Roman"/>
        </w:rPr>
      </w:pPr>
      <w:r>
        <w:rPr>
          <w:rFonts w:hint="eastAsia" w:ascii="宋体" w:hAnsi="宋体" w:cs="宋体"/>
        </w:rPr>
        <w:t>⑨</w:t>
      </w:r>
      <w:r>
        <w:rPr>
          <w:rFonts w:cs="Times New Roman"/>
        </w:rPr>
        <w:t>建立危险废物台账：由专门人员负责危废的日常收集和管理，对任何进出临时贮存场所的危废都要记录在案；</w:t>
      </w:r>
    </w:p>
    <w:p>
      <w:pPr>
        <w:pStyle w:val="3"/>
        <w:tabs>
          <w:tab w:val="left" w:pos="2168"/>
        </w:tabs>
        <w:ind w:firstLine="480"/>
        <w:rPr>
          <w:rFonts w:cs="Times New Roman"/>
        </w:rPr>
      </w:pPr>
      <w:r>
        <w:rPr>
          <w:rFonts w:hint="eastAsia" w:ascii="宋体" w:hAnsi="宋体" w:cs="宋体"/>
        </w:rPr>
        <w:t>⑩</w:t>
      </w:r>
      <w:r>
        <w:rPr>
          <w:rFonts w:cs="Times New Roman"/>
        </w:rPr>
        <w:t>公司内部制定危险废物管理制度和应急预案，危险废物管理制度包括危险废物鉴别管理制度、危险废物申报登记及台帐管理制度、危险废物储存管理制度、危险废物利用或处置管理制度、危险废物应急及培训管理规定、危险废物转移管理规定、建设项目危险废物管理规定和监测等；危险废物突发环境事件应急预案包括有效防范危险废物风险事故发生，迅速、有效地处置可能发生的突发性安全、环境风险事故，全面控制和消除污染，保障员工及周边居民的身心健康，确保环境安全；</w:t>
      </w:r>
    </w:p>
    <w:p>
      <w:pPr>
        <w:pStyle w:val="3"/>
        <w:ind w:firstLine="480"/>
        <w:rPr>
          <w:rFonts w:cs="Times New Roman"/>
        </w:rPr>
      </w:pPr>
      <w:r>
        <w:rPr>
          <w:rFonts w:ascii="Cambria Math" w:hAnsi="Cambria Math" w:cs="Cambria Math"/>
        </w:rPr>
        <w:t>⑪</w:t>
      </w:r>
      <w:r>
        <w:rPr>
          <w:rFonts w:cs="Times New Roman"/>
        </w:rPr>
        <w:t>贮存区地面铺设20cm厚水泥，表面并铺设三层环氧树脂防腐层，四周用围墙及屋顶隔离，防止雨水流入；</w:t>
      </w:r>
    </w:p>
    <w:p>
      <w:pPr>
        <w:pStyle w:val="3"/>
        <w:tabs>
          <w:tab w:val="left" w:pos="2168"/>
        </w:tabs>
        <w:ind w:firstLine="480"/>
        <w:rPr>
          <w:rFonts w:cs="Times New Roman"/>
        </w:rPr>
      </w:pPr>
      <w:r>
        <w:rPr>
          <w:rFonts w:ascii="Cambria Math" w:hAnsi="Cambria Math" w:cs="Cambria Math"/>
        </w:rPr>
        <w:t>⑫</w:t>
      </w:r>
      <w:r>
        <w:rPr>
          <w:rFonts w:cs="Times New Roman"/>
        </w:rPr>
        <w:t>危险废物贮存设施应配备通讯设备、照明设施、安全防护服装及工具，并设有应急防护设施；</w:t>
      </w:r>
    </w:p>
    <w:p>
      <w:pPr>
        <w:pStyle w:val="3"/>
        <w:tabs>
          <w:tab w:val="left" w:pos="2168"/>
        </w:tabs>
        <w:ind w:firstLine="480"/>
        <w:rPr>
          <w:rFonts w:cs="Times New Roman"/>
        </w:rPr>
      </w:pPr>
      <w:r>
        <w:rPr>
          <w:rFonts w:ascii="Cambria Math" w:hAnsi="Cambria Math" w:cs="Cambria Math"/>
        </w:rPr>
        <w:t>⑬</w:t>
      </w:r>
      <w:r>
        <w:rPr>
          <w:rFonts w:cs="Times New Roman"/>
        </w:rPr>
        <w:t>须作好危险废物情况的记录，记录上须注明危险废物的名称、来源、数量、特性和包装容器的类别、入库日期、存放库位、废物出库日期及接收单位名称；</w:t>
      </w:r>
    </w:p>
    <w:p>
      <w:pPr>
        <w:pStyle w:val="3"/>
        <w:tabs>
          <w:tab w:val="left" w:pos="2168"/>
        </w:tabs>
        <w:ind w:firstLine="480"/>
        <w:rPr>
          <w:rFonts w:cs="Times New Roman"/>
        </w:rPr>
      </w:pPr>
      <w:r>
        <w:rPr>
          <w:rFonts w:ascii="Cambria Math" w:hAnsi="Cambria Math" w:cs="Cambria Math"/>
        </w:rPr>
        <w:t>⑭</w:t>
      </w:r>
      <w:r>
        <w:rPr>
          <w:rFonts w:cs="Times New Roman"/>
        </w:rPr>
        <w:t>危险废物贮存设施周围应设置围墙或其它防护栅栏；</w:t>
      </w:r>
    </w:p>
    <w:p>
      <w:pPr>
        <w:pStyle w:val="3"/>
        <w:tabs>
          <w:tab w:val="left" w:pos="2168"/>
        </w:tabs>
        <w:ind w:firstLine="480"/>
        <w:rPr>
          <w:rFonts w:cs="Times New Roman"/>
        </w:rPr>
      </w:pPr>
      <w:r>
        <w:rPr>
          <w:rFonts w:ascii="Cambria Math" w:hAnsi="Cambria Math" w:cs="Cambria Math"/>
        </w:rPr>
        <w:t>⑮</w:t>
      </w:r>
      <w:r>
        <w:rPr>
          <w:rFonts w:cs="Times New Roman"/>
        </w:rPr>
        <w:t>贮存区外四周设雨水沟，防止雨水流入。</w:t>
      </w:r>
    </w:p>
    <w:p>
      <w:pPr>
        <w:pStyle w:val="3"/>
        <w:tabs>
          <w:tab w:val="left" w:pos="2168"/>
        </w:tabs>
        <w:ind w:firstLine="480"/>
        <w:rPr>
          <w:rFonts w:cs="Times New Roman"/>
        </w:rPr>
      </w:pPr>
      <w:r>
        <w:rPr>
          <w:rFonts w:ascii="Cambria Math" w:hAnsi="Cambria Math" w:cs="Cambria Math"/>
        </w:rPr>
        <w:t>⑯</w:t>
      </w:r>
      <w:r>
        <w:rPr>
          <w:rFonts w:cs="Times New Roman"/>
        </w:rPr>
        <w:t>危险废物的转移与运输：</w:t>
      </w:r>
    </w:p>
    <w:p>
      <w:pPr>
        <w:pStyle w:val="3"/>
        <w:tabs>
          <w:tab w:val="left" w:pos="2168"/>
        </w:tabs>
        <w:ind w:firstLine="480"/>
        <w:rPr>
          <w:rFonts w:cs="Times New Roman"/>
        </w:rPr>
      </w:pPr>
      <w:r>
        <w:rPr>
          <w:rFonts w:cs="Times New Roman"/>
        </w:rPr>
        <w:t>危险废物的运输应采取危险废物转移“五联单”制度，保证运输安全，防止非法转移和非法处置，保证危险废物的安全监控，防止危险废物污染事故发生。“五联单”中第一联由废物产生者送交环保局，第二联由废物产生者保管，第三联由处置场工作人员送交环保局，第四联由处置场工作人员保存，第五联由废物运输者保存。</w:t>
      </w:r>
    </w:p>
    <w:p>
      <w:pPr>
        <w:pStyle w:val="3"/>
        <w:tabs>
          <w:tab w:val="left" w:pos="2168"/>
        </w:tabs>
        <w:ind w:firstLine="480"/>
        <w:rPr>
          <w:rFonts w:cs="Times New Roman"/>
        </w:rPr>
      </w:pPr>
      <w:r>
        <w:rPr>
          <w:rFonts w:cs="Times New Roman"/>
        </w:rPr>
        <w:t>对固体废物的污染防治，管理是关键。目前，国际上公认的对固体废物的环境管理原则有两项，即“三化”（减量化、资源化、无害化）原则和全过程管理原则，很</w:t>
      </w:r>
      <w:r>
        <w:rPr>
          <w:rFonts w:cs="Times New Roman"/>
          <w:kern w:val="0"/>
          <w:szCs w:val="24"/>
        </w:rPr>
        <w:t>多具体的管理原则措施都源于这两条基本原则。</w:t>
      </w:r>
    </w:p>
    <w:p>
      <w:pPr>
        <w:pStyle w:val="3"/>
        <w:tabs>
          <w:tab w:val="left" w:pos="2168"/>
        </w:tabs>
        <w:ind w:firstLine="480"/>
        <w:rPr>
          <w:rFonts w:cs="Times New Roman"/>
        </w:rPr>
      </w:pPr>
      <w:r>
        <w:rPr>
          <w:rFonts w:cs="Times New Roman"/>
        </w:rPr>
        <w:t>（5）生活垃圾</w:t>
      </w:r>
    </w:p>
    <w:p>
      <w:pPr>
        <w:pStyle w:val="3"/>
        <w:tabs>
          <w:tab w:val="left" w:pos="2168"/>
        </w:tabs>
        <w:ind w:firstLine="480"/>
        <w:rPr>
          <w:rFonts w:cs="Times New Roman"/>
        </w:rPr>
      </w:pPr>
      <w:r>
        <w:rPr>
          <w:rFonts w:cs="Times New Roman"/>
        </w:rPr>
        <w:t>生活垃圾收集后由环卫部门统一清运处理，不外排。</w:t>
      </w:r>
    </w:p>
    <w:p>
      <w:pPr>
        <w:pStyle w:val="3"/>
        <w:tabs>
          <w:tab w:val="left" w:pos="2168"/>
        </w:tabs>
        <w:ind w:firstLine="480"/>
        <w:rPr>
          <w:rFonts w:cs="Times New Roman"/>
        </w:rPr>
      </w:pPr>
      <w:r>
        <w:rPr>
          <w:rFonts w:cs="Times New Roman"/>
        </w:rPr>
        <w:t>本项目采取的固废处理设施均按照减量化、资源化、无害化的原则提出，建设单位则要加强固体废物日常的管理和监督，尤其是危险废物，除了将危险废物委托给具有相应危险废物处理资质的单位处置以外，还务必做好危险废物在厂区内的临时贮存和管理，严格按照《危险废物贮存污染控制标准》（GB18597-2001）以及国家污染物控制标准修改单的公告（公告2013 年第36号）的规定进行。</w:t>
      </w:r>
    </w:p>
    <w:p>
      <w:pPr>
        <w:pStyle w:val="3"/>
        <w:ind w:firstLine="480"/>
      </w:pPr>
      <w:r>
        <w:rPr>
          <w:rFonts w:hint="eastAsia" w:cs="Times New Roman"/>
        </w:rPr>
        <w:t>（6）</w:t>
      </w:r>
      <w:r>
        <w:rPr>
          <w:rFonts w:hint="eastAsia"/>
        </w:rPr>
        <w:t>锅炉灰渣及除尘灰</w:t>
      </w:r>
    </w:p>
    <w:p>
      <w:pPr>
        <w:pStyle w:val="3"/>
        <w:ind w:firstLine="480"/>
        <w:rPr>
          <w:rFonts w:cs="Times New Roman"/>
        </w:rPr>
      </w:pPr>
      <w:r>
        <w:rPr>
          <w:rFonts w:hint="eastAsia"/>
        </w:rPr>
        <w:t>本项目锅炉灰渣及布袋除尘器的颗粒物，收集后袋装作为农肥。</w:t>
      </w:r>
    </w:p>
    <w:p>
      <w:pPr>
        <w:pStyle w:val="3"/>
        <w:ind w:firstLine="480"/>
        <w:rPr>
          <w:rFonts w:cs="Times New Roman"/>
        </w:rPr>
      </w:pPr>
      <w:r>
        <w:rPr>
          <w:rFonts w:cs="Times New Roman"/>
        </w:rPr>
        <w:t>综上所述，本环评认为本项目产生的固体废物分类收集、分类处置，采取的处理措施是可行的。</w:t>
      </w:r>
    </w:p>
    <w:p>
      <w:pPr>
        <w:pStyle w:val="6"/>
        <w:rPr>
          <w:rFonts w:cs="Times New Roman"/>
        </w:rPr>
      </w:pPr>
      <w:r>
        <w:rPr>
          <w:rFonts w:cs="Times New Roman"/>
        </w:rPr>
        <w:t>土壤环境污染防治措施及可行性分析</w:t>
      </w:r>
    </w:p>
    <w:p>
      <w:pPr>
        <w:pStyle w:val="3"/>
        <w:ind w:firstLine="480"/>
        <w:rPr>
          <w:rFonts w:cs="Times New Roman"/>
        </w:rPr>
      </w:pPr>
      <w:r>
        <w:rPr>
          <w:rFonts w:cs="Times New Roman"/>
        </w:rPr>
        <w:t>（1）根据《土壤污染防治行动计划》，项目需严格规范兽药、饲料添加剂的使用，防止过量使用造成兽药、饲料添加剂中的有害成分通过畜禽养殖废弃物还田对土壤造成污染。</w:t>
      </w:r>
    </w:p>
    <w:p>
      <w:pPr>
        <w:pStyle w:val="3"/>
        <w:ind w:firstLine="480"/>
        <w:rPr>
          <w:rFonts w:cs="Times New Roman"/>
        </w:rPr>
      </w:pPr>
      <w:r>
        <w:rPr>
          <w:rFonts w:cs="Times New Roman"/>
        </w:rPr>
        <w:t>（2）废水收集</w:t>
      </w:r>
      <w:r>
        <w:rPr>
          <w:rFonts w:hint="eastAsia" w:cs="Times New Roman"/>
        </w:rPr>
        <w:t>池</w:t>
      </w:r>
      <w:r>
        <w:rPr>
          <w:rFonts w:cs="Times New Roman"/>
        </w:rPr>
        <w:t>、</w:t>
      </w:r>
      <w:r>
        <w:rPr>
          <w:rFonts w:hint="eastAsia" w:cs="Times New Roman"/>
        </w:rPr>
        <w:t>化粪池</w:t>
      </w:r>
      <w:r>
        <w:rPr>
          <w:rFonts w:cs="Times New Roman"/>
        </w:rPr>
        <w:t>、鸡粪处理区、危废暂存间等拟采取防渗措施。</w:t>
      </w:r>
    </w:p>
    <w:p>
      <w:pPr>
        <w:pStyle w:val="6"/>
        <w:rPr>
          <w:rFonts w:cs="Times New Roman"/>
        </w:rPr>
      </w:pPr>
      <w:r>
        <w:rPr>
          <w:rFonts w:cs="Times New Roman"/>
        </w:rPr>
        <w:t>交通运输污染防治措施及可行性分析</w:t>
      </w:r>
    </w:p>
    <w:p>
      <w:pPr>
        <w:pStyle w:val="3"/>
        <w:ind w:firstLine="480"/>
        <w:rPr>
          <w:rFonts w:cs="Times New Roman"/>
        </w:rPr>
      </w:pPr>
      <w:r>
        <w:rPr>
          <w:rFonts w:cs="Times New Roman"/>
        </w:rPr>
        <w:t>（1）交通运输噪声防治措施</w:t>
      </w:r>
    </w:p>
    <w:p>
      <w:pPr>
        <w:pStyle w:val="3"/>
        <w:ind w:firstLine="480"/>
        <w:rPr>
          <w:rFonts w:cs="Times New Roman"/>
        </w:rPr>
      </w:pPr>
      <w:r>
        <w:rPr>
          <w:rFonts w:cs="Times New Roman"/>
        </w:rPr>
        <w:t>为了减轻因车辆的增加而引起交通噪声，建议加强以下措施进行防范：</w:t>
      </w:r>
    </w:p>
    <w:p>
      <w:pPr>
        <w:pStyle w:val="3"/>
        <w:ind w:firstLine="480"/>
        <w:rPr>
          <w:rFonts w:cs="Times New Roman"/>
        </w:rPr>
      </w:pPr>
      <w:r>
        <w:rPr>
          <w:rFonts w:hint="eastAsia" w:ascii="宋体" w:hAnsi="宋体" w:cs="宋体"/>
        </w:rPr>
        <w:t>①</w:t>
      </w:r>
      <w:r>
        <w:rPr>
          <w:rFonts w:cs="Times New Roman"/>
        </w:rPr>
        <w:t>根据生产实际情况，合理调度汽车运输。汽车运输尽量选择白天进行，在夜间22点以后就必须停止任何运输活动，这样避免因夜间运输出现的声环境超标现象。</w:t>
      </w:r>
    </w:p>
    <w:p>
      <w:pPr>
        <w:pStyle w:val="3"/>
        <w:ind w:firstLine="480"/>
        <w:rPr>
          <w:rFonts w:cs="Times New Roman"/>
        </w:rPr>
      </w:pPr>
      <w:r>
        <w:rPr>
          <w:rFonts w:hint="eastAsia" w:ascii="宋体" w:hAnsi="宋体" w:cs="宋体"/>
        </w:rPr>
        <w:t>②</w:t>
      </w:r>
      <w:r>
        <w:rPr>
          <w:rFonts w:cs="Times New Roman"/>
        </w:rPr>
        <w:t>优化运输路线，使运输路线尽量选择距离居民敏感点较远、地域比较开阔的地段。</w:t>
      </w:r>
    </w:p>
    <w:p>
      <w:pPr>
        <w:pStyle w:val="3"/>
        <w:ind w:firstLine="480"/>
        <w:rPr>
          <w:rFonts w:cs="Times New Roman"/>
        </w:rPr>
      </w:pPr>
      <w:r>
        <w:rPr>
          <w:rFonts w:cs="Times New Roman"/>
        </w:rPr>
        <w:t>（2）运输沿线恶臭防治措施</w:t>
      </w:r>
    </w:p>
    <w:p>
      <w:pPr>
        <w:pStyle w:val="3"/>
        <w:ind w:firstLine="480"/>
        <w:rPr>
          <w:rFonts w:cs="Times New Roman"/>
        </w:rPr>
      </w:pPr>
      <w:r>
        <w:rPr>
          <w:rFonts w:hint="eastAsia" w:ascii="宋体" w:hAnsi="宋体" w:cs="宋体"/>
        </w:rPr>
        <w:t>①</w:t>
      </w:r>
      <w:r>
        <w:rPr>
          <w:rFonts w:cs="Times New Roman"/>
        </w:rPr>
        <w:t>鸡苗</w:t>
      </w:r>
      <w:r>
        <w:rPr>
          <w:rFonts w:hint="eastAsia" w:cs="Times New Roman"/>
        </w:rPr>
        <w:t>进购</w:t>
      </w:r>
      <w:r>
        <w:rPr>
          <w:rFonts w:cs="Times New Roman"/>
        </w:rPr>
        <w:t>或</w:t>
      </w:r>
      <w:r>
        <w:rPr>
          <w:rFonts w:hint="eastAsia" w:cs="Times New Roman"/>
        </w:rPr>
        <w:t>淘汰蛋鸡</w:t>
      </w:r>
      <w:r>
        <w:rPr>
          <w:rFonts w:cs="Times New Roman"/>
        </w:rPr>
        <w:t>出售装车前应进行彻底清洗。</w:t>
      </w:r>
    </w:p>
    <w:p>
      <w:pPr>
        <w:pStyle w:val="3"/>
        <w:ind w:firstLine="480"/>
        <w:rPr>
          <w:rFonts w:cs="Times New Roman"/>
        </w:rPr>
      </w:pPr>
      <w:r>
        <w:rPr>
          <w:rFonts w:hint="eastAsia" w:ascii="宋体" w:hAnsi="宋体" w:cs="宋体"/>
        </w:rPr>
        <w:t>②</w:t>
      </w:r>
      <w:r>
        <w:rPr>
          <w:rFonts w:cs="Times New Roman"/>
        </w:rPr>
        <w:t>鸡只运输车辆注意消毒，保持清洁。</w:t>
      </w:r>
    </w:p>
    <w:p>
      <w:pPr>
        <w:pStyle w:val="3"/>
        <w:ind w:firstLine="480"/>
        <w:rPr>
          <w:rFonts w:cs="Times New Roman"/>
        </w:rPr>
      </w:pPr>
      <w:r>
        <w:rPr>
          <w:rFonts w:hint="eastAsia" w:ascii="宋体" w:hAnsi="宋体" w:cs="宋体"/>
        </w:rPr>
        <w:t>③</w:t>
      </w:r>
      <w:r>
        <w:rPr>
          <w:rFonts w:cs="Times New Roman"/>
        </w:rPr>
        <w:t>运输车辆必须按定额载重量运输，严禁超载行驶。</w:t>
      </w:r>
    </w:p>
    <w:p>
      <w:pPr>
        <w:pStyle w:val="3"/>
        <w:ind w:firstLine="480"/>
        <w:rPr>
          <w:rFonts w:cs="Times New Roman"/>
        </w:rPr>
      </w:pPr>
      <w:r>
        <w:rPr>
          <w:rFonts w:hint="eastAsia" w:ascii="宋体" w:hAnsi="宋体" w:cs="宋体"/>
        </w:rPr>
        <w:t>④</w:t>
      </w:r>
      <w:r>
        <w:rPr>
          <w:rFonts w:cs="Times New Roman"/>
        </w:rPr>
        <w:t>运输车辆在进入城区或环境敏感点较多的地段前应在定点冲洗位置冲洗车辆经采取以上措施，本项目原料和鸡运输对周边环境影响较小，措施可行。</w:t>
      </w:r>
    </w:p>
    <w:p>
      <w:pPr>
        <w:pStyle w:val="6"/>
        <w:rPr>
          <w:rFonts w:cs="Times New Roman"/>
          <w:bCs w:val="0"/>
        </w:rPr>
      </w:pPr>
      <w:r>
        <w:rPr>
          <w:rFonts w:cs="Times New Roman"/>
          <w:bCs w:val="0"/>
        </w:rPr>
        <w:t>绿化措施及可行性分析</w:t>
      </w:r>
    </w:p>
    <w:p>
      <w:pPr>
        <w:pStyle w:val="3"/>
        <w:ind w:firstLine="480"/>
        <w:rPr>
          <w:rFonts w:cs="Times New Roman"/>
        </w:rPr>
      </w:pPr>
      <w:r>
        <w:rPr>
          <w:rFonts w:cs="Times New Roman"/>
        </w:rPr>
        <w:t>养殖项目区域绿化工作十分重要。搞好绿化工作不仅是“绿色生态养殖”的重要标志，而且绿化还具有阻挡臭味气体、降低噪声、调节养殖场温度及湿度、吸附尘粒的作用，对局部的环境污染具有多方面的长期和综合效果。因此该工程应结合养殖项目布局，合理规划，优化树种，认真搞好绿化工程：</w:t>
      </w:r>
    </w:p>
    <w:p>
      <w:pPr>
        <w:pStyle w:val="3"/>
        <w:ind w:firstLine="480"/>
        <w:rPr>
          <w:rFonts w:cs="Times New Roman"/>
        </w:rPr>
      </w:pPr>
      <w:r>
        <w:rPr>
          <w:rFonts w:cs="Times New Roman"/>
        </w:rPr>
        <w:t>（1）绿化植物的选择既要考虑当地土壤及气候条件，又要结合工程的实际排污情况，同时要考虑近期和远期的绿化效果，可种植一些如桂花等发香的木本植物，将速生树和慢生树相搭配，植物、种草、栽培、盆景结合起来，形居高、中、低错落的主体绿化和垂直绿化，增加绿化效果和环境效果。</w:t>
      </w:r>
    </w:p>
    <w:p>
      <w:pPr>
        <w:pStyle w:val="3"/>
        <w:ind w:firstLine="480"/>
        <w:rPr>
          <w:rFonts w:cs="Times New Roman"/>
        </w:rPr>
      </w:pPr>
      <w:r>
        <w:rPr>
          <w:rFonts w:cs="Times New Roman"/>
        </w:rPr>
        <w:t>在树种选择上，不仅要考虑美化效果，还必须考虑在除臭、防火、吸尘、杀菌等方面的作用。建议选用桂花树、栀子树、桑树、女贞、泡桐、樟树、夹竹桃、紫薇、广玉兰、桃树等树种；白兰、茉莉、结缕草、蜈蚣草、美人蕉、菊花、金鱼草等花草。</w:t>
      </w:r>
    </w:p>
    <w:p>
      <w:pPr>
        <w:pStyle w:val="3"/>
        <w:ind w:firstLine="480"/>
        <w:rPr>
          <w:rFonts w:cs="Times New Roman"/>
          <w:lang w:val="zh-CN"/>
        </w:rPr>
      </w:pPr>
      <w:r>
        <w:rPr>
          <w:rFonts w:cs="Times New Roman"/>
        </w:rPr>
        <w:t>（2）在净道建林荫道，树冠可高矮相结合，疏密相宜；厂界四周种植高大乔木为主。</w:t>
      </w:r>
    </w:p>
    <w:p>
      <w:pPr>
        <w:pStyle w:val="3"/>
        <w:ind w:firstLine="480"/>
      </w:pPr>
    </w:p>
    <w:p>
      <w:pPr>
        <w:pStyle w:val="3"/>
        <w:ind w:firstLine="480"/>
      </w:pPr>
      <w:r>
        <w:br w:type="page"/>
      </w:r>
    </w:p>
    <w:p>
      <w:pPr>
        <w:pStyle w:val="2"/>
      </w:pPr>
      <w:bookmarkStart w:id="43" w:name="_Toc80889090"/>
      <w:r>
        <w:rPr>
          <w:rFonts w:hint="eastAsia"/>
        </w:rPr>
        <w:t>项目</w:t>
      </w:r>
      <w:r>
        <w:t>建设环境可行性分析</w:t>
      </w:r>
      <w:bookmarkEnd w:id="43"/>
    </w:p>
    <w:p>
      <w:pPr>
        <w:pStyle w:val="5"/>
      </w:pPr>
      <w:bookmarkStart w:id="44" w:name="_Toc80889091"/>
      <w:r>
        <w:rPr>
          <w:rFonts w:hint="eastAsia"/>
        </w:rPr>
        <w:t>产业</w:t>
      </w:r>
      <w:r>
        <w:t>政策符合性</w:t>
      </w:r>
      <w:r>
        <w:rPr>
          <w:rFonts w:hint="eastAsia"/>
        </w:rPr>
        <w:t>分析</w:t>
      </w:r>
      <w:bookmarkEnd w:id="44"/>
    </w:p>
    <w:p>
      <w:pPr>
        <w:pStyle w:val="3"/>
        <w:ind w:firstLine="480"/>
      </w:pPr>
      <w:r>
        <w:rPr>
          <w:rFonts w:cs="Times New Roman"/>
        </w:rPr>
        <w:t>本项目属于《国民经济行业分类》分类中的“A0321鸡的饲养”，根据《产业结构调整指导目录（2019年本）》，本项目属于：第一类鼓励类，一、农林业：5、畜禽标准化规模养殖技术开发与应用；本项目种鸡生产采用集约化生产方式，属于国家鼓励类项目，符合国家产业政策要求。</w:t>
      </w:r>
    </w:p>
    <w:p>
      <w:pPr>
        <w:pStyle w:val="5"/>
      </w:pPr>
      <w:bookmarkStart w:id="45" w:name="_Toc80889092"/>
      <w:r>
        <w:rPr>
          <w:rFonts w:hint="eastAsia"/>
        </w:rPr>
        <w:t>选址</w:t>
      </w:r>
      <w:r>
        <w:t>合理性分析</w:t>
      </w:r>
      <w:bookmarkEnd w:id="45"/>
    </w:p>
    <w:p>
      <w:pPr>
        <w:pStyle w:val="6"/>
      </w:pPr>
      <w:r>
        <w:t>与</w:t>
      </w:r>
      <w:r>
        <w:rPr>
          <w:lang w:val="zh-CN"/>
        </w:rPr>
        <w:t>《畜禽养殖业污染防治技术规范》（HJ/T81-2001）</w:t>
      </w:r>
      <w:r>
        <w:t>中选址要求符合性分析</w:t>
      </w:r>
    </w:p>
    <w:p>
      <w:pPr>
        <w:pStyle w:val="3"/>
        <w:ind w:firstLine="480"/>
        <w:rPr>
          <w:lang w:val="zh-CN"/>
        </w:rPr>
      </w:pPr>
      <w:bookmarkStart w:id="46" w:name="_Toc428820575"/>
      <w:bookmarkStart w:id="47" w:name="_Toc428648630"/>
      <w:r>
        <w:rPr>
          <w:lang w:val="zh-CN"/>
        </w:rPr>
        <w:t>根据《畜禽养殖业污染防治技术规范》（HJ/T81-2001）中选址要求。项目选址符合规范的原则和要求。本项目建设条件与规范要求对比分析结果见</w:t>
      </w:r>
      <w:r>
        <w:rPr>
          <w:lang w:val="zh-CN"/>
        </w:rPr>
        <w:fldChar w:fldCharType="begin"/>
      </w:r>
      <w:r>
        <w:rPr>
          <w:lang w:val="zh-CN"/>
        </w:rPr>
        <w:instrText xml:space="preserve"> REF _Ref395805713 \h  \* MERGEFORMAT </w:instrText>
      </w:r>
      <w:r>
        <w:rPr>
          <w:lang w:val="zh-CN"/>
        </w:rPr>
        <w:fldChar w:fldCharType="separate"/>
      </w:r>
      <w:r>
        <w:rPr>
          <w:lang w:val="zh-CN"/>
        </w:rPr>
        <w:t>表7.3-1</w:t>
      </w:r>
      <w:r>
        <w:rPr>
          <w:lang w:val="zh-CN"/>
        </w:rPr>
        <w:fldChar w:fldCharType="end"/>
      </w:r>
      <w:r>
        <w:rPr>
          <w:lang w:val="zh-CN"/>
        </w:rPr>
        <w:t>。</w:t>
      </w:r>
      <w:bookmarkEnd w:id="46"/>
      <w:bookmarkEnd w:id="47"/>
    </w:p>
    <w:p>
      <w:pPr>
        <w:pStyle w:val="15"/>
        <w:rPr>
          <w:lang w:val="zh-CN"/>
        </w:rPr>
      </w:pPr>
      <w:bookmarkStart w:id="48" w:name="_Ref395805713"/>
      <w:bookmarkStart w:id="49" w:name="_Toc428648631"/>
      <w:bookmarkStart w:id="50" w:name="_Toc428820576"/>
      <w:r>
        <w:rPr>
          <w:lang w:val="zh-CN"/>
        </w:rPr>
        <w:t>表</w:t>
      </w:r>
      <w:r>
        <w:t>7.3</w:t>
      </w:r>
      <w:r>
        <w:rPr>
          <w:lang w:val="zh-CN"/>
        </w:rPr>
        <w:t>-</w:t>
      </w:r>
      <w:r>
        <w:rPr>
          <w:lang w:val="zh-CN"/>
        </w:rPr>
        <w:fldChar w:fldCharType="begin"/>
      </w:r>
      <w:r>
        <w:rPr>
          <w:lang w:val="zh-CN"/>
        </w:rPr>
        <w:instrText xml:space="preserve"> SEQ 表 \* ARABIC \s 1 </w:instrText>
      </w:r>
      <w:r>
        <w:rPr>
          <w:lang w:val="zh-CN"/>
        </w:rPr>
        <w:fldChar w:fldCharType="separate"/>
      </w:r>
      <w:r>
        <w:rPr>
          <w:lang w:val="zh-CN"/>
        </w:rPr>
        <w:t>1</w:t>
      </w:r>
      <w:r>
        <w:rPr>
          <w:lang w:val="zh-CN"/>
        </w:rPr>
        <w:fldChar w:fldCharType="end"/>
      </w:r>
      <w:bookmarkEnd w:id="48"/>
      <w:r>
        <w:t xml:space="preserve">  </w:t>
      </w:r>
      <w:r>
        <w:rPr>
          <w:lang w:val="zh-CN"/>
        </w:rPr>
        <w:t>本项目场址与选址要求的符合性分析表</w:t>
      </w:r>
      <w:bookmarkEnd w:id="49"/>
      <w:bookmarkEnd w:id="50"/>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5"/>
        <w:gridCol w:w="3788"/>
        <w:gridCol w:w="3732"/>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395" w:type="pct"/>
            <w:vAlign w:val="center"/>
          </w:tcPr>
          <w:p>
            <w:pPr>
              <w:pStyle w:val="39"/>
              <w:rPr>
                <w:snapToGrid w:val="0"/>
              </w:rPr>
            </w:pPr>
            <w:r>
              <w:rPr>
                <w:snapToGrid w:val="0"/>
              </w:rPr>
              <w:t>序号</w:t>
            </w:r>
          </w:p>
        </w:tc>
        <w:tc>
          <w:tcPr>
            <w:tcW w:w="2065" w:type="pct"/>
            <w:vAlign w:val="center"/>
          </w:tcPr>
          <w:p>
            <w:pPr>
              <w:pStyle w:val="39"/>
              <w:rPr>
                <w:snapToGrid w:val="0"/>
              </w:rPr>
            </w:pPr>
            <w:r>
              <w:rPr>
                <w:snapToGrid w:val="0"/>
              </w:rPr>
              <w:t>规范要求</w:t>
            </w:r>
          </w:p>
        </w:tc>
        <w:tc>
          <w:tcPr>
            <w:tcW w:w="2034" w:type="pct"/>
            <w:vAlign w:val="center"/>
          </w:tcPr>
          <w:p>
            <w:pPr>
              <w:pStyle w:val="39"/>
              <w:rPr>
                <w:snapToGrid w:val="0"/>
              </w:rPr>
            </w:pPr>
            <w:r>
              <w:rPr>
                <w:snapToGrid w:val="0"/>
              </w:rPr>
              <w:t>选址条件</w:t>
            </w:r>
          </w:p>
        </w:tc>
        <w:tc>
          <w:tcPr>
            <w:tcW w:w="507" w:type="pct"/>
            <w:vAlign w:val="center"/>
          </w:tcPr>
          <w:p>
            <w:pPr>
              <w:pStyle w:val="39"/>
              <w:rPr>
                <w:snapToGrid w:val="0"/>
              </w:rPr>
            </w:pPr>
            <w:r>
              <w:rPr>
                <w:snapToGrid w:val="0"/>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95" w:type="pct"/>
            <w:vAlign w:val="center"/>
          </w:tcPr>
          <w:p>
            <w:pPr>
              <w:pStyle w:val="39"/>
              <w:rPr>
                <w:snapToGrid w:val="0"/>
              </w:rPr>
            </w:pPr>
            <w:r>
              <w:rPr>
                <w:snapToGrid w:val="0"/>
              </w:rPr>
              <w:t>1</w:t>
            </w:r>
          </w:p>
        </w:tc>
        <w:tc>
          <w:tcPr>
            <w:tcW w:w="2065" w:type="pct"/>
            <w:vAlign w:val="center"/>
          </w:tcPr>
          <w:p>
            <w:pPr>
              <w:pStyle w:val="39"/>
              <w:rPr>
                <w:snapToGrid w:val="0"/>
                <w:kern w:val="0"/>
              </w:rPr>
            </w:pPr>
            <w:r>
              <w:rPr>
                <w:snapToGrid w:val="0"/>
                <w:kern w:val="0"/>
              </w:rPr>
              <w:t>禁止建设在生活饮用水水源保护区、风景名胜区、自然保护区的核心区及缓冲区。</w:t>
            </w:r>
          </w:p>
        </w:tc>
        <w:tc>
          <w:tcPr>
            <w:tcW w:w="2034" w:type="pct"/>
            <w:vAlign w:val="center"/>
          </w:tcPr>
          <w:p>
            <w:pPr>
              <w:pStyle w:val="39"/>
              <w:rPr>
                <w:snapToGrid w:val="0"/>
                <w:kern w:val="0"/>
              </w:rPr>
            </w:pPr>
            <w:r>
              <w:rPr>
                <w:snapToGrid w:val="0"/>
                <w:kern w:val="0"/>
              </w:rPr>
              <w:t>建设场地附近无生活饮用水水源保护区、风景名胜区、自然保护区等敏感地区</w:t>
            </w:r>
          </w:p>
        </w:tc>
        <w:tc>
          <w:tcPr>
            <w:tcW w:w="507" w:type="pct"/>
            <w:vAlign w:val="center"/>
          </w:tcPr>
          <w:p>
            <w:pPr>
              <w:pStyle w:val="39"/>
              <w:rPr>
                <w:snapToGrid w:val="0"/>
              </w:rPr>
            </w:pPr>
            <w:r>
              <w:rPr>
                <w:snapToGrid w:val="0"/>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95" w:type="pct"/>
            <w:vAlign w:val="center"/>
          </w:tcPr>
          <w:p>
            <w:pPr>
              <w:pStyle w:val="39"/>
              <w:rPr>
                <w:snapToGrid w:val="0"/>
              </w:rPr>
            </w:pPr>
            <w:r>
              <w:rPr>
                <w:snapToGrid w:val="0"/>
              </w:rPr>
              <w:t>2</w:t>
            </w:r>
          </w:p>
        </w:tc>
        <w:tc>
          <w:tcPr>
            <w:tcW w:w="2065" w:type="pct"/>
            <w:vAlign w:val="center"/>
          </w:tcPr>
          <w:p>
            <w:pPr>
              <w:pStyle w:val="39"/>
              <w:rPr>
                <w:snapToGrid w:val="0"/>
                <w:kern w:val="0"/>
              </w:rPr>
            </w:pPr>
            <w:r>
              <w:rPr>
                <w:snapToGrid w:val="0"/>
                <w:kern w:val="0"/>
              </w:rPr>
              <w:t>禁止建设在城市和城镇居民区、包括文教科研区、医疗区、商业区、工业区、游览区等人口集中地区。</w:t>
            </w:r>
          </w:p>
        </w:tc>
        <w:tc>
          <w:tcPr>
            <w:tcW w:w="2034" w:type="pct"/>
            <w:vAlign w:val="center"/>
          </w:tcPr>
          <w:p>
            <w:pPr>
              <w:pStyle w:val="39"/>
              <w:rPr>
                <w:snapToGrid w:val="0"/>
                <w:kern w:val="0"/>
              </w:rPr>
            </w:pPr>
            <w:r>
              <w:rPr>
                <w:snapToGrid w:val="0"/>
                <w:kern w:val="0"/>
              </w:rPr>
              <w:t>项目位于农村地区，所在地不属于人口集中地区</w:t>
            </w:r>
          </w:p>
        </w:tc>
        <w:tc>
          <w:tcPr>
            <w:tcW w:w="507" w:type="pct"/>
            <w:vAlign w:val="center"/>
          </w:tcPr>
          <w:p>
            <w:pPr>
              <w:pStyle w:val="39"/>
              <w:rPr>
                <w:snapToGrid w:val="0"/>
              </w:rPr>
            </w:pPr>
            <w:r>
              <w:rPr>
                <w:snapToGrid w:val="0"/>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95" w:type="pct"/>
            <w:vAlign w:val="center"/>
          </w:tcPr>
          <w:p>
            <w:pPr>
              <w:pStyle w:val="39"/>
              <w:rPr>
                <w:snapToGrid w:val="0"/>
              </w:rPr>
            </w:pPr>
            <w:r>
              <w:rPr>
                <w:snapToGrid w:val="0"/>
              </w:rPr>
              <w:t>3</w:t>
            </w:r>
          </w:p>
        </w:tc>
        <w:tc>
          <w:tcPr>
            <w:tcW w:w="2065" w:type="pct"/>
            <w:vAlign w:val="center"/>
          </w:tcPr>
          <w:p>
            <w:pPr>
              <w:pStyle w:val="39"/>
              <w:rPr>
                <w:snapToGrid w:val="0"/>
                <w:kern w:val="0"/>
              </w:rPr>
            </w:pPr>
            <w:r>
              <w:rPr>
                <w:snapToGrid w:val="0"/>
                <w:kern w:val="0"/>
              </w:rPr>
              <w:t>禁止建设在县级人民政府依法划定的禁养区域</w:t>
            </w:r>
          </w:p>
        </w:tc>
        <w:tc>
          <w:tcPr>
            <w:tcW w:w="2034" w:type="pct"/>
            <w:vAlign w:val="center"/>
          </w:tcPr>
          <w:p>
            <w:pPr>
              <w:pStyle w:val="39"/>
              <w:rPr>
                <w:snapToGrid w:val="0"/>
              </w:rPr>
            </w:pPr>
            <w:r>
              <w:rPr>
                <w:snapToGrid w:val="0"/>
              </w:rPr>
              <w:t>不属于禁养区域</w:t>
            </w:r>
          </w:p>
        </w:tc>
        <w:tc>
          <w:tcPr>
            <w:tcW w:w="507" w:type="pct"/>
            <w:vAlign w:val="center"/>
          </w:tcPr>
          <w:p>
            <w:pPr>
              <w:pStyle w:val="39"/>
              <w:rPr>
                <w:snapToGrid w:val="0"/>
              </w:rPr>
            </w:pPr>
            <w:r>
              <w:rPr>
                <w:snapToGrid w:val="0"/>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95" w:type="pct"/>
            <w:vAlign w:val="center"/>
          </w:tcPr>
          <w:p>
            <w:pPr>
              <w:pStyle w:val="39"/>
              <w:rPr>
                <w:snapToGrid w:val="0"/>
              </w:rPr>
            </w:pPr>
            <w:r>
              <w:rPr>
                <w:snapToGrid w:val="0"/>
              </w:rPr>
              <w:t>4</w:t>
            </w:r>
          </w:p>
        </w:tc>
        <w:tc>
          <w:tcPr>
            <w:tcW w:w="2065" w:type="pct"/>
            <w:vAlign w:val="center"/>
          </w:tcPr>
          <w:p>
            <w:pPr>
              <w:pStyle w:val="39"/>
              <w:rPr>
                <w:snapToGrid w:val="0"/>
                <w:kern w:val="0"/>
              </w:rPr>
            </w:pPr>
            <w:r>
              <w:rPr>
                <w:snapToGrid w:val="0"/>
                <w:kern w:val="0"/>
              </w:rPr>
              <w:t>禁止建设在国家或地方法律、法规规定需特殊保护的其它区域</w:t>
            </w:r>
          </w:p>
        </w:tc>
        <w:tc>
          <w:tcPr>
            <w:tcW w:w="2034" w:type="pct"/>
            <w:vAlign w:val="center"/>
          </w:tcPr>
          <w:p>
            <w:pPr>
              <w:pStyle w:val="39"/>
              <w:rPr>
                <w:snapToGrid w:val="0"/>
              </w:rPr>
            </w:pPr>
            <w:r>
              <w:rPr>
                <w:snapToGrid w:val="0"/>
              </w:rPr>
              <w:t>周边无需特殊保护的区域</w:t>
            </w:r>
          </w:p>
        </w:tc>
        <w:tc>
          <w:tcPr>
            <w:tcW w:w="507" w:type="pct"/>
            <w:vAlign w:val="center"/>
          </w:tcPr>
          <w:p>
            <w:pPr>
              <w:pStyle w:val="39"/>
              <w:rPr>
                <w:snapToGrid w:val="0"/>
              </w:rPr>
            </w:pPr>
            <w:r>
              <w:rPr>
                <w:snapToGrid w:val="0"/>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95" w:type="pct"/>
            <w:vAlign w:val="center"/>
          </w:tcPr>
          <w:p>
            <w:pPr>
              <w:pStyle w:val="39"/>
              <w:rPr>
                <w:snapToGrid w:val="0"/>
              </w:rPr>
            </w:pPr>
            <w:r>
              <w:rPr>
                <w:snapToGrid w:val="0"/>
              </w:rPr>
              <w:t>5</w:t>
            </w:r>
          </w:p>
        </w:tc>
        <w:tc>
          <w:tcPr>
            <w:tcW w:w="2065" w:type="pct"/>
            <w:vAlign w:val="center"/>
          </w:tcPr>
          <w:p>
            <w:pPr>
              <w:pStyle w:val="39"/>
              <w:rPr>
                <w:snapToGrid w:val="0"/>
                <w:kern w:val="0"/>
              </w:rPr>
            </w:pPr>
            <w:r>
              <w:rPr>
                <w:snapToGrid w:val="0"/>
                <w:kern w:val="0"/>
              </w:rPr>
              <w:t>在禁建区域附近建设的，应设在禁建区域常年主导风向的下风向或侧风向处，场界与禁建区域边界的最小距离不得小于500m</w:t>
            </w:r>
          </w:p>
        </w:tc>
        <w:tc>
          <w:tcPr>
            <w:tcW w:w="2034" w:type="pct"/>
            <w:vAlign w:val="center"/>
          </w:tcPr>
          <w:p>
            <w:pPr>
              <w:pStyle w:val="39"/>
              <w:rPr>
                <w:kern w:val="0"/>
              </w:rPr>
            </w:pPr>
            <w:r>
              <w:rPr>
                <w:kern w:val="0"/>
              </w:rPr>
              <w:t>项目所在地不属于禁建区，对恶臭治理采用了强有力的措施，且在场区内进行绿化，采取措施后对外界影响较小。养殖场下风向500m范围内没有禁养区。达到厂址选址要求。</w:t>
            </w:r>
          </w:p>
        </w:tc>
        <w:tc>
          <w:tcPr>
            <w:tcW w:w="507" w:type="pct"/>
            <w:vAlign w:val="center"/>
          </w:tcPr>
          <w:p>
            <w:pPr>
              <w:pStyle w:val="39"/>
              <w:rPr>
                <w:snapToGrid w:val="0"/>
              </w:rPr>
            </w:pPr>
            <w:r>
              <w:rPr>
                <w:snapToGrid w:val="0"/>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95" w:type="pct"/>
            <w:vAlign w:val="center"/>
          </w:tcPr>
          <w:p>
            <w:pPr>
              <w:pStyle w:val="39"/>
              <w:rPr>
                <w:snapToGrid w:val="0"/>
              </w:rPr>
            </w:pPr>
            <w:r>
              <w:rPr>
                <w:snapToGrid w:val="0"/>
              </w:rPr>
              <w:t>6</w:t>
            </w:r>
          </w:p>
        </w:tc>
        <w:tc>
          <w:tcPr>
            <w:tcW w:w="2065" w:type="pct"/>
            <w:vAlign w:val="center"/>
          </w:tcPr>
          <w:p>
            <w:pPr>
              <w:pStyle w:val="39"/>
              <w:rPr>
                <w:snapToGrid w:val="0"/>
                <w:kern w:val="0"/>
              </w:rPr>
            </w:pPr>
            <w:r>
              <w:rPr>
                <w:snapToGrid w:val="0"/>
                <w:kern w:val="0"/>
              </w:rPr>
              <w:t>畜禽养殖场产生的畜禽粪便贮存设施的位置必须远离各类功能地表水体（距离不得小于400m），并应设在养殖场生产及生活管理区的常年主导风向的下风向或侧风向。</w:t>
            </w:r>
          </w:p>
        </w:tc>
        <w:tc>
          <w:tcPr>
            <w:tcW w:w="2034" w:type="pct"/>
            <w:vAlign w:val="center"/>
          </w:tcPr>
          <w:p>
            <w:pPr>
              <w:pStyle w:val="39"/>
              <w:rPr>
                <w:snapToGrid w:val="0"/>
                <w:kern w:val="0"/>
              </w:rPr>
            </w:pPr>
            <w:r>
              <w:rPr>
                <w:rFonts w:hint="eastAsia"/>
                <w:snapToGrid w:val="0"/>
                <w:kern w:val="0"/>
              </w:rPr>
              <w:t>本项目鸡粪直接通过干燥机生产成有机肥，不设粪便贮存设施，干燥机设置在</w:t>
            </w:r>
            <w:r>
              <w:rPr>
                <w:snapToGrid w:val="0"/>
                <w:kern w:val="0"/>
              </w:rPr>
              <w:t>办公楼位于</w:t>
            </w:r>
            <w:r>
              <w:rPr>
                <w:rFonts w:hint="eastAsia"/>
                <w:snapToGrid w:val="0"/>
                <w:kern w:val="0"/>
              </w:rPr>
              <w:t>侧风向</w:t>
            </w:r>
          </w:p>
        </w:tc>
        <w:tc>
          <w:tcPr>
            <w:tcW w:w="507" w:type="pct"/>
            <w:vAlign w:val="center"/>
          </w:tcPr>
          <w:p>
            <w:pPr>
              <w:pStyle w:val="39"/>
              <w:rPr>
                <w:snapToGrid w:val="0"/>
              </w:rPr>
            </w:pPr>
            <w:r>
              <w:rPr>
                <w:snapToGrid w:val="0"/>
              </w:rPr>
              <w:t>符合</w:t>
            </w:r>
          </w:p>
        </w:tc>
      </w:tr>
    </w:tbl>
    <w:p>
      <w:pPr>
        <w:pStyle w:val="3"/>
        <w:ind w:firstLine="480"/>
        <w:rPr>
          <w:lang w:val="zh-CN"/>
        </w:rPr>
      </w:pPr>
    </w:p>
    <w:p>
      <w:pPr>
        <w:pStyle w:val="6"/>
      </w:pPr>
      <w:bookmarkStart w:id="51" w:name="_Toc3550"/>
      <w:r>
        <w:t>与《畜禽养殖产地环境评价规范》（HJ568-2010）符合性分析</w:t>
      </w:r>
      <w:bookmarkEnd w:id="51"/>
    </w:p>
    <w:p>
      <w:pPr>
        <w:pStyle w:val="3"/>
        <w:ind w:firstLine="480"/>
        <w:rPr>
          <w:lang w:val="zh-CN"/>
        </w:rPr>
      </w:pPr>
      <w:r>
        <w:rPr>
          <w:rFonts w:hint="eastAsia" w:ascii="宋体" w:hAnsi="宋体" w:cs="宋体"/>
          <w:lang w:val="zh-CN"/>
        </w:rPr>
        <w:t>①</w:t>
      </w:r>
      <w:r>
        <w:rPr>
          <w:lang w:val="zh-CN"/>
        </w:rPr>
        <w:t>畜禽饮用水水质符合性：本项目生活用水和用水用水取用地下水，根据项目地下水水质现状监测结果可知，各监测项目均符合《畜禽养殖产地环境评价规范》（HJ568-2010）中表2：畜禽饮用水水质评价指标限值。</w:t>
      </w:r>
    </w:p>
    <w:p>
      <w:pPr>
        <w:pStyle w:val="3"/>
        <w:ind w:firstLine="480"/>
        <w:rPr>
          <w:lang w:val="zh-CN"/>
        </w:rPr>
      </w:pPr>
    </w:p>
    <w:p>
      <w:pPr>
        <w:pStyle w:val="61"/>
        <w:spacing w:line="240" w:lineRule="auto"/>
        <w:rPr>
          <w:lang w:val="zh-CN"/>
        </w:rPr>
      </w:pPr>
      <w:r>
        <w:rPr>
          <w:lang w:val="zh-CN"/>
        </w:rPr>
        <w:t>表</w:t>
      </w:r>
      <w:r>
        <w:t>7.3</w:t>
      </w:r>
      <w:r>
        <w:rPr>
          <w:lang w:val="zh-CN"/>
        </w:rPr>
        <w:t>-</w:t>
      </w:r>
      <w:r>
        <w:t xml:space="preserve">2  </w:t>
      </w:r>
      <w:r>
        <w:rPr>
          <w:lang w:val="zh-CN"/>
        </w:rPr>
        <w:t>畜禽饮用水水质评价</w:t>
      </w:r>
      <w:r>
        <w:rPr>
          <w:rFonts w:hint="eastAsia"/>
          <w:lang w:val="zh-CN"/>
        </w:rPr>
        <w:t>符合性一览表</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2249"/>
        <w:gridCol w:w="2653"/>
        <w:gridCol w:w="2044"/>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23" w:type="pct"/>
            <w:vAlign w:val="center"/>
          </w:tcPr>
          <w:p>
            <w:pPr>
              <w:pStyle w:val="39"/>
              <w:rPr>
                <w:snapToGrid w:val="0"/>
              </w:rPr>
            </w:pPr>
            <w:r>
              <w:rPr>
                <w:snapToGrid w:val="0"/>
              </w:rPr>
              <w:t>序号</w:t>
            </w:r>
          </w:p>
        </w:tc>
        <w:tc>
          <w:tcPr>
            <w:tcW w:w="1226" w:type="pct"/>
            <w:vAlign w:val="center"/>
          </w:tcPr>
          <w:p>
            <w:pPr>
              <w:pStyle w:val="39"/>
              <w:rPr>
                <w:snapToGrid w:val="0"/>
              </w:rPr>
            </w:pPr>
            <w:r>
              <w:rPr>
                <w:snapToGrid w:val="0"/>
              </w:rPr>
              <w:t>评价指标</w:t>
            </w:r>
          </w:p>
        </w:tc>
        <w:tc>
          <w:tcPr>
            <w:tcW w:w="1446" w:type="pct"/>
            <w:vAlign w:val="center"/>
          </w:tcPr>
          <w:p>
            <w:pPr>
              <w:pStyle w:val="39"/>
              <w:rPr>
                <w:snapToGrid w:val="0"/>
              </w:rPr>
            </w:pPr>
            <w:r>
              <w:rPr>
                <w:rFonts w:hint="eastAsia"/>
                <w:snapToGrid w:val="0"/>
              </w:rPr>
              <w:t>监测值</w:t>
            </w:r>
          </w:p>
        </w:tc>
        <w:tc>
          <w:tcPr>
            <w:tcW w:w="1114" w:type="pct"/>
            <w:vAlign w:val="center"/>
          </w:tcPr>
          <w:p>
            <w:pPr>
              <w:pStyle w:val="39"/>
              <w:rPr>
                <w:snapToGrid w:val="0"/>
              </w:rPr>
            </w:pPr>
            <w:r>
              <w:rPr>
                <w:snapToGrid w:val="0"/>
              </w:rPr>
              <w:t>指标限制</w:t>
            </w:r>
          </w:p>
        </w:tc>
        <w:tc>
          <w:tcPr>
            <w:tcW w:w="691" w:type="pct"/>
            <w:vAlign w:val="center"/>
          </w:tcPr>
          <w:p>
            <w:pPr>
              <w:pStyle w:val="39"/>
              <w:rPr>
                <w:snapToGrid w:val="0"/>
              </w:rPr>
            </w:pPr>
            <w:r>
              <w:rPr>
                <w:snapToGrid w:val="0"/>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23" w:type="pct"/>
            <w:vAlign w:val="center"/>
          </w:tcPr>
          <w:p>
            <w:pPr>
              <w:pStyle w:val="39"/>
              <w:rPr>
                <w:snapToGrid w:val="0"/>
              </w:rPr>
            </w:pPr>
            <w:r>
              <w:rPr>
                <w:snapToGrid w:val="0"/>
              </w:rPr>
              <w:t>1</w:t>
            </w:r>
          </w:p>
        </w:tc>
        <w:tc>
          <w:tcPr>
            <w:tcW w:w="1226" w:type="pct"/>
            <w:vAlign w:val="center"/>
          </w:tcPr>
          <w:p>
            <w:pPr>
              <w:pStyle w:val="39"/>
              <w:rPr>
                <w:snapToGrid w:val="0"/>
              </w:rPr>
            </w:pPr>
            <w:r>
              <w:rPr>
                <w:snapToGrid w:val="0"/>
              </w:rPr>
              <w:t>pH</w:t>
            </w:r>
          </w:p>
        </w:tc>
        <w:tc>
          <w:tcPr>
            <w:tcW w:w="1446" w:type="pct"/>
            <w:vAlign w:val="center"/>
          </w:tcPr>
          <w:p>
            <w:pPr>
              <w:pStyle w:val="39"/>
              <w:rPr>
                <w:snapToGrid w:val="0"/>
              </w:rPr>
            </w:pPr>
            <w:r>
              <w:rPr>
                <w:rFonts w:hint="eastAsia"/>
                <w:snapToGrid w:val="0"/>
              </w:rPr>
              <w:t>7.32</w:t>
            </w:r>
            <w:r>
              <w:rPr>
                <w:snapToGrid w:val="0"/>
              </w:rPr>
              <w:t>~</w:t>
            </w:r>
            <w:r>
              <w:rPr>
                <w:rFonts w:hint="eastAsia"/>
                <w:snapToGrid w:val="0"/>
              </w:rPr>
              <w:t>7.52</w:t>
            </w:r>
          </w:p>
        </w:tc>
        <w:tc>
          <w:tcPr>
            <w:tcW w:w="1114" w:type="pct"/>
            <w:vAlign w:val="center"/>
          </w:tcPr>
          <w:p>
            <w:pPr>
              <w:pStyle w:val="39"/>
              <w:rPr>
                <w:snapToGrid w:val="0"/>
              </w:rPr>
            </w:pPr>
            <w:r>
              <w:rPr>
                <w:snapToGrid w:val="0"/>
              </w:rPr>
              <w:t>6.5~8.5</w:t>
            </w:r>
          </w:p>
        </w:tc>
        <w:tc>
          <w:tcPr>
            <w:tcW w:w="691" w:type="pct"/>
            <w:vAlign w:val="center"/>
          </w:tcPr>
          <w:p>
            <w:pPr>
              <w:pStyle w:val="39"/>
              <w:rPr>
                <w:snapToGrid w:val="0"/>
              </w:rPr>
            </w:pPr>
            <w:r>
              <w:rPr>
                <w:snapToGrid w:val="0"/>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23" w:type="pct"/>
            <w:vAlign w:val="center"/>
          </w:tcPr>
          <w:p>
            <w:pPr>
              <w:pStyle w:val="39"/>
              <w:rPr>
                <w:snapToGrid w:val="0"/>
              </w:rPr>
            </w:pPr>
            <w:r>
              <w:rPr>
                <w:snapToGrid w:val="0"/>
              </w:rPr>
              <w:t>2</w:t>
            </w:r>
          </w:p>
        </w:tc>
        <w:tc>
          <w:tcPr>
            <w:tcW w:w="1226" w:type="pct"/>
            <w:vAlign w:val="center"/>
          </w:tcPr>
          <w:p>
            <w:pPr>
              <w:pStyle w:val="39"/>
              <w:rPr>
                <w:snapToGrid w:val="0"/>
              </w:rPr>
            </w:pPr>
            <w:r>
              <w:rPr>
                <w:snapToGrid w:val="0"/>
              </w:rPr>
              <w:t>总硬度</w:t>
            </w:r>
          </w:p>
        </w:tc>
        <w:tc>
          <w:tcPr>
            <w:tcW w:w="1446" w:type="pct"/>
            <w:vAlign w:val="center"/>
          </w:tcPr>
          <w:p>
            <w:pPr>
              <w:pStyle w:val="39"/>
              <w:rPr>
                <w:snapToGrid w:val="0"/>
              </w:rPr>
            </w:pPr>
            <w:r>
              <w:rPr>
                <w:rFonts w:hint="eastAsia"/>
                <w:snapToGrid w:val="0"/>
              </w:rPr>
              <w:t>279</w:t>
            </w:r>
            <w:r>
              <w:rPr>
                <w:snapToGrid w:val="0"/>
              </w:rPr>
              <w:t>~</w:t>
            </w:r>
            <w:r>
              <w:rPr>
                <w:rFonts w:hint="eastAsia"/>
                <w:snapToGrid w:val="0"/>
              </w:rPr>
              <w:t>305</w:t>
            </w:r>
          </w:p>
        </w:tc>
        <w:tc>
          <w:tcPr>
            <w:tcW w:w="1114" w:type="pct"/>
            <w:vAlign w:val="center"/>
          </w:tcPr>
          <w:p>
            <w:pPr>
              <w:pStyle w:val="39"/>
              <w:rPr>
                <w:snapToGrid w:val="0"/>
              </w:rPr>
            </w:pPr>
            <w:r>
              <w:rPr>
                <w:snapToGrid w:val="0"/>
              </w:rPr>
              <w:t>1500</w:t>
            </w:r>
          </w:p>
        </w:tc>
        <w:tc>
          <w:tcPr>
            <w:tcW w:w="691" w:type="pct"/>
            <w:vAlign w:val="center"/>
          </w:tcPr>
          <w:p>
            <w:pPr>
              <w:pStyle w:val="39"/>
              <w:rPr>
                <w:snapToGrid w:val="0"/>
              </w:rPr>
            </w:pPr>
            <w:r>
              <w:rPr>
                <w:snapToGrid w:val="0"/>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23" w:type="pct"/>
            <w:vAlign w:val="center"/>
          </w:tcPr>
          <w:p>
            <w:pPr>
              <w:pStyle w:val="39"/>
              <w:rPr>
                <w:snapToGrid w:val="0"/>
              </w:rPr>
            </w:pPr>
            <w:r>
              <w:rPr>
                <w:snapToGrid w:val="0"/>
              </w:rPr>
              <w:t>3</w:t>
            </w:r>
          </w:p>
        </w:tc>
        <w:tc>
          <w:tcPr>
            <w:tcW w:w="1226" w:type="pct"/>
            <w:vAlign w:val="center"/>
          </w:tcPr>
          <w:p>
            <w:pPr>
              <w:pStyle w:val="39"/>
              <w:rPr>
                <w:snapToGrid w:val="0"/>
              </w:rPr>
            </w:pPr>
            <w:r>
              <w:rPr>
                <w:snapToGrid w:val="0"/>
              </w:rPr>
              <w:t>总大肠菌群</w:t>
            </w:r>
          </w:p>
        </w:tc>
        <w:tc>
          <w:tcPr>
            <w:tcW w:w="1446" w:type="pct"/>
            <w:vAlign w:val="center"/>
          </w:tcPr>
          <w:p>
            <w:pPr>
              <w:pStyle w:val="39"/>
              <w:rPr>
                <w:snapToGrid w:val="0"/>
              </w:rPr>
            </w:pPr>
            <w:r>
              <w:rPr>
                <w:rFonts w:hint="eastAsia"/>
                <w:snapToGrid w:val="0"/>
              </w:rPr>
              <w:t>ND</w:t>
            </w:r>
          </w:p>
        </w:tc>
        <w:tc>
          <w:tcPr>
            <w:tcW w:w="1114" w:type="pct"/>
            <w:vAlign w:val="center"/>
          </w:tcPr>
          <w:p>
            <w:pPr>
              <w:pStyle w:val="39"/>
              <w:rPr>
                <w:snapToGrid w:val="0"/>
              </w:rPr>
            </w:pPr>
            <w:r>
              <w:rPr>
                <w:snapToGrid w:val="0"/>
              </w:rPr>
              <w:t>3</w:t>
            </w:r>
          </w:p>
        </w:tc>
        <w:tc>
          <w:tcPr>
            <w:tcW w:w="691" w:type="pct"/>
            <w:vAlign w:val="center"/>
          </w:tcPr>
          <w:p>
            <w:pPr>
              <w:pStyle w:val="39"/>
              <w:rPr>
                <w:snapToGrid w:val="0"/>
              </w:rPr>
            </w:pPr>
            <w:r>
              <w:rPr>
                <w:snapToGrid w:val="0"/>
              </w:rPr>
              <w:t>符合</w:t>
            </w:r>
          </w:p>
        </w:tc>
      </w:tr>
    </w:tbl>
    <w:p>
      <w:pPr>
        <w:pStyle w:val="3"/>
        <w:ind w:firstLine="480"/>
        <w:rPr>
          <w:lang w:val="zh-CN"/>
        </w:rPr>
      </w:pPr>
    </w:p>
    <w:p>
      <w:pPr>
        <w:pStyle w:val="3"/>
        <w:ind w:firstLine="480"/>
        <w:rPr>
          <w:lang w:val="zh-CN"/>
        </w:rPr>
      </w:pPr>
      <w:r>
        <w:rPr>
          <w:rFonts w:hint="eastAsia" w:ascii="宋体" w:hAnsi="宋体" w:cs="宋体"/>
          <w:lang w:val="zh-CN"/>
        </w:rPr>
        <w:t>②</w:t>
      </w:r>
      <w:r>
        <w:rPr>
          <w:lang w:val="zh-CN"/>
        </w:rPr>
        <w:t>土壤环境质量符合性：现状调查可知，本项目养殖场区现状为林地及荒草地，用地区及周边无重污染工业企业，没有工业污染源对土壤造成污染，</w:t>
      </w:r>
      <w:r>
        <w:t>根据对项目所在地土样进行采样检测，项目所在地土壤</w:t>
      </w:r>
      <w:r>
        <w:rPr>
          <w:rFonts w:hint="eastAsia"/>
        </w:rPr>
        <w:t>各监测因子</w:t>
      </w:r>
      <w:r>
        <w:t>符合《畜禽养殖产地环境评价规范》（HJ568-2010）表4中畜禽养殖场、养殖小区土壤环境质量评价指标限值</w:t>
      </w:r>
      <w:r>
        <w:rPr>
          <w:rFonts w:hint="eastAsia"/>
        </w:rPr>
        <w:t>，</w:t>
      </w:r>
      <w:r>
        <w:t>具体见表</w:t>
      </w:r>
      <w:r>
        <w:rPr>
          <w:rFonts w:hint="eastAsia"/>
        </w:rPr>
        <w:t>7.3-</w:t>
      </w:r>
      <w:r>
        <w:t>3</w:t>
      </w:r>
      <w:r>
        <w:rPr>
          <w:lang w:val="zh-CN"/>
        </w:rPr>
        <w:t>。</w:t>
      </w:r>
    </w:p>
    <w:p>
      <w:pPr>
        <w:pStyle w:val="61"/>
        <w:spacing w:line="240" w:lineRule="auto"/>
        <w:rPr>
          <w:lang w:val="zh-CN"/>
        </w:rPr>
      </w:pPr>
      <w:r>
        <w:rPr>
          <w:lang w:val="zh-CN"/>
        </w:rPr>
        <w:t>表</w:t>
      </w:r>
      <w:r>
        <w:t>7.3</w:t>
      </w:r>
      <w:r>
        <w:rPr>
          <w:lang w:val="zh-CN"/>
        </w:rPr>
        <w:t>-</w:t>
      </w:r>
      <w:r>
        <w:t xml:space="preserve">3  </w:t>
      </w:r>
      <w:r>
        <w:rPr>
          <w:lang w:val="zh-CN"/>
        </w:rPr>
        <w:t>畜禽饮</w:t>
      </w:r>
      <w:r>
        <w:rPr>
          <w:rFonts w:hint="eastAsia"/>
          <w:lang w:val="zh-CN"/>
        </w:rPr>
        <w:t>土壤质量</w:t>
      </w:r>
      <w:r>
        <w:rPr>
          <w:lang w:val="zh-CN"/>
        </w:rPr>
        <w:t>评价</w:t>
      </w:r>
      <w:r>
        <w:rPr>
          <w:rFonts w:hint="eastAsia"/>
          <w:lang w:val="zh-CN"/>
        </w:rPr>
        <w:t>符合性一览表</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2249"/>
        <w:gridCol w:w="2653"/>
        <w:gridCol w:w="2044"/>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523" w:type="pct"/>
            <w:vAlign w:val="center"/>
          </w:tcPr>
          <w:p>
            <w:pPr>
              <w:pStyle w:val="39"/>
              <w:rPr>
                <w:snapToGrid w:val="0"/>
              </w:rPr>
            </w:pPr>
            <w:r>
              <w:rPr>
                <w:snapToGrid w:val="0"/>
              </w:rPr>
              <w:t>序号</w:t>
            </w:r>
          </w:p>
        </w:tc>
        <w:tc>
          <w:tcPr>
            <w:tcW w:w="1226" w:type="pct"/>
            <w:vAlign w:val="center"/>
          </w:tcPr>
          <w:p>
            <w:pPr>
              <w:pStyle w:val="39"/>
              <w:rPr>
                <w:snapToGrid w:val="0"/>
              </w:rPr>
            </w:pPr>
            <w:r>
              <w:rPr>
                <w:snapToGrid w:val="0"/>
              </w:rPr>
              <w:t>评价指标</w:t>
            </w:r>
          </w:p>
        </w:tc>
        <w:tc>
          <w:tcPr>
            <w:tcW w:w="1446" w:type="pct"/>
            <w:vAlign w:val="center"/>
          </w:tcPr>
          <w:p>
            <w:pPr>
              <w:pStyle w:val="39"/>
              <w:rPr>
                <w:snapToGrid w:val="0"/>
              </w:rPr>
            </w:pPr>
            <w:r>
              <w:rPr>
                <w:rFonts w:hint="eastAsia"/>
                <w:snapToGrid w:val="0"/>
              </w:rPr>
              <w:t>监测值</w:t>
            </w:r>
          </w:p>
        </w:tc>
        <w:tc>
          <w:tcPr>
            <w:tcW w:w="1114" w:type="pct"/>
            <w:vAlign w:val="center"/>
          </w:tcPr>
          <w:p>
            <w:pPr>
              <w:pStyle w:val="39"/>
              <w:rPr>
                <w:snapToGrid w:val="0"/>
              </w:rPr>
            </w:pPr>
            <w:r>
              <w:rPr>
                <w:snapToGrid w:val="0"/>
              </w:rPr>
              <w:t>指标限制</w:t>
            </w:r>
          </w:p>
        </w:tc>
        <w:tc>
          <w:tcPr>
            <w:tcW w:w="691" w:type="pct"/>
            <w:vAlign w:val="center"/>
          </w:tcPr>
          <w:p>
            <w:pPr>
              <w:pStyle w:val="39"/>
              <w:rPr>
                <w:snapToGrid w:val="0"/>
              </w:rPr>
            </w:pPr>
            <w:r>
              <w:rPr>
                <w:snapToGrid w:val="0"/>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23" w:type="pct"/>
            <w:vAlign w:val="center"/>
          </w:tcPr>
          <w:p>
            <w:pPr>
              <w:pStyle w:val="39"/>
              <w:rPr>
                <w:snapToGrid w:val="0"/>
              </w:rPr>
            </w:pPr>
            <w:r>
              <w:rPr>
                <w:snapToGrid w:val="0"/>
              </w:rPr>
              <w:t>1</w:t>
            </w:r>
          </w:p>
        </w:tc>
        <w:tc>
          <w:tcPr>
            <w:tcW w:w="1226" w:type="pct"/>
            <w:vAlign w:val="center"/>
          </w:tcPr>
          <w:p>
            <w:pPr>
              <w:pStyle w:val="39"/>
              <w:rPr>
                <w:snapToGrid w:val="0"/>
              </w:rPr>
            </w:pPr>
            <w:r>
              <w:rPr>
                <w:rFonts w:hint="eastAsia"/>
                <w:snapToGrid w:val="0"/>
              </w:rPr>
              <w:t>镉</w:t>
            </w:r>
          </w:p>
        </w:tc>
        <w:tc>
          <w:tcPr>
            <w:tcW w:w="1446" w:type="pct"/>
            <w:vAlign w:val="center"/>
          </w:tcPr>
          <w:p>
            <w:pPr>
              <w:pStyle w:val="39"/>
              <w:rPr>
                <w:snapToGrid w:val="0"/>
              </w:rPr>
            </w:pPr>
            <w:r>
              <w:rPr>
                <w:rFonts w:hint="eastAsia"/>
                <w:snapToGrid w:val="0"/>
              </w:rPr>
              <w:t>0.023</w:t>
            </w:r>
            <w:r>
              <w:rPr>
                <w:snapToGrid w:val="0"/>
              </w:rPr>
              <w:t>~</w:t>
            </w:r>
            <w:r>
              <w:rPr>
                <w:rFonts w:hint="eastAsia"/>
                <w:snapToGrid w:val="0"/>
              </w:rPr>
              <w:t>0.035</w:t>
            </w:r>
          </w:p>
        </w:tc>
        <w:tc>
          <w:tcPr>
            <w:tcW w:w="1114" w:type="pct"/>
            <w:vAlign w:val="center"/>
          </w:tcPr>
          <w:p>
            <w:pPr>
              <w:pStyle w:val="39"/>
              <w:rPr>
                <w:snapToGrid w:val="0"/>
                <w:highlight w:val="yellow"/>
              </w:rPr>
            </w:pPr>
            <w:r>
              <w:rPr>
                <w:rFonts w:hint="eastAsia"/>
                <w:snapToGrid w:val="0"/>
              </w:rPr>
              <w:t>1.0</w:t>
            </w:r>
          </w:p>
        </w:tc>
        <w:tc>
          <w:tcPr>
            <w:tcW w:w="691" w:type="pct"/>
            <w:vAlign w:val="center"/>
          </w:tcPr>
          <w:p>
            <w:pPr>
              <w:pStyle w:val="39"/>
              <w:rPr>
                <w:snapToGrid w:val="0"/>
              </w:rPr>
            </w:pPr>
            <w:r>
              <w:rPr>
                <w:snapToGrid w:val="0"/>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23" w:type="pct"/>
            <w:vAlign w:val="center"/>
          </w:tcPr>
          <w:p>
            <w:pPr>
              <w:pStyle w:val="39"/>
              <w:rPr>
                <w:snapToGrid w:val="0"/>
              </w:rPr>
            </w:pPr>
            <w:r>
              <w:rPr>
                <w:snapToGrid w:val="0"/>
              </w:rPr>
              <w:t>2</w:t>
            </w:r>
          </w:p>
        </w:tc>
        <w:tc>
          <w:tcPr>
            <w:tcW w:w="1226" w:type="pct"/>
            <w:vAlign w:val="center"/>
          </w:tcPr>
          <w:p>
            <w:pPr>
              <w:pStyle w:val="39"/>
              <w:rPr>
                <w:snapToGrid w:val="0"/>
              </w:rPr>
            </w:pPr>
            <w:r>
              <w:rPr>
                <w:rFonts w:hint="eastAsia"/>
                <w:snapToGrid w:val="0"/>
              </w:rPr>
              <w:t>汞</w:t>
            </w:r>
          </w:p>
        </w:tc>
        <w:tc>
          <w:tcPr>
            <w:tcW w:w="1446" w:type="pct"/>
            <w:vAlign w:val="center"/>
          </w:tcPr>
          <w:p>
            <w:pPr>
              <w:pStyle w:val="39"/>
              <w:rPr>
                <w:snapToGrid w:val="0"/>
              </w:rPr>
            </w:pPr>
            <w:r>
              <w:rPr>
                <w:rFonts w:hint="eastAsia"/>
                <w:snapToGrid w:val="0"/>
              </w:rPr>
              <w:t>0</w:t>
            </w:r>
            <w:r>
              <w:rPr>
                <w:snapToGrid w:val="0"/>
              </w:rPr>
              <w:t>.</w:t>
            </w:r>
            <w:r>
              <w:rPr>
                <w:rFonts w:hint="eastAsia"/>
                <w:snapToGrid w:val="0"/>
              </w:rPr>
              <w:t>083</w:t>
            </w:r>
            <w:r>
              <w:rPr>
                <w:snapToGrid w:val="0"/>
              </w:rPr>
              <w:t>~0.</w:t>
            </w:r>
            <w:r>
              <w:rPr>
                <w:rFonts w:hint="eastAsia"/>
                <w:snapToGrid w:val="0"/>
              </w:rPr>
              <w:t>2</w:t>
            </w:r>
            <w:r>
              <w:rPr>
                <w:snapToGrid w:val="0"/>
              </w:rPr>
              <w:t>48</w:t>
            </w:r>
          </w:p>
        </w:tc>
        <w:tc>
          <w:tcPr>
            <w:tcW w:w="1114" w:type="pct"/>
            <w:vAlign w:val="center"/>
          </w:tcPr>
          <w:p>
            <w:pPr>
              <w:pStyle w:val="39"/>
              <w:rPr>
                <w:snapToGrid w:val="0"/>
              </w:rPr>
            </w:pPr>
            <w:r>
              <w:rPr>
                <w:rFonts w:hint="eastAsia"/>
                <w:snapToGrid w:val="0"/>
              </w:rPr>
              <w:t>1.5</w:t>
            </w:r>
          </w:p>
        </w:tc>
        <w:tc>
          <w:tcPr>
            <w:tcW w:w="691" w:type="pct"/>
            <w:vAlign w:val="center"/>
          </w:tcPr>
          <w:p>
            <w:pPr>
              <w:pStyle w:val="39"/>
              <w:rPr>
                <w:snapToGrid w:val="0"/>
              </w:rPr>
            </w:pPr>
            <w:r>
              <w:rPr>
                <w:snapToGrid w:val="0"/>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23" w:type="pct"/>
            <w:vAlign w:val="center"/>
          </w:tcPr>
          <w:p>
            <w:pPr>
              <w:pStyle w:val="39"/>
              <w:rPr>
                <w:snapToGrid w:val="0"/>
              </w:rPr>
            </w:pPr>
            <w:r>
              <w:rPr>
                <w:snapToGrid w:val="0"/>
              </w:rPr>
              <w:t>3</w:t>
            </w:r>
          </w:p>
        </w:tc>
        <w:tc>
          <w:tcPr>
            <w:tcW w:w="1226" w:type="pct"/>
            <w:vAlign w:val="center"/>
          </w:tcPr>
          <w:p>
            <w:pPr>
              <w:pStyle w:val="39"/>
              <w:rPr>
                <w:snapToGrid w:val="0"/>
              </w:rPr>
            </w:pPr>
            <w:r>
              <w:rPr>
                <w:rFonts w:hint="eastAsia"/>
                <w:snapToGrid w:val="0"/>
              </w:rPr>
              <w:t>砷</w:t>
            </w:r>
          </w:p>
        </w:tc>
        <w:tc>
          <w:tcPr>
            <w:tcW w:w="1446" w:type="pct"/>
            <w:vAlign w:val="center"/>
          </w:tcPr>
          <w:p>
            <w:pPr>
              <w:pStyle w:val="39"/>
              <w:rPr>
                <w:snapToGrid w:val="0"/>
              </w:rPr>
            </w:pPr>
            <w:r>
              <w:rPr>
                <w:rFonts w:hint="eastAsia"/>
                <w:snapToGrid w:val="0"/>
              </w:rPr>
              <w:t>6.06</w:t>
            </w:r>
            <w:r>
              <w:rPr>
                <w:snapToGrid w:val="0"/>
              </w:rPr>
              <w:t>~</w:t>
            </w:r>
            <w:r>
              <w:rPr>
                <w:rFonts w:hint="eastAsia"/>
                <w:snapToGrid w:val="0"/>
              </w:rPr>
              <w:t>7.12</w:t>
            </w:r>
          </w:p>
        </w:tc>
        <w:tc>
          <w:tcPr>
            <w:tcW w:w="1114" w:type="pct"/>
            <w:vAlign w:val="center"/>
          </w:tcPr>
          <w:p>
            <w:pPr>
              <w:pStyle w:val="39"/>
              <w:rPr>
                <w:snapToGrid w:val="0"/>
              </w:rPr>
            </w:pPr>
            <w:r>
              <w:rPr>
                <w:rFonts w:hint="eastAsia"/>
                <w:snapToGrid w:val="0"/>
              </w:rPr>
              <w:t>40</w:t>
            </w:r>
          </w:p>
        </w:tc>
        <w:tc>
          <w:tcPr>
            <w:tcW w:w="691" w:type="pct"/>
            <w:vAlign w:val="center"/>
          </w:tcPr>
          <w:p>
            <w:pPr>
              <w:pStyle w:val="39"/>
              <w:rPr>
                <w:snapToGrid w:val="0"/>
              </w:rPr>
            </w:pPr>
            <w:r>
              <w:rPr>
                <w:snapToGrid w:val="0"/>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23" w:type="pct"/>
            <w:vAlign w:val="center"/>
          </w:tcPr>
          <w:p>
            <w:pPr>
              <w:pStyle w:val="39"/>
              <w:rPr>
                <w:snapToGrid w:val="0"/>
              </w:rPr>
            </w:pPr>
            <w:r>
              <w:rPr>
                <w:rFonts w:hint="eastAsia"/>
                <w:snapToGrid w:val="0"/>
              </w:rPr>
              <w:t>4</w:t>
            </w:r>
          </w:p>
        </w:tc>
        <w:tc>
          <w:tcPr>
            <w:tcW w:w="1226" w:type="pct"/>
            <w:vAlign w:val="center"/>
          </w:tcPr>
          <w:p>
            <w:pPr>
              <w:pStyle w:val="39"/>
              <w:rPr>
                <w:snapToGrid w:val="0"/>
              </w:rPr>
            </w:pPr>
            <w:r>
              <w:rPr>
                <w:rFonts w:hint="eastAsia"/>
                <w:snapToGrid w:val="0"/>
              </w:rPr>
              <w:t>铜</w:t>
            </w:r>
          </w:p>
        </w:tc>
        <w:tc>
          <w:tcPr>
            <w:tcW w:w="1446" w:type="pct"/>
            <w:vAlign w:val="center"/>
          </w:tcPr>
          <w:p>
            <w:pPr>
              <w:pStyle w:val="39"/>
              <w:rPr>
                <w:snapToGrid w:val="0"/>
              </w:rPr>
            </w:pPr>
            <w:r>
              <w:rPr>
                <w:rFonts w:hint="eastAsia"/>
                <w:snapToGrid w:val="0"/>
              </w:rPr>
              <w:t>20</w:t>
            </w:r>
            <w:r>
              <w:rPr>
                <w:snapToGrid w:val="0"/>
              </w:rPr>
              <w:t>~</w:t>
            </w:r>
            <w:r>
              <w:rPr>
                <w:rFonts w:hint="eastAsia"/>
                <w:snapToGrid w:val="0"/>
              </w:rPr>
              <w:t>24</w:t>
            </w:r>
          </w:p>
        </w:tc>
        <w:tc>
          <w:tcPr>
            <w:tcW w:w="1114" w:type="pct"/>
            <w:vAlign w:val="center"/>
          </w:tcPr>
          <w:p>
            <w:pPr>
              <w:pStyle w:val="39"/>
              <w:rPr>
                <w:snapToGrid w:val="0"/>
              </w:rPr>
            </w:pPr>
            <w:r>
              <w:rPr>
                <w:rFonts w:hint="eastAsia"/>
                <w:snapToGrid w:val="0"/>
              </w:rPr>
              <w:t>400</w:t>
            </w:r>
          </w:p>
        </w:tc>
        <w:tc>
          <w:tcPr>
            <w:tcW w:w="691" w:type="pct"/>
            <w:vAlign w:val="center"/>
          </w:tcPr>
          <w:p>
            <w:pPr>
              <w:pStyle w:val="39"/>
              <w:rPr>
                <w:snapToGrid w:val="0"/>
              </w:rPr>
            </w:pPr>
            <w:r>
              <w:rPr>
                <w:snapToGrid w:val="0"/>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23" w:type="pct"/>
            <w:vAlign w:val="center"/>
          </w:tcPr>
          <w:p>
            <w:pPr>
              <w:pStyle w:val="39"/>
              <w:rPr>
                <w:snapToGrid w:val="0"/>
              </w:rPr>
            </w:pPr>
            <w:r>
              <w:rPr>
                <w:rFonts w:hint="eastAsia"/>
                <w:snapToGrid w:val="0"/>
              </w:rPr>
              <w:t>5</w:t>
            </w:r>
          </w:p>
        </w:tc>
        <w:tc>
          <w:tcPr>
            <w:tcW w:w="1226" w:type="pct"/>
            <w:vAlign w:val="center"/>
          </w:tcPr>
          <w:p>
            <w:pPr>
              <w:pStyle w:val="39"/>
              <w:rPr>
                <w:snapToGrid w:val="0"/>
              </w:rPr>
            </w:pPr>
            <w:r>
              <w:rPr>
                <w:rFonts w:hint="eastAsia"/>
                <w:snapToGrid w:val="0"/>
              </w:rPr>
              <w:t>铅</w:t>
            </w:r>
          </w:p>
        </w:tc>
        <w:tc>
          <w:tcPr>
            <w:tcW w:w="1446" w:type="pct"/>
            <w:vAlign w:val="center"/>
          </w:tcPr>
          <w:p>
            <w:pPr>
              <w:pStyle w:val="39"/>
              <w:rPr>
                <w:snapToGrid w:val="0"/>
              </w:rPr>
            </w:pPr>
            <w:r>
              <w:rPr>
                <w:rFonts w:hint="eastAsia"/>
              </w:rPr>
              <w:t>35</w:t>
            </w:r>
            <w:r>
              <w:t>~</w:t>
            </w:r>
            <w:r>
              <w:rPr>
                <w:rFonts w:hint="eastAsia"/>
              </w:rPr>
              <w:t>79</w:t>
            </w:r>
          </w:p>
        </w:tc>
        <w:tc>
          <w:tcPr>
            <w:tcW w:w="1114" w:type="pct"/>
            <w:vAlign w:val="center"/>
          </w:tcPr>
          <w:p>
            <w:pPr>
              <w:pStyle w:val="39"/>
              <w:rPr>
                <w:snapToGrid w:val="0"/>
              </w:rPr>
            </w:pPr>
            <w:r>
              <w:rPr>
                <w:rFonts w:hint="eastAsia"/>
                <w:snapToGrid w:val="0"/>
              </w:rPr>
              <w:t>500</w:t>
            </w:r>
          </w:p>
        </w:tc>
        <w:tc>
          <w:tcPr>
            <w:tcW w:w="691" w:type="pct"/>
            <w:vAlign w:val="center"/>
          </w:tcPr>
          <w:p>
            <w:pPr>
              <w:pStyle w:val="39"/>
              <w:rPr>
                <w:snapToGrid w:val="0"/>
              </w:rPr>
            </w:pPr>
            <w:r>
              <w:rPr>
                <w:snapToGrid w:val="0"/>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23" w:type="pct"/>
            <w:vAlign w:val="center"/>
          </w:tcPr>
          <w:p>
            <w:pPr>
              <w:pStyle w:val="39"/>
              <w:rPr>
                <w:snapToGrid w:val="0"/>
              </w:rPr>
            </w:pPr>
            <w:r>
              <w:rPr>
                <w:rFonts w:hint="eastAsia"/>
                <w:snapToGrid w:val="0"/>
              </w:rPr>
              <w:t>6</w:t>
            </w:r>
          </w:p>
        </w:tc>
        <w:tc>
          <w:tcPr>
            <w:tcW w:w="1226" w:type="pct"/>
            <w:vAlign w:val="center"/>
          </w:tcPr>
          <w:p>
            <w:pPr>
              <w:pStyle w:val="39"/>
              <w:rPr>
                <w:snapToGrid w:val="0"/>
              </w:rPr>
            </w:pPr>
            <w:r>
              <w:rPr>
                <w:rFonts w:hint="eastAsia"/>
                <w:snapToGrid w:val="0"/>
              </w:rPr>
              <w:t>铬</w:t>
            </w:r>
          </w:p>
        </w:tc>
        <w:tc>
          <w:tcPr>
            <w:tcW w:w="1446" w:type="pct"/>
            <w:vAlign w:val="center"/>
          </w:tcPr>
          <w:p>
            <w:pPr>
              <w:pStyle w:val="39"/>
              <w:rPr>
                <w:snapToGrid w:val="0"/>
              </w:rPr>
            </w:pPr>
            <w:r>
              <w:rPr>
                <w:rFonts w:hint="eastAsia"/>
                <w:snapToGrid w:val="0"/>
              </w:rPr>
              <w:t>10.2</w:t>
            </w:r>
            <w:r>
              <w:rPr>
                <w:snapToGrid w:val="0"/>
              </w:rPr>
              <w:t>~</w:t>
            </w:r>
            <w:r>
              <w:rPr>
                <w:rFonts w:hint="eastAsia"/>
                <w:snapToGrid w:val="0"/>
              </w:rPr>
              <w:t>27</w:t>
            </w:r>
          </w:p>
        </w:tc>
        <w:tc>
          <w:tcPr>
            <w:tcW w:w="1114" w:type="pct"/>
            <w:vAlign w:val="center"/>
          </w:tcPr>
          <w:p>
            <w:pPr>
              <w:pStyle w:val="39"/>
              <w:rPr>
                <w:snapToGrid w:val="0"/>
              </w:rPr>
            </w:pPr>
            <w:r>
              <w:rPr>
                <w:rFonts w:hint="eastAsia"/>
                <w:snapToGrid w:val="0"/>
              </w:rPr>
              <w:t>300</w:t>
            </w:r>
          </w:p>
        </w:tc>
        <w:tc>
          <w:tcPr>
            <w:tcW w:w="691" w:type="pct"/>
            <w:vAlign w:val="center"/>
          </w:tcPr>
          <w:p>
            <w:pPr>
              <w:pStyle w:val="39"/>
              <w:rPr>
                <w:snapToGrid w:val="0"/>
              </w:rPr>
            </w:pPr>
            <w:r>
              <w:rPr>
                <w:snapToGrid w:val="0"/>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23" w:type="pct"/>
            <w:vAlign w:val="center"/>
          </w:tcPr>
          <w:p>
            <w:pPr>
              <w:pStyle w:val="39"/>
              <w:rPr>
                <w:snapToGrid w:val="0"/>
              </w:rPr>
            </w:pPr>
            <w:r>
              <w:rPr>
                <w:rFonts w:hint="eastAsia"/>
                <w:snapToGrid w:val="0"/>
              </w:rPr>
              <w:t>7</w:t>
            </w:r>
          </w:p>
        </w:tc>
        <w:tc>
          <w:tcPr>
            <w:tcW w:w="1226" w:type="pct"/>
            <w:vAlign w:val="center"/>
          </w:tcPr>
          <w:p>
            <w:pPr>
              <w:pStyle w:val="39"/>
              <w:rPr>
                <w:snapToGrid w:val="0"/>
              </w:rPr>
            </w:pPr>
            <w:r>
              <w:rPr>
                <w:rFonts w:hint="eastAsia"/>
                <w:snapToGrid w:val="0"/>
              </w:rPr>
              <w:t>镍</w:t>
            </w:r>
          </w:p>
        </w:tc>
        <w:tc>
          <w:tcPr>
            <w:tcW w:w="1446" w:type="pct"/>
            <w:vAlign w:val="center"/>
          </w:tcPr>
          <w:p>
            <w:pPr>
              <w:pStyle w:val="39"/>
              <w:rPr>
                <w:snapToGrid w:val="0"/>
              </w:rPr>
            </w:pPr>
            <w:r>
              <w:rPr>
                <w:rFonts w:hint="eastAsia"/>
                <w:snapToGrid w:val="0"/>
              </w:rPr>
              <w:t>41</w:t>
            </w:r>
            <w:r>
              <w:rPr>
                <w:snapToGrid w:val="0"/>
              </w:rPr>
              <w:t>~</w:t>
            </w:r>
            <w:r>
              <w:rPr>
                <w:rFonts w:hint="eastAsia"/>
                <w:snapToGrid w:val="0"/>
              </w:rPr>
              <w:t>42</w:t>
            </w:r>
          </w:p>
        </w:tc>
        <w:tc>
          <w:tcPr>
            <w:tcW w:w="1114" w:type="pct"/>
            <w:vAlign w:val="center"/>
          </w:tcPr>
          <w:p>
            <w:pPr>
              <w:pStyle w:val="39"/>
              <w:rPr>
                <w:snapToGrid w:val="0"/>
              </w:rPr>
            </w:pPr>
            <w:r>
              <w:rPr>
                <w:rFonts w:hint="eastAsia"/>
                <w:snapToGrid w:val="0"/>
              </w:rPr>
              <w:t>200</w:t>
            </w:r>
          </w:p>
        </w:tc>
        <w:tc>
          <w:tcPr>
            <w:tcW w:w="691" w:type="pct"/>
            <w:vAlign w:val="center"/>
          </w:tcPr>
          <w:p>
            <w:pPr>
              <w:pStyle w:val="39"/>
              <w:rPr>
                <w:snapToGrid w:val="0"/>
              </w:rPr>
            </w:pPr>
            <w:r>
              <w:rPr>
                <w:snapToGrid w:val="0"/>
              </w:rPr>
              <w:t>符合</w:t>
            </w:r>
          </w:p>
        </w:tc>
      </w:tr>
    </w:tbl>
    <w:p>
      <w:pPr>
        <w:pStyle w:val="3"/>
        <w:ind w:firstLine="480"/>
        <w:rPr>
          <w:rFonts w:ascii="宋体" w:hAnsi="宋体" w:cs="宋体"/>
          <w:lang w:val="zh-CN"/>
        </w:rPr>
      </w:pPr>
    </w:p>
    <w:p>
      <w:pPr>
        <w:pStyle w:val="3"/>
        <w:ind w:firstLine="480"/>
        <w:rPr>
          <w:lang w:val="zh-CN"/>
        </w:rPr>
      </w:pPr>
      <w:r>
        <w:rPr>
          <w:rFonts w:hint="eastAsia" w:ascii="宋体" w:hAnsi="宋体" w:cs="宋体"/>
          <w:lang w:val="zh-CN"/>
        </w:rPr>
        <w:t>③</w:t>
      </w:r>
      <w:r>
        <w:rPr>
          <w:lang w:val="zh-CN"/>
        </w:rPr>
        <w:t>声环境质量符合性：根据拟建项目厂界声环境质量监测结果可知，其监测结果符合《畜禽养殖产地环境评价规范》（HJ568-2010）中表6：畜禽养殖场、养殖小区及放牧区声环境质量评价指标限值。</w:t>
      </w:r>
    </w:p>
    <w:p>
      <w:pPr>
        <w:pStyle w:val="3"/>
        <w:ind w:firstLine="480"/>
        <w:rPr>
          <w:lang w:val="zh-CN"/>
        </w:rPr>
      </w:pPr>
      <w:r>
        <w:rPr>
          <w:lang w:val="zh-CN"/>
        </w:rPr>
        <w:t>综上所述，拟建项目选址环境质量现状符合《畜禽养殖产地环境评价规范》（HJ568-2010）中环境质量要求。</w:t>
      </w:r>
    </w:p>
    <w:p>
      <w:pPr>
        <w:pStyle w:val="6"/>
      </w:pPr>
      <w:r>
        <w:t>与《畜禽养殖业污染治理工程技术规范》（HJ 497-2009）的符合性分析</w:t>
      </w:r>
    </w:p>
    <w:p>
      <w:pPr>
        <w:pStyle w:val="3"/>
        <w:ind w:firstLine="480"/>
        <w:rPr>
          <w:lang w:val="zh-CN"/>
        </w:rPr>
      </w:pPr>
      <w:r>
        <w:rPr>
          <w:rFonts w:hint="eastAsia"/>
          <w:lang w:val="zh-CN"/>
        </w:rPr>
        <w:t>根据</w:t>
      </w:r>
      <w:r>
        <w:t>《畜禽养殖业污染治理工程技术规范》（HJ 497-2009）</w:t>
      </w:r>
      <w:r>
        <w:rPr>
          <w:rFonts w:hint="eastAsia"/>
        </w:rPr>
        <w:t>，</w:t>
      </w:r>
      <w:r>
        <w:rPr>
          <w:lang w:val="zh-CN"/>
        </w:rPr>
        <w:t>本项目与</w:t>
      </w:r>
      <w:r>
        <w:rPr>
          <w:rFonts w:hint="eastAsia"/>
          <w:lang w:val="zh-CN"/>
        </w:rPr>
        <w:t>该规范</w:t>
      </w:r>
      <w:r>
        <w:rPr>
          <w:lang w:val="zh-CN"/>
        </w:rPr>
        <w:t>的符合性分析见下表</w:t>
      </w:r>
      <w:r>
        <w:rPr>
          <w:rFonts w:hint="eastAsia"/>
          <w:lang w:val="zh-CN"/>
        </w:rPr>
        <w:t>，</w:t>
      </w:r>
      <w:r>
        <w:rPr>
          <w:lang w:val="zh-CN"/>
        </w:rPr>
        <w:t>项目的建设符合</w:t>
      </w:r>
      <w:r>
        <w:t>《畜禽养殖业污染治理工程技术规范》（HJ 497-2009）</w:t>
      </w:r>
      <w:r>
        <w:rPr>
          <w:lang w:val="zh-CN"/>
        </w:rPr>
        <w:t>。</w:t>
      </w:r>
    </w:p>
    <w:p>
      <w:pPr>
        <w:pStyle w:val="3"/>
        <w:ind w:firstLine="480"/>
        <w:rPr>
          <w:lang w:val="zh-CN"/>
        </w:rPr>
      </w:pPr>
    </w:p>
    <w:p>
      <w:pPr>
        <w:pStyle w:val="3"/>
        <w:ind w:firstLine="480"/>
        <w:rPr>
          <w:lang w:val="zh-CN"/>
        </w:rPr>
      </w:pPr>
    </w:p>
    <w:p>
      <w:pPr>
        <w:pStyle w:val="3"/>
        <w:ind w:firstLine="480"/>
        <w:rPr>
          <w:lang w:val="zh-CN"/>
        </w:rPr>
      </w:pPr>
    </w:p>
    <w:p>
      <w:pPr>
        <w:pStyle w:val="15"/>
        <w:rPr>
          <w:w w:val="95"/>
          <w:lang w:val="zh-CN"/>
        </w:rPr>
      </w:pPr>
      <w:r>
        <w:rPr>
          <w:w w:val="95"/>
          <w:lang w:val="zh-CN"/>
        </w:rPr>
        <w:t>表</w:t>
      </w:r>
      <w:r>
        <w:rPr>
          <w:w w:val="95"/>
        </w:rPr>
        <w:t>7</w:t>
      </w:r>
      <w:r>
        <w:rPr>
          <w:w w:val="95"/>
          <w:lang w:val="zh-CN"/>
        </w:rPr>
        <w:t>.3-</w:t>
      </w:r>
      <w:r>
        <w:rPr>
          <w:w w:val="95"/>
        </w:rPr>
        <w:t>4</w:t>
      </w:r>
      <w:r>
        <w:rPr>
          <w:w w:val="95"/>
          <w:lang w:val="zh-CN"/>
        </w:rPr>
        <w:t xml:space="preserve"> 与《畜</w:t>
      </w:r>
      <w:r>
        <w:t>禽养殖业污染治理工程技术规范》（HJ 497-2009）符合</w:t>
      </w:r>
      <w:r>
        <w:rPr>
          <w:w w:val="95"/>
          <w:lang w:val="zh-CN"/>
        </w:rPr>
        <w:t>性分析一览表</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6"/>
        <w:gridCol w:w="4883"/>
        <w:gridCol w:w="2747"/>
        <w:gridCol w:w="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96" w:type="pct"/>
            <w:vAlign w:val="center"/>
          </w:tcPr>
          <w:p>
            <w:pPr>
              <w:pStyle w:val="39"/>
            </w:pPr>
            <w:r>
              <w:t>规范</w:t>
            </w:r>
          </w:p>
        </w:tc>
        <w:tc>
          <w:tcPr>
            <w:tcW w:w="2661" w:type="pct"/>
            <w:vAlign w:val="center"/>
          </w:tcPr>
          <w:p>
            <w:pPr>
              <w:pStyle w:val="39"/>
            </w:pPr>
            <w:r>
              <w:t>规范要求</w:t>
            </w:r>
          </w:p>
        </w:tc>
        <w:tc>
          <w:tcPr>
            <w:tcW w:w="1497" w:type="pct"/>
            <w:vAlign w:val="center"/>
          </w:tcPr>
          <w:p>
            <w:pPr>
              <w:pStyle w:val="39"/>
            </w:pPr>
            <w:r>
              <w:t>本项目情况</w:t>
            </w:r>
          </w:p>
        </w:tc>
        <w:tc>
          <w:tcPr>
            <w:tcW w:w="445" w:type="pct"/>
            <w:vAlign w:val="center"/>
          </w:tcPr>
          <w:p>
            <w:pPr>
              <w:pStyle w:val="39"/>
            </w:pPr>
            <w:r>
              <w:rPr>
                <w:rFonts w:hint="eastAsia"/>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96" w:type="pct"/>
            <w:vAlign w:val="center"/>
          </w:tcPr>
          <w:p>
            <w:pPr>
              <w:pStyle w:val="39"/>
            </w:pPr>
            <w:r>
              <w:t>总平面布置</w:t>
            </w:r>
          </w:p>
        </w:tc>
        <w:tc>
          <w:tcPr>
            <w:tcW w:w="2661" w:type="pct"/>
            <w:vAlign w:val="center"/>
          </w:tcPr>
          <w:p>
            <w:pPr>
              <w:pStyle w:val="39"/>
            </w:pPr>
            <w:r>
              <w:t>平面布置应以污水处理系统、固体粪便处理系统、恶臭集中处理系统为主体，其他各项设施应按粪污处理流程合理安排，确保相关设备充分发挥功能，保证设施运行稳定、维修方便、经济合理、安全卫生。</w:t>
            </w:r>
          </w:p>
        </w:tc>
        <w:tc>
          <w:tcPr>
            <w:tcW w:w="1497" w:type="pct"/>
            <w:vAlign w:val="center"/>
          </w:tcPr>
          <w:p>
            <w:pPr>
              <w:pStyle w:val="39"/>
            </w:pPr>
            <w:r>
              <w:t>本项目</w:t>
            </w:r>
            <w:r>
              <w:rPr>
                <w:rFonts w:hint="eastAsia"/>
              </w:rPr>
              <w:t>鸡粪干燥机设置在鸡舍的北侧</w:t>
            </w:r>
            <w:r>
              <w:t>，</w:t>
            </w:r>
            <w:r>
              <w:rPr>
                <w:rFonts w:hint="eastAsia"/>
              </w:rPr>
              <w:t>鸡舍冲洗废水收集池设置在鸡舍南侧</w:t>
            </w:r>
            <w:r>
              <w:t>，</w:t>
            </w:r>
            <w:r>
              <w:rPr>
                <w:rFonts w:hint="eastAsia"/>
              </w:rPr>
              <w:t>有利于冲洗废水抽至南侧办公生活区的化粪池中处理。</w:t>
            </w:r>
          </w:p>
        </w:tc>
        <w:tc>
          <w:tcPr>
            <w:tcW w:w="445" w:type="pct"/>
            <w:vAlign w:val="center"/>
          </w:tcPr>
          <w:p>
            <w:pPr>
              <w:pStyle w:val="39"/>
            </w:pPr>
            <w: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96" w:type="pct"/>
            <w:vAlign w:val="center"/>
          </w:tcPr>
          <w:p>
            <w:pPr>
              <w:pStyle w:val="39"/>
            </w:pPr>
            <w:r>
              <w:t>选址要求</w:t>
            </w:r>
          </w:p>
        </w:tc>
        <w:tc>
          <w:tcPr>
            <w:tcW w:w="2661" w:type="pct"/>
            <w:vAlign w:val="center"/>
          </w:tcPr>
          <w:p>
            <w:pPr>
              <w:pStyle w:val="39"/>
            </w:pPr>
            <w:r>
              <w:t>畜禽养殖业污染治理工程应与养殖场生产区、居民区等建筑保持一定的卫生防护距离，设置在畜禽养殖场的生产区、生活区主导风向的下风向或侧风向处。</w:t>
            </w:r>
          </w:p>
        </w:tc>
        <w:tc>
          <w:tcPr>
            <w:tcW w:w="1497" w:type="pct"/>
            <w:vAlign w:val="center"/>
          </w:tcPr>
          <w:p>
            <w:pPr>
              <w:pStyle w:val="39"/>
            </w:pPr>
            <w:r>
              <w:t>本项目</w:t>
            </w:r>
            <w:r>
              <w:rPr>
                <w:rFonts w:hint="eastAsia"/>
              </w:rPr>
              <w:t>鸡粪由于采取鸡粪干燥机直接干燥为有机肥，因此设置在鸡舍北侧，可避免鸡粪堆存发酵产生恶臭形成二次污染；建设单位拟将卫生防护距离内的住户用房租赁作为项目劳保用房，届时可满足卫生防护距离要求。</w:t>
            </w:r>
          </w:p>
        </w:tc>
        <w:tc>
          <w:tcPr>
            <w:tcW w:w="445" w:type="pct"/>
            <w:vAlign w:val="center"/>
          </w:tcPr>
          <w:p>
            <w:pPr>
              <w:pStyle w:val="39"/>
            </w:pPr>
            <w: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96" w:type="pct"/>
            <w:vMerge w:val="restart"/>
            <w:vAlign w:val="center"/>
          </w:tcPr>
          <w:p>
            <w:pPr>
              <w:pStyle w:val="39"/>
            </w:pPr>
            <w:r>
              <w:t>工艺</w:t>
            </w:r>
          </w:p>
          <w:p>
            <w:pPr>
              <w:pStyle w:val="39"/>
            </w:pPr>
            <w:r>
              <w:t>选择</w:t>
            </w:r>
          </w:p>
        </w:tc>
        <w:tc>
          <w:tcPr>
            <w:tcW w:w="2661" w:type="pct"/>
            <w:vAlign w:val="center"/>
          </w:tcPr>
          <w:p>
            <w:pPr>
              <w:pStyle w:val="39"/>
            </w:pPr>
            <w:r>
              <w:t>新建、改建、扩建的畜禽养殖场宜采用干清粪工艺。现有采用水冲粪、水泡粪清粪工艺的养殖场，应逐步改为干清粪工艺；畜禽粪污应日产日清；畜禽养殖场应建立排水系统，并实行雨污分流。</w:t>
            </w:r>
          </w:p>
        </w:tc>
        <w:tc>
          <w:tcPr>
            <w:tcW w:w="1497" w:type="pct"/>
            <w:vAlign w:val="center"/>
          </w:tcPr>
          <w:p>
            <w:pPr>
              <w:pStyle w:val="39"/>
            </w:pPr>
            <w:r>
              <w:t>本项目采用干清粪工艺</w:t>
            </w:r>
            <w:r>
              <w:rPr>
                <w:rFonts w:hint="eastAsia"/>
              </w:rPr>
              <w:t>，且</w:t>
            </w:r>
            <w:r>
              <w:t>建立排水系统，并实行雨污分流。</w:t>
            </w:r>
          </w:p>
        </w:tc>
        <w:tc>
          <w:tcPr>
            <w:tcW w:w="445" w:type="pct"/>
            <w:vAlign w:val="center"/>
          </w:tcPr>
          <w:p>
            <w:pPr>
              <w:pStyle w:val="39"/>
            </w:pPr>
            <w: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96" w:type="pct"/>
            <w:vMerge w:val="continue"/>
            <w:vAlign w:val="center"/>
          </w:tcPr>
          <w:p>
            <w:pPr>
              <w:pStyle w:val="39"/>
            </w:pPr>
          </w:p>
        </w:tc>
        <w:tc>
          <w:tcPr>
            <w:tcW w:w="2661" w:type="pct"/>
            <w:vAlign w:val="center"/>
          </w:tcPr>
          <w:p>
            <w:pPr>
              <w:pStyle w:val="39"/>
            </w:pPr>
            <w:r>
              <w:t>选用粪污处理工艺时，应根据养殖场的养殖种类、养殖规模、粪污收集方式、当地的自然地理环境条件以及排水去向等因素确定工艺路线及处理目标，并应充分考虑畜禽养殖废水的特殊性，在实现综合利用或达标排放的情况下，优先选择低运行成本的处理工艺；应慎重选用物化处理工艺；采用模式</w:t>
            </w:r>
            <w:r>
              <w:rPr>
                <w:rFonts w:hint="eastAsia" w:ascii="宋体" w:hAnsi="宋体" w:cs="宋体"/>
              </w:rPr>
              <w:t>Ⅰ</w:t>
            </w:r>
            <w:r>
              <w:t>或模式</w:t>
            </w:r>
            <w:r>
              <w:rPr>
                <w:rFonts w:hint="eastAsia" w:ascii="宋体" w:hAnsi="宋体" w:cs="宋体"/>
              </w:rPr>
              <w:t>Ⅱ</w:t>
            </w:r>
            <w:r>
              <w:t>处理工艺的，养殖场应位于非环境敏感区，周围的环境容量大，远离城市，有能源需求，周边有足够土地能够消纳全部的沼液、沼渣；干清粪工艺的养殖场，不宜采用模式</w:t>
            </w:r>
            <w:r>
              <w:rPr>
                <w:rFonts w:hint="eastAsia" w:ascii="宋体" w:hAnsi="宋体" w:cs="宋体"/>
              </w:rPr>
              <w:t>Ⅰ</w:t>
            </w:r>
            <w:r>
              <w:t>处理工艺，固体粪便宜采用好氧堆肥等技术单独进行无害化处理；当采用干清粪工艺时，清粪比例宜控制在70%。</w:t>
            </w:r>
          </w:p>
        </w:tc>
        <w:tc>
          <w:tcPr>
            <w:tcW w:w="1497" w:type="pct"/>
            <w:vAlign w:val="center"/>
          </w:tcPr>
          <w:p>
            <w:pPr>
              <w:pStyle w:val="39"/>
            </w:pPr>
            <w:r>
              <w:t>本项目</w:t>
            </w:r>
            <w:r>
              <w:rPr>
                <w:rFonts w:hint="eastAsia"/>
              </w:rPr>
              <w:t>鸡舍冲洗废水较少，冲洗废水通过泵抽至化粪池与生活污水一并处理用作农肥</w:t>
            </w:r>
            <w:r>
              <w:t>，项目位于非环境敏感区，且远离城区，项目</w:t>
            </w:r>
            <w:r>
              <w:rPr>
                <w:rFonts w:hint="eastAsia"/>
              </w:rPr>
              <w:t>有较大</w:t>
            </w:r>
            <w:r>
              <w:t>的消纳场可以消纳项目全部废水。项目采用干清粪工艺，清粪比例达到70%</w:t>
            </w:r>
            <w:r>
              <w:rPr>
                <w:rFonts w:hint="eastAsia"/>
              </w:rPr>
              <w:t>以上</w:t>
            </w:r>
            <w:r>
              <w:t>。</w:t>
            </w:r>
          </w:p>
        </w:tc>
        <w:tc>
          <w:tcPr>
            <w:tcW w:w="445" w:type="pct"/>
            <w:vAlign w:val="center"/>
          </w:tcPr>
          <w:p>
            <w:pPr>
              <w:pStyle w:val="39"/>
            </w:pPr>
            <w:r>
              <w:t>符合</w:t>
            </w:r>
          </w:p>
        </w:tc>
      </w:tr>
    </w:tbl>
    <w:p>
      <w:pPr>
        <w:pStyle w:val="3"/>
        <w:ind w:firstLine="480"/>
        <w:rPr>
          <w:lang w:val="zh-CN"/>
        </w:rPr>
      </w:pPr>
    </w:p>
    <w:p>
      <w:pPr>
        <w:pStyle w:val="3"/>
        <w:ind w:firstLine="480"/>
        <w:rPr>
          <w:lang w:val="zh-CN"/>
        </w:rPr>
      </w:pPr>
      <w:r>
        <w:rPr>
          <w:lang w:val="zh-CN"/>
        </w:rPr>
        <w:t>从上表中分析可见，本项目符合《畜禽养殖业污染治理工程技术规范》（HJ 497-2009）的相关要求。</w:t>
      </w:r>
    </w:p>
    <w:p>
      <w:pPr>
        <w:pStyle w:val="6"/>
      </w:pPr>
      <w:r>
        <w:t>与《湖南省畜禽规模养殖污染防治规定》符合性分析</w:t>
      </w:r>
    </w:p>
    <w:p>
      <w:pPr>
        <w:pStyle w:val="3"/>
        <w:ind w:firstLine="480"/>
      </w:pPr>
      <w:r>
        <w:rPr>
          <w:rFonts w:hint="eastAsia"/>
        </w:rPr>
        <w:t>根据《</w:t>
      </w:r>
      <w:r>
        <w:t>湖南省畜禽规模养殖污染防治规定</w:t>
      </w:r>
      <w:r>
        <w:rPr>
          <w:rFonts w:hint="eastAsia"/>
        </w:rPr>
        <w:t>》内容</w:t>
      </w:r>
      <w:r>
        <w:t>，本项目与</w:t>
      </w:r>
      <w:r>
        <w:rPr>
          <w:rFonts w:hint="eastAsia"/>
        </w:rPr>
        <w:t>该</w:t>
      </w:r>
      <w:r>
        <w:t>防治规定要求相符，具体见表</w:t>
      </w:r>
      <w:r>
        <w:rPr>
          <w:rFonts w:hint="eastAsia"/>
        </w:rPr>
        <w:t>7.</w:t>
      </w:r>
      <w:r>
        <w:t>3</w:t>
      </w:r>
      <w:r>
        <w:rPr>
          <w:rFonts w:hint="eastAsia"/>
        </w:rPr>
        <w:t>-</w:t>
      </w:r>
      <w:r>
        <w:t>5</w:t>
      </w:r>
      <w:r>
        <w:rPr>
          <w:rFonts w:hint="eastAsia"/>
        </w:rPr>
        <w:t>。</w:t>
      </w:r>
    </w:p>
    <w:p>
      <w:pPr>
        <w:pStyle w:val="15"/>
        <w:rPr>
          <w:lang w:val="zh-CN"/>
        </w:rPr>
      </w:pPr>
      <w:r>
        <w:rPr>
          <w:lang w:val="zh-CN"/>
        </w:rPr>
        <w:t>表</w:t>
      </w:r>
      <w:r>
        <w:t xml:space="preserve">7.3-5  </w:t>
      </w:r>
      <w:r>
        <w:rPr>
          <w:lang w:val="zh-CN"/>
        </w:rPr>
        <w:t>项目建设与《湖南省畜禽规模养殖污染防治规定》符合性</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4"/>
        <w:gridCol w:w="5511"/>
        <w:gridCol w:w="1813"/>
        <w:gridCol w:w="1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455" w:type="pct"/>
            <w:vAlign w:val="center"/>
          </w:tcPr>
          <w:p>
            <w:pPr>
              <w:pStyle w:val="39"/>
              <w:rPr>
                <w:snapToGrid w:val="0"/>
              </w:rPr>
            </w:pPr>
            <w:r>
              <w:rPr>
                <w:snapToGrid w:val="0"/>
              </w:rPr>
              <w:t>序号</w:t>
            </w:r>
          </w:p>
        </w:tc>
        <w:tc>
          <w:tcPr>
            <w:tcW w:w="3004" w:type="pct"/>
            <w:vAlign w:val="center"/>
          </w:tcPr>
          <w:p>
            <w:pPr>
              <w:pStyle w:val="39"/>
              <w:rPr>
                <w:snapToGrid w:val="0"/>
              </w:rPr>
            </w:pPr>
            <w:r>
              <w:rPr>
                <w:snapToGrid w:val="0"/>
              </w:rPr>
              <w:t>规范要求</w:t>
            </w:r>
          </w:p>
        </w:tc>
        <w:tc>
          <w:tcPr>
            <w:tcW w:w="988" w:type="pct"/>
            <w:vAlign w:val="center"/>
          </w:tcPr>
          <w:p>
            <w:pPr>
              <w:pStyle w:val="39"/>
              <w:rPr>
                <w:snapToGrid w:val="0"/>
              </w:rPr>
            </w:pPr>
            <w:r>
              <w:rPr>
                <w:snapToGrid w:val="0"/>
              </w:rPr>
              <w:t>本项目情况</w:t>
            </w:r>
          </w:p>
        </w:tc>
        <w:tc>
          <w:tcPr>
            <w:tcW w:w="553" w:type="pct"/>
            <w:vAlign w:val="center"/>
          </w:tcPr>
          <w:p>
            <w:pPr>
              <w:pStyle w:val="39"/>
              <w:rPr>
                <w:snapToGrid w:val="0"/>
              </w:rPr>
            </w:pPr>
            <w:r>
              <w:rPr>
                <w:snapToGrid w:val="0"/>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5" w:type="pct"/>
            <w:vAlign w:val="center"/>
          </w:tcPr>
          <w:p>
            <w:pPr>
              <w:pStyle w:val="39"/>
              <w:rPr>
                <w:snapToGrid w:val="0"/>
              </w:rPr>
            </w:pPr>
            <w:r>
              <w:rPr>
                <w:snapToGrid w:val="0"/>
              </w:rPr>
              <w:t>1</w:t>
            </w:r>
          </w:p>
        </w:tc>
        <w:tc>
          <w:tcPr>
            <w:tcW w:w="3004" w:type="pct"/>
            <w:vAlign w:val="center"/>
          </w:tcPr>
          <w:p>
            <w:pPr>
              <w:pStyle w:val="39"/>
              <w:rPr>
                <w:snapToGrid w:val="0"/>
              </w:rPr>
            </w:pPr>
            <w:r>
              <w:rPr>
                <w:snapToGrid w:val="0"/>
              </w:rPr>
              <w:t>第七条 畜牧业发展规划应统筹考虑环境质量、环境承载能力、总量减排目标以及畜禽养殖污染防治要求等，并应与经济社会发展规划、土地利用总体规划、城乡规划、生态环境保护规划等有关规划衔接，合理布局，科学确定畜禽养殖的品种、规模、总量等。在征求相关部门意见后，报本级人民政府或其授权的部门批准实施。</w:t>
            </w:r>
          </w:p>
          <w:p>
            <w:pPr>
              <w:pStyle w:val="39"/>
              <w:rPr>
                <w:snapToGrid w:val="0"/>
              </w:rPr>
            </w:pPr>
            <w:r>
              <w:rPr>
                <w:snapToGrid w:val="0"/>
              </w:rPr>
              <w:t>畜禽养殖污染防治规划应与畜牧业发展规划相衔接，明确畜禽养殖污染防治目标、任务、重点区域，明确污染治理重点设施建设以及废弃物综合利用等污染防治措施。在征求相关部门意见后，报本级人民政府或其授权的部门批准实施。</w:t>
            </w:r>
          </w:p>
        </w:tc>
        <w:tc>
          <w:tcPr>
            <w:tcW w:w="988" w:type="pct"/>
            <w:vAlign w:val="center"/>
          </w:tcPr>
          <w:p>
            <w:pPr>
              <w:pStyle w:val="39"/>
              <w:rPr>
                <w:snapToGrid w:val="0"/>
              </w:rPr>
            </w:pPr>
            <w:r>
              <w:rPr>
                <w:rFonts w:hint="eastAsia"/>
                <w:snapToGrid w:val="0"/>
              </w:rPr>
              <w:t>衡阳县</w:t>
            </w:r>
            <w:r>
              <w:rPr>
                <w:snapToGrid w:val="0"/>
              </w:rPr>
              <w:t>暂未制定畜牧业发展规划，本项目</w:t>
            </w:r>
            <w:r>
              <w:rPr>
                <w:rFonts w:hint="eastAsia"/>
                <w:snapToGrid w:val="0"/>
              </w:rPr>
              <w:t>各项</w:t>
            </w:r>
            <w:r>
              <w:rPr>
                <w:snapToGrid w:val="0"/>
              </w:rPr>
              <w:t>排污均可采取相应措施进行措施后综合利用</w:t>
            </w:r>
          </w:p>
        </w:tc>
        <w:tc>
          <w:tcPr>
            <w:tcW w:w="553" w:type="pct"/>
            <w:vAlign w:val="center"/>
          </w:tcPr>
          <w:p>
            <w:pPr>
              <w:pStyle w:val="39"/>
              <w:rPr>
                <w:snapToGrid w:val="0"/>
              </w:rPr>
            </w:pPr>
            <w:r>
              <w:rPr>
                <w:snapToGrid w:val="0"/>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5" w:type="pct"/>
            <w:vAlign w:val="center"/>
          </w:tcPr>
          <w:p>
            <w:pPr>
              <w:pStyle w:val="39"/>
              <w:rPr>
                <w:snapToGrid w:val="0"/>
              </w:rPr>
            </w:pPr>
            <w:r>
              <w:rPr>
                <w:snapToGrid w:val="0"/>
              </w:rPr>
              <w:t>2</w:t>
            </w:r>
          </w:p>
        </w:tc>
        <w:tc>
          <w:tcPr>
            <w:tcW w:w="3004" w:type="pct"/>
            <w:vAlign w:val="center"/>
          </w:tcPr>
          <w:p>
            <w:pPr>
              <w:pStyle w:val="39"/>
              <w:rPr>
                <w:snapToGrid w:val="0"/>
              </w:rPr>
            </w:pPr>
            <w:r>
              <w:rPr>
                <w:snapToGrid w:val="0"/>
              </w:rPr>
              <w:t>第八条 各县级人民政府依据相关法律法规、文件的要求，结合本地实际，在征求农牧主管部门、环境保护、水利等相关部门意见后，科学划定本行政区域畜禽养殖的禁养区、限养区和适养区。</w:t>
            </w:r>
          </w:p>
          <w:p>
            <w:pPr>
              <w:pStyle w:val="39"/>
              <w:rPr>
                <w:snapToGrid w:val="0"/>
              </w:rPr>
            </w:pPr>
            <w:r>
              <w:rPr>
                <w:snapToGrid w:val="0"/>
              </w:rPr>
              <w:t>禁养区划定后原则上5年内不做调整，确需调整的，需由原审批机关批准。</w:t>
            </w:r>
          </w:p>
        </w:tc>
        <w:tc>
          <w:tcPr>
            <w:tcW w:w="988" w:type="pct"/>
            <w:vMerge w:val="restart"/>
            <w:vAlign w:val="center"/>
          </w:tcPr>
          <w:p>
            <w:pPr>
              <w:pStyle w:val="39"/>
              <w:rPr>
                <w:snapToGrid w:val="0"/>
              </w:rPr>
            </w:pPr>
            <w:r>
              <w:rPr>
                <w:rFonts w:cs="Times New Roman"/>
                <w:snapToGrid w:val="0"/>
              </w:rPr>
              <w:t>根据《</w:t>
            </w:r>
            <w:r>
              <w:rPr>
                <w:rFonts w:hint="eastAsia" w:cs="Times New Roman"/>
                <w:snapToGrid w:val="0"/>
              </w:rPr>
              <w:t>衡阳县畜禽养殖禁养区划定技术方案》</w:t>
            </w:r>
            <w:r>
              <w:rPr>
                <w:rFonts w:cs="Times New Roman"/>
                <w:snapToGrid w:val="0"/>
              </w:rPr>
              <w:t>，本项目占地范围不属于方案中</w:t>
            </w:r>
            <w:r>
              <w:rPr>
                <w:rFonts w:hint="eastAsia" w:cs="Times New Roman"/>
                <w:snapToGrid w:val="0"/>
              </w:rPr>
              <w:t>台源镇</w:t>
            </w:r>
            <w:r>
              <w:rPr>
                <w:rFonts w:cs="Times New Roman"/>
                <w:snapToGrid w:val="0"/>
              </w:rPr>
              <w:t>建成区及</w:t>
            </w:r>
            <w:r>
              <w:rPr>
                <w:rFonts w:hint="eastAsia" w:cs="Times New Roman"/>
                <w:snapToGrid w:val="0"/>
              </w:rPr>
              <w:t>蒸水</w:t>
            </w:r>
            <w:r>
              <w:rPr>
                <w:rFonts w:cs="Times New Roman"/>
                <w:snapToGrid w:val="0"/>
              </w:rPr>
              <w:t>饮用水源保护区范围内的</w:t>
            </w:r>
            <w:r>
              <w:rPr>
                <w:rFonts w:hint="eastAsia" w:cs="Times New Roman"/>
                <w:snapToGrid w:val="0"/>
              </w:rPr>
              <w:t>一级</w:t>
            </w:r>
            <w:r>
              <w:rPr>
                <w:rFonts w:cs="Times New Roman"/>
                <w:snapToGrid w:val="0"/>
              </w:rPr>
              <w:t>禁养及</w:t>
            </w:r>
            <w:r>
              <w:rPr>
                <w:rFonts w:hint="eastAsia" w:cs="Times New Roman"/>
                <w:snapToGrid w:val="0"/>
              </w:rPr>
              <w:t>二级禁养区</w:t>
            </w:r>
          </w:p>
        </w:tc>
        <w:tc>
          <w:tcPr>
            <w:tcW w:w="553" w:type="pct"/>
            <w:vAlign w:val="center"/>
          </w:tcPr>
          <w:p>
            <w:pPr>
              <w:pStyle w:val="39"/>
              <w:rPr>
                <w:snapToGrid w:val="0"/>
              </w:rPr>
            </w:pPr>
            <w:r>
              <w:rPr>
                <w:snapToGrid w:val="0"/>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5" w:type="pct"/>
            <w:vAlign w:val="center"/>
          </w:tcPr>
          <w:p>
            <w:pPr>
              <w:pStyle w:val="39"/>
              <w:rPr>
                <w:snapToGrid w:val="0"/>
              </w:rPr>
            </w:pPr>
            <w:r>
              <w:rPr>
                <w:snapToGrid w:val="0"/>
              </w:rPr>
              <w:t>3</w:t>
            </w:r>
          </w:p>
        </w:tc>
        <w:tc>
          <w:tcPr>
            <w:tcW w:w="3004" w:type="pct"/>
            <w:vAlign w:val="center"/>
          </w:tcPr>
          <w:p>
            <w:pPr>
              <w:pStyle w:val="39"/>
              <w:rPr>
                <w:snapToGrid w:val="0"/>
              </w:rPr>
            </w:pPr>
            <w:r>
              <w:rPr>
                <w:snapToGrid w:val="0"/>
              </w:rPr>
              <w:t>第九条 禁养区内禁止建设养殖场、养殖小区。禁养区内现有不符合要求的养殖场、养殖小区应由当地人民政府在国家规定时限内依法关停或搬迁。</w:t>
            </w:r>
          </w:p>
          <w:p>
            <w:pPr>
              <w:pStyle w:val="39"/>
              <w:rPr>
                <w:snapToGrid w:val="0"/>
              </w:rPr>
            </w:pPr>
            <w:r>
              <w:rPr>
                <w:snapToGrid w:val="0"/>
              </w:rPr>
              <w:t>限养区、适养区内的畜禽养殖管控政策由县级人民政府根据当地实际制定。</w:t>
            </w:r>
          </w:p>
        </w:tc>
        <w:tc>
          <w:tcPr>
            <w:tcW w:w="988" w:type="pct"/>
            <w:vMerge w:val="continue"/>
            <w:vAlign w:val="center"/>
          </w:tcPr>
          <w:p>
            <w:pPr>
              <w:pStyle w:val="39"/>
              <w:rPr>
                <w:snapToGrid w:val="0"/>
              </w:rPr>
            </w:pPr>
          </w:p>
        </w:tc>
        <w:tc>
          <w:tcPr>
            <w:tcW w:w="553" w:type="pct"/>
            <w:vAlign w:val="center"/>
          </w:tcPr>
          <w:p>
            <w:pPr>
              <w:pStyle w:val="39"/>
              <w:rPr>
                <w:snapToGrid w:val="0"/>
              </w:rPr>
            </w:pPr>
            <w:r>
              <w:rPr>
                <w:snapToGrid w:val="0"/>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5" w:type="pct"/>
            <w:vAlign w:val="center"/>
          </w:tcPr>
          <w:p>
            <w:pPr>
              <w:pStyle w:val="39"/>
              <w:rPr>
                <w:snapToGrid w:val="0"/>
              </w:rPr>
            </w:pPr>
            <w:r>
              <w:rPr>
                <w:snapToGrid w:val="0"/>
              </w:rPr>
              <w:t>4</w:t>
            </w:r>
          </w:p>
        </w:tc>
        <w:tc>
          <w:tcPr>
            <w:tcW w:w="3004" w:type="pct"/>
            <w:vAlign w:val="center"/>
          </w:tcPr>
          <w:p>
            <w:pPr>
              <w:pStyle w:val="39"/>
              <w:rPr>
                <w:snapToGrid w:val="0"/>
              </w:rPr>
            </w:pPr>
            <w:r>
              <w:rPr>
                <w:snapToGrid w:val="0"/>
              </w:rPr>
              <w:t>第十条 乡镇人民政府、街道办事处以及村（居）委会对本行政区域内所有养殖场、养殖小区建立环保台账，并上报县级农牧、环境保护主管部门。台账内容包括养殖场和养殖小区名称、养殖地址、联系方式、养殖种类和数量、疫病防控、废弃物的产生和综合利用、污染物排放、病死畜禽无害化处理措施等情况。</w:t>
            </w:r>
          </w:p>
          <w:p>
            <w:pPr>
              <w:pStyle w:val="39"/>
              <w:rPr>
                <w:snapToGrid w:val="0"/>
              </w:rPr>
            </w:pPr>
            <w:r>
              <w:rPr>
                <w:snapToGrid w:val="0"/>
              </w:rPr>
              <w:t>各级农牧、环境保护主管部门间加强信息共享，共同管理和完善本行政区域内养殖场、养殖小区环保台账。</w:t>
            </w:r>
          </w:p>
        </w:tc>
        <w:tc>
          <w:tcPr>
            <w:tcW w:w="988" w:type="pct"/>
            <w:vAlign w:val="center"/>
          </w:tcPr>
          <w:p>
            <w:pPr>
              <w:pStyle w:val="39"/>
              <w:rPr>
                <w:snapToGrid w:val="0"/>
              </w:rPr>
            </w:pPr>
            <w:r>
              <w:rPr>
                <w:snapToGrid w:val="0"/>
              </w:rPr>
              <w:t>本项目</w:t>
            </w:r>
            <w:r>
              <w:rPr>
                <w:rFonts w:hint="eastAsia"/>
                <w:snapToGrid w:val="0"/>
              </w:rPr>
              <w:t>正式</w:t>
            </w:r>
            <w:r>
              <w:rPr>
                <w:snapToGrid w:val="0"/>
              </w:rPr>
              <w:t>运营</w:t>
            </w:r>
            <w:r>
              <w:rPr>
                <w:rFonts w:hint="eastAsia"/>
                <w:snapToGrid w:val="0"/>
              </w:rPr>
              <w:t>后</w:t>
            </w:r>
            <w:r>
              <w:rPr>
                <w:snapToGrid w:val="0"/>
              </w:rPr>
              <w:t>将将陆续完善</w:t>
            </w:r>
            <w:r>
              <w:rPr>
                <w:rFonts w:hint="eastAsia"/>
                <w:snapToGrid w:val="0"/>
              </w:rPr>
              <w:t>台</w:t>
            </w:r>
            <w:r>
              <w:rPr>
                <w:snapToGrid w:val="0"/>
              </w:rPr>
              <w:t>账信息</w:t>
            </w:r>
          </w:p>
        </w:tc>
        <w:tc>
          <w:tcPr>
            <w:tcW w:w="553" w:type="pct"/>
            <w:vAlign w:val="center"/>
          </w:tcPr>
          <w:p>
            <w:pPr>
              <w:pStyle w:val="39"/>
              <w:rPr>
                <w:snapToGrid w:val="0"/>
              </w:rPr>
            </w:pPr>
            <w:r>
              <w:rPr>
                <w:snapToGrid w:val="0"/>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5" w:type="pct"/>
            <w:vAlign w:val="center"/>
          </w:tcPr>
          <w:p>
            <w:pPr>
              <w:pStyle w:val="39"/>
              <w:rPr>
                <w:snapToGrid w:val="0"/>
              </w:rPr>
            </w:pPr>
            <w:r>
              <w:rPr>
                <w:snapToGrid w:val="0"/>
              </w:rPr>
              <w:t>5</w:t>
            </w:r>
          </w:p>
        </w:tc>
        <w:tc>
          <w:tcPr>
            <w:tcW w:w="3004" w:type="pct"/>
            <w:vAlign w:val="center"/>
          </w:tcPr>
          <w:p>
            <w:pPr>
              <w:pStyle w:val="39"/>
              <w:rPr>
                <w:snapToGrid w:val="0"/>
              </w:rPr>
            </w:pPr>
            <w:r>
              <w:rPr>
                <w:snapToGrid w:val="0"/>
              </w:rPr>
              <w:t>第十一条 县级以上人民政府制定的畜牧业发展规划应依《规划环境影响评价条例》的要求，开展规划环境影响评价工作。</w:t>
            </w:r>
          </w:p>
          <w:p>
            <w:pPr>
              <w:pStyle w:val="39"/>
              <w:rPr>
                <w:snapToGrid w:val="0"/>
              </w:rPr>
            </w:pPr>
            <w:r>
              <w:rPr>
                <w:snapToGrid w:val="0"/>
              </w:rPr>
              <w:t>大型养殖场、养殖小区应编制环境影响评价报告书；要严格执行《湖南省人民政府办公厅关于加快转型升级推进现代畜牧业发展的意见》（湘政办发〔2016〕27号）中关于编制环境影响评价报告书的有关规定。小型养殖场、养殖小区应填报环境影响评价登记表。对符合畜牧业发展规划环境影响评价要求的畜禽养殖建设项目，可适当简化环境影响评价报告书的内容。</w:t>
            </w:r>
          </w:p>
        </w:tc>
        <w:tc>
          <w:tcPr>
            <w:tcW w:w="988" w:type="pct"/>
            <w:vAlign w:val="center"/>
          </w:tcPr>
          <w:p>
            <w:pPr>
              <w:pStyle w:val="39"/>
              <w:rPr>
                <w:snapToGrid w:val="0"/>
              </w:rPr>
            </w:pPr>
            <w:r>
              <w:rPr>
                <w:snapToGrid w:val="0"/>
              </w:rPr>
              <w:t>本项目正执行环境影响评价</w:t>
            </w:r>
          </w:p>
        </w:tc>
        <w:tc>
          <w:tcPr>
            <w:tcW w:w="553" w:type="pct"/>
            <w:vAlign w:val="center"/>
          </w:tcPr>
          <w:p>
            <w:pPr>
              <w:pStyle w:val="39"/>
              <w:rPr>
                <w:snapToGrid w:val="0"/>
              </w:rPr>
            </w:pPr>
            <w:r>
              <w:rPr>
                <w:snapToGrid w:val="0"/>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5" w:type="pct"/>
            <w:vAlign w:val="center"/>
          </w:tcPr>
          <w:p>
            <w:pPr>
              <w:pStyle w:val="39"/>
              <w:rPr>
                <w:snapToGrid w:val="0"/>
              </w:rPr>
            </w:pPr>
            <w:r>
              <w:rPr>
                <w:snapToGrid w:val="0"/>
              </w:rPr>
              <w:t>6</w:t>
            </w:r>
          </w:p>
        </w:tc>
        <w:tc>
          <w:tcPr>
            <w:tcW w:w="3004" w:type="pct"/>
            <w:vAlign w:val="center"/>
          </w:tcPr>
          <w:p>
            <w:pPr>
              <w:pStyle w:val="39"/>
              <w:rPr>
                <w:snapToGrid w:val="0"/>
              </w:rPr>
            </w:pPr>
            <w:r>
              <w:rPr>
                <w:snapToGrid w:val="0"/>
              </w:rPr>
              <w:t>第十二条 按照国家排污许可制要求需要申领排污许可证的养殖场、养殖小区应及时申领排污许可证，并按证排污。</w:t>
            </w:r>
          </w:p>
        </w:tc>
        <w:tc>
          <w:tcPr>
            <w:tcW w:w="988" w:type="pct"/>
            <w:vAlign w:val="center"/>
          </w:tcPr>
          <w:p>
            <w:pPr>
              <w:pStyle w:val="39"/>
              <w:rPr>
                <w:snapToGrid w:val="0"/>
              </w:rPr>
            </w:pPr>
            <w:r>
              <w:rPr>
                <w:snapToGrid w:val="0"/>
              </w:rPr>
              <w:t>本项目正在办理</w:t>
            </w:r>
          </w:p>
        </w:tc>
        <w:tc>
          <w:tcPr>
            <w:tcW w:w="553" w:type="pct"/>
            <w:vAlign w:val="center"/>
          </w:tcPr>
          <w:p>
            <w:pPr>
              <w:pStyle w:val="39"/>
              <w:rPr>
                <w:snapToGrid w:val="0"/>
              </w:rPr>
            </w:pPr>
            <w:r>
              <w:rPr>
                <w:snapToGrid w:val="0"/>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5" w:type="pct"/>
            <w:vAlign w:val="center"/>
          </w:tcPr>
          <w:p>
            <w:pPr>
              <w:pStyle w:val="39"/>
              <w:rPr>
                <w:snapToGrid w:val="0"/>
              </w:rPr>
            </w:pPr>
            <w:r>
              <w:rPr>
                <w:snapToGrid w:val="0"/>
              </w:rPr>
              <w:t>7</w:t>
            </w:r>
          </w:p>
        </w:tc>
        <w:tc>
          <w:tcPr>
            <w:tcW w:w="3004" w:type="pct"/>
            <w:vAlign w:val="center"/>
          </w:tcPr>
          <w:p>
            <w:pPr>
              <w:pStyle w:val="39"/>
              <w:rPr>
                <w:snapToGrid w:val="0"/>
              </w:rPr>
            </w:pPr>
            <w:r>
              <w:rPr>
                <w:snapToGrid w:val="0"/>
              </w:rPr>
              <w:t>第十三条 新建、改建、扩建畜禽养殖场、养殖小区要实施雨污分流，建设必要的畜禽养殖废弃物资源化利用和无害化处理设施。已委托有畜禽养殖废弃物资源化利用和无害化处理设施和能力的单位代为处理的，可只建收集暂存设施。</w:t>
            </w:r>
          </w:p>
          <w:p>
            <w:pPr>
              <w:pStyle w:val="39"/>
              <w:rPr>
                <w:snapToGrid w:val="0"/>
              </w:rPr>
            </w:pPr>
            <w:r>
              <w:rPr>
                <w:snapToGrid w:val="0"/>
              </w:rPr>
              <w:t>采用"多点布局、分场饲养"的养殖场、养殖小区，其分场无论养殖规模大小，均应建设畜禽养殖废弃物资源化利用和无害化处理设施。</w:t>
            </w:r>
          </w:p>
          <w:p>
            <w:pPr>
              <w:pStyle w:val="39"/>
              <w:rPr>
                <w:snapToGrid w:val="0"/>
              </w:rPr>
            </w:pPr>
            <w:r>
              <w:rPr>
                <w:snapToGrid w:val="0"/>
              </w:rPr>
              <w:t>未建设必要的畜禽养殖废弃物资源化利用和无害化处理设施、自建的设施不合格或者未委托有处理设施和能力的单位代为处理的，养殖场、养殖小区不得投入生产或使用。</w:t>
            </w:r>
          </w:p>
          <w:p>
            <w:pPr>
              <w:pStyle w:val="39"/>
              <w:rPr>
                <w:snapToGrid w:val="0"/>
              </w:rPr>
            </w:pPr>
            <w:r>
              <w:rPr>
                <w:snapToGrid w:val="0"/>
              </w:rPr>
              <w:t>承接畜禽养殖废弃物资源化利用和无害化处理的单位，应具有相应的处理设施和能力，污染物排放能满足要求；应建立畜禽养殖废弃物交接和处理台账，并如实登记。鼓励有资质的单位成片或连片承接畜禽养殖废弃物资源化利用和无害化处理。</w:t>
            </w:r>
          </w:p>
        </w:tc>
        <w:tc>
          <w:tcPr>
            <w:tcW w:w="988" w:type="pct"/>
            <w:vAlign w:val="center"/>
          </w:tcPr>
          <w:p>
            <w:pPr>
              <w:pStyle w:val="39"/>
              <w:rPr>
                <w:snapToGrid w:val="0"/>
              </w:rPr>
            </w:pPr>
            <w:r>
              <w:rPr>
                <w:snapToGrid w:val="0"/>
              </w:rPr>
              <w:t>本项目</w:t>
            </w:r>
            <w:r>
              <w:rPr>
                <w:rFonts w:hint="eastAsia"/>
                <w:snapToGrid w:val="0"/>
              </w:rPr>
              <w:t>废水通过化粪池池处理后用做农肥</w:t>
            </w:r>
            <w:r>
              <w:rPr>
                <w:snapToGrid w:val="0"/>
              </w:rPr>
              <w:t>，</w:t>
            </w:r>
            <w:r>
              <w:rPr>
                <w:rFonts w:hint="eastAsia"/>
                <w:snapToGrid w:val="0"/>
              </w:rPr>
              <w:t>鸡粪</w:t>
            </w:r>
            <w:r>
              <w:rPr>
                <w:snapToGrid w:val="0"/>
              </w:rPr>
              <w:t>经</w:t>
            </w:r>
            <w:r>
              <w:rPr>
                <w:rFonts w:hint="eastAsia"/>
                <w:snapToGrid w:val="0"/>
              </w:rPr>
              <w:t>干燥机干燥</w:t>
            </w:r>
            <w:r>
              <w:rPr>
                <w:snapToGrid w:val="0"/>
              </w:rPr>
              <w:t>后用作有机肥</w:t>
            </w:r>
            <w:r>
              <w:rPr>
                <w:rFonts w:hint="eastAsia"/>
                <w:snapToGrid w:val="0"/>
              </w:rPr>
              <w:t>；各类排污</w:t>
            </w:r>
            <w:r>
              <w:rPr>
                <w:snapToGrid w:val="0"/>
              </w:rPr>
              <w:t>均可采取相应措施进行措施后综合利用或达标排放</w:t>
            </w:r>
          </w:p>
        </w:tc>
        <w:tc>
          <w:tcPr>
            <w:tcW w:w="553" w:type="pct"/>
            <w:vAlign w:val="center"/>
          </w:tcPr>
          <w:p>
            <w:pPr>
              <w:pStyle w:val="39"/>
              <w:rPr>
                <w:snapToGrid w:val="0"/>
              </w:rPr>
            </w:pPr>
            <w:r>
              <w:rPr>
                <w:snapToGrid w:val="0"/>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5" w:type="pct"/>
            <w:vAlign w:val="center"/>
          </w:tcPr>
          <w:p>
            <w:pPr>
              <w:pStyle w:val="39"/>
              <w:rPr>
                <w:snapToGrid w:val="0"/>
              </w:rPr>
            </w:pPr>
            <w:r>
              <w:rPr>
                <w:snapToGrid w:val="0"/>
              </w:rPr>
              <w:t>8</w:t>
            </w:r>
          </w:p>
        </w:tc>
        <w:tc>
          <w:tcPr>
            <w:tcW w:w="3004" w:type="pct"/>
            <w:vAlign w:val="center"/>
          </w:tcPr>
          <w:p>
            <w:pPr>
              <w:pStyle w:val="39"/>
              <w:rPr>
                <w:snapToGrid w:val="0"/>
              </w:rPr>
            </w:pPr>
            <w:r>
              <w:rPr>
                <w:snapToGrid w:val="0"/>
              </w:rPr>
              <w:t>第十四条 病死畜禽尸体及其排泄物，要严格按照《国务院办公厅关于建立病死畜禽无害化处理机制的意见》（国办发〔2014〕47号）有关规定处理，严禁私自未经任何处理随意抛弃、掩埋等。</w:t>
            </w:r>
          </w:p>
          <w:p>
            <w:pPr>
              <w:pStyle w:val="39"/>
              <w:rPr>
                <w:snapToGrid w:val="0"/>
              </w:rPr>
            </w:pPr>
            <w:r>
              <w:rPr>
                <w:snapToGrid w:val="0"/>
              </w:rPr>
              <w:t>各级人民政府要将病死畜禽无害化处理体系建设纳入国民经济和社会发展规划。</w:t>
            </w:r>
          </w:p>
          <w:p>
            <w:pPr>
              <w:pStyle w:val="39"/>
              <w:rPr>
                <w:snapToGrid w:val="0"/>
              </w:rPr>
            </w:pPr>
            <w:r>
              <w:rPr>
                <w:snapToGrid w:val="0"/>
              </w:rPr>
              <w:t>生猪调出大县和年养殖量在5000万羽以上的家禽养殖大县，原则上每个县要建立病死畜禽收集贮存转运体系或无害化处理中心，鼓励跨行政区域联合建设病死畜禽无害化处理中心。无害化处理应优先采用化制、发酵等既能实现无害化处理又能资源化利用的工艺。</w:t>
            </w:r>
          </w:p>
          <w:p>
            <w:pPr>
              <w:pStyle w:val="39"/>
              <w:rPr>
                <w:snapToGrid w:val="0"/>
              </w:rPr>
            </w:pPr>
            <w:r>
              <w:rPr>
                <w:snapToGrid w:val="0"/>
              </w:rPr>
              <w:t>鼓励养殖场、养殖小区委托有资质的病死畜禽无害化处理中心集中处理病死畜禽。</w:t>
            </w:r>
          </w:p>
        </w:tc>
        <w:tc>
          <w:tcPr>
            <w:tcW w:w="988" w:type="pct"/>
            <w:vAlign w:val="center"/>
          </w:tcPr>
          <w:p>
            <w:pPr>
              <w:pStyle w:val="39"/>
              <w:rPr>
                <w:snapToGrid w:val="0"/>
              </w:rPr>
            </w:pPr>
            <w:r>
              <w:rPr>
                <w:snapToGrid w:val="0"/>
              </w:rPr>
              <w:t>项目</w:t>
            </w:r>
            <w:r>
              <w:rPr>
                <w:rFonts w:hint="eastAsia"/>
                <w:snapToGrid w:val="0"/>
              </w:rPr>
              <w:t>病死鸡</w:t>
            </w:r>
            <w:r>
              <w:rPr>
                <w:rFonts w:hint="eastAsia" w:ascii="宋体" w:hAnsi="宋体" w:cs="宋体"/>
                <w:kern w:val="0"/>
                <w:szCs w:val="24"/>
                <w:u w:val="single"/>
              </w:rPr>
              <w:t>暂存</w:t>
            </w:r>
            <w:r>
              <w:rPr>
                <w:rFonts w:ascii="宋体" w:hAnsi="宋体" w:cs="宋体"/>
                <w:kern w:val="0"/>
                <w:szCs w:val="24"/>
                <w:u w:val="single"/>
              </w:rPr>
              <w:t>至冰柜，定期</w:t>
            </w:r>
            <w:r>
              <w:rPr>
                <w:rFonts w:hint="eastAsia" w:ascii="宋体" w:hAnsi="宋体" w:cs="宋体"/>
                <w:kern w:val="0"/>
                <w:szCs w:val="24"/>
                <w:u w:val="single"/>
              </w:rPr>
              <w:t>委托</w:t>
            </w:r>
            <w:r>
              <w:rPr>
                <w:rFonts w:ascii="宋体" w:hAnsi="宋体" w:cs="宋体"/>
                <w:kern w:val="0"/>
                <w:szCs w:val="24"/>
                <w:u w:val="single"/>
              </w:rPr>
              <w:t>衡阳县畜牧水产局统一</w:t>
            </w:r>
            <w:r>
              <w:rPr>
                <w:rFonts w:hint="eastAsia" w:ascii="宋体" w:hAnsi="宋体" w:cs="宋体"/>
                <w:kern w:val="0"/>
                <w:szCs w:val="24"/>
                <w:u w:val="single"/>
              </w:rPr>
              <w:t>收集，再</w:t>
            </w:r>
            <w:r>
              <w:rPr>
                <w:rFonts w:ascii="宋体" w:hAnsi="宋体" w:cs="宋体"/>
                <w:kern w:val="0"/>
                <w:szCs w:val="24"/>
                <w:u w:val="single"/>
              </w:rPr>
              <w:t>运至衡阳</w:t>
            </w:r>
            <w:r>
              <w:rPr>
                <w:rFonts w:hint="eastAsia" w:ascii="宋体" w:hAnsi="宋体" w:cs="宋体"/>
                <w:kern w:val="0"/>
                <w:szCs w:val="24"/>
                <w:u w:val="single"/>
              </w:rPr>
              <w:t>市</w:t>
            </w:r>
            <w:r>
              <w:rPr>
                <w:rFonts w:ascii="宋体" w:hAnsi="宋体" w:cs="宋体"/>
                <w:kern w:val="0"/>
                <w:szCs w:val="24"/>
                <w:u w:val="single"/>
              </w:rPr>
              <w:t>禾和</w:t>
            </w:r>
            <w:r>
              <w:rPr>
                <w:rFonts w:hint="eastAsia" w:ascii="宋体" w:hAnsi="宋体" w:cs="宋体"/>
                <w:kern w:val="0"/>
                <w:szCs w:val="24"/>
                <w:u w:val="single"/>
              </w:rPr>
              <w:t>动物无害化处理有限</w:t>
            </w:r>
            <w:r>
              <w:rPr>
                <w:rFonts w:ascii="宋体" w:hAnsi="宋体" w:cs="宋体"/>
                <w:kern w:val="0"/>
                <w:szCs w:val="24"/>
                <w:u w:val="single"/>
              </w:rPr>
              <w:t>公司无害化处置</w:t>
            </w:r>
          </w:p>
        </w:tc>
        <w:tc>
          <w:tcPr>
            <w:tcW w:w="553" w:type="pct"/>
            <w:vAlign w:val="center"/>
          </w:tcPr>
          <w:p>
            <w:pPr>
              <w:pStyle w:val="39"/>
              <w:rPr>
                <w:snapToGrid w:val="0"/>
              </w:rPr>
            </w:pPr>
            <w:r>
              <w:rPr>
                <w:snapToGrid w:val="0"/>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5" w:type="pct"/>
            <w:vAlign w:val="center"/>
          </w:tcPr>
          <w:p>
            <w:pPr>
              <w:pStyle w:val="39"/>
              <w:rPr>
                <w:snapToGrid w:val="0"/>
              </w:rPr>
            </w:pPr>
            <w:r>
              <w:rPr>
                <w:snapToGrid w:val="0"/>
              </w:rPr>
              <w:t>9</w:t>
            </w:r>
          </w:p>
        </w:tc>
        <w:tc>
          <w:tcPr>
            <w:tcW w:w="3004" w:type="pct"/>
            <w:vAlign w:val="center"/>
          </w:tcPr>
          <w:p>
            <w:pPr>
              <w:pStyle w:val="39"/>
              <w:rPr>
                <w:snapToGrid w:val="0"/>
              </w:rPr>
            </w:pPr>
            <w:r>
              <w:rPr>
                <w:snapToGrid w:val="0"/>
              </w:rPr>
              <w:t>第十五条 畜禽养殖污染治理应按照资源化、减量化、无害化的原则，从源头控制，采取合适的技术对畜禽养殖废弃物进行处理，并通过粪肥还田、制取沼气、制造有机肥等方式提高畜禽养殖废弃物的资源化利用率。</w:t>
            </w:r>
          </w:p>
          <w:p>
            <w:pPr>
              <w:pStyle w:val="39"/>
              <w:rPr>
                <w:snapToGrid w:val="0"/>
              </w:rPr>
            </w:pPr>
            <w:r>
              <w:rPr>
                <w:snapToGrid w:val="0"/>
              </w:rPr>
              <w:t>粪污收集、贮存和处理，污水收集和处理，恶臭控制等具体的处理技术，参照《畜禽养殖业污染治理工程技术规范》（HJ 497－2009）等技术措施实施。</w:t>
            </w:r>
          </w:p>
          <w:p>
            <w:pPr>
              <w:pStyle w:val="39"/>
              <w:rPr>
                <w:snapToGrid w:val="0"/>
              </w:rPr>
            </w:pPr>
            <w:r>
              <w:rPr>
                <w:snapToGrid w:val="0"/>
              </w:rPr>
              <w:t>将畜禽养殖废弃物用作肥料的，应做好无害化处理，并与土地的消纳能力相适应，确保不产生二次环境污染。</w:t>
            </w:r>
          </w:p>
          <w:p>
            <w:pPr>
              <w:pStyle w:val="39"/>
              <w:rPr>
                <w:snapToGrid w:val="0"/>
              </w:rPr>
            </w:pPr>
            <w:r>
              <w:rPr>
                <w:snapToGrid w:val="0"/>
              </w:rPr>
              <w:t>第十六条 对畜禽养殖污染主体不明确或主体消失的现有区域污染、历史遗留污染，由县级人民政府制定整治方案并组织实施。</w:t>
            </w:r>
          </w:p>
        </w:tc>
        <w:tc>
          <w:tcPr>
            <w:tcW w:w="988" w:type="pct"/>
            <w:vAlign w:val="center"/>
          </w:tcPr>
          <w:p>
            <w:pPr>
              <w:pStyle w:val="39"/>
              <w:rPr>
                <w:snapToGrid w:val="0"/>
              </w:rPr>
            </w:pPr>
            <w:r>
              <w:rPr>
                <w:snapToGrid w:val="0"/>
              </w:rPr>
              <w:t>本项目采取干清粪，</w:t>
            </w:r>
            <w:r>
              <w:rPr>
                <w:rFonts w:hint="eastAsia"/>
                <w:snapToGrid w:val="0"/>
              </w:rPr>
              <w:t>鸡</w:t>
            </w:r>
            <w:r>
              <w:rPr>
                <w:snapToGrid w:val="0"/>
              </w:rPr>
              <w:t>粪</w:t>
            </w:r>
            <w:r>
              <w:rPr>
                <w:rFonts w:hint="eastAsia"/>
                <w:snapToGrid w:val="0"/>
              </w:rPr>
              <w:t>由干燥机直接干燥</w:t>
            </w:r>
            <w:r>
              <w:rPr>
                <w:snapToGrid w:val="0"/>
              </w:rPr>
              <w:t>作为有机肥外售</w:t>
            </w:r>
            <w:r>
              <w:rPr>
                <w:rFonts w:hint="eastAsia"/>
                <w:snapToGrid w:val="0"/>
              </w:rPr>
              <w:t>，</w:t>
            </w:r>
            <w:r>
              <w:rPr>
                <w:snapToGrid w:val="0"/>
              </w:rPr>
              <w:t>不产生二次环境污染</w:t>
            </w:r>
            <w:r>
              <w:rPr>
                <w:rFonts w:hint="eastAsia"/>
                <w:snapToGrid w:val="0"/>
              </w:rPr>
              <w:t>。</w:t>
            </w:r>
          </w:p>
        </w:tc>
        <w:tc>
          <w:tcPr>
            <w:tcW w:w="553" w:type="pct"/>
            <w:vAlign w:val="center"/>
          </w:tcPr>
          <w:p>
            <w:pPr>
              <w:pStyle w:val="39"/>
              <w:rPr>
                <w:snapToGrid w:val="0"/>
              </w:rPr>
            </w:pPr>
            <w:r>
              <w:rPr>
                <w:snapToGrid w:val="0"/>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5" w:type="pct"/>
            <w:vAlign w:val="center"/>
          </w:tcPr>
          <w:p>
            <w:pPr>
              <w:pStyle w:val="39"/>
              <w:rPr>
                <w:snapToGrid w:val="0"/>
              </w:rPr>
            </w:pPr>
            <w:r>
              <w:rPr>
                <w:snapToGrid w:val="0"/>
              </w:rPr>
              <w:t>10</w:t>
            </w:r>
          </w:p>
        </w:tc>
        <w:tc>
          <w:tcPr>
            <w:tcW w:w="3004" w:type="pct"/>
            <w:vAlign w:val="center"/>
          </w:tcPr>
          <w:p>
            <w:pPr>
              <w:pStyle w:val="39"/>
              <w:rPr>
                <w:snapToGrid w:val="0"/>
              </w:rPr>
            </w:pPr>
            <w:r>
              <w:rPr>
                <w:snapToGrid w:val="0"/>
              </w:rPr>
              <w:t>第十七条 各地农牧、环境保护、科技等主管部门要结合本行政区域资源环境禀赋、农业经营方式、畜牧业发展现状和环境质量改善目标要求，积极开展科技攻关，推广节水养殖、清洁生产、畜禽养殖废弃物还田利用等技术，逐渐改进和完善畜禽养殖设施和工艺以及畜禽养殖废弃物综合利用模式。</w:t>
            </w:r>
          </w:p>
        </w:tc>
        <w:tc>
          <w:tcPr>
            <w:tcW w:w="988" w:type="pct"/>
            <w:vAlign w:val="center"/>
          </w:tcPr>
          <w:p>
            <w:pPr>
              <w:pStyle w:val="39"/>
              <w:rPr>
                <w:snapToGrid w:val="0"/>
              </w:rPr>
            </w:pPr>
            <w:r>
              <w:rPr>
                <w:snapToGrid w:val="0"/>
              </w:rPr>
              <w:t>本项目</w:t>
            </w:r>
            <w:r>
              <w:rPr>
                <w:rFonts w:hint="eastAsia"/>
                <w:snapToGrid w:val="0"/>
              </w:rPr>
              <w:t>蛋</w:t>
            </w:r>
            <w:r>
              <w:rPr>
                <w:snapToGrid w:val="0"/>
              </w:rPr>
              <w:t>鸡采用自动喂养技术养殖，粪便通过</w:t>
            </w:r>
            <w:r>
              <w:rPr>
                <w:rFonts w:hint="eastAsia"/>
                <w:snapToGrid w:val="0"/>
              </w:rPr>
              <w:t>干燥</w:t>
            </w:r>
            <w:r>
              <w:rPr>
                <w:snapToGrid w:val="0"/>
              </w:rPr>
              <w:t>后作为有机肥外售，废水通过</w:t>
            </w:r>
            <w:r>
              <w:rPr>
                <w:rFonts w:hint="eastAsia"/>
                <w:snapToGrid w:val="0"/>
              </w:rPr>
              <w:t>化粪池处理后用作农肥</w:t>
            </w:r>
            <w:r>
              <w:rPr>
                <w:snapToGrid w:val="0"/>
              </w:rPr>
              <w:t>。</w:t>
            </w:r>
          </w:p>
        </w:tc>
        <w:tc>
          <w:tcPr>
            <w:tcW w:w="553" w:type="pct"/>
            <w:vAlign w:val="center"/>
          </w:tcPr>
          <w:p>
            <w:pPr>
              <w:pStyle w:val="39"/>
              <w:rPr>
                <w:snapToGrid w:val="0"/>
              </w:rPr>
            </w:pPr>
            <w:r>
              <w:rPr>
                <w:snapToGrid w:val="0"/>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5" w:type="pct"/>
            <w:vAlign w:val="center"/>
          </w:tcPr>
          <w:p>
            <w:pPr>
              <w:pStyle w:val="39"/>
              <w:rPr>
                <w:snapToGrid w:val="0"/>
              </w:rPr>
            </w:pPr>
            <w:r>
              <w:rPr>
                <w:snapToGrid w:val="0"/>
              </w:rPr>
              <w:t>11</w:t>
            </w:r>
          </w:p>
        </w:tc>
        <w:tc>
          <w:tcPr>
            <w:tcW w:w="3004" w:type="pct"/>
            <w:vAlign w:val="center"/>
          </w:tcPr>
          <w:p>
            <w:pPr>
              <w:pStyle w:val="39"/>
              <w:rPr>
                <w:snapToGrid w:val="0"/>
              </w:rPr>
            </w:pPr>
            <w:r>
              <w:rPr>
                <w:snapToGrid w:val="0"/>
              </w:rPr>
              <w:t>第十八条 各级人民政府应充分利用行政手段，出台政策鼓励集约饲养，支持养殖场、养殖小区标准化改造，发展种养结合和生态循环的适度规模养殖，积极引导农民使用有机肥或规模化积造的农家肥等，使资金重点向畜禽养殖废弃物资源化利用和无害化处理设施建设倾斜。</w:t>
            </w:r>
          </w:p>
          <w:p>
            <w:pPr>
              <w:pStyle w:val="39"/>
              <w:rPr>
                <w:snapToGrid w:val="0"/>
              </w:rPr>
            </w:pPr>
            <w:r>
              <w:rPr>
                <w:snapToGrid w:val="0"/>
              </w:rPr>
              <w:t>探索综合运用财政、税收、金融、价格等经济手段和政府购买服务等机制模式，降低畜禽养殖污染治理成本。</w:t>
            </w:r>
          </w:p>
          <w:p>
            <w:pPr>
              <w:pStyle w:val="39"/>
              <w:rPr>
                <w:snapToGrid w:val="0"/>
              </w:rPr>
            </w:pPr>
            <w:r>
              <w:rPr>
                <w:snapToGrid w:val="0"/>
              </w:rPr>
              <w:t>利用市场手段推动建立企业、政府、社会多元化投入和利益分享机制，鼓励畜禽养殖污染第三方治理，提高畜禽养殖污染治理的专业化、市场化和产业化水平。</w:t>
            </w:r>
          </w:p>
        </w:tc>
        <w:tc>
          <w:tcPr>
            <w:tcW w:w="988" w:type="pct"/>
            <w:vAlign w:val="center"/>
          </w:tcPr>
          <w:p>
            <w:pPr>
              <w:pStyle w:val="39"/>
              <w:rPr>
                <w:snapToGrid w:val="0"/>
              </w:rPr>
            </w:pPr>
            <w:r>
              <w:rPr>
                <w:snapToGrid w:val="0"/>
              </w:rPr>
              <w:t>本项目属于采取生态循环的适度规模养殖生产模式</w:t>
            </w:r>
          </w:p>
        </w:tc>
        <w:tc>
          <w:tcPr>
            <w:tcW w:w="553" w:type="pct"/>
            <w:vAlign w:val="center"/>
          </w:tcPr>
          <w:p>
            <w:pPr>
              <w:pStyle w:val="39"/>
              <w:rPr>
                <w:snapToGrid w:val="0"/>
              </w:rPr>
            </w:pPr>
            <w:r>
              <w:rPr>
                <w:snapToGrid w:val="0"/>
              </w:rPr>
              <w:t>符合</w:t>
            </w:r>
          </w:p>
        </w:tc>
      </w:tr>
    </w:tbl>
    <w:p>
      <w:pPr>
        <w:pStyle w:val="3"/>
        <w:ind w:firstLine="480"/>
      </w:pPr>
    </w:p>
    <w:p>
      <w:pPr>
        <w:pStyle w:val="6"/>
        <w:rPr>
          <w:rFonts w:cs="Times New Roman"/>
          <w:u w:val="single"/>
        </w:rPr>
      </w:pPr>
      <w:bookmarkStart w:id="52" w:name="_Toc516215010"/>
      <w:r>
        <w:rPr>
          <w:rFonts w:cs="Times New Roman"/>
          <w:u w:val="single"/>
        </w:rPr>
        <w:t>与《</w:t>
      </w:r>
      <w:r>
        <w:rPr>
          <w:rFonts w:hint="eastAsia" w:cs="Times New Roman"/>
          <w:u w:val="single"/>
        </w:rPr>
        <w:t>衡阳县畜禽养殖禁养区划定技术方案</w:t>
      </w:r>
      <w:r>
        <w:rPr>
          <w:rFonts w:cs="Times New Roman"/>
          <w:u w:val="single"/>
        </w:rPr>
        <w:t>》符合性</w:t>
      </w:r>
      <w:bookmarkEnd w:id="52"/>
    </w:p>
    <w:p>
      <w:pPr>
        <w:pStyle w:val="3"/>
        <w:ind w:firstLine="480"/>
        <w:rPr>
          <w:rFonts w:cs="Times New Roman"/>
          <w:u w:val="single"/>
        </w:rPr>
      </w:pPr>
      <w:r>
        <w:rPr>
          <w:rFonts w:cs="Times New Roman"/>
          <w:u w:val="single"/>
        </w:rPr>
        <w:t>根据</w:t>
      </w:r>
      <w:r>
        <w:rPr>
          <w:rFonts w:hint="eastAsia" w:cs="Times New Roman"/>
          <w:u w:val="single"/>
        </w:rPr>
        <w:t>衡阳市生态环境局衡阳县分局及衡阳县农业农村局</w:t>
      </w:r>
      <w:r>
        <w:rPr>
          <w:rFonts w:cs="Times New Roman"/>
          <w:u w:val="single"/>
        </w:rPr>
        <w:t>颁发的《</w:t>
      </w:r>
      <w:r>
        <w:rPr>
          <w:rFonts w:hint="eastAsia" w:cs="Times New Roman"/>
          <w:u w:val="single"/>
        </w:rPr>
        <w:t>衡阳县畜禽养殖禁养区划定技术方案</w:t>
      </w:r>
      <w:r>
        <w:rPr>
          <w:rFonts w:cs="Times New Roman"/>
          <w:u w:val="single"/>
        </w:rPr>
        <w:t>》（</w:t>
      </w:r>
      <w:r>
        <w:rPr>
          <w:rFonts w:hint="eastAsia" w:cs="Times New Roman"/>
          <w:u w:val="single"/>
        </w:rPr>
        <w:t>正式稿</w:t>
      </w:r>
      <w:r>
        <w:rPr>
          <w:rFonts w:cs="Times New Roman"/>
          <w:u w:val="single"/>
        </w:rPr>
        <w:t>）内容：衡</w:t>
      </w:r>
      <w:r>
        <w:rPr>
          <w:rFonts w:hint="eastAsia" w:cs="Times New Roman"/>
          <w:u w:val="single"/>
        </w:rPr>
        <w:t>阳</w:t>
      </w:r>
      <w:r>
        <w:rPr>
          <w:rFonts w:cs="Times New Roman"/>
          <w:u w:val="single"/>
        </w:rPr>
        <w:t>县划分了畜禽养殖一级禁养区及二级禁养区：一级禁养区禁止建设畜禽规模养殖场、养殖小区的区域，二级禁养区禁止建设有污染物排放的规模养殖场、养殖小区的区域；畜禽禁养区以外，符合相关规划的区域，原则上可作为畜禽养殖适养区。本项目与</w:t>
      </w:r>
      <w:r>
        <w:rPr>
          <w:rFonts w:cs="Times New Roman"/>
          <w:spacing w:val="8"/>
          <w:u w:val="single"/>
        </w:rPr>
        <w:t>该方案</w:t>
      </w:r>
      <w:r>
        <w:rPr>
          <w:rFonts w:cs="Times New Roman"/>
          <w:u w:val="single"/>
        </w:rPr>
        <w:t>相符性分析见表7.3-6。</w:t>
      </w:r>
    </w:p>
    <w:p>
      <w:pPr>
        <w:pStyle w:val="15"/>
        <w:rPr>
          <w:rFonts w:cs="Times New Roman"/>
          <w:u w:val="single"/>
        </w:rPr>
      </w:pPr>
      <w:r>
        <w:rPr>
          <w:rFonts w:cs="Times New Roman"/>
          <w:u w:val="single"/>
        </w:rPr>
        <w:t>表7.3-6   本项目与</w:t>
      </w:r>
      <w:r>
        <w:rPr>
          <w:rFonts w:cs="Times New Roman"/>
          <w:spacing w:val="8"/>
          <w:u w:val="single"/>
        </w:rPr>
        <w:t>《</w:t>
      </w:r>
      <w:r>
        <w:rPr>
          <w:rFonts w:hint="eastAsia" w:cs="Times New Roman"/>
          <w:u w:val="single"/>
        </w:rPr>
        <w:t>衡阳县畜禽养殖禁养区划定技术方案</w:t>
      </w:r>
      <w:r>
        <w:rPr>
          <w:rFonts w:cs="Times New Roman"/>
          <w:spacing w:val="8"/>
          <w:u w:val="single"/>
        </w:rPr>
        <w:t>》</w:t>
      </w:r>
      <w:r>
        <w:rPr>
          <w:rFonts w:cs="Times New Roman"/>
          <w:u w:val="single"/>
        </w:rPr>
        <w:t>符合性分析表</w:t>
      </w:r>
    </w:p>
    <w:tbl>
      <w:tblPr>
        <w:tblStyle w:val="26"/>
        <w:tblW w:w="9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3"/>
        <w:gridCol w:w="2837"/>
        <w:gridCol w:w="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5353" w:type="dxa"/>
            <w:vAlign w:val="center"/>
          </w:tcPr>
          <w:p>
            <w:pPr>
              <w:pStyle w:val="39"/>
              <w:rPr>
                <w:rFonts w:cs="Times New Roman"/>
                <w:u w:val="single"/>
              </w:rPr>
            </w:pPr>
            <w:r>
              <w:rPr>
                <w:rFonts w:cs="Times New Roman"/>
                <w:u w:val="single"/>
              </w:rPr>
              <w:t>选址条件</w:t>
            </w:r>
          </w:p>
        </w:tc>
        <w:tc>
          <w:tcPr>
            <w:tcW w:w="2837" w:type="dxa"/>
            <w:vAlign w:val="center"/>
          </w:tcPr>
          <w:p>
            <w:pPr>
              <w:pStyle w:val="39"/>
              <w:rPr>
                <w:rFonts w:cs="Times New Roman"/>
                <w:u w:val="single"/>
              </w:rPr>
            </w:pPr>
            <w:r>
              <w:rPr>
                <w:rFonts w:cs="Times New Roman"/>
                <w:u w:val="single"/>
              </w:rPr>
              <w:t>本项目情况</w:t>
            </w:r>
          </w:p>
        </w:tc>
        <w:tc>
          <w:tcPr>
            <w:tcW w:w="983" w:type="dxa"/>
            <w:vAlign w:val="center"/>
          </w:tcPr>
          <w:p>
            <w:pPr>
              <w:pStyle w:val="39"/>
              <w:rPr>
                <w:rFonts w:cs="Times New Roman"/>
                <w:u w:val="single"/>
              </w:rPr>
            </w:pPr>
            <w:r>
              <w:rPr>
                <w:rFonts w:cs="Times New Roman"/>
                <w:u w:val="single"/>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73" w:type="dxa"/>
            <w:gridSpan w:val="3"/>
            <w:vAlign w:val="center"/>
          </w:tcPr>
          <w:p>
            <w:pPr>
              <w:pStyle w:val="39"/>
              <w:jc w:val="both"/>
              <w:rPr>
                <w:rFonts w:cs="Times New Roman"/>
                <w:u w:val="single"/>
              </w:rPr>
            </w:pPr>
            <w:r>
              <w:rPr>
                <w:rFonts w:cs="Times New Roman"/>
                <w:u w:val="single"/>
              </w:rPr>
              <w:t>一、</w:t>
            </w:r>
            <w:r>
              <w:rPr>
                <w:rFonts w:hint="eastAsia" w:cs="Times New Roman"/>
                <w:u w:val="single"/>
              </w:rPr>
              <w:t>饮用水水源保护区禁养区（台源镇J16）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53" w:type="dxa"/>
            <w:vAlign w:val="center"/>
          </w:tcPr>
          <w:p>
            <w:pPr>
              <w:pStyle w:val="39"/>
              <w:jc w:val="left"/>
              <w:rPr>
                <w:rFonts w:cs="Times New Roman"/>
                <w:u w:val="single"/>
              </w:rPr>
            </w:pPr>
            <w:r>
              <w:rPr>
                <w:rFonts w:hint="eastAsia" w:cs="Times New Roman"/>
                <w:u w:val="single"/>
              </w:rPr>
              <w:t>以衡阳县台源镇蒸水河饮用水源保护区的一级、二级保护区陆域为边界划定禁养区，其中一级保护区陆域范围划定为一级禁养区，禁止建设养殖场；二级保护区陆域范围划定为二级禁养区，禁止建设有污染物排放的养殖场；</w:t>
            </w:r>
          </w:p>
          <w:p>
            <w:pPr>
              <w:pStyle w:val="39"/>
              <w:jc w:val="left"/>
              <w:rPr>
                <w:rFonts w:cs="Times New Roman"/>
                <w:u w:val="single"/>
              </w:rPr>
            </w:pPr>
            <w:r>
              <w:rPr>
                <w:rFonts w:hint="eastAsia" w:cs="Times New Roman"/>
                <w:u w:val="single"/>
              </w:rPr>
              <w:t>一级陆</w:t>
            </w:r>
            <w:r>
              <w:rPr>
                <w:rFonts w:cs="Times New Roman"/>
                <w:u w:val="single"/>
              </w:rPr>
              <w:t>域：</w:t>
            </w:r>
            <w:r>
              <w:rPr>
                <w:rFonts w:hint="eastAsia" w:cs="Times New Roman"/>
                <w:u w:val="single"/>
              </w:rPr>
              <w:t>一级保护区水域边界沿岸纵深10米，不超过道路迎水侧路肩（</w:t>
            </w:r>
            <w:r>
              <w:rPr>
                <w:rFonts w:cs="Times New Roman"/>
                <w:kern w:val="0"/>
                <w:u w:val="single"/>
              </w:rPr>
              <w:t>0.009km</w:t>
            </w:r>
            <w:r>
              <w:rPr>
                <w:rFonts w:cs="Times New Roman"/>
                <w:kern w:val="0"/>
                <w:u w:val="single"/>
                <w:vertAlign w:val="superscript"/>
              </w:rPr>
              <w:t>2</w:t>
            </w:r>
            <w:r>
              <w:rPr>
                <w:rFonts w:hint="eastAsia" w:cs="Times New Roman"/>
                <w:u w:val="single"/>
              </w:rPr>
              <w:t>）。</w:t>
            </w:r>
          </w:p>
          <w:p>
            <w:pPr>
              <w:pStyle w:val="39"/>
              <w:jc w:val="left"/>
              <w:rPr>
                <w:rFonts w:hint="eastAsia" w:cs="Times New Roman"/>
                <w:u w:val="single"/>
              </w:rPr>
            </w:pPr>
            <w:r>
              <w:rPr>
                <w:rFonts w:hint="eastAsia" w:ascii="宋体" w:cs="宋体"/>
                <w:kern w:val="0"/>
                <w:u w:val="single"/>
              </w:rPr>
              <w:t>二级陆域：一、二级保护区水域边界沿岸纵深50米，不超过道路背水侧路肩（一级保护区除外）</w:t>
            </w:r>
            <w:r>
              <w:rPr>
                <w:rFonts w:hint="eastAsia" w:cs="Times New Roman"/>
                <w:u w:val="single"/>
              </w:rPr>
              <w:t>（</w:t>
            </w:r>
            <w:r>
              <w:rPr>
                <w:rFonts w:cs="Times New Roman"/>
                <w:kern w:val="0"/>
                <w:u w:val="single"/>
              </w:rPr>
              <w:t>0.095km</w:t>
            </w:r>
            <w:r>
              <w:rPr>
                <w:rFonts w:cs="Times New Roman"/>
                <w:kern w:val="0"/>
                <w:u w:val="single"/>
                <w:vertAlign w:val="superscript"/>
              </w:rPr>
              <w:t>2</w:t>
            </w:r>
            <w:r>
              <w:rPr>
                <w:rFonts w:hint="eastAsia" w:cs="Times New Roman"/>
                <w:u w:val="single"/>
              </w:rPr>
              <w:t>）</w:t>
            </w:r>
            <w:r>
              <w:rPr>
                <w:rFonts w:hint="eastAsia" w:ascii="宋体" w:cs="宋体"/>
                <w:kern w:val="0"/>
                <w:u w:val="single"/>
              </w:rPr>
              <w:t>。</w:t>
            </w:r>
          </w:p>
        </w:tc>
        <w:tc>
          <w:tcPr>
            <w:tcW w:w="2837" w:type="dxa"/>
            <w:vAlign w:val="center"/>
          </w:tcPr>
          <w:p>
            <w:pPr>
              <w:pStyle w:val="39"/>
              <w:rPr>
                <w:rFonts w:cs="Times New Roman"/>
                <w:u w:val="single"/>
              </w:rPr>
            </w:pPr>
            <w:r>
              <w:rPr>
                <w:rFonts w:cs="Times New Roman"/>
                <w:u w:val="single"/>
              </w:rPr>
              <w:t>本项目</w:t>
            </w:r>
            <w:r>
              <w:rPr>
                <w:rFonts w:hint="eastAsia" w:cs="Times New Roman"/>
                <w:u w:val="single"/>
              </w:rPr>
              <w:t>位于</w:t>
            </w:r>
            <w:r>
              <w:rPr>
                <w:rFonts w:cs="Times New Roman"/>
                <w:u w:val="single"/>
              </w:rPr>
              <w:t>台源镇</w:t>
            </w:r>
            <w:r>
              <w:rPr>
                <w:rFonts w:hint="eastAsia" w:cs="Times New Roman"/>
                <w:u w:val="single"/>
              </w:rPr>
              <w:t>镇区</w:t>
            </w:r>
            <w:r>
              <w:rPr>
                <w:rFonts w:cs="Times New Roman"/>
                <w:u w:val="single"/>
              </w:rPr>
              <w:t>的西北侧，不属于一</w:t>
            </w:r>
            <w:r>
              <w:rPr>
                <w:rFonts w:hint="eastAsia" w:cs="Times New Roman"/>
                <w:u w:val="single"/>
              </w:rPr>
              <w:t>、</w:t>
            </w:r>
            <w:r>
              <w:rPr>
                <w:rFonts w:cs="Times New Roman"/>
                <w:u w:val="single"/>
              </w:rPr>
              <w:t>二级饮用水源保护区禁养区陆域部分，</w:t>
            </w:r>
            <w:r>
              <w:rPr>
                <w:rFonts w:hint="eastAsia" w:cs="Times New Roman"/>
                <w:u w:val="single"/>
              </w:rPr>
              <w:t>距离台源镇</w:t>
            </w:r>
            <w:r>
              <w:rPr>
                <w:rFonts w:cs="Times New Roman"/>
                <w:u w:val="single"/>
              </w:rPr>
              <w:t>蒸水河</w:t>
            </w:r>
            <w:r>
              <w:rPr>
                <w:rFonts w:hint="eastAsia" w:cs="Times New Roman"/>
                <w:u w:val="single"/>
              </w:rPr>
              <w:t>饮用水</w:t>
            </w:r>
            <w:r>
              <w:rPr>
                <w:rFonts w:cs="Times New Roman"/>
                <w:u w:val="single"/>
              </w:rPr>
              <w:t>水源</w:t>
            </w:r>
            <w:r>
              <w:rPr>
                <w:rFonts w:hint="eastAsia" w:cs="Times New Roman"/>
                <w:u w:val="single"/>
              </w:rPr>
              <w:t>保护区最近</w:t>
            </w:r>
            <w:r>
              <w:rPr>
                <w:rFonts w:cs="Times New Roman"/>
                <w:u w:val="single"/>
              </w:rPr>
              <w:t>直线距离约</w:t>
            </w:r>
            <w:r>
              <w:rPr>
                <w:rFonts w:hint="eastAsia" w:cs="Times New Roman"/>
                <w:u w:val="single"/>
              </w:rPr>
              <w:t>2.3</w:t>
            </w:r>
            <w:r>
              <w:rPr>
                <w:rFonts w:cs="Times New Roman"/>
                <w:u w:val="single"/>
              </w:rPr>
              <w:t>km。</w:t>
            </w:r>
          </w:p>
        </w:tc>
        <w:tc>
          <w:tcPr>
            <w:tcW w:w="983" w:type="dxa"/>
            <w:vAlign w:val="center"/>
          </w:tcPr>
          <w:p>
            <w:pPr>
              <w:pStyle w:val="39"/>
              <w:rPr>
                <w:rFonts w:cs="Times New Roman"/>
                <w:u w:val="single"/>
              </w:rPr>
            </w:pPr>
            <w:r>
              <w:rPr>
                <w:rFonts w:cs="Times New Roman"/>
                <w:u w:val="singl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73" w:type="dxa"/>
            <w:gridSpan w:val="3"/>
            <w:vAlign w:val="center"/>
          </w:tcPr>
          <w:p>
            <w:pPr>
              <w:pStyle w:val="39"/>
              <w:jc w:val="left"/>
              <w:rPr>
                <w:rFonts w:cs="Times New Roman"/>
                <w:u w:val="single"/>
              </w:rPr>
            </w:pPr>
            <w:r>
              <w:rPr>
                <w:rFonts w:cs="Times New Roman"/>
                <w:u w:val="single"/>
              </w:rPr>
              <w:t>二、</w:t>
            </w:r>
            <w:r>
              <w:rPr>
                <w:rFonts w:hint="eastAsia" w:cs="Times New Roman"/>
                <w:u w:val="single"/>
              </w:rPr>
              <w:t>衡阳县台源镇城镇居民区禁养区（J35）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53" w:type="dxa"/>
            <w:vAlign w:val="center"/>
          </w:tcPr>
          <w:p>
            <w:pPr>
              <w:pStyle w:val="39"/>
              <w:jc w:val="left"/>
              <w:rPr>
                <w:rFonts w:cs="Times New Roman"/>
                <w:u w:val="single"/>
              </w:rPr>
            </w:pPr>
            <w:r>
              <w:rPr>
                <w:rFonts w:hint="eastAsia" w:cs="Times New Roman"/>
                <w:u w:val="single"/>
              </w:rPr>
              <w:t>以衡阳县台源镇城镇建成区及规划区禁止建设区域为边界划定为畜禽养殖一级禁养区，禁止建设养殖场。</w:t>
            </w:r>
          </w:p>
          <w:p>
            <w:pPr>
              <w:pStyle w:val="39"/>
              <w:jc w:val="left"/>
              <w:rPr>
                <w:rStyle w:val="64"/>
                <w:rFonts w:hint="eastAsia" w:cs="Times New Roman"/>
                <w:u w:val="single"/>
                <w:shd w:val="clear" w:color="auto" w:fill="FFFFFF"/>
              </w:rPr>
            </w:pPr>
            <w:r>
              <w:rPr>
                <w:rFonts w:hint="eastAsia" w:ascii="宋体" w:cs="宋体"/>
                <w:kern w:val="0"/>
                <w:u w:val="single"/>
              </w:rPr>
              <w:t>台源镇城镇建成区及规划区禁止建设区域（</w:t>
            </w:r>
            <w:r>
              <w:rPr>
                <w:rFonts w:cs="Times New Roman"/>
                <w:kern w:val="0"/>
                <w:u w:val="single"/>
              </w:rPr>
              <w:t>0.633 km</w:t>
            </w:r>
            <w:r>
              <w:rPr>
                <w:rFonts w:cs="Times New Roman"/>
                <w:kern w:val="0"/>
                <w:u w:val="single"/>
                <w:vertAlign w:val="superscript"/>
              </w:rPr>
              <w:t>2</w:t>
            </w:r>
            <w:r>
              <w:rPr>
                <w:rFonts w:hint="eastAsia" w:ascii="宋体" w:cs="宋体"/>
                <w:kern w:val="0"/>
                <w:u w:val="single"/>
              </w:rPr>
              <w:t>）</w:t>
            </w:r>
          </w:p>
        </w:tc>
        <w:tc>
          <w:tcPr>
            <w:tcW w:w="2837" w:type="dxa"/>
            <w:vAlign w:val="center"/>
          </w:tcPr>
          <w:p>
            <w:pPr>
              <w:pStyle w:val="39"/>
              <w:rPr>
                <w:rFonts w:cs="Times New Roman"/>
                <w:u w:val="single"/>
              </w:rPr>
            </w:pPr>
            <w:r>
              <w:rPr>
                <w:rFonts w:cs="Times New Roman"/>
                <w:u w:val="single"/>
              </w:rPr>
              <w:t>本项目</w:t>
            </w:r>
            <w:r>
              <w:rPr>
                <w:rFonts w:hint="eastAsia" w:cs="Times New Roman"/>
                <w:u w:val="single"/>
              </w:rPr>
              <w:t>位于</w:t>
            </w:r>
            <w:r>
              <w:rPr>
                <w:rFonts w:cs="Times New Roman"/>
                <w:u w:val="single"/>
              </w:rPr>
              <w:t>台源镇</w:t>
            </w:r>
            <w:r>
              <w:rPr>
                <w:rFonts w:hint="eastAsia" w:cs="Times New Roman"/>
                <w:u w:val="single"/>
              </w:rPr>
              <w:t>镇区</w:t>
            </w:r>
            <w:r>
              <w:rPr>
                <w:rFonts w:cs="Times New Roman"/>
                <w:u w:val="single"/>
              </w:rPr>
              <w:t>的西北侧</w:t>
            </w:r>
            <w:r>
              <w:rPr>
                <w:rFonts w:hint="eastAsia" w:cs="Times New Roman"/>
                <w:u w:val="single"/>
              </w:rPr>
              <w:t>，</w:t>
            </w:r>
            <w:r>
              <w:rPr>
                <w:rFonts w:cs="Times New Roman"/>
                <w:u w:val="single"/>
              </w:rPr>
              <w:t>距离</w:t>
            </w:r>
            <w:r>
              <w:rPr>
                <w:rFonts w:hint="eastAsia" w:cs="Times New Roman"/>
                <w:u w:val="single"/>
                <w:shd w:val="clear" w:color="auto" w:fill="FFFFFF"/>
              </w:rPr>
              <w:t>台源镇建成区</w:t>
            </w:r>
            <w:r>
              <w:rPr>
                <w:rFonts w:cs="Times New Roman"/>
                <w:u w:val="single"/>
                <w:shd w:val="clear" w:color="auto" w:fill="FFFFFF"/>
              </w:rPr>
              <w:t>边界</w:t>
            </w:r>
            <w:r>
              <w:rPr>
                <w:rFonts w:hint="eastAsia" w:cs="Times New Roman"/>
                <w:u w:val="single"/>
                <w:shd w:val="clear" w:color="auto" w:fill="FFFFFF"/>
              </w:rPr>
              <w:t>最近</w:t>
            </w:r>
            <w:r>
              <w:rPr>
                <w:rFonts w:cs="Times New Roman"/>
                <w:u w:val="single"/>
                <w:shd w:val="clear" w:color="auto" w:fill="FFFFFF"/>
              </w:rPr>
              <w:t>直线</w:t>
            </w:r>
            <w:r>
              <w:rPr>
                <w:rFonts w:hint="eastAsia" w:cs="Times New Roman"/>
                <w:u w:val="single"/>
                <w:shd w:val="clear" w:color="auto" w:fill="FFFFFF"/>
              </w:rPr>
              <w:t>距离</w:t>
            </w:r>
            <w:r>
              <w:rPr>
                <w:rFonts w:cs="Times New Roman"/>
                <w:u w:val="single"/>
                <w:shd w:val="clear" w:color="auto" w:fill="FFFFFF"/>
              </w:rPr>
              <w:t>约2km，不属于禁养区</w:t>
            </w:r>
          </w:p>
        </w:tc>
        <w:tc>
          <w:tcPr>
            <w:tcW w:w="983" w:type="dxa"/>
            <w:vAlign w:val="center"/>
          </w:tcPr>
          <w:p>
            <w:pPr>
              <w:pStyle w:val="39"/>
              <w:rPr>
                <w:rFonts w:cs="Times New Roman"/>
                <w:u w:val="single"/>
              </w:rPr>
            </w:pPr>
            <w:r>
              <w:rPr>
                <w:rFonts w:cs="Times New Roman"/>
                <w:u w:val="single"/>
              </w:rPr>
              <w:t>符合</w:t>
            </w:r>
          </w:p>
        </w:tc>
      </w:tr>
    </w:tbl>
    <w:p>
      <w:pPr>
        <w:pStyle w:val="3"/>
        <w:ind w:firstLine="480"/>
        <w:rPr>
          <w:rFonts w:cs="Times New Roman"/>
          <w:u w:val="single"/>
        </w:rPr>
      </w:pPr>
    </w:p>
    <w:p>
      <w:pPr>
        <w:pStyle w:val="3"/>
        <w:ind w:firstLine="480"/>
        <w:rPr>
          <w:rFonts w:hint="eastAsia"/>
          <w:u w:val="single"/>
        </w:rPr>
      </w:pPr>
      <w:r>
        <w:rPr>
          <w:rFonts w:cs="Times New Roman"/>
          <w:u w:val="single"/>
        </w:rPr>
        <w:t>本项目属于新建项目，根据工程分析，项目废气可做到达标排放，废水、固废得到有效控制，项目选址不属于《</w:t>
      </w:r>
      <w:r>
        <w:rPr>
          <w:rFonts w:hint="eastAsia" w:cs="Times New Roman"/>
          <w:u w:val="single"/>
        </w:rPr>
        <w:t>衡阳县畜禽养殖禁养区划定技术方案</w:t>
      </w:r>
      <w:r>
        <w:rPr>
          <w:rFonts w:cs="Times New Roman"/>
          <w:u w:val="single"/>
        </w:rPr>
        <w:t>》（</w:t>
      </w:r>
      <w:r>
        <w:rPr>
          <w:rFonts w:hint="eastAsia" w:cs="Times New Roman"/>
          <w:u w:val="single"/>
        </w:rPr>
        <w:t>正式稿</w:t>
      </w:r>
      <w:r>
        <w:rPr>
          <w:rFonts w:cs="Times New Roman"/>
          <w:u w:val="single"/>
        </w:rPr>
        <w:t>）的一级禁养区、二级禁养区，属于《</w:t>
      </w:r>
      <w:r>
        <w:rPr>
          <w:rFonts w:hint="eastAsia" w:cs="Times New Roman"/>
          <w:u w:val="single"/>
        </w:rPr>
        <w:t>衡阳县畜禽养殖禁养区划定技术方案</w:t>
      </w:r>
      <w:r>
        <w:rPr>
          <w:rFonts w:cs="Times New Roman"/>
          <w:u w:val="single"/>
        </w:rPr>
        <w:t>》（</w:t>
      </w:r>
      <w:r>
        <w:rPr>
          <w:rFonts w:hint="eastAsia" w:cs="Times New Roman"/>
          <w:u w:val="single"/>
        </w:rPr>
        <w:t>正式稿</w:t>
      </w:r>
      <w:r>
        <w:rPr>
          <w:rFonts w:cs="Times New Roman"/>
          <w:u w:val="single"/>
        </w:rPr>
        <w:t>）的适养区。</w:t>
      </w:r>
    </w:p>
    <w:p>
      <w:pPr>
        <w:pStyle w:val="6"/>
        <w:rPr>
          <w:rFonts w:cs="Times New Roman"/>
        </w:rPr>
      </w:pPr>
      <w:bookmarkStart w:id="53" w:name="_Toc9517"/>
      <w:r>
        <w:rPr>
          <w:rFonts w:cs="Times New Roman"/>
        </w:rPr>
        <w:t>选址合理性分析</w:t>
      </w:r>
      <w:bookmarkEnd w:id="53"/>
    </w:p>
    <w:p>
      <w:pPr>
        <w:pStyle w:val="3"/>
        <w:ind w:firstLine="480"/>
        <w:rPr>
          <w:rFonts w:cs="Times New Roman"/>
          <w:u w:val="single"/>
        </w:rPr>
      </w:pPr>
      <w:r>
        <w:rPr>
          <w:rFonts w:cs="Times New Roman"/>
          <w:u w:val="single"/>
          <w:lang w:val="zh-CN"/>
        </w:rPr>
        <w:t>（</w:t>
      </w:r>
      <w:r>
        <w:rPr>
          <w:rFonts w:cs="Times New Roman"/>
          <w:u w:val="single"/>
        </w:rPr>
        <w:t>1</w:t>
      </w:r>
      <w:r>
        <w:rPr>
          <w:rFonts w:cs="Times New Roman"/>
          <w:u w:val="single"/>
          <w:lang w:val="zh-CN"/>
        </w:rPr>
        <w:t>）</w:t>
      </w:r>
      <w:r>
        <w:rPr>
          <w:rFonts w:cs="Times New Roman"/>
          <w:u w:val="single"/>
        </w:rPr>
        <w:t>项目选址合理性分析</w:t>
      </w:r>
    </w:p>
    <w:p>
      <w:pPr>
        <w:pStyle w:val="3"/>
        <w:ind w:firstLine="480"/>
        <w:rPr>
          <w:rFonts w:cs="Times New Roman"/>
          <w:u w:val="single"/>
          <w:lang w:val="zh-CN"/>
        </w:rPr>
      </w:pPr>
      <w:r>
        <w:rPr>
          <w:rFonts w:cs="Times New Roman"/>
          <w:u w:val="single"/>
          <w:lang w:val="zh-CN"/>
        </w:rPr>
        <w:t>项目场址区域交通便利，有乡村道路到达场区，平时其它车辆较少。因此，在保证安全的前提下为原材料购入，产品销售具备极好的运输条件。从项目拟建地环境现状监测情况可知，本项目所在区域环境空气、地表水环境、地下水环境、声环境就及土壤环境均符合相应的国家标准要求，说明区域环境内尚有一定的环境容量，能满足环境功能区划要求；同时，厂址周围水、电等公共设施齐全，有利于项目的建设及达到防疫条件要求；</w:t>
      </w:r>
      <w:r>
        <w:rPr>
          <w:rFonts w:hint="eastAsia" w:cs="Times New Roman"/>
          <w:u w:val="single"/>
          <w:lang w:val="zh-CN"/>
        </w:rPr>
        <w:t>待建设单位与卫生防护距离内的居民住户签订房屋租赁协议后</w:t>
      </w:r>
      <w:r>
        <w:rPr>
          <w:rFonts w:cs="Times New Roman"/>
          <w:u w:val="single"/>
          <w:lang w:val="zh-CN"/>
        </w:rPr>
        <w:t>，</w:t>
      </w:r>
      <w:r>
        <w:rPr>
          <w:rFonts w:hint="eastAsia" w:cs="Times New Roman"/>
          <w:u w:val="single"/>
          <w:lang w:val="zh-CN"/>
        </w:rPr>
        <w:t>可以</w:t>
      </w:r>
      <w:r>
        <w:rPr>
          <w:rFonts w:cs="Times New Roman"/>
          <w:u w:val="single"/>
          <w:lang w:val="zh-CN"/>
        </w:rPr>
        <w:t>满足本项目卫生防护距离要求。项目建设后，</w:t>
      </w:r>
      <w:r>
        <w:rPr>
          <w:rFonts w:hint="eastAsia" w:cs="Times New Roman"/>
          <w:u w:val="single"/>
          <w:lang w:val="zh-CN"/>
        </w:rPr>
        <w:t>鸡粪</w:t>
      </w:r>
      <w:r>
        <w:rPr>
          <w:rFonts w:hint="eastAsia" w:cs="Times New Roman"/>
          <w:u w:val="single"/>
        </w:rPr>
        <w:t>通过干燥机直接干燥为有机肥，避免鸡粪堆存发酵产生恶臭造成二次污染，同时</w:t>
      </w:r>
      <w:r>
        <w:rPr>
          <w:rFonts w:cs="Times New Roman"/>
          <w:u w:val="single"/>
        </w:rPr>
        <w:t>加强场区绿化、合理布局、消减污染源等措施后本项目养鸡场恶臭气体可以达到《恶臭污染物排放标准》）（GB14554-93）中的二级标准；</w:t>
      </w:r>
      <w:r>
        <w:rPr>
          <w:rFonts w:hint="eastAsia" w:cs="Times New Roman"/>
          <w:u w:val="single"/>
        </w:rPr>
        <w:t>鸡舍冲洗</w:t>
      </w:r>
      <w:r>
        <w:rPr>
          <w:rFonts w:cs="Times New Roman"/>
          <w:u w:val="single"/>
        </w:rPr>
        <w:t>废水和生活污水经</w:t>
      </w:r>
      <w:r>
        <w:rPr>
          <w:rFonts w:hint="eastAsia" w:cs="Times New Roman"/>
          <w:u w:val="single"/>
        </w:rPr>
        <w:t>化粪池处理后用作农肥</w:t>
      </w:r>
      <w:r>
        <w:rPr>
          <w:rFonts w:cs="Times New Roman"/>
          <w:u w:val="single"/>
        </w:rPr>
        <w:t>，不外排；厂区</w:t>
      </w:r>
      <w:r>
        <w:rPr>
          <w:rFonts w:cs="Times New Roman"/>
          <w:u w:val="single"/>
          <w:lang w:val="zh-CN"/>
        </w:rPr>
        <w:t>噪声</w:t>
      </w:r>
      <w:r>
        <w:rPr>
          <w:rFonts w:cs="Times New Roman"/>
          <w:u w:val="single"/>
        </w:rPr>
        <w:t>通过对设备采取隔声、吸声、消声等措施，</w:t>
      </w:r>
      <w:r>
        <w:rPr>
          <w:rFonts w:cs="Times New Roman"/>
          <w:u w:val="single"/>
          <w:lang w:val="zh-CN"/>
        </w:rPr>
        <w:t>项目厂界昼夜噪声值均满足《工业企业厂界环境噪声排放标准》（GB12348-2008）中</w:t>
      </w:r>
      <w:r>
        <w:rPr>
          <w:rFonts w:cs="Times New Roman"/>
          <w:u w:val="single"/>
        </w:rPr>
        <w:t>2类</w:t>
      </w:r>
      <w:r>
        <w:rPr>
          <w:rFonts w:cs="Times New Roman"/>
          <w:u w:val="single"/>
          <w:lang w:val="zh-CN"/>
        </w:rPr>
        <w:t>标准限值；</w:t>
      </w:r>
      <w:r>
        <w:rPr>
          <w:rFonts w:hint="eastAsia" w:cs="Times New Roman"/>
          <w:u w:val="single"/>
          <w:lang w:val="zh-CN"/>
        </w:rPr>
        <w:t>鸡粪</w:t>
      </w:r>
      <w:r>
        <w:rPr>
          <w:rFonts w:hint="eastAsia" w:cs="Times New Roman"/>
          <w:u w:val="single"/>
        </w:rPr>
        <w:t>通过干燥机直接干燥为有机肥</w:t>
      </w:r>
      <w:r>
        <w:rPr>
          <w:rFonts w:cs="Times New Roman"/>
          <w:u w:val="single"/>
          <w:lang w:val="zh-CN"/>
        </w:rPr>
        <w:t>，</w:t>
      </w:r>
      <w:r>
        <w:rPr>
          <w:rFonts w:hint="eastAsia" w:cs="Times New Roman"/>
          <w:u w:val="single"/>
        </w:rPr>
        <w:t>病死鸡</w:t>
      </w:r>
      <w:r>
        <w:rPr>
          <w:rFonts w:hint="eastAsia" w:ascii="宋体" w:hAnsi="宋体" w:cs="宋体"/>
          <w:kern w:val="0"/>
          <w:szCs w:val="24"/>
          <w:u w:val="single"/>
        </w:rPr>
        <w:t>委托</w:t>
      </w:r>
      <w:r>
        <w:rPr>
          <w:rFonts w:ascii="宋体" w:hAnsi="宋体" w:cs="宋体"/>
          <w:kern w:val="0"/>
          <w:szCs w:val="24"/>
          <w:u w:val="single"/>
        </w:rPr>
        <w:t>衡阳县畜牧水产局统一</w:t>
      </w:r>
      <w:r>
        <w:rPr>
          <w:rFonts w:hint="eastAsia" w:ascii="宋体" w:hAnsi="宋体" w:cs="宋体"/>
          <w:kern w:val="0"/>
          <w:szCs w:val="24"/>
          <w:u w:val="single"/>
        </w:rPr>
        <w:t>收集，再</w:t>
      </w:r>
      <w:r>
        <w:rPr>
          <w:rFonts w:ascii="宋体" w:hAnsi="宋体" w:cs="宋体"/>
          <w:kern w:val="0"/>
          <w:szCs w:val="24"/>
          <w:u w:val="single"/>
        </w:rPr>
        <w:t>运至衡阳</w:t>
      </w:r>
      <w:r>
        <w:rPr>
          <w:rFonts w:hint="eastAsia" w:ascii="宋体" w:hAnsi="宋体" w:cs="宋体"/>
          <w:kern w:val="0"/>
          <w:szCs w:val="24"/>
          <w:u w:val="single"/>
        </w:rPr>
        <w:t>市</w:t>
      </w:r>
      <w:r>
        <w:rPr>
          <w:rFonts w:ascii="宋体" w:hAnsi="宋体" w:cs="宋体"/>
          <w:kern w:val="0"/>
          <w:szCs w:val="24"/>
          <w:u w:val="single"/>
        </w:rPr>
        <w:t>禾和</w:t>
      </w:r>
      <w:r>
        <w:rPr>
          <w:rFonts w:hint="eastAsia" w:ascii="宋体" w:hAnsi="宋体" w:cs="宋体"/>
          <w:kern w:val="0"/>
          <w:szCs w:val="24"/>
          <w:u w:val="single"/>
        </w:rPr>
        <w:t>动物无害化处理有限</w:t>
      </w:r>
      <w:r>
        <w:rPr>
          <w:rFonts w:ascii="宋体" w:hAnsi="宋体" w:cs="宋体"/>
          <w:kern w:val="0"/>
          <w:szCs w:val="24"/>
          <w:u w:val="single"/>
        </w:rPr>
        <w:t>公司无害化处置</w:t>
      </w:r>
      <w:r>
        <w:rPr>
          <w:rFonts w:cs="Times New Roman"/>
          <w:bCs/>
          <w:u w:val="single"/>
        </w:rPr>
        <w:t>，符合</w:t>
      </w:r>
      <w:r>
        <w:rPr>
          <w:rFonts w:cs="Times New Roman"/>
          <w:u w:val="single"/>
          <w:lang w:val="zh-CN"/>
        </w:rPr>
        <w:t>《病死动物无害化处理技术规范》（农医发[2013]34号）的有关规定</w:t>
      </w:r>
      <w:r>
        <w:rPr>
          <w:rFonts w:cs="Times New Roman"/>
          <w:bCs/>
          <w:u w:val="single"/>
        </w:rPr>
        <w:t>，医疗废物按危险废物管理有关规定送至有资质的单位进行无害化处理；生活垃圾经统一收集后由管理人员运至村垃圾堆放点，由环卫部门处理，</w:t>
      </w:r>
      <w:r>
        <w:rPr>
          <w:rFonts w:cs="Times New Roman"/>
          <w:kern w:val="0"/>
          <w:u w:val="single"/>
          <w:lang w:val="zh-CN"/>
        </w:rPr>
        <w:t>项目产生的固体废弃物均得到妥善及有效的处理处置，项目营运期各污染物经采取措施后，可达到相关标准，对周边环境影响较小</w:t>
      </w:r>
      <w:r>
        <w:rPr>
          <w:rFonts w:cs="Times New Roman"/>
          <w:u w:val="single"/>
          <w:lang w:val="zh-CN"/>
        </w:rPr>
        <w:t>。</w:t>
      </w:r>
    </w:p>
    <w:p>
      <w:pPr>
        <w:pStyle w:val="3"/>
        <w:ind w:firstLine="480"/>
        <w:rPr>
          <w:rFonts w:hint="eastAsia" w:cs="Times New Roman"/>
          <w:u w:val="single"/>
          <w:lang w:val="zh-CN"/>
        </w:rPr>
      </w:pPr>
      <w:r>
        <w:rPr>
          <w:rFonts w:hint="eastAsia" w:cs="Times New Roman"/>
          <w:u w:val="single"/>
          <w:lang w:val="zh-CN"/>
        </w:rPr>
        <w:t>衡阳县全年</w:t>
      </w:r>
      <w:r>
        <w:rPr>
          <w:rFonts w:cs="Times New Roman"/>
          <w:u w:val="single"/>
          <w:lang w:val="zh-CN"/>
        </w:rPr>
        <w:t>主导风向为东北风，本项目位于台源镇镇区西北方向，属于侧风向，同时由于距离</w:t>
      </w:r>
      <w:r>
        <w:rPr>
          <w:rFonts w:hint="eastAsia" w:cs="Times New Roman"/>
          <w:u w:val="single"/>
          <w:lang w:val="zh-CN"/>
        </w:rPr>
        <w:t>镇区</w:t>
      </w:r>
      <w:r>
        <w:rPr>
          <w:rFonts w:cs="Times New Roman"/>
          <w:u w:val="single"/>
          <w:lang w:val="zh-CN"/>
        </w:rPr>
        <w:t>约</w:t>
      </w:r>
      <w:r>
        <w:rPr>
          <w:rFonts w:hint="eastAsia" w:cs="Times New Roman"/>
          <w:u w:val="single"/>
          <w:lang w:val="zh-CN"/>
        </w:rPr>
        <w:t>2</w:t>
      </w:r>
      <w:r>
        <w:rPr>
          <w:rFonts w:cs="Times New Roman"/>
          <w:u w:val="single"/>
          <w:lang w:val="zh-CN"/>
        </w:rPr>
        <w:t>km</w:t>
      </w:r>
      <w:r>
        <w:rPr>
          <w:rFonts w:hint="eastAsia" w:cs="Times New Roman"/>
          <w:u w:val="single"/>
          <w:lang w:val="zh-CN"/>
        </w:rPr>
        <w:t>，</w:t>
      </w:r>
      <w:r>
        <w:rPr>
          <w:rFonts w:cs="Times New Roman"/>
          <w:u w:val="single"/>
          <w:lang w:val="zh-CN"/>
        </w:rPr>
        <w:t>项目长沙的恶臭污染对台源镇镇区影响较小。</w:t>
      </w:r>
    </w:p>
    <w:p>
      <w:pPr>
        <w:pStyle w:val="3"/>
        <w:ind w:firstLine="480"/>
        <w:rPr>
          <w:rFonts w:cs="Times New Roman"/>
          <w:u w:val="single"/>
        </w:rPr>
      </w:pPr>
      <w:r>
        <w:rPr>
          <w:rFonts w:cs="Times New Roman"/>
          <w:u w:val="single"/>
        </w:rPr>
        <w:t>（2）与国家行业规范要求的选址符合性分析</w:t>
      </w:r>
    </w:p>
    <w:p>
      <w:pPr>
        <w:pStyle w:val="3"/>
        <w:ind w:firstLine="480"/>
        <w:rPr>
          <w:rFonts w:cs="Times New Roman"/>
          <w:u w:val="single"/>
        </w:rPr>
      </w:pPr>
      <w:r>
        <w:rPr>
          <w:rFonts w:cs="Times New Roman"/>
          <w:u w:val="single"/>
        </w:rPr>
        <w:t>根据《畜禽规模养殖污染防治条例》、《畜禽养殖污染防治管理办法》及《畜禽养殖业污染防治技术规范》（HJ/T81-2001）等国家法律及行业规范中对畜禽养殖场场址选择的相关要求，对本项目选址符合性分析如下：</w:t>
      </w:r>
    </w:p>
    <w:p>
      <w:pPr>
        <w:pStyle w:val="15"/>
        <w:rPr>
          <w:rFonts w:cs="Times New Roman"/>
          <w:u w:val="single"/>
          <w:lang w:val="zh-CN"/>
        </w:rPr>
      </w:pPr>
      <w:r>
        <w:rPr>
          <w:rFonts w:cs="Times New Roman"/>
          <w:u w:val="single"/>
          <w:lang w:val="zh-CN"/>
        </w:rPr>
        <w:t>表</w:t>
      </w:r>
      <w:r>
        <w:rPr>
          <w:rFonts w:cs="Times New Roman"/>
          <w:u w:val="single"/>
        </w:rPr>
        <w:t>8</w:t>
      </w:r>
      <w:r>
        <w:rPr>
          <w:rFonts w:cs="Times New Roman"/>
          <w:u w:val="single"/>
          <w:lang w:val="zh-CN"/>
        </w:rPr>
        <w:t>.3-</w:t>
      </w:r>
      <w:r>
        <w:rPr>
          <w:rFonts w:cs="Times New Roman"/>
          <w:u w:val="single"/>
        </w:rPr>
        <w:t>5</w:t>
      </w:r>
      <w:r>
        <w:rPr>
          <w:rFonts w:cs="Times New Roman"/>
          <w:u w:val="single"/>
          <w:lang w:val="zh-CN"/>
        </w:rPr>
        <w:t xml:space="preserve">  国家及行业规范要求的选址符合性分析一览表</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4"/>
        <w:gridCol w:w="5682"/>
        <w:gridCol w:w="1161"/>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25" w:type="pct"/>
            <w:vAlign w:val="center"/>
          </w:tcPr>
          <w:p>
            <w:pPr>
              <w:pStyle w:val="39"/>
              <w:rPr>
                <w:rFonts w:cs="Times New Roman"/>
                <w:u w:val="single"/>
              </w:rPr>
            </w:pPr>
            <w:r>
              <w:rPr>
                <w:rFonts w:cs="Times New Roman"/>
                <w:u w:val="single"/>
              </w:rPr>
              <w:t>文件名称</w:t>
            </w:r>
          </w:p>
        </w:tc>
        <w:tc>
          <w:tcPr>
            <w:tcW w:w="3097" w:type="pct"/>
            <w:vAlign w:val="center"/>
          </w:tcPr>
          <w:p>
            <w:pPr>
              <w:pStyle w:val="39"/>
              <w:rPr>
                <w:rFonts w:cs="Times New Roman"/>
                <w:u w:val="single"/>
              </w:rPr>
            </w:pPr>
            <w:r>
              <w:rPr>
                <w:rFonts w:cs="Times New Roman"/>
                <w:u w:val="single"/>
              </w:rPr>
              <w:t>文件要求</w:t>
            </w:r>
          </w:p>
        </w:tc>
        <w:tc>
          <w:tcPr>
            <w:tcW w:w="633" w:type="pct"/>
            <w:vAlign w:val="center"/>
          </w:tcPr>
          <w:p>
            <w:pPr>
              <w:pStyle w:val="39"/>
              <w:rPr>
                <w:rFonts w:cs="Times New Roman"/>
                <w:u w:val="single"/>
              </w:rPr>
            </w:pPr>
            <w:r>
              <w:rPr>
                <w:rFonts w:cs="Times New Roman"/>
                <w:u w:val="single"/>
              </w:rPr>
              <w:t>本项目情况</w:t>
            </w:r>
          </w:p>
        </w:tc>
        <w:tc>
          <w:tcPr>
            <w:tcW w:w="445" w:type="pct"/>
            <w:vAlign w:val="center"/>
          </w:tcPr>
          <w:p>
            <w:pPr>
              <w:pStyle w:val="39"/>
              <w:rPr>
                <w:rFonts w:cs="Times New Roman"/>
                <w:u w:val="single"/>
              </w:rPr>
            </w:pPr>
            <w:r>
              <w:rPr>
                <w:rFonts w:cs="Times New Roman"/>
                <w:u w:val="single"/>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25" w:type="pct"/>
            <w:vAlign w:val="center"/>
          </w:tcPr>
          <w:p>
            <w:pPr>
              <w:pStyle w:val="39"/>
              <w:rPr>
                <w:rFonts w:cs="Times New Roman"/>
                <w:u w:val="single"/>
              </w:rPr>
            </w:pPr>
            <w:r>
              <w:rPr>
                <w:rFonts w:cs="Times New Roman"/>
                <w:u w:val="single"/>
              </w:rPr>
              <w:t>《畜禽规模养殖污染防治条例》</w:t>
            </w:r>
          </w:p>
        </w:tc>
        <w:tc>
          <w:tcPr>
            <w:tcW w:w="3097" w:type="pct"/>
            <w:vAlign w:val="center"/>
          </w:tcPr>
          <w:p>
            <w:pPr>
              <w:pStyle w:val="39"/>
              <w:jc w:val="left"/>
              <w:rPr>
                <w:rFonts w:cs="Times New Roman"/>
                <w:u w:val="single"/>
              </w:rPr>
            </w:pPr>
            <w:r>
              <w:rPr>
                <w:rFonts w:cs="Times New Roman"/>
                <w:u w:val="single"/>
              </w:rPr>
              <w:t xml:space="preserve">禁止在下列区域内建设畜禽养殖场、养殖小区： </w:t>
            </w:r>
          </w:p>
          <w:p>
            <w:pPr>
              <w:pStyle w:val="39"/>
              <w:jc w:val="left"/>
              <w:rPr>
                <w:rFonts w:cs="Times New Roman"/>
                <w:u w:val="single"/>
              </w:rPr>
            </w:pPr>
            <w:r>
              <w:rPr>
                <w:rFonts w:hint="eastAsia" w:ascii="宋体" w:hAnsi="宋体" w:cs="宋体"/>
                <w:u w:val="single"/>
              </w:rPr>
              <w:t>①</w:t>
            </w:r>
            <w:r>
              <w:rPr>
                <w:rFonts w:cs="Times New Roman"/>
                <w:u w:val="single"/>
              </w:rPr>
              <w:t xml:space="preserve">饮用水水源保护区、风景名胜区； </w:t>
            </w:r>
          </w:p>
          <w:p>
            <w:pPr>
              <w:pStyle w:val="39"/>
              <w:jc w:val="left"/>
              <w:rPr>
                <w:rFonts w:cs="Times New Roman"/>
                <w:u w:val="single"/>
              </w:rPr>
            </w:pPr>
            <w:r>
              <w:rPr>
                <w:rFonts w:hint="eastAsia" w:ascii="宋体" w:hAnsi="宋体" w:cs="宋体"/>
                <w:u w:val="single"/>
              </w:rPr>
              <w:t>②</w:t>
            </w:r>
            <w:r>
              <w:rPr>
                <w:rFonts w:cs="Times New Roman"/>
                <w:u w:val="single"/>
              </w:rPr>
              <w:t xml:space="preserve">自然保护区的核心区和缓冲区； </w:t>
            </w:r>
          </w:p>
          <w:p>
            <w:pPr>
              <w:pStyle w:val="39"/>
              <w:jc w:val="left"/>
              <w:rPr>
                <w:rFonts w:cs="Times New Roman"/>
                <w:u w:val="single"/>
              </w:rPr>
            </w:pPr>
            <w:r>
              <w:rPr>
                <w:rFonts w:hint="eastAsia" w:ascii="宋体" w:hAnsi="宋体" w:cs="宋体"/>
                <w:u w:val="single"/>
              </w:rPr>
              <w:t>③</w:t>
            </w:r>
            <w:r>
              <w:rPr>
                <w:rFonts w:cs="Times New Roman"/>
                <w:u w:val="single"/>
              </w:rPr>
              <w:t>城镇居民区、文化教育科学研究区等人口集中地区域；</w:t>
            </w:r>
          </w:p>
          <w:p>
            <w:pPr>
              <w:pStyle w:val="39"/>
              <w:jc w:val="left"/>
              <w:rPr>
                <w:rFonts w:cs="Times New Roman"/>
                <w:u w:val="single"/>
              </w:rPr>
            </w:pPr>
            <w:r>
              <w:rPr>
                <w:rFonts w:hint="eastAsia" w:ascii="宋体" w:hAnsi="宋体" w:cs="宋体"/>
                <w:u w:val="single"/>
              </w:rPr>
              <w:t>④</w:t>
            </w:r>
            <w:r>
              <w:rPr>
                <w:rFonts w:cs="Times New Roman"/>
                <w:u w:val="single"/>
              </w:rPr>
              <w:t>国家、法规规定的其它禁止养殖区域。</w:t>
            </w:r>
          </w:p>
        </w:tc>
        <w:tc>
          <w:tcPr>
            <w:tcW w:w="633" w:type="pct"/>
            <w:vAlign w:val="center"/>
          </w:tcPr>
          <w:p>
            <w:pPr>
              <w:pStyle w:val="39"/>
              <w:rPr>
                <w:rFonts w:cs="Times New Roman"/>
                <w:u w:val="single"/>
              </w:rPr>
            </w:pPr>
            <w:r>
              <w:rPr>
                <w:rFonts w:cs="Times New Roman"/>
                <w:u w:val="single"/>
              </w:rPr>
              <w:t>本项目不在以上禁止建设区域内</w:t>
            </w:r>
          </w:p>
        </w:tc>
        <w:tc>
          <w:tcPr>
            <w:tcW w:w="445" w:type="pct"/>
            <w:vAlign w:val="center"/>
          </w:tcPr>
          <w:p>
            <w:pPr>
              <w:pStyle w:val="39"/>
              <w:rPr>
                <w:rFonts w:cs="Times New Roman"/>
                <w:u w:val="single"/>
              </w:rPr>
            </w:pPr>
            <w:r>
              <w:rPr>
                <w:rFonts w:cs="Times New Roman"/>
                <w:u w:val="singl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25" w:type="pct"/>
            <w:vAlign w:val="center"/>
          </w:tcPr>
          <w:p>
            <w:pPr>
              <w:pStyle w:val="39"/>
              <w:rPr>
                <w:rFonts w:cs="Times New Roman"/>
                <w:u w:val="single"/>
              </w:rPr>
            </w:pPr>
            <w:r>
              <w:rPr>
                <w:rFonts w:cs="Times New Roman"/>
                <w:u w:val="single"/>
              </w:rPr>
              <w:t>《畜禽养殖污染防治管理办法》</w:t>
            </w:r>
          </w:p>
        </w:tc>
        <w:tc>
          <w:tcPr>
            <w:tcW w:w="3097" w:type="pct"/>
            <w:vAlign w:val="center"/>
          </w:tcPr>
          <w:p>
            <w:pPr>
              <w:pStyle w:val="39"/>
              <w:jc w:val="left"/>
              <w:rPr>
                <w:rFonts w:cs="Times New Roman"/>
                <w:u w:val="single"/>
              </w:rPr>
            </w:pPr>
            <w:r>
              <w:rPr>
                <w:rFonts w:cs="Times New Roman"/>
                <w:u w:val="single"/>
              </w:rPr>
              <w:t xml:space="preserve">禁止在下列区域内建设畜禽养殖场： </w:t>
            </w:r>
          </w:p>
          <w:p>
            <w:pPr>
              <w:pStyle w:val="39"/>
              <w:jc w:val="left"/>
              <w:rPr>
                <w:rFonts w:cs="Times New Roman"/>
                <w:u w:val="single"/>
              </w:rPr>
            </w:pPr>
            <w:r>
              <w:rPr>
                <w:rFonts w:hint="eastAsia" w:ascii="宋体" w:hAnsi="宋体" w:cs="宋体"/>
                <w:u w:val="single"/>
              </w:rPr>
              <w:t>①</w:t>
            </w:r>
            <w:r>
              <w:rPr>
                <w:rFonts w:cs="Times New Roman"/>
                <w:u w:val="single"/>
              </w:rPr>
              <w:t>生活饮用水水源保护区、风景名胜区、自然保护区的核心区及缓冲区；</w:t>
            </w:r>
          </w:p>
          <w:p>
            <w:pPr>
              <w:pStyle w:val="39"/>
              <w:jc w:val="left"/>
              <w:rPr>
                <w:rFonts w:cs="Times New Roman"/>
                <w:u w:val="single"/>
              </w:rPr>
            </w:pPr>
            <w:r>
              <w:rPr>
                <w:rFonts w:hint="eastAsia" w:ascii="宋体" w:hAnsi="宋体" w:cs="宋体"/>
                <w:u w:val="single"/>
              </w:rPr>
              <w:t>②</w:t>
            </w:r>
            <w:r>
              <w:rPr>
                <w:rFonts w:cs="Times New Roman"/>
                <w:u w:val="single"/>
              </w:rPr>
              <w:t xml:space="preserve">城市和城镇居民区、文教科研区、医疗区等人口集中地区； </w:t>
            </w:r>
          </w:p>
          <w:p>
            <w:pPr>
              <w:pStyle w:val="39"/>
              <w:jc w:val="left"/>
              <w:rPr>
                <w:rFonts w:cs="Times New Roman"/>
                <w:u w:val="single"/>
              </w:rPr>
            </w:pPr>
            <w:r>
              <w:rPr>
                <w:rFonts w:hint="eastAsia" w:ascii="宋体" w:hAnsi="宋体" w:cs="宋体"/>
                <w:u w:val="single"/>
              </w:rPr>
              <w:t>③</w:t>
            </w:r>
            <w:r>
              <w:rPr>
                <w:rFonts w:cs="Times New Roman"/>
                <w:u w:val="single"/>
              </w:rPr>
              <w:t>县级人民政府依法划定的禁养区域；</w:t>
            </w:r>
          </w:p>
          <w:p>
            <w:pPr>
              <w:pStyle w:val="39"/>
              <w:jc w:val="left"/>
              <w:rPr>
                <w:rFonts w:cs="Times New Roman"/>
                <w:u w:val="single"/>
              </w:rPr>
            </w:pPr>
            <w:r>
              <w:rPr>
                <w:rFonts w:hint="eastAsia" w:ascii="宋体" w:hAnsi="宋体" w:cs="宋体"/>
                <w:u w:val="single"/>
              </w:rPr>
              <w:t>④</w:t>
            </w:r>
            <w:r>
              <w:rPr>
                <w:rFonts w:cs="Times New Roman"/>
                <w:u w:val="single"/>
              </w:rPr>
              <w:t>国家或地方法律、法规规定需特殊保护的其它区域。</w:t>
            </w:r>
          </w:p>
        </w:tc>
        <w:tc>
          <w:tcPr>
            <w:tcW w:w="633" w:type="pct"/>
            <w:vAlign w:val="center"/>
          </w:tcPr>
          <w:p>
            <w:pPr>
              <w:pStyle w:val="39"/>
              <w:rPr>
                <w:rFonts w:cs="Times New Roman"/>
                <w:u w:val="single"/>
              </w:rPr>
            </w:pPr>
            <w:r>
              <w:rPr>
                <w:rFonts w:cs="Times New Roman"/>
                <w:u w:val="single"/>
              </w:rPr>
              <w:t>本项目不在以上禁止建设区域内</w:t>
            </w:r>
          </w:p>
        </w:tc>
        <w:tc>
          <w:tcPr>
            <w:tcW w:w="445" w:type="pct"/>
            <w:vAlign w:val="center"/>
          </w:tcPr>
          <w:p>
            <w:pPr>
              <w:pStyle w:val="39"/>
              <w:rPr>
                <w:rFonts w:cs="Times New Roman"/>
                <w:u w:val="single"/>
              </w:rPr>
            </w:pPr>
            <w:r>
              <w:rPr>
                <w:rFonts w:cs="Times New Roman"/>
                <w:u w:val="singl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25" w:type="pct"/>
            <w:vMerge w:val="restart"/>
            <w:vAlign w:val="center"/>
          </w:tcPr>
          <w:p>
            <w:pPr>
              <w:pStyle w:val="39"/>
              <w:rPr>
                <w:rFonts w:cs="Times New Roman"/>
                <w:u w:val="single"/>
              </w:rPr>
            </w:pPr>
            <w:r>
              <w:rPr>
                <w:rFonts w:cs="Times New Roman"/>
                <w:u w:val="single"/>
              </w:rPr>
              <w:t xml:space="preserve">《畜禽养殖业污染防治技术规范》 </w:t>
            </w:r>
          </w:p>
        </w:tc>
        <w:tc>
          <w:tcPr>
            <w:tcW w:w="3097" w:type="pct"/>
            <w:vAlign w:val="center"/>
          </w:tcPr>
          <w:p>
            <w:pPr>
              <w:pStyle w:val="39"/>
              <w:jc w:val="left"/>
              <w:rPr>
                <w:rFonts w:cs="Times New Roman"/>
                <w:u w:val="single"/>
              </w:rPr>
            </w:pPr>
            <w:r>
              <w:rPr>
                <w:rFonts w:cs="Times New Roman"/>
                <w:u w:val="single"/>
              </w:rPr>
              <w:t xml:space="preserve">禁止在下列区域内建设畜禽养殖场： </w:t>
            </w:r>
          </w:p>
          <w:p>
            <w:pPr>
              <w:pStyle w:val="39"/>
              <w:jc w:val="left"/>
              <w:rPr>
                <w:rFonts w:cs="Times New Roman"/>
                <w:u w:val="single"/>
              </w:rPr>
            </w:pPr>
            <w:r>
              <w:rPr>
                <w:rFonts w:hint="eastAsia" w:ascii="宋体" w:hAnsi="宋体" w:cs="宋体"/>
                <w:u w:val="single"/>
              </w:rPr>
              <w:t>①</w:t>
            </w:r>
            <w:r>
              <w:rPr>
                <w:rFonts w:cs="Times New Roman"/>
                <w:u w:val="single"/>
              </w:rPr>
              <w:t xml:space="preserve">生活饮用水水源保护区、风景名胜区、自然保护区的核心区及缓冲区； </w:t>
            </w:r>
          </w:p>
          <w:p>
            <w:pPr>
              <w:pStyle w:val="39"/>
              <w:jc w:val="left"/>
              <w:rPr>
                <w:rFonts w:cs="Times New Roman"/>
                <w:u w:val="single"/>
              </w:rPr>
            </w:pPr>
            <w:r>
              <w:rPr>
                <w:rFonts w:hint="eastAsia" w:ascii="宋体" w:hAnsi="宋体" w:cs="宋体"/>
                <w:u w:val="single"/>
              </w:rPr>
              <w:t>②</w:t>
            </w:r>
            <w:r>
              <w:rPr>
                <w:rFonts w:cs="Times New Roman"/>
                <w:u w:val="single"/>
              </w:rPr>
              <w:t xml:space="preserve">城市和城镇居民区，包括文教科研区、医疗区、商业区、工业区、游览区等人口集中地区； </w:t>
            </w:r>
          </w:p>
          <w:p>
            <w:pPr>
              <w:pStyle w:val="39"/>
              <w:jc w:val="left"/>
              <w:rPr>
                <w:rFonts w:cs="Times New Roman"/>
                <w:u w:val="single"/>
              </w:rPr>
            </w:pPr>
            <w:r>
              <w:rPr>
                <w:rFonts w:hint="eastAsia" w:ascii="宋体" w:hAnsi="宋体" w:cs="宋体"/>
                <w:u w:val="single"/>
              </w:rPr>
              <w:t>③</w:t>
            </w:r>
            <w:r>
              <w:rPr>
                <w:rFonts w:cs="Times New Roman"/>
                <w:u w:val="single"/>
              </w:rPr>
              <w:t xml:space="preserve">县级人民政府依法划定的禁养区域； </w:t>
            </w:r>
          </w:p>
          <w:p>
            <w:pPr>
              <w:pStyle w:val="39"/>
              <w:jc w:val="left"/>
              <w:rPr>
                <w:rFonts w:cs="Times New Roman"/>
                <w:u w:val="single"/>
              </w:rPr>
            </w:pPr>
            <w:r>
              <w:rPr>
                <w:rFonts w:hint="eastAsia" w:ascii="宋体" w:hAnsi="宋体" w:cs="宋体"/>
                <w:u w:val="single"/>
              </w:rPr>
              <w:t>④</w:t>
            </w:r>
            <w:r>
              <w:rPr>
                <w:rFonts w:cs="Times New Roman"/>
                <w:u w:val="single"/>
              </w:rPr>
              <w:t>国家或地方法律、法规规定需特殊保护的其它区域。</w:t>
            </w:r>
          </w:p>
        </w:tc>
        <w:tc>
          <w:tcPr>
            <w:tcW w:w="633" w:type="pct"/>
            <w:vAlign w:val="center"/>
          </w:tcPr>
          <w:p>
            <w:pPr>
              <w:pStyle w:val="39"/>
              <w:rPr>
                <w:rFonts w:cs="Times New Roman"/>
                <w:u w:val="single"/>
              </w:rPr>
            </w:pPr>
            <w:r>
              <w:rPr>
                <w:rFonts w:cs="Times New Roman"/>
                <w:u w:val="single"/>
              </w:rPr>
              <w:t>本项目不在以上禁止建设区域内</w:t>
            </w:r>
          </w:p>
        </w:tc>
        <w:tc>
          <w:tcPr>
            <w:tcW w:w="445" w:type="pct"/>
            <w:vAlign w:val="center"/>
          </w:tcPr>
          <w:p>
            <w:pPr>
              <w:pStyle w:val="39"/>
              <w:rPr>
                <w:rFonts w:cs="Times New Roman"/>
                <w:u w:val="single"/>
              </w:rPr>
            </w:pPr>
            <w:r>
              <w:rPr>
                <w:rFonts w:cs="Times New Roman"/>
                <w:u w:val="singl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25" w:type="pct"/>
            <w:vMerge w:val="continue"/>
            <w:vAlign w:val="center"/>
          </w:tcPr>
          <w:p>
            <w:pPr>
              <w:pStyle w:val="39"/>
              <w:rPr>
                <w:rFonts w:cs="Times New Roman"/>
                <w:u w:val="single"/>
              </w:rPr>
            </w:pPr>
          </w:p>
        </w:tc>
        <w:tc>
          <w:tcPr>
            <w:tcW w:w="3097" w:type="pct"/>
          </w:tcPr>
          <w:p>
            <w:pPr>
              <w:pStyle w:val="39"/>
              <w:rPr>
                <w:rFonts w:cs="Times New Roman"/>
                <w:u w:val="single"/>
              </w:rPr>
            </w:pPr>
            <w:r>
              <w:rPr>
                <w:rFonts w:cs="Times New Roman"/>
                <w:u w:val="single"/>
              </w:rPr>
              <w:t xml:space="preserve">新建、改建、扩建的畜禽养殖场选址应避开上述禁建区域，在禁建区域附近建设的，应设在上述禁建区域常年主导风向的下风向或侧风向处，场界与禁建区域边界的最小距离不得小于500m。 </w:t>
            </w:r>
          </w:p>
        </w:tc>
        <w:tc>
          <w:tcPr>
            <w:tcW w:w="633" w:type="pct"/>
            <w:vAlign w:val="center"/>
          </w:tcPr>
          <w:p>
            <w:pPr>
              <w:pStyle w:val="39"/>
              <w:rPr>
                <w:rFonts w:cs="Times New Roman"/>
                <w:u w:val="single"/>
              </w:rPr>
            </w:pPr>
            <w:r>
              <w:rPr>
                <w:rFonts w:cs="Times New Roman"/>
                <w:u w:val="single"/>
              </w:rPr>
              <w:t xml:space="preserve">本项目距离禁建区边界距离大于500m </w:t>
            </w:r>
          </w:p>
        </w:tc>
        <w:tc>
          <w:tcPr>
            <w:tcW w:w="445" w:type="pct"/>
            <w:vAlign w:val="center"/>
          </w:tcPr>
          <w:p>
            <w:pPr>
              <w:pStyle w:val="39"/>
              <w:rPr>
                <w:rFonts w:cs="Times New Roman"/>
                <w:u w:val="single"/>
              </w:rPr>
            </w:pPr>
            <w:r>
              <w:rPr>
                <w:rFonts w:cs="Times New Roman"/>
                <w:u w:val="singl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25" w:type="pct"/>
            <w:vAlign w:val="center"/>
          </w:tcPr>
          <w:p>
            <w:pPr>
              <w:pStyle w:val="39"/>
              <w:rPr>
                <w:rFonts w:cs="Times New Roman"/>
                <w:u w:val="single"/>
              </w:rPr>
            </w:pPr>
            <w:r>
              <w:rPr>
                <w:rFonts w:cs="Times New Roman"/>
                <w:u w:val="single"/>
              </w:rPr>
              <w:t>《动物防疫条件审查办法》</w:t>
            </w:r>
          </w:p>
        </w:tc>
        <w:tc>
          <w:tcPr>
            <w:tcW w:w="3097" w:type="pct"/>
            <w:vAlign w:val="center"/>
          </w:tcPr>
          <w:p>
            <w:pPr>
              <w:pStyle w:val="39"/>
              <w:rPr>
                <w:rFonts w:cs="Times New Roman"/>
                <w:u w:val="single"/>
              </w:rPr>
            </w:pPr>
            <w:r>
              <w:rPr>
                <w:rFonts w:cs="Times New Roman"/>
                <w:u w:val="single"/>
              </w:rPr>
              <w:t>距离生活饮用水源地、动物屠宰加工场所、动物和动物产品集贸市场500米以上；距离种畜禽场1000米以上；距离动物诊疗场所200米以上；动物饲养场（养殖小区）之间距离不少于500米；</w:t>
            </w:r>
          </w:p>
        </w:tc>
        <w:tc>
          <w:tcPr>
            <w:tcW w:w="633" w:type="pct"/>
            <w:vAlign w:val="center"/>
          </w:tcPr>
          <w:p>
            <w:pPr>
              <w:pStyle w:val="39"/>
              <w:rPr>
                <w:rFonts w:cs="Times New Roman"/>
                <w:u w:val="single"/>
              </w:rPr>
            </w:pPr>
            <w:r>
              <w:rPr>
                <w:rFonts w:cs="Times New Roman"/>
                <w:u w:val="single"/>
              </w:rPr>
              <w:t>本项目与表中所列场所距离均满足要求</w:t>
            </w:r>
          </w:p>
        </w:tc>
        <w:tc>
          <w:tcPr>
            <w:tcW w:w="445" w:type="pct"/>
            <w:vAlign w:val="center"/>
          </w:tcPr>
          <w:p>
            <w:pPr>
              <w:pStyle w:val="39"/>
              <w:rPr>
                <w:rFonts w:cs="Times New Roman"/>
                <w:u w:val="single"/>
              </w:rPr>
            </w:pPr>
            <w:r>
              <w:rPr>
                <w:rFonts w:cs="Times New Roman"/>
                <w:u w:val="single"/>
              </w:rPr>
              <w:t>符合</w:t>
            </w:r>
          </w:p>
        </w:tc>
      </w:tr>
    </w:tbl>
    <w:p>
      <w:pPr>
        <w:pStyle w:val="3"/>
        <w:ind w:firstLine="480"/>
        <w:rPr>
          <w:rFonts w:cs="Times New Roman"/>
          <w:u w:val="single"/>
          <w:lang w:val="zh-CN"/>
        </w:rPr>
      </w:pPr>
      <w:r>
        <w:rPr>
          <w:rFonts w:cs="Times New Roman"/>
          <w:u w:val="single"/>
          <w:lang w:val="zh-CN"/>
        </w:rPr>
        <w:t>综上所述，本项目与周围环境相容，选址合理。</w:t>
      </w:r>
    </w:p>
    <w:p>
      <w:pPr>
        <w:pStyle w:val="5"/>
        <w:rPr>
          <w:rFonts w:cs="Times New Roman"/>
        </w:rPr>
      </w:pPr>
      <w:bookmarkStart w:id="54" w:name="_Toc9904"/>
      <w:bookmarkStart w:id="55" w:name="_Toc46322514"/>
      <w:bookmarkStart w:id="56" w:name="_Toc80889093"/>
      <w:r>
        <w:rPr>
          <w:rFonts w:cs="Times New Roman"/>
        </w:rPr>
        <w:t>平面布局合理性分析</w:t>
      </w:r>
      <w:bookmarkEnd w:id="54"/>
      <w:bookmarkEnd w:id="55"/>
      <w:bookmarkEnd w:id="56"/>
    </w:p>
    <w:p>
      <w:pPr>
        <w:pStyle w:val="3"/>
        <w:ind w:firstLine="480"/>
        <w:rPr>
          <w:rFonts w:cs="Times New Roman"/>
          <w:lang w:val="zh-CN"/>
        </w:rPr>
      </w:pPr>
      <w:r>
        <w:rPr>
          <w:rFonts w:cs="Times New Roman"/>
          <w:lang w:val="zh-CN"/>
        </w:rPr>
        <w:t>根据现场踏勘可知，本项目的总平面布置是根据养殖工艺流程，结合场地自然条件及各建、构筑物对防火、卫生、安全的要求，尽量减少不利因素对本工程总平面布置合理性影响的原则布局。项目场区呈不规则多边形，养殖区位于厂区</w:t>
      </w:r>
      <w:r>
        <w:rPr>
          <w:rFonts w:hint="eastAsia" w:cs="Times New Roman"/>
          <w:lang w:val="zh-CN"/>
        </w:rPr>
        <w:t>中</w:t>
      </w:r>
      <w:r>
        <w:rPr>
          <w:rFonts w:cs="Times New Roman"/>
          <w:lang w:val="zh-CN"/>
        </w:rPr>
        <w:t>部，办公生活区位于场区</w:t>
      </w:r>
      <w:r>
        <w:rPr>
          <w:rFonts w:hint="eastAsia" w:cs="Times New Roman"/>
        </w:rPr>
        <w:t>南侧</w:t>
      </w:r>
      <w:r>
        <w:rPr>
          <w:rFonts w:cs="Times New Roman"/>
          <w:lang w:val="zh-CN"/>
        </w:rPr>
        <w:t>，</w:t>
      </w:r>
      <w:r>
        <w:rPr>
          <w:rFonts w:hint="eastAsia" w:cs="Times New Roman"/>
          <w:lang w:val="zh-CN"/>
        </w:rPr>
        <w:t>鸡粪干燥机</w:t>
      </w:r>
      <w:r>
        <w:rPr>
          <w:rFonts w:cs="Times New Roman"/>
          <w:lang w:val="zh-CN"/>
        </w:rPr>
        <w:t>位于</w:t>
      </w:r>
      <w:r>
        <w:rPr>
          <w:rFonts w:hint="eastAsia" w:cs="Times New Roman"/>
          <w:lang w:val="zh-CN"/>
        </w:rPr>
        <w:t>鸡舍北侧</w:t>
      </w:r>
      <w:r>
        <w:rPr>
          <w:rFonts w:cs="Times New Roman"/>
        </w:rPr>
        <w:t>，</w:t>
      </w:r>
      <w:r>
        <w:rPr>
          <w:rFonts w:cs="Times New Roman"/>
          <w:lang w:val="zh-CN"/>
        </w:rPr>
        <w:t>具体布置详见场区总平面布置图（见附图2）。本项目所在区的主导风向为</w:t>
      </w:r>
      <w:r>
        <w:rPr>
          <w:rFonts w:cs="Times New Roman"/>
        </w:rPr>
        <w:t>东北</w:t>
      </w:r>
      <w:r>
        <w:rPr>
          <w:rFonts w:cs="Times New Roman"/>
          <w:lang w:val="zh-CN"/>
        </w:rPr>
        <w:t>，场区布局较为合理，符合《畜禽养殖业污染治理工程技术规范》（HJ/</w:t>
      </w:r>
      <w:r>
        <w:rPr>
          <w:rFonts w:cs="Times New Roman"/>
        </w:rPr>
        <w:t>497</w:t>
      </w:r>
      <w:r>
        <w:rPr>
          <w:rFonts w:cs="Times New Roman"/>
          <w:lang w:val="zh-CN"/>
        </w:rPr>
        <w:t>-200</w:t>
      </w:r>
      <w:r>
        <w:rPr>
          <w:rFonts w:cs="Times New Roman"/>
        </w:rPr>
        <w:t>9</w:t>
      </w:r>
      <w:r>
        <w:rPr>
          <w:rFonts w:cs="Times New Roman"/>
          <w:lang w:val="zh-CN"/>
        </w:rPr>
        <w:t>）的规定。</w:t>
      </w:r>
    </w:p>
    <w:p>
      <w:pPr>
        <w:pStyle w:val="3"/>
        <w:ind w:firstLine="480"/>
        <w:rPr>
          <w:rFonts w:cs="Times New Roman"/>
          <w:lang w:val="zh-CN"/>
        </w:rPr>
      </w:pPr>
      <w:r>
        <w:rPr>
          <w:rFonts w:cs="Times New Roman"/>
          <w:lang w:val="zh-CN"/>
        </w:rPr>
        <w:t>从厂区总平面布置看，办公生活区位于厂区</w:t>
      </w:r>
      <w:r>
        <w:rPr>
          <w:rFonts w:hint="eastAsia" w:cs="Times New Roman"/>
        </w:rPr>
        <w:t>南</w:t>
      </w:r>
      <w:r>
        <w:rPr>
          <w:rFonts w:cs="Times New Roman"/>
          <w:lang w:val="zh-CN"/>
        </w:rPr>
        <w:t>侧，属于主导风向</w:t>
      </w:r>
      <w:r>
        <w:rPr>
          <w:rFonts w:cs="Times New Roman"/>
        </w:rPr>
        <w:t>侧</w:t>
      </w:r>
      <w:r>
        <w:rPr>
          <w:rFonts w:cs="Times New Roman"/>
          <w:lang w:val="zh-CN"/>
        </w:rPr>
        <w:t>风向；</w:t>
      </w:r>
      <w:r>
        <w:rPr>
          <w:rFonts w:hint="eastAsia" w:cs="Times New Roman"/>
          <w:lang w:val="zh-CN"/>
        </w:rPr>
        <w:t>鸡粪处理设施位于鸡舍北侧</w:t>
      </w:r>
      <w:r>
        <w:rPr>
          <w:rFonts w:cs="Times New Roman"/>
          <w:lang w:val="zh-CN"/>
        </w:rPr>
        <w:t>，</w:t>
      </w:r>
      <w:r>
        <w:rPr>
          <w:rFonts w:hint="eastAsia" w:cs="Times New Roman"/>
          <w:lang w:val="zh-CN"/>
        </w:rPr>
        <w:t>属于</w:t>
      </w:r>
      <w:r>
        <w:rPr>
          <w:rFonts w:cs="Times New Roman"/>
          <w:lang w:val="zh-CN"/>
        </w:rPr>
        <w:t>主导风向侧风向。厂区内周围空地和厂区四周有大量的绿化带，项目建设单位在设计过程中也充分考虑到臭气对办公生活区的影响，通过合理设计鸡舍及围墙高度，使风从鸡舍房顶经过，减少了臭气的扩散。经隔离扩散后，项目区产生的臭气对职工生活无明显影响，从环保角度分析，厂区平面布置合理。</w:t>
      </w:r>
    </w:p>
    <w:p>
      <w:pPr>
        <w:pStyle w:val="3"/>
        <w:ind w:firstLine="480"/>
        <w:rPr>
          <w:rFonts w:cs="Times New Roman"/>
          <w:lang w:val="zh-CN"/>
        </w:rPr>
      </w:pPr>
      <w:r>
        <w:rPr>
          <w:rFonts w:cs="Times New Roman"/>
          <w:lang w:val="zh-CN"/>
        </w:rPr>
        <w:t>项目</w:t>
      </w:r>
      <w:r>
        <w:rPr>
          <w:rFonts w:hint="eastAsia" w:cs="Times New Roman"/>
          <w:lang w:val="zh-CN"/>
        </w:rPr>
        <w:t>各废水收集池</w:t>
      </w:r>
      <w:r>
        <w:rPr>
          <w:rFonts w:cs="Times New Roman"/>
          <w:lang w:val="zh-CN"/>
        </w:rPr>
        <w:t>位于</w:t>
      </w:r>
      <w:r>
        <w:rPr>
          <w:rFonts w:hint="eastAsia" w:cs="Times New Roman"/>
          <w:lang w:val="zh-CN"/>
        </w:rPr>
        <w:t>各鸡舍南侧</w:t>
      </w:r>
      <w:r>
        <w:rPr>
          <w:rFonts w:cs="Times New Roman"/>
        </w:rPr>
        <w:t>，</w:t>
      </w:r>
      <w:r>
        <w:rPr>
          <w:rFonts w:hint="eastAsia" w:cs="Times New Roman"/>
          <w:lang w:val="zh-CN"/>
        </w:rPr>
        <w:t>鸡舍废水可直接排入收集池</w:t>
      </w:r>
      <w:r>
        <w:rPr>
          <w:rFonts w:cs="Times New Roman"/>
          <w:lang w:val="zh-CN"/>
        </w:rPr>
        <w:t>，</w:t>
      </w:r>
      <w:r>
        <w:rPr>
          <w:rFonts w:hint="eastAsia" w:cs="Times New Roman"/>
          <w:lang w:val="zh-CN"/>
        </w:rPr>
        <w:t>再同过水泵直接抽至南侧办公生活区的化粪池内一并处理</w:t>
      </w:r>
      <w:r>
        <w:rPr>
          <w:rFonts w:cs="Times New Roman"/>
          <w:lang w:val="zh-CN"/>
        </w:rPr>
        <w:t>，</w:t>
      </w:r>
      <w:r>
        <w:rPr>
          <w:rFonts w:hint="eastAsia" w:cs="Times New Roman"/>
          <w:lang w:val="zh-CN"/>
        </w:rPr>
        <w:t>可缩短抽水管网的距离</w:t>
      </w:r>
      <w:r>
        <w:rPr>
          <w:rFonts w:cs="Times New Roman"/>
          <w:lang w:val="zh-CN"/>
        </w:rPr>
        <w:t>。</w:t>
      </w:r>
    </w:p>
    <w:p>
      <w:pPr>
        <w:pStyle w:val="3"/>
        <w:ind w:firstLine="480"/>
        <w:rPr>
          <w:rFonts w:cs="Times New Roman"/>
          <w:lang w:val="zh-CN"/>
        </w:rPr>
      </w:pPr>
      <w:r>
        <w:rPr>
          <w:rFonts w:cs="Times New Roman"/>
          <w:lang w:val="zh-CN"/>
        </w:rPr>
        <w:t>本工程按照种鸡饲养的操作流程布置按照育雏</w:t>
      </w:r>
      <w:r>
        <w:rPr>
          <w:rFonts w:hint="eastAsia" w:cs="Times New Roman"/>
          <w:lang w:val="zh-CN"/>
        </w:rPr>
        <w:t>舍</w:t>
      </w:r>
      <w:r>
        <w:rPr>
          <w:rFonts w:cs="Times New Roman"/>
          <w:lang w:val="zh-CN"/>
        </w:rPr>
        <w:t>、产蛋舍置，做到功能分区明确合理，保证养殖场内物料运输距离短捷顺畅，干净道和污染道尽量不交叉，搞好绿化工作，使养殖场内部环境优美，空气清新，有利于生产生活。</w:t>
      </w:r>
    </w:p>
    <w:p>
      <w:pPr>
        <w:pStyle w:val="3"/>
        <w:ind w:firstLine="480"/>
        <w:rPr>
          <w:rFonts w:cs="Times New Roman"/>
          <w:lang w:val="zh-CN"/>
        </w:rPr>
      </w:pPr>
      <w:r>
        <w:rPr>
          <w:rFonts w:cs="Times New Roman"/>
          <w:lang w:val="zh-CN"/>
        </w:rPr>
        <w:t>场内道路主要为运输通道及运输饲料用，根据场区规模，入口处主干道采用6.0m，鸡舍间区域道路采用4.5m，各鸡舍引道采用3.0m宽。路面型式均采用郊区型道路，混凝土路面，带盖板明沟排雨水，纵坡不大于2％。</w:t>
      </w:r>
    </w:p>
    <w:p>
      <w:pPr>
        <w:pStyle w:val="3"/>
        <w:ind w:firstLine="480"/>
        <w:rPr>
          <w:rFonts w:cs="Times New Roman"/>
          <w:lang w:val="zh-CN"/>
        </w:rPr>
      </w:pPr>
      <w:r>
        <w:rPr>
          <w:rFonts w:cs="Times New Roman"/>
          <w:lang w:val="zh-CN"/>
        </w:rPr>
        <w:t>畜禽养殖需要较高的卫生条件，所以场区内绿化、美化环境显得尤为重要。项目在建设过程中加强场内的绿化建设和卫生要求，在道路两侧种植行道树，选择大树冠的树种，场区内树种应高低搭配，多种植乔木与灌木，尽量为场区营造一个空气清新，利于牲畜生长的生态环境。</w:t>
      </w:r>
    </w:p>
    <w:p>
      <w:pPr>
        <w:pStyle w:val="3"/>
        <w:ind w:firstLine="480"/>
      </w:pPr>
      <w:r>
        <w:rPr>
          <w:rFonts w:cs="Times New Roman"/>
          <w:lang w:val="zh-CN"/>
        </w:rPr>
        <w:t>综上所述，从环境保护的角度分析本项目的平面布置基本合理。</w:t>
      </w:r>
    </w:p>
    <w:p>
      <w:pPr>
        <w:pStyle w:val="5"/>
      </w:pPr>
      <w:bookmarkStart w:id="57" w:name="_Toc80889094"/>
      <w:r>
        <w:rPr>
          <w:rFonts w:hint="eastAsia"/>
        </w:rPr>
        <w:t>项目</w:t>
      </w:r>
      <w:r>
        <w:t>建设与“</w:t>
      </w:r>
      <w:r>
        <w:rPr>
          <w:rFonts w:hint="eastAsia"/>
        </w:rPr>
        <w:t>三线一单</w:t>
      </w:r>
      <w:r>
        <w:t>”</w:t>
      </w:r>
      <w:r>
        <w:rPr>
          <w:rFonts w:hint="eastAsia"/>
        </w:rPr>
        <w:t>符合性</w:t>
      </w:r>
      <w:r>
        <w:t>分析</w:t>
      </w:r>
      <w:bookmarkEnd w:id="57"/>
    </w:p>
    <w:p>
      <w:pPr>
        <w:pStyle w:val="3"/>
        <w:ind w:firstLine="480"/>
      </w:pPr>
      <w:r>
        <w:rPr>
          <w:rFonts w:hint="eastAsia"/>
        </w:rPr>
        <w:t>（1）生态保护红线</w:t>
      </w:r>
    </w:p>
    <w:p>
      <w:pPr>
        <w:pStyle w:val="3"/>
        <w:ind w:firstLine="480"/>
      </w:pPr>
      <w:r>
        <w:rPr>
          <w:rFonts w:hint="eastAsia"/>
        </w:rPr>
        <w:t>本项目位于</w:t>
      </w:r>
      <w:r>
        <w:rPr>
          <w:rFonts w:hint="eastAsia" w:cs="Times New Roman"/>
        </w:rPr>
        <w:t>衡阳县台</w:t>
      </w:r>
      <w:r>
        <w:rPr>
          <w:rFonts w:cs="Times New Roman"/>
        </w:rPr>
        <w:t>源镇前进村财冲组和东湖寺村近</w:t>
      </w:r>
      <w:r>
        <w:rPr>
          <w:rFonts w:hint="eastAsia" w:cs="Times New Roman"/>
        </w:rPr>
        <w:t>斯</w:t>
      </w:r>
      <w:r>
        <w:rPr>
          <w:rFonts w:cs="Times New Roman"/>
        </w:rPr>
        <w:t>塘组</w:t>
      </w:r>
      <w:r>
        <w:rPr>
          <w:rFonts w:hint="eastAsia"/>
        </w:rPr>
        <w:t>，根据衡阳县自然资源局出具的《关于湖南安发原生态农业旅游开发有限公司养鸡场设施用地项目生态保护红线查询意见》可知：本项目未占用生态保护红线，具体见附件。</w:t>
      </w:r>
    </w:p>
    <w:p>
      <w:pPr>
        <w:pStyle w:val="3"/>
        <w:ind w:firstLine="480"/>
      </w:pPr>
      <w:r>
        <w:rPr>
          <w:rFonts w:hint="eastAsia"/>
        </w:rPr>
        <w:t>（2）环境质量底线</w:t>
      </w:r>
    </w:p>
    <w:p>
      <w:pPr>
        <w:pStyle w:val="3"/>
        <w:ind w:firstLine="480"/>
      </w:pPr>
      <w:r>
        <w:rPr>
          <w:rFonts w:hint="eastAsia"/>
        </w:rPr>
        <w:t>环境质量底线分为大气环境质量底线、水环境质量底线、土壤环境风险防控底线。</w:t>
      </w:r>
    </w:p>
    <w:p>
      <w:pPr>
        <w:pStyle w:val="3"/>
        <w:ind w:firstLine="480"/>
      </w:pPr>
      <w:r>
        <w:rPr>
          <w:rFonts w:hint="eastAsia"/>
        </w:rPr>
        <w:t>根据衡阳县县城2020年环境空气质量监测点位的常规监测数据，项目所在区域的环境空气质量数据SO</w:t>
      </w:r>
      <w:r>
        <w:rPr>
          <w:rFonts w:hint="eastAsia"/>
          <w:vertAlign w:val="subscript"/>
        </w:rPr>
        <w:t>2</w:t>
      </w:r>
      <w:r>
        <w:rPr>
          <w:rFonts w:hint="eastAsia"/>
        </w:rPr>
        <w:t>、NO</w:t>
      </w:r>
      <w:r>
        <w:rPr>
          <w:rFonts w:hint="eastAsia"/>
          <w:vertAlign w:val="subscript"/>
        </w:rPr>
        <w:t>2</w:t>
      </w:r>
      <w:r>
        <w:rPr>
          <w:rFonts w:hint="eastAsia"/>
        </w:rPr>
        <w:t>、PM</w:t>
      </w:r>
      <w:r>
        <w:rPr>
          <w:rFonts w:hint="eastAsia"/>
          <w:vertAlign w:val="subscript"/>
        </w:rPr>
        <w:t>10</w:t>
      </w:r>
      <w:r>
        <w:rPr>
          <w:rFonts w:hint="eastAsia"/>
        </w:rPr>
        <w:t>、PM</w:t>
      </w:r>
      <w:r>
        <w:rPr>
          <w:rFonts w:hint="eastAsia"/>
          <w:vertAlign w:val="subscript"/>
        </w:rPr>
        <w:t>2.5</w:t>
      </w:r>
      <w:r>
        <w:rPr>
          <w:rFonts w:hint="eastAsia"/>
        </w:rPr>
        <w:t>、CO、O</w:t>
      </w:r>
      <w:r>
        <w:rPr>
          <w:rFonts w:hint="eastAsia"/>
          <w:vertAlign w:val="subscript"/>
        </w:rPr>
        <w:t>3</w:t>
      </w:r>
      <w:r>
        <w:rPr>
          <w:rFonts w:hint="eastAsia"/>
        </w:rPr>
        <w:t>各项检测指标满足《环境空气质量标准》（GB3095-2012）二级标准，满足大气环境质量底线要求。</w:t>
      </w:r>
    </w:p>
    <w:p>
      <w:pPr>
        <w:pStyle w:val="3"/>
        <w:ind w:firstLine="480"/>
      </w:pPr>
      <w:r>
        <w:rPr>
          <w:rFonts w:hint="eastAsia"/>
        </w:rPr>
        <w:t>项目区域附近地表水体为水塘，属农业灌溉用水，参照《地表水环境质量标准》（GB3838-2002）中的Ⅲ类水质标准。根据对北侧水塘水质现状监测数据可知，区域地表水水质可满足《地表水环境质量标准》（GB3838-2002）中III类水质标准要求，满足水环境质量底线要求。</w:t>
      </w:r>
    </w:p>
    <w:p>
      <w:pPr>
        <w:pStyle w:val="3"/>
        <w:ind w:firstLine="480"/>
      </w:pPr>
      <w:r>
        <w:rPr>
          <w:rFonts w:hint="eastAsia"/>
        </w:rPr>
        <w:t>通过对项目拟建区域土壤环境进行检测，监测因子中</w:t>
      </w:r>
      <w:r>
        <w:t>砷、铬、镉、铜、铅、汞、镍</w:t>
      </w:r>
      <w:r>
        <w:rPr>
          <w:rFonts w:hint="eastAsia"/>
        </w:rPr>
        <w:t>监测因子能满足</w:t>
      </w:r>
      <w:r>
        <w:t>土壤环境质量农用地土壤污染风险管控标</w:t>
      </w:r>
      <w:r>
        <w:rPr>
          <w:bCs/>
          <w:kern w:val="0"/>
        </w:rPr>
        <w:t>准（试行）》（GB15618-2018）风险筛选值中的</w:t>
      </w:r>
      <w:r>
        <w:t>其他</w:t>
      </w:r>
      <w:r>
        <w:rPr>
          <w:bCs/>
          <w:kern w:val="0"/>
        </w:rPr>
        <w:t>的标准</w:t>
      </w:r>
      <w:r>
        <w:t>限值</w:t>
      </w:r>
      <w:r>
        <w:rPr>
          <w:rFonts w:hint="eastAsia"/>
        </w:rPr>
        <w:t>，</w:t>
      </w:r>
      <w:r>
        <w:rPr>
          <w:bCs/>
          <w:kern w:val="0"/>
        </w:rPr>
        <w:t>其他指标</w:t>
      </w:r>
      <w:r>
        <w:rPr>
          <w:rFonts w:hint="eastAsia"/>
          <w:bCs/>
          <w:kern w:val="0"/>
        </w:rPr>
        <w:t>可达到</w:t>
      </w:r>
      <w:r>
        <w:t>《土壤环境质量建设用地土壤污染风险管控标准（试行）》（GB36600-2018）风险筛选值中的第二类用地</w:t>
      </w:r>
      <w:r>
        <w:rPr>
          <w:bCs/>
          <w:kern w:val="0"/>
        </w:rPr>
        <w:t>的标准</w:t>
      </w:r>
      <w:r>
        <w:t>限值</w:t>
      </w:r>
      <w:r>
        <w:rPr>
          <w:rFonts w:hint="eastAsia"/>
        </w:rPr>
        <w:t>；拟建地土壤环境良好</w:t>
      </w:r>
      <w:r>
        <w:rPr>
          <w:rFonts w:hint="eastAsia" w:cs="Times New Roman"/>
        </w:rPr>
        <w:t>根据，</w:t>
      </w:r>
      <w:r>
        <w:rPr>
          <w:rFonts w:hint="eastAsia"/>
        </w:rPr>
        <w:t>满足土壤环境风险防控底线要求</w:t>
      </w:r>
    </w:p>
    <w:p>
      <w:pPr>
        <w:pStyle w:val="3"/>
        <w:ind w:firstLine="480"/>
      </w:pPr>
      <w:r>
        <w:rPr>
          <w:rFonts w:hint="eastAsia"/>
        </w:rPr>
        <w:t>（3）资源利用上线</w:t>
      </w:r>
    </w:p>
    <w:p>
      <w:pPr>
        <w:pStyle w:val="3"/>
        <w:ind w:firstLine="480"/>
      </w:pPr>
      <w:r>
        <w:rPr>
          <w:rFonts w:hint="eastAsia"/>
        </w:rPr>
        <w:t>①能源利用上线</w:t>
      </w:r>
    </w:p>
    <w:p>
      <w:pPr>
        <w:pStyle w:val="3"/>
        <w:ind w:firstLine="480"/>
      </w:pPr>
      <w:r>
        <w:rPr>
          <w:rFonts w:hint="eastAsia"/>
        </w:rPr>
        <w:t>本项目主要使用清洁能源电能及环保生物质颗粒，符合能源利用总量、结构和利用效率要求，同时不涉及到高污染燃料禁燃区，未达到能源资源利用上线。</w:t>
      </w:r>
    </w:p>
    <w:p>
      <w:pPr>
        <w:pStyle w:val="3"/>
        <w:ind w:firstLine="480"/>
      </w:pPr>
      <w:r>
        <w:rPr>
          <w:rFonts w:hint="eastAsia"/>
        </w:rPr>
        <w:t>②水资源利用上线</w:t>
      </w:r>
    </w:p>
    <w:p>
      <w:pPr>
        <w:pStyle w:val="3"/>
        <w:ind w:firstLine="480"/>
      </w:pPr>
      <w:r>
        <w:rPr>
          <w:rFonts w:hint="eastAsia"/>
        </w:rPr>
        <w:t>本项目不涉及到自然资源资产核算及管控，无相关利用上线要求；本项目用水采用地下水井取水，主要为职工生活用水及鸡舍冲洗用水等，水量能得到满足，也不达到水资源利用上线。</w:t>
      </w:r>
    </w:p>
    <w:p>
      <w:pPr>
        <w:pStyle w:val="3"/>
        <w:ind w:firstLine="480"/>
      </w:pPr>
      <w:r>
        <w:rPr>
          <w:rFonts w:hint="eastAsia"/>
        </w:rPr>
        <w:t>③土地资源利用上线目标</w:t>
      </w:r>
    </w:p>
    <w:p>
      <w:pPr>
        <w:pStyle w:val="3"/>
        <w:ind w:firstLine="480"/>
      </w:pPr>
      <w:r>
        <w:rPr>
          <w:rFonts w:hint="eastAsia"/>
        </w:rPr>
        <w:t>本项目选址于</w:t>
      </w:r>
      <w:r>
        <w:rPr>
          <w:rFonts w:hint="eastAsia" w:cs="Times New Roman"/>
        </w:rPr>
        <w:t>衡阳县台</w:t>
      </w:r>
      <w:r>
        <w:rPr>
          <w:rFonts w:cs="Times New Roman"/>
        </w:rPr>
        <w:t>源镇前进村财冲组和东湖寺村近</w:t>
      </w:r>
      <w:r>
        <w:rPr>
          <w:rFonts w:hint="eastAsia" w:cs="Times New Roman"/>
        </w:rPr>
        <w:t>斯</w:t>
      </w:r>
      <w:r>
        <w:rPr>
          <w:rFonts w:cs="Times New Roman"/>
        </w:rPr>
        <w:t>塘组</w:t>
      </w:r>
      <w:r>
        <w:rPr>
          <w:rFonts w:hint="eastAsia"/>
        </w:rPr>
        <w:t>，项目用地类型主要为林地、荒地及少量耕地，目前建设单位已于台源镇</w:t>
      </w:r>
      <w:r>
        <w:rPr>
          <w:rFonts w:cs="Times New Roman"/>
        </w:rPr>
        <w:t>前进村</w:t>
      </w:r>
      <w:r>
        <w:rPr>
          <w:rFonts w:hint="eastAsia" w:cs="Times New Roman"/>
        </w:rPr>
        <w:t>及</w:t>
      </w:r>
      <w:r>
        <w:rPr>
          <w:rFonts w:cs="Times New Roman"/>
        </w:rPr>
        <w:t>东湖寺村</w:t>
      </w:r>
      <w:r>
        <w:rPr>
          <w:rFonts w:hint="eastAsia" w:cs="Times New Roman"/>
        </w:rPr>
        <w:t>村委签订了土地流转协议</w:t>
      </w:r>
      <w:r>
        <w:rPr>
          <w:rFonts w:hint="eastAsia"/>
        </w:rPr>
        <w:t>，未达到土地资源利用上线。</w:t>
      </w:r>
    </w:p>
    <w:p>
      <w:pPr>
        <w:pStyle w:val="3"/>
        <w:ind w:firstLine="480"/>
      </w:pPr>
      <w:r>
        <w:rPr>
          <w:rFonts w:hint="eastAsia"/>
        </w:rPr>
        <w:t>综上，本项目满足资源利用上线要求。</w:t>
      </w:r>
    </w:p>
    <w:p>
      <w:pPr>
        <w:pStyle w:val="3"/>
        <w:ind w:firstLine="480"/>
      </w:pPr>
      <w:r>
        <w:rPr>
          <w:rFonts w:hint="eastAsia"/>
        </w:rPr>
        <w:t>（4）生态环境准入清单</w:t>
      </w:r>
    </w:p>
    <w:p>
      <w:pPr>
        <w:pStyle w:val="3"/>
        <w:ind w:firstLine="480"/>
      </w:pPr>
      <w:r>
        <w:rPr>
          <w:rFonts w:hint="eastAsia"/>
        </w:rPr>
        <w:t>本项目位于</w:t>
      </w:r>
      <w:r>
        <w:rPr>
          <w:rFonts w:hint="eastAsia" w:cs="Times New Roman"/>
        </w:rPr>
        <w:t>衡阳县台</w:t>
      </w:r>
      <w:r>
        <w:rPr>
          <w:rFonts w:cs="Times New Roman"/>
        </w:rPr>
        <w:t>源镇前进村财冲组和东湖寺村近</w:t>
      </w:r>
      <w:r>
        <w:rPr>
          <w:rFonts w:hint="eastAsia" w:cs="Times New Roman"/>
        </w:rPr>
        <w:t>斯</w:t>
      </w:r>
      <w:r>
        <w:rPr>
          <w:rFonts w:cs="Times New Roman"/>
        </w:rPr>
        <w:t>塘组</w:t>
      </w:r>
      <w:r>
        <w:rPr>
          <w:rFonts w:hint="eastAsia"/>
        </w:rPr>
        <w:t>，</w:t>
      </w:r>
      <w:r>
        <w:t>根据《衡阳市人民政府关于实施“三线一单”生态环境分区管控的意见（衡政发〔2020〕9号）》中附件1：衡阳市环境管控单元图，可知本项目属于衡阳市</w:t>
      </w:r>
      <w:r>
        <w:rPr>
          <w:rFonts w:eastAsiaTheme="minorEastAsia"/>
          <w:kern w:val="0"/>
        </w:rPr>
        <w:t>一般管控单元</w:t>
      </w:r>
      <w:r>
        <w:rPr>
          <w:rFonts w:hint="eastAsia"/>
        </w:rPr>
        <w:t>，环境管控单元编码为</w:t>
      </w:r>
      <w:r>
        <w:rPr>
          <w:rFonts w:eastAsiaTheme="minorEastAsia"/>
        </w:rPr>
        <w:t>ZH43042130002</w:t>
      </w:r>
      <w:r>
        <w:rPr>
          <w:rFonts w:hint="eastAsia"/>
        </w:rPr>
        <w:t>，主要</w:t>
      </w:r>
      <w:r>
        <w:t>功能定位为</w:t>
      </w:r>
      <w:r>
        <w:rPr>
          <w:rFonts w:hint="eastAsia"/>
        </w:rPr>
        <w:t>国家层面农产品主产区</w:t>
      </w:r>
      <w:r>
        <w:t>。本环评</w:t>
      </w:r>
      <w:r>
        <w:rPr>
          <w:rFonts w:hint="eastAsia"/>
        </w:rPr>
        <w:t>通过进一步</w:t>
      </w:r>
      <w:r>
        <w:t>对照衡阳市生态环境准入清单分析</w:t>
      </w:r>
      <w:r>
        <w:rPr>
          <w:rFonts w:hint="eastAsia"/>
        </w:rPr>
        <w:t>，可知</w:t>
      </w:r>
      <w:r>
        <w:t>本项目与生态环境分区管控相适应，具体内容如下：</w:t>
      </w:r>
    </w:p>
    <w:p>
      <w:pPr>
        <w:pStyle w:val="15"/>
        <w:ind w:firstLine="210"/>
        <w:rPr>
          <w:szCs w:val="21"/>
        </w:rPr>
      </w:pPr>
      <w:r>
        <w:rPr>
          <w:szCs w:val="21"/>
        </w:rPr>
        <w:t>表</w:t>
      </w:r>
      <w:r>
        <w:rPr>
          <w:rFonts w:hint="eastAsia"/>
          <w:szCs w:val="21"/>
        </w:rPr>
        <w:t>7.4-</w:t>
      </w:r>
      <w:r>
        <w:rPr>
          <w:szCs w:val="21"/>
        </w:rPr>
        <w:t>1   建设项目与</w:t>
      </w:r>
      <w:r>
        <w:rPr>
          <w:rFonts w:hint="eastAsia"/>
          <w:szCs w:val="21"/>
        </w:rPr>
        <w:t>一般</w:t>
      </w:r>
      <w:r>
        <w:rPr>
          <w:szCs w:val="21"/>
        </w:rPr>
        <w:t>管控要求对照一览表</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4583"/>
        <w:gridCol w:w="2660"/>
        <w:gridCol w:w="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23" w:type="pct"/>
            <w:shd w:val="clear" w:color="auto" w:fill="auto"/>
            <w:vAlign w:val="center"/>
          </w:tcPr>
          <w:p>
            <w:pPr>
              <w:pStyle w:val="39"/>
              <w:rPr>
                <w:rFonts w:cs="Times New Roman"/>
              </w:rPr>
            </w:pPr>
            <w:r>
              <w:rPr>
                <w:rFonts w:cs="Times New Roman"/>
              </w:rPr>
              <w:t>管控维度</w:t>
            </w:r>
          </w:p>
        </w:tc>
        <w:tc>
          <w:tcPr>
            <w:tcW w:w="2498" w:type="pct"/>
            <w:shd w:val="clear" w:color="auto" w:fill="auto"/>
            <w:vAlign w:val="center"/>
          </w:tcPr>
          <w:p>
            <w:pPr>
              <w:pStyle w:val="39"/>
              <w:rPr>
                <w:rFonts w:cs="Times New Roman"/>
              </w:rPr>
            </w:pPr>
            <w:r>
              <w:rPr>
                <w:rFonts w:cs="Times New Roman"/>
              </w:rPr>
              <w:t>管控要求</w:t>
            </w:r>
          </w:p>
        </w:tc>
        <w:tc>
          <w:tcPr>
            <w:tcW w:w="1450" w:type="pct"/>
            <w:shd w:val="clear" w:color="auto" w:fill="auto"/>
            <w:vAlign w:val="center"/>
          </w:tcPr>
          <w:p>
            <w:pPr>
              <w:pStyle w:val="39"/>
              <w:rPr>
                <w:rFonts w:cs="Times New Roman"/>
              </w:rPr>
            </w:pPr>
            <w:r>
              <w:rPr>
                <w:rFonts w:cs="Times New Roman"/>
              </w:rPr>
              <w:t>本项目情况</w:t>
            </w:r>
          </w:p>
        </w:tc>
        <w:tc>
          <w:tcPr>
            <w:tcW w:w="529" w:type="pct"/>
            <w:shd w:val="clear" w:color="auto" w:fill="auto"/>
            <w:vAlign w:val="center"/>
          </w:tcPr>
          <w:p>
            <w:pPr>
              <w:pStyle w:val="39"/>
              <w:rPr>
                <w:rFonts w:cs="Times New Roman"/>
              </w:rPr>
            </w:pPr>
            <w:r>
              <w:rPr>
                <w:rFonts w:cs="Times New Roman"/>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23" w:type="pct"/>
            <w:shd w:val="clear" w:color="auto" w:fill="auto"/>
            <w:vAlign w:val="center"/>
          </w:tcPr>
          <w:p>
            <w:pPr>
              <w:pStyle w:val="39"/>
              <w:rPr>
                <w:rFonts w:cs="Times New Roman"/>
              </w:rPr>
            </w:pPr>
            <w:r>
              <w:rPr>
                <w:rFonts w:cs="Times New Roman"/>
              </w:rPr>
              <w:t>主要属性</w:t>
            </w:r>
          </w:p>
        </w:tc>
        <w:tc>
          <w:tcPr>
            <w:tcW w:w="2498" w:type="pct"/>
            <w:shd w:val="clear" w:color="auto" w:fill="auto"/>
            <w:vAlign w:val="center"/>
          </w:tcPr>
          <w:p>
            <w:pPr>
              <w:pStyle w:val="39"/>
              <w:jc w:val="both"/>
              <w:rPr>
                <w:rFonts w:cs="Times New Roman"/>
              </w:rPr>
            </w:pPr>
            <w:r>
              <w:rPr>
                <w:rFonts w:cs="Times New Roman"/>
              </w:rPr>
              <w:t>台源镇</w:t>
            </w:r>
          </w:p>
          <w:p>
            <w:pPr>
              <w:pStyle w:val="39"/>
              <w:jc w:val="left"/>
              <w:rPr>
                <w:rFonts w:cs="Times New Roman"/>
              </w:rPr>
            </w:pPr>
            <w:r>
              <w:rPr>
                <w:rFonts w:hint="eastAsia" w:ascii="宋体" w:hAnsi="宋体" w:cs="宋体"/>
              </w:rPr>
              <w:t>①</w:t>
            </w:r>
            <w:r>
              <w:rPr>
                <w:rFonts w:cs="Times New Roman"/>
              </w:rPr>
              <w:t>红线/一般生态空间——公益林/湿地公园/水土流失敏感区</w:t>
            </w:r>
          </w:p>
          <w:p>
            <w:pPr>
              <w:pStyle w:val="39"/>
              <w:jc w:val="left"/>
              <w:rPr>
                <w:rFonts w:cs="Times New Roman"/>
              </w:rPr>
            </w:pPr>
            <w:r>
              <w:rPr>
                <w:rFonts w:hint="eastAsia" w:ascii="宋体" w:hAnsi="宋体" w:cs="宋体"/>
              </w:rPr>
              <w:t>②</w:t>
            </w:r>
            <w:r>
              <w:rPr>
                <w:rFonts w:cs="Times New Roman"/>
              </w:rPr>
              <w:t>水环境优先保护区——衡阳县台源镇蒸水河饮用水水源保护区</w:t>
            </w:r>
          </w:p>
          <w:p>
            <w:pPr>
              <w:pStyle w:val="39"/>
              <w:jc w:val="left"/>
              <w:rPr>
                <w:rFonts w:cs="Times New Roman"/>
              </w:rPr>
            </w:pPr>
            <w:r>
              <w:rPr>
                <w:rFonts w:hint="eastAsia" w:ascii="宋体" w:hAnsi="宋体" w:cs="宋体"/>
              </w:rPr>
              <w:t>③</w:t>
            </w:r>
            <w:r>
              <w:rPr>
                <w:rFonts w:cs="Times New Roman"/>
              </w:rPr>
              <w:t>农用地优先保护区/其他土壤重点管控区——市县级采矿权</w:t>
            </w:r>
          </w:p>
        </w:tc>
        <w:tc>
          <w:tcPr>
            <w:tcW w:w="1450" w:type="pct"/>
            <w:shd w:val="clear" w:color="auto" w:fill="auto"/>
            <w:vAlign w:val="center"/>
          </w:tcPr>
          <w:p>
            <w:pPr>
              <w:pStyle w:val="39"/>
              <w:rPr>
                <w:rFonts w:cs="Times New Roman"/>
              </w:rPr>
            </w:pPr>
            <w:r>
              <w:rPr>
                <w:rFonts w:hint="eastAsia" w:cs="Times New Roman"/>
              </w:rPr>
              <w:t>本项目不属于公益林、湿地公园、水土流失敏感区，项目废水经化粪池处理后用做农肥，不外排，对</w:t>
            </w:r>
            <w:r>
              <w:rPr>
                <w:rFonts w:cs="Times New Roman"/>
              </w:rPr>
              <w:t>衡阳县台源镇蒸水河饮用水水源保护区</w:t>
            </w:r>
            <w:r>
              <w:rPr>
                <w:rFonts w:hint="eastAsia" w:cs="Times New Roman"/>
              </w:rPr>
              <w:t>基本无影响；不涉及采矿区。</w:t>
            </w:r>
          </w:p>
        </w:tc>
        <w:tc>
          <w:tcPr>
            <w:tcW w:w="529" w:type="pct"/>
            <w:shd w:val="clear" w:color="auto" w:fill="auto"/>
            <w:vAlign w:val="center"/>
          </w:tcPr>
          <w:p>
            <w:pPr>
              <w:pStyle w:val="39"/>
              <w:rPr>
                <w:rFonts w:cs="Times New Roman"/>
              </w:rPr>
            </w:pPr>
            <w:r>
              <w:rPr>
                <w:rFonts w:hint="eastAsia" w:cs="Times New Roma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23" w:type="pct"/>
            <w:shd w:val="clear" w:color="auto" w:fill="auto"/>
            <w:vAlign w:val="center"/>
          </w:tcPr>
          <w:p>
            <w:pPr>
              <w:pStyle w:val="39"/>
              <w:rPr>
                <w:rFonts w:cs="Times New Roman"/>
              </w:rPr>
            </w:pPr>
            <w:r>
              <w:rPr>
                <w:rFonts w:cs="Times New Roman"/>
              </w:rPr>
              <w:t>空间布局约束</w:t>
            </w:r>
          </w:p>
        </w:tc>
        <w:tc>
          <w:tcPr>
            <w:tcW w:w="2498" w:type="pct"/>
            <w:shd w:val="clear" w:color="auto" w:fill="auto"/>
            <w:vAlign w:val="center"/>
          </w:tcPr>
          <w:p>
            <w:pPr>
              <w:pStyle w:val="39"/>
              <w:jc w:val="left"/>
              <w:rPr>
                <w:rFonts w:cs="Times New Roman"/>
              </w:rPr>
            </w:pPr>
            <w:r>
              <w:rPr>
                <w:rFonts w:cs="Times New Roman"/>
              </w:rPr>
              <w:t>（1.1）新建涉VOCs排放的工业企业要入园区；</w:t>
            </w:r>
          </w:p>
          <w:p>
            <w:pPr>
              <w:pStyle w:val="39"/>
              <w:jc w:val="left"/>
              <w:rPr>
                <w:rFonts w:cs="Times New Roman"/>
              </w:rPr>
            </w:pPr>
            <w:r>
              <w:rPr>
                <w:rFonts w:cs="Times New Roman"/>
              </w:rPr>
              <w:t>（1.2）养殖业按划定的禁养区、限养区、适养区实施分类管理。</w:t>
            </w:r>
          </w:p>
        </w:tc>
        <w:tc>
          <w:tcPr>
            <w:tcW w:w="1450" w:type="pct"/>
            <w:shd w:val="clear" w:color="auto" w:fill="auto"/>
            <w:vAlign w:val="center"/>
          </w:tcPr>
          <w:p>
            <w:pPr>
              <w:pStyle w:val="39"/>
              <w:rPr>
                <w:rFonts w:cs="Times New Roman"/>
              </w:rPr>
            </w:pPr>
            <w:r>
              <w:rPr>
                <w:rFonts w:cs="Times New Roman"/>
              </w:rPr>
              <w:t>本项目为</w:t>
            </w:r>
            <w:r>
              <w:rPr>
                <w:rFonts w:hint="eastAsia" w:cs="Times New Roman"/>
              </w:rPr>
              <w:t>养鸡场，不属于</w:t>
            </w:r>
            <w:r>
              <w:rPr>
                <w:rFonts w:cs="Times New Roman"/>
              </w:rPr>
              <w:t>养殖业按划定的禁养区、限养区</w:t>
            </w:r>
            <w:r>
              <w:rPr>
                <w:rFonts w:hint="eastAsia" w:cs="Times New Roman"/>
              </w:rPr>
              <w:t>。</w:t>
            </w:r>
          </w:p>
        </w:tc>
        <w:tc>
          <w:tcPr>
            <w:tcW w:w="529" w:type="pct"/>
            <w:shd w:val="clear" w:color="auto" w:fill="auto"/>
            <w:vAlign w:val="center"/>
          </w:tcPr>
          <w:p>
            <w:pPr>
              <w:pStyle w:val="39"/>
              <w:rPr>
                <w:rFonts w:cs="Times New Roman"/>
              </w:rPr>
            </w:pPr>
            <w:r>
              <w:rPr>
                <w:rFonts w:cs="Times New Roma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23" w:type="pct"/>
            <w:shd w:val="clear" w:color="auto" w:fill="auto"/>
            <w:vAlign w:val="center"/>
          </w:tcPr>
          <w:p>
            <w:pPr>
              <w:pStyle w:val="39"/>
              <w:rPr>
                <w:rFonts w:cs="Times New Roman"/>
              </w:rPr>
            </w:pPr>
            <w:r>
              <w:rPr>
                <w:rFonts w:cs="Times New Roman"/>
              </w:rPr>
              <w:t>污染物排放管控</w:t>
            </w:r>
          </w:p>
        </w:tc>
        <w:tc>
          <w:tcPr>
            <w:tcW w:w="2498" w:type="pct"/>
            <w:shd w:val="clear" w:color="auto" w:fill="auto"/>
            <w:vAlign w:val="center"/>
          </w:tcPr>
          <w:p>
            <w:pPr>
              <w:pStyle w:val="39"/>
              <w:jc w:val="left"/>
              <w:rPr>
                <w:rFonts w:cs="Times New Roman"/>
              </w:rPr>
            </w:pPr>
            <w:r>
              <w:rPr>
                <w:rFonts w:cs="Times New Roman"/>
              </w:rPr>
              <w:t>（2.1）完善污水收集配套管网，工业集聚区要建立水环境管理档案，实现“一园一档”。新建、升级园区应同步规划和建设污水、垃圾集中处理等污染治理设施。加强城镇污水管网建设，提高城镇污水处理率。启动乡镇污水处理设施及配套管网建设，建制镇污水处理率达到55%，污水处理设施产生的污泥应进行稳定化、无害化和资源化处理处置。</w:t>
            </w:r>
          </w:p>
          <w:p>
            <w:pPr>
              <w:pStyle w:val="39"/>
              <w:jc w:val="left"/>
              <w:rPr>
                <w:rFonts w:cs="Times New Roman"/>
              </w:rPr>
            </w:pPr>
            <w:r>
              <w:rPr>
                <w:rFonts w:cs="Times New Roman"/>
              </w:rPr>
              <w:t>（2.2）完成“散乱污”涉气企业整治工作，重点工业企业完成无组织排放治理改造，强制推进清洁生产审核；实行区域内VOCs 排放等量或倍量削减替代，交通运输设备制造、工程机械制造和家具制造行业全面推行油性漆改水性漆。加快推进园区内淘汰取缔燃煤小锅炉、实施集中供热、清洁能源替代。禁止露天烧烤直排，禁止垃圾、秸秆和落叶露天焚烧。</w:t>
            </w:r>
          </w:p>
          <w:p>
            <w:pPr>
              <w:pStyle w:val="39"/>
              <w:jc w:val="left"/>
              <w:rPr>
                <w:rFonts w:cs="Times New Roman"/>
              </w:rPr>
            </w:pPr>
            <w:r>
              <w:rPr>
                <w:rFonts w:cs="Times New Roman"/>
              </w:rPr>
              <w:t>（2.3）积极推进垃圾收运体系建设，建设覆盖城乡的垃圾收运系统；严格监督分类垃圾分类收集、分类处理。推进农村环境综合整治全县域覆盖；畜禽规模养殖场（小区）配套建设废弃物处理设施的比例达到85%以上。</w:t>
            </w:r>
          </w:p>
        </w:tc>
        <w:tc>
          <w:tcPr>
            <w:tcW w:w="1450" w:type="pct"/>
            <w:shd w:val="clear" w:color="auto" w:fill="auto"/>
            <w:vAlign w:val="center"/>
          </w:tcPr>
          <w:p>
            <w:pPr>
              <w:pStyle w:val="39"/>
              <w:rPr>
                <w:rFonts w:cs="Times New Roman"/>
              </w:rPr>
            </w:pPr>
            <w:r>
              <w:rPr>
                <w:rFonts w:cs="Times New Roman"/>
              </w:rPr>
              <w:t>本项目位于</w:t>
            </w:r>
            <w:r>
              <w:rPr>
                <w:rFonts w:hint="eastAsia" w:cs="Times New Roman"/>
              </w:rPr>
              <w:t>衡阳县台源镇前进村财冲组和东湖寺村近斯塘组</w:t>
            </w:r>
            <w:r>
              <w:rPr>
                <w:rFonts w:cs="Times New Roman"/>
              </w:rPr>
              <w:t>，不属于工业园区范围，同时本项目废水</w:t>
            </w:r>
            <w:r>
              <w:rPr>
                <w:rFonts w:hint="eastAsia" w:cs="Times New Roman"/>
              </w:rPr>
              <w:t>经过化粪池处理后用作农肥</w:t>
            </w:r>
            <w:r>
              <w:rPr>
                <w:rFonts w:cs="Times New Roman"/>
              </w:rPr>
              <w:t>；本项目不属于重点工业企业，项目区域</w:t>
            </w:r>
            <w:r>
              <w:rPr>
                <w:rFonts w:hint="eastAsia" w:cs="Times New Roman"/>
              </w:rPr>
              <w:t>内</w:t>
            </w:r>
            <w:r>
              <w:rPr>
                <w:rFonts w:cs="Times New Roman"/>
              </w:rPr>
              <w:t>覆盖垃圾收运体系</w:t>
            </w:r>
            <w:r>
              <w:rPr>
                <w:rFonts w:hint="eastAsia" w:cs="Times New Roman"/>
              </w:rPr>
              <w:t>，本项目为</w:t>
            </w:r>
            <w:r>
              <w:rPr>
                <w:rFonts w:cs="Times New Roman"/>
              </w:rPr>
              <w:t>畜禽规模养殖场（小区）</w:t>
            </w:r>
            <w:r>
              <w:rPr>
                <w:rFonts w:hint="eastAsia" w:cs="Times New Roman"/>
              </w:rPr>
              <w:t>，鸡粪通过干燥处理作为有机肥外售，其他各类固废均能得到妥善的处理处置，</w:t>
            </w:r>
            <w:r>
              <w:rPr>
                <w:rFonts w:cs="Times New Roman"/>
              </w:rPr>
              <w:t>废弃物处理设施的比例达到85%以上。</w:t>
            </w:r>
          </w:p>
        </w:tc>
        <w:tc>
          <w:tcPr>
            <w:tcW w:w="529" w:type="pct"/>
            <w:shd w:val="clear" w:color="auto" w:fill="auto"/>
            <w:vAlign w:val="center"/>
          </w:tcPr>
          <w:p>
            <w:pPr>
              <w:pStyle w:val="39"/>
              <w:rPr>
                <w:rFonts w:cs="Times New Roman"/>
              </w:rPr>
            </w:pPr>
            <w:r>
              <w:rPr>
                <w:rFonts w:cs="Times New Roma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23" w:type="pct"/>
            <w:shd w:val="clear" w:color="auto" w:fill="auto"/>
            <w:vAlign w:val="center"/>
          </w:tcPr>
          <w:p>
            <w:pPr>
              <w:pStyle w:val="39"/>
              <w:rPr>
                <w:rFonts w:cs="Times New Roman"/>
              </w:rPr>
            </w:pPr>
            <w:r>
              <w:rPr>
                <w:rFonts w:cs="Times New Roman"/>
              </w:rPr>
              <w:t>环境风险防控</w:t>
            </w:r>
          </w:p>
        </w:tc>
        <w:tc>
          <w:tcPr>
            <w:tcW w:w="2498" w:type="pct"/>
            <w:shd w:val="clear" w:color="auto" w:fill="auto"/>
            <w:vAlign w:val="center"/>
          </w:tcPr>
          <w:p>
            <w:pPr>
              <w:pStyle w:val="39"/>
              <w:jc w:val="left"/>
              <w:rPr>
                <w:rFonts w:cs="Times New Roman"/>
              </w:rPr>
            </w:pPr>
            <w:r>
              <w:rPr>
                <w:rFonts w:cs="Times New Roman"/>
              </w:rPr>
              <w:t>（3.1）加强环境风险防控和应急管理，制定和完善突发环境事件和饮用水水源地突发环境事件应急预案，加强风险防控和突发环境事件应急处理处置能力。</w:t>
            </w:r>
          </w:p>
          <w:p>
            <w:pPr>
              <w:pStyle w:val="39"/>
              <w:jc w:val="left"/>
              <w:rPr>
                <w:rFonts w:cs="Times New Roman"/>
              </w:rPr>
            </w:pPr>
            <w:r>
              <w:rPr>
                <w:rFonts w:cs="Times New Roman"/>
              </w:rPr>
              <w:t>（3.2）根据建设用地土壤环境调查评估及现有重金属污染场地调查结果，逐步建立污染地块名录及其开发利用的负面清单，合理确定土地用途。土地开发利用必须符合土壤环境质量要求。各部门在编制土地利用总体规划、城市总体规划、控制性详细规划等相关规划时，应充分考虑污染地块的环境风险，合理确定土地用途。制定实施受污染耕地安全利用方案，采取农艺调控、化学阻控、替代种植等措施，降低农产品重金属超标风险。暂时不能进行治理修复的污染地块，设置标志标识围栏，根据各地块的环境因地制宜采取建设撇洪导流沟渠、地表覆盖等措施减少雨水冲刷等风险管控措施。在未完成治理并通过验收前，不得用于农业、畜牧业以及工商业开发建设。</w:t>
            </w:r>
          </w:p>
        </w:tc>
        <w:tc>
          <w:tcPr>
            <w:tcW w:w="1450" w:type="pct"/>
            <w:shd w:val="clear" w:color="auto" w:fill="auto"/>
            <w:vAlign w:val="center"/>
          </w:tcPr>
          <w:p>
            <w:pPr>
              <w:pStyle w:val="39"/>
              <w:rPr>
                <w:rFonts w:cs="Times New Roman"/>
              </w:rPr>
            </w:pPr>
            <w:r>
              <w:rPr>
                <w:rFonts w:cs="Times New Roman"/>
              </w:rPr>
              <w:t>本项目</w:t>
            </w:r>
            <w:r>
              <w:rPr>
                <w:rFonts w:hint="eastAsia" w:cs="Times New Roman"/>
              </w:rPr>
              <w:t>为养鸡场</w:t>
            </w:r>
            <w:r>
              <w:rPr>
                <w:rFonts w:cs="Times New Roman"/>
              </w:rPr>
              <w:t>，</w:t>
            </w:r>
            <w:r>
              <w:rPr>
                <w:rFonts w:hint="eastAsia" w:cs="Times New Roman"/>
              </w:rPr>
              <w:t>属于农用地设施用地性质，不占用生态红线，用地不属于污染地块，且</w:t>
            </w:r>
            <w:r>
              <w:rPr>
                <w:rFonts w:cs="Times New Roman"/>
              </w:rPr>
              <w:t>已办理</w:t>
            </w:r>
            <w:r>
              <w:rPr>
                <w:rFonts w:hint="eastAsia" w:cs="Times New Roman"/>
              </w:rPr>
              <w:t>土地流转手续</w:t>
            </w:r>
            <w:r>
              <w:rPr>
                <w:rFonts w:cs="Times New Roman"/>
              </w:rPr>
              <w:t>手续，评价建议后期建设单位编制突发环境事件应急预案。</w:t>
            </w:r>
          </w:p>
        </w:tc>
        <w:tc>
          <w:tcPr>
            <w:tcW w:w="529" w:type="pct"/>
            <w:shd w:val="clear" w:color="auto" w:fill="auto"/>
            <w:vAlign w:val="center"/>
          </w:tcPr>
          <w:p>
            <w:pPr>
              <w:pStyle w:val="39"/>
              <w:rPr>
                <w:rFonts w:cs="Times New Roman"/>
              </w:rPr>
            </w:pPr>
            <w:r>
              <w:rPr>
                <w:rFonts w:cs="Times New Roma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23" w:type="pct"/>
            <w:shd w:val="clear" w:color="auto" w:fill="auto"/>
            <w:vAlign w:val="center"/>
          </w:tcPr>
          <w:p>
            <w:pPr>
              <w:pStyle w:val="39"/>
              <w:rPr>
                <w:rFonts w:cs="Times New Roman"/>
              </w:rPr>
            </w:pPr>
            <w:r>
              <w:rPr>
                <w:rFonts w:cs="Times New Roman"/>
              </w:rPr>
              <w:t>资源开发效率要求</w:t>
            </w:r>
          </w:p>
        </w:tc>
        <w:tc>
          <w:tcPr>
            <w:tcW w:w="2498" w:type="pct"/>
            <w:shd w:val="clear" w:color="auto" w:fill="auto"/>
            <w:vAlign w:val="center"/>
          </w:tcPr>
          <w:p>
            <w:pPr>
              <w:pStyle w:val="39"/>
              <w:jc w:val="left"/>
              <w:rPr>
                <w:rFonts w:cs="Times New Roman"/>
              </w:rPr>
            </w:pPr>
            <w:r>
              <w:rPr>
                <w:rFonts w:cs="Times New Roman"/>
              </w:rPr>
              <w:t>（4.1）能源：强化节能环保标准约束，严格行业规范、准入管理和节能审查，对电力、钢铁、建材、有色、化工、石油石化、煤炭、造纸等行业中，环保、能耗、安全等不达标或生产、使用淘汰类产品的企业和产能，依法依规改造升级或有序退出。推广使用优质煤、洁净型煤，推进煤改气、煤改电，鼓励利用可再生能源、天然气、电力等优质能源替代燃煤使用。</w:t>
            </w:r>
          </w:p>
          <w:p>
            <w:pPr>
              <w:pStyle w:val="39"/>
              <w:jc w:val="left"/>
              <w:rPr>
                <w:rFonts w:cs="Times New Roman"/>
              </w:rPr>
            </w:pPr>
            <w:r>
              <w:rPr>
                <w:rFonts w:cs="Times New Roman"/>
              </w:rPr>
              <w:t>（4.2）水资源：大力推进农业、工业、城镇节水，全面推进节水型社会建设。</w:t>
            </w:r>
          </w:p>
        </w:tc>
        <w:tc>
          <w:tcPr>
            <w:tcW w:w="1450" w:type="pct"/>
            <w:shd w:val="clear" w:color="auto" w:fill="auto"/>
            <w:vAlign w:val="center"/>
          </w:tcPr>
          <w:p>
            <w:pPr>
              <w:pStyle w:val="39"/>
              <w:rPr>
                <w:rFonts w:cs="Times New Roman"/>
              </w:rPr>
            </w:pPr>
            <w:r>
              <w:rPr>
                <w:rFonts w:cs="Times New Roman"/>
              </w:rPr>
              <w:t>本项目涉及的能源</w:t>
            </w:r>
            <w:r>
              <w:rPr>
                <w:rFonts w:hint="eastAsia" w:cs="Times New Roman"/>
              </w:rPr>
              <w:t>为电及环保生物质合理</w:t>
            </w:r>
            <w:r>
              <w:rPr>
                <w:rFonts w:cs="Times New Roman"/>
              </w:rPr>
              <w:t>，本项目用水</w:t>
            </w:r>
            <w:r>
              <w:rPr>
                <w:rFonts w:hint="eastAsia" w:cs="Times New Roman"/>
              </w:rPr>
              <w:t>为水井取水，采用全自动</w:t>
            </w:r>
            <w:r>
              <w:rPr>
                <w:rFonts w:cs="Times New Roman"/>
              </w:rPr>
              <w:t>乳头式饮</w:t>
            </w:r>
            <w:r>
              <w:rPr>
                <w:rFonts w:hint="eastAsia" w:cs="Times New Roman"/>
              </w:rPr>
              <w:t>水设施</w:t>
            </w:r>
            <w:r>
              <w:rPr>
                <w:rFonts w:cs="Times New Roman"/>
              </w:rPr>
              <w:t>，</w:t>
            </w:r>
            <w:r>
              <w:rPr>
                <w:rFonts w:hint="eastAsia" w:cs="Times New Roman"/>
              </w:rPr>
              <w:t>可有效</w:t>
            </w:r>
            <w:r>
              <w:rPr>
                <w:rFonts w:cs="Times New Roman"/>
              </w:rPr>
              <w:t>节约用水</w:t>
            </w:r>
            <w:r>
              <w:rPr>
                <w:rFonts w:hint="eastAsia" w:cs="Times New Roman"/>
              </w:rPr>
              <w:t>。</w:t>
            </w:r>
          </w:p>
        </w:tc>
        <w:tc>
          <w:tcPr>
            <w:tcW w:w="529" w:type="pct"/>
            <w:shd w:val="clear" w:color="auto" w:fill="auto"/>
            <w:vAlign w:val="center"/>
          </w:tcPr>
          <w:p>
            <w:pPr>
              <w:pStyle w:val="39"/>
              <w:rPr>
                <w:rFonts w:cs="Times New Roman"/>
              </w:rPr>
            </w:pPr>
            <w:r>
              <w:rPr>
                <w:rFonts w:cs="Times New Roman"/>
              </w:rPr>
              <w:t>符合</w:t>
            </w:r>
          </w:p>
        </w:tc>
      </w:tr>
    </w:tbl>
    <w:p>
      <w:pPr>
        <w:pStyle w:val="3"/>
        <w:ind w:firstLine="480"/>
      </w:pPr>
    </w:p>
    <w:p>
      <w:pPr>
        <w:pStyle w:val="5"/>
        <w:rPr>
          <w:rFonts w:cs="Times New Roman"/>
        </w:rPr>
      </w:pPr>
      <w:bookmarkStart w:id="58" w:name="_Toc516215015"/>
      <w:bookmarkStart w:id="59" w:name="_Toc80889095"/>
      <w:bookmarkStart w:id="60" w:name="_Toc46322516"/>
      <w:r>
        <w:rPr>
          <w:rFonts w:cs="Times New Roman"/>
        </w:rPr>
        <w:t>制约因素</w:t>
      </w:r>
      <w:bookmarkEnd w:id="58"/>
      <w:bookmarkEnd w:id="59"/>
      <w:bookmarkEnd w:id="60"/>
    </w:p>
    <w:p>
      <w:pPr>
        <w:pStyle w:val="3"/>
        <w:ind w:firstLine="480"/>
        <w:rPr>
          <w:rFonts w:cs="Times New Roman"/>
          <w:lang w:val="zh-CN"/>
        </w:rPr>
      </w:pPr>
      <w:r>
        <w:rPr>
          <w:rFonts w:cs="Times New Roman"/>
          <w:lang w:val="zh-CN"/>
        </w:rPr>
        <w:t>从项目拟建地环境现状监测情况可知，本项目所在区域环境空气、地表水环境、地下水环境、声环境就及土壤环境均符合相应的国家标准要求。</w:t>
      </w:r>
    </w:p>
    <w:p>
      <w:pPr>
        <w:pStyle w:val="3"/>
        <w:ind w:firstLine="480"/>
        <w:rPr>
          <w:rFonts w:cs="Times New Roman"/>
        </w:rPr>
      </w:pPr>
      <w:r>
        <w:rPr>
          <w:rFonts w:cs="Times New Roman"/>
        </w:rPr>
        <w:t>根据大气环境防护距离及卫生防护距离的分析，项目防护距离设为100m，根据现场踏勘，本项目场界周边100m范围</w:t>
      </w:r>
      <w:r>
        <w:rPr>
          <w:rFonts w:hint="eastAsia" w:cs="Times New Roman"/>
        </w:rPr>
        <w:t>有</w:t>
      </w:r>
      <w:r>
        <w:rPr>
          <w:rFonts w:cs="Times New Roman"/>
        </w:rPr>
        <w:t>5</w:t>
      </w:r>
      <w:r>
        <w:rPr>
          <w:rFonts w:hint="eastAsia" w:cs="Times New Roman"/>
        </w:rPr>
        <w:t>户</w:t>
      </w:r>
      <w:r>
        <w:rPr>
          <w:rFonts w:cs="Times New Roman"/>
        </w:rPr>
        <w:t>住户居住</w:t>
      </w:r>
      <w:r>
        <w:rPr>
          <w:rFonts w:hint="eastAsia" w:cs="Times New Roman"/>
        </w:rPr>
        <w:t>，目前建设单位正在与卫生防护距离内的住户签订租赁合同，待房屋租赁合同签订完成后</w:t>
      </w:r>
      <w:r>
        <w:rPr>
          <w:rFonts w:cs="Times New Roman"/>
        </w:rPr>
        <w:t>；本项目无明显的环境制约因素。</w:t>
      </w:r>
    </w:p>
    <w:p>
      <w:pPr>
        <w:pStyle w:val="3"/>
        <w:ind w:firstLine="480"/>
      </w:pPr>
      <w:r>
        <w:rPr>
          <w:rFonts w:cs="Times New Roman"/>
        </w:rPr>
        <w:t>评价建议有关部门对此范围内土地利用规划进行控制，禁止新建学校、医院、集中居民区等环境敏感目标，避免项目建成投产后产生污染事件。</w:t>
      </w:r>
    </w:p>
    <w:p>
      <w:pPr>
        <w:pStyle w:val="3"/>
        <w:ind w:firstLine="480"/>
      </w:pPr>
      <w:r>
        <w:br w:type="page"/>
      </w:r>
    </w:p>
    <w:p>
      <w:pPr>
        <w:pStyle w:val="2"/>
      </w:pPr>
      <w:bookmarkStart w:id="61" w:name="_Toc80889096"/>
      <w:r>
        <w:rPr>
          <w:rFonts w:hint="eastAsia"/>
        </w:rPr>
        <w:t>环境</w:t>
      </w:r>
      <w:r>
        <w:t>经济损益分析</w:t>
      </w:r>
      <w:bookmarkEnd w:id="61"/>
    </w:p>
    <w:p>
      <w:pPr>
        <w:pStyle w:val="3"/>
        <w:ind w:firstLine="480"/>
        <w:rPr>
          <w:rFonts w:cs="Times New Roman"/>
        </w:rPr>
      </w:pPr>
      <w:r>
        <w:rPr>
          <w:rFonts w:cs="Times New Roman"/>
        </w:rPr>
        <w:t>环境经济损益分析是环境影响评价的一项重要工作内容，其主要任务是估算建设项目需要投入的环保投资和所能收到的环境保护效果。因此，在环境经济损益分析中，除需计算用于控制污染所需投资和费用外，还要同时核算可能收到的环境与经济实效。</w:t>
      </w:r>
    </w:p>
    <w:p>
      <w:pPr>
        <w:pStyle w:val="3"/>
        <w:ind w:firstLine="480"/>
        <w:rPr>
          <w:rFonts w:cs="Times New Roman"/>
        </w:rPr>
      </w:pPr>
      <w:r>
        <w:rPr>
          <w:rFonts w:cs="Times New Roman"/>
        </w:rPr>
        <w:t>然而，经济效益比较直观，很容易用货币直接计算，而污染影响带来的损失一般是间接的，很难用货币直接计算。因此，目前环境影响经济损益的定量分析难度较大，本项目环境经济损益采用定性与半定量相结合的方法进行简要分析。</w:t>
      </w:r>
    </w:p>
    <w:p>
      <w:pPr>
        <w:pStyle w:val="5"/>
        <w:rPr>
          <w:rFonts w:cs="Times New Roman"/>
        </w:rPr>
      </w:pPr>
      <w:bookmarkStart w:id="62" w:name="_Toc80889097"/>
      <w:bookmarkStart w:id="63" w:name="_Toc46322518"/>
      <w:bookmarkStart w:id="64" w:name="_Toc8847"/>
      <w:bookmarkStart w:id="65" w:name="_Toc26679"/>
      <w:bookmarkStart w:id="66" w:name="_Toc26230"/>
      <w:r>
        <w:rPr>
          <w:rFonts w:cs="Times New Roman"/>
        </w:rPr>
        <w:t>环保投资分析</w:t>
      </w:r>
      <w:bookmarkEnd w:id="62"/>
      <w:bookmarkEnd w:id="63"/>
      <w:bookmarkEnd w:id="64"/>
      <w:bookmarkEnd w:id="65"/>
      <w:bookmarkEnd w:id="66"/>
    </w:p>
    <w:p>
      <w:pPr>
        <w:pStyle w:val="3"/>
        <w:ind w:firstLine="480"/>
        <w:rPr>
          <w:rFonts w:cs="Times New Roman"/>
          <w:u w:val="single"/>
        </w:rPr>
      </w:pPr>
      <w:r>
        <w:rPr>
          <w:rFonts w:cs="Times New Roman"/>
          <w:u w:val="single"/>
        </w:rPr>
        <w:t>《建设项目环境保护设计规定》规定：“凡属于污染治理和保护环境所需的装置、设备、监测手段和工程设施等属于环境保护设施”，“凡有环境保护设施的建设项目均应列入环境保护设施的投资概算”。根据工程分析和环境影响预测可知，项目建成投产后，产生的废气、废水、噪声、废渣等将对周围环境造成一定的影响，因此必须投入一定的资金，采取相应的污染治理措施，使工程对环境的影响降到最小程度。本项目分两期建设，项目具体的环保措施及投资估算见表8.1-1。</w:t>
      </w:r>
    </w:p>
    <w:p>
      <w:pPr>
        <w:pStyle w:val="15"/>
        <w:ind w:left="420" w:hanging="420"/>
        <w:rPr>
          <w:rFonts w:cs="Times New Roman"/>
          <w:u w:val="single"/>
        </w:rPr>
      </w:pPr>
      <w:r>
        <w:rPr>
          <w:rFonts w:cs="Times New Roman"/>
          <w:u w:val="single"/>
        </w:rPr>
        <w:t>表8.1-1    环保措施投资估算表</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0"/>
        <w:gridCol w:w="426"/>
        <w:gridCol w:w="1134"/>
        <w:gridCol w:w="4537"/>
        <w:gridCol w:w="1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00" w:type="pct"/>
            <w:vAlign w:val="center"/>
          </w:tcPr>
          <w:p>
            <w:pPr>
              <w:pStyle w:val="39"/>
              <w:rPr>
                <w:rFonts w:cs="Times New Roman"/>
                <w:u w:val="single"/>
              </w:rPr>
            </w:pPr>
            <w:r>
              <w:rPr>
                <w:rFonts w:cs="Times New Roman"/>
                <w:u w:val="single"/>
              </w:rPr>
              <w:t>时段</w:t>
            </w:r>
          </w:p>
        </w:tc>
        <w:tc>
          <w:tcPr>
            <w:tcW w:w="850" w:type="pct"/>
            <w:gridSpan w:val="2"/>
            <w:vAlign w:val="center"/>
          </w:tcPr>
          <w:p>
            <w:pPr>
              <w:pStyle w:val="39"/>
              <w:rPr>
                <w:rFonts w:cs="Times New Roman"/>
                <w:u w:val="single"/>
              </w:rPr>
            </w:pPr>
            <w:r>
              <w:rPr>
                <w:rFonts w:cs="Times New Roman"/>
                <w:u w:val="single"/>
              </w:rPr>
              <w:t>污染源</w:t>
            </w:r>
          </w:p>
        </w:tc>
        <w:tc>
          <w:tcPr>
            <w:tcW w:w="2473" w:type="pct"/>
            <w:vAlign w:val="center"/>
          </w:tcPr>
          <w:p>
            <w:pPr>
              <w:pStyle w:val="39"/>
              <w:rPr>
                <w:rFonts w:cs="Times New Roman"/>
                <w:u w:val="single"/>
              </w:rPr>
            </w:pPr>
            <w:r>
              <w:rPr>
                <w:rFonts w:cs="Times New Roman"/>
                <w:u w:val="single"/>
              </w:rPr>
              <w:t>环保设施名称</w:t>
            </w:r>
          </w:p>
        </w:tc>
        <w:tc>
          <w:tcPr>
            <w:tcW w:w="1077" w:type="pct"/>
            <w:vAlign w:val="center"/>
          </w:tcPr>
          <w:p>
            <w:pPr>
              <w:pStyle w:val="39"/>
              <w:rPr>
                <w:rFonts w:cs="Times New Roman"/>
                <w:u w:val="single"/>
              </w:rPr>
            </w:pPr>
            <w:r>
              <w:rPr>
                <w:rFonts w:cs="Times New Roman"/>
                <w:u w:val="single"/>
              </w:rPr>
              <w:t>投资（万元）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00" w:type="pct"/>
            <w:vMerge w:val="restart"/>
            <w:vAlign w:val="center"/>
          </w:tcPr>
          <w:p>
            <w:pPr>
              <w:pStyle w:val="39"/>
              <w:rPr>
                <w:rFonts w:cs="Times New Roman"/>
                <w:u w:val="single"/>
              </w:rPr>
            </w:pPr>
            <w:r>
              <w:rPr>
                <w:rFonts w:cs="Times New Roman"/>
                <w:u w:val="single"/>
              </w:rPr>
              <w:t>施工期</w:t>
            </w:r>
          </w:p>
        </w:tc>
        <w:tc>
          <w:tcPr>
            <w:tcW w:w="850" w:type="pct"/>
            <w:gridSpan w:val="2"/>
            <w:vAlign w:val="center"/>
          </w:tcPr>
          <w:p>
            <w:pPr>
              <w:pStyle w:val="39"/>
              <w:rPr>
                <w:rFonts w:cs="Times New Roman"/>
                <w:u w:val="single"/>
              </w:rPr>
            </w:pPr>
            <w:r>
              <w:rPr>
                <w:rFonts w:cs="Times New Roman"/>
                <w:u w:val="single"/>
              </w:rPr>
              <w:t>废水处理</w:t>
            </w:r>
          </w:p>
        </w:tc>
        <w:tc>
          <w:tcPr>
            <w:tcW w:w="2473" w:type="pct"/>
            <w:vAlign w:val="center"/>
          </w:tcPr>
          <w:p>
            <w:pPr>
              <w:pStyle w:val="39"/>
              <w:rPr>
                <w:rFonts w:cs="Times New Roman"/>
                <w:u w:val="single"/>
              </w:rPr>
            </w:pPr>
            <w:r>
              <w:rPr>
                <w:rFonts w:cs="Times New Roman"/>
                <w:u w:val="single"/>
              </w:rPr>
              <w:t>隔油沉淀池（2×2×1m）</w:t>
            </w:r>
          </w:p>
        </w:tc>
        <w:tc>
          <w:tcPr>
            <w:tcW w:w="1077" w:type="pct"/>
            <w:vAlign w:val="center"/>
          </w:tcPr>
          <w:p>
            <w:pPr>
              <w:pStyle w:val="39"/>
              <w:rPr>
                <w:rFonts w:cs="Times New Roman"/>
                <w:u w:val="single"/>
              </w:rPr>
            </w:pPr>
            <w:r>
              <w:rPr>
                <w:rFonts w:cs="Times New Roman"/>
                <w:u w:val="singl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600" w:type="pct"/>
            <w:vMerge w:val="continue"/>
            <w:vAlign w:val="center"/>
          </w:tcPr>
          <w:p>
            <w:pPr>
              <w:pStyle w:val="39"/>
              <w:rPr>
                <w:rFonts w:cs="Times New Roman"/>
                <w:u w:val="single"/>
              </w:rPr>
            </w:pPr>
          </w:p>
        </w:tc>
        <w:tc>
          <w:tcPr>
            <w:tcW w:w="850" w:type="pct"/>
            <w:gridSpan w:val="2"/>
            <w:vAlign w:val="center"/>
          </w:tcPr>
          <w:p>
            <w:pPr>
              <w:pStyle w:val="39"/>
              <w:rPr>
                <w:rFonts w:cs="Times New Roman"/>
                <w:u w:val="single"/>
              </w:rPr>
            </w:pPr>
            <w:r>
              <w:rPr>
                <w:rFonts w:cs="Times New Roman"/>
                <w:u w:val="single"/>
              </w:rPr>
              <w:t>扬尘控制</w:t>
            </w:r>
          </w:p>
        </w:tc>
        <w:tc>
          <w:tcPr>
            <w:tcW w:w="2473" w:type="pct"/>
            <w:vAlign w:val="center"/>
          </w:tcPr>
          <w:p>
            <w:pPr>
              <w:pStyle w:val="39"/>
              <w:rPr>
                <w:rFonts w:cs="Times New Roman"/>
                <w:u w:val="single"/>
              </w:rPr>
            </w:pPr>
            <w:r>
              <w:rPr>
                <w:rFonts w:cs="Times New Roman"/>
                <w:u w:val="single"/>
              </w:rPr>
              <w:t>洒水、覆盖、围栏</w:t>
            </w:r>
          </w:p>
        </w:tc>
        <w:tc>
          <w:tcPr>
            <w:tcW w:w="1077" w:type="pct"/>
            <w:vAlign w:val="center"/>
          </w:tcPr>
          <w:p>
            <w:pPr>
              <w:pStyle w:val="39"/>
              <w:rPr>
                <w:rFonts w:cs="Times New Roman"/>
                <w:u w:val="single"/>
              </w:rPr>
            </w:pPr>
            <w:r>
              <w:rPr>
                <w:rFonts w:cs="Times New Roman"/>
                <w:u w:val="singl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00" w:type="pct"/>
            <w:vMerge w:val="continue"/>
            <w:vAlign w:val="center"/>
          </w:tcPr>
          <w:p>
            <w:pPr>
              <w:pStyle w:val="39"/>
              <w:rPr>
                <w:rFonts w:cs="Times New Roman"/>
                <w:u w:val="single"/>
              </w:rPr>
            </w:pPr>
          </w:p>
        </w:tc>
        <w:tc>
          <w:tcPr>
            <w:tcW w:w="850" w:type="pct"/>
            <w:gridSpan w:val="2"/>
            <w:vAlign w:val="center"/>
          </w:tcPr>
          <w:p>
            <w:pPr>
              <w:pStyle w:val="39"/>
              <w:rPr>
                <w:rFonts w:cs="Times New Roman"/>
                <w:u w:val="single"/>
              </w:rPr>
            </w:pPr>
            <w:r>
              <w:rPr>
                <w:rFonts w:cs="Times New Roman"/>
                <w:u w:val="single"/>
              </w:rPr>
              <w:t>噪声控制</w:t>
            </w:r>
          </w:p>
        </w:tc>
        <w:tc>
          <w:tcPr>
            <w:tcW w:w="2473" w:type="pct"/>
            <w:vAlign w:val="center"/>
          </w:tcPr>
          <w:p>
            <w:pPr>
              <w:pStyle w:val="39"/>
              <w:rPr>
                <w:rFonts w:cs="Times New Roman"/>
                <w:u w:val="single"/>
              </w:rPr>
            </w:pPr>
            <w:r>
              <w:rPr>
                <w:rFonts w:cs="Times New Roman"/>
                <w:u w:val="single"/>
              </w:rPr>
              <w:t>临时围挡墙、临时声屏障</w:t>
            </w:r>
          </w:p>
        </w:tc>
        <w:tc>
          <w:tcPr>
            <w:tcW w:w="1077" w:type="pct"/>
            <w:vAlign w:val="center"/>
          </w:tcPr>
          <w:p>
            <w:pPr>
              <w:pStyle w:val="39"/>
              <w:rPr>
                <w:rFonts w:cs="Times New Roman"/>
                <w:u w:val="single"/>
              </w:rPr>
            </w:pPr>
            <w:r>
              <w:rPr>
                <w:rFonts w:cs="Times New Roman"/>
                <w:u w:val="singl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00" w:type="pct"/>
            <w:vMerge w:val="continue"/>
            <w:vAlign w:val="center"/>
          </w:tcPr>
          <w:p>
            <w:pPr>
              <w:pStyle w:val="39"/>
              <w:rPr>
                <w:rFonts w:cs="Times New Roman"/>
                <w:u w:val="single"/>
              </w:rPr>
            </w:pPr>
          </w:p>
        </w:tc>
        <w:tc>
          <w:tcPr>
            <w:tcW w:w="850" w:type="pct"/>
            <w:gridSpan w:val="2"/>
            <w:vAlign w:val="center"/>
          </w:tcPr>
          <w:p>
            <w:pPr>
              <w:pStyle w:val="39"/>
              <w:rPr>
                <w:rFonts w:cs="Times New Roman"/>
                <w:u w:val="single"/>
              </w:rPr>
            </w:pPr>
            <w:r>
              <w:rPr>
                <w:rFonts w:cs="Times New Roman"/>
                <w:u w:val="single"/>
              </w:rPr>
              <w:t>固废处理</w:t>
            </w:r>
          </w:p>
        </w:tc>
        <w:tc>
          <w:tcPr>
            <w:tcW w:w="2473" w:type="pct"/>
            <w:vAlign w:val="center"/>
          </w:tcPr>
          <w:p>
            <w:pPr>
              <w:pStyle w:val="39"/>
              <w:rPr>
                <w:rFonts w:cs="Times New Roman"/>
                <w:u w:val="single"/>
              </w:rPr>
            </w:pPr>
            <w:r>
              <w:rPr>
                <w:rFonts w:cs="Times New Roman"/>
                <w:u w:val="single"/>
              </w:rPr>
              <w:t>垃圾收集及清运</w:t>
            </w:r>
          </w:p>
        </w:tc>
        <w:tc>
          <w:tcPr>
            <w:tcW w:w="1077" w:type="pct"/>
            <w:vAlign w:val="center"/>
          </w:tcPr>
          <w:p>
            <w:pPr>
              <w:pStyle w:val="39"/>
              <w:rPr>
                <w:rFonts w:cs="Times New Roman"/>
                <w:u w:val="single"/>
              </w:rPr>
            </w:pPr>
            <w:r>
              <w:rPr>
                <w:rFonts w:cs="Times New Roman"/>
                <w:u w:val="singl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00" w:type="pct"/>
            <w:vMerge w:val="continue"/>
            <w:vAlign w:val="center"/>
          </w:tcPr>
          <w:p>
            <w:pPr>
              <w:pStyle w:val="39"/>
              <w:rPr>
                <w:rFonts w:cs="Times New Roman"/>
                <w:u w:val="single"/>
              </w:rPr>
            </w:pPr>
          </w:p>
        </w:tc>
        <w:tc>
          <w:tcPr>
            <w:tcW w:w="850" w:type="pct"/>
            <w:gridSpan w:val="2"/>
            <w:vAlign w:val="center"/>
          </w:tcPr>
          <w:p>
            <w:pPr>
              <w:pStyle w:val="39"/>
              <w:rPr>
                <w:rFonts w:cs="Times New Roman"/>
                <w:u w:val="single"/>
              </w:rPr>
            </w:pPr>
            <w:r>
              <w:rPr>
                <w:rFonts w:cs="Times New Roman"/>
                <w:u w:val="single"/>
              </w:rPr>
              <w:t>水土流失</w:t>
            </w:r>
          </w:p>
        </w:tc>
        <w:tc>
          <w:tcPr>
            <w:tcW w:w="2473" w:type="pct"/>
            <w:vAlign w:val="center"/>
          </w:tcPr>
          <w:p>
            <w:pPr>
              <w:pStyle w:val="39"/>
              <w:rPr>
                <w:rFonts w:cs="Times New Roman"/>
                <w:u w:val="single"/>
              </w:rPr>
            </w:pPr>
            <w:r>
              <w:rPr>
                <w:rFonts w:cs="Times New Roman"/>
                <w:u w:val="single"/>
              </w:rPr>
              <w:t>排水系统、渣土覆盖、施工地生态恢复</w:t>
            </w:r>
          </w:p>
        </w:tc>
        <w:tc>
          <w:tcPr>
            <w:tcW w:w="1077" w:type="pct"/>
            <w:vAlign w:val="center"/>
          </w:tcPr>
          <w:p>
            <w:pPr>
              <w:pStyle w:val="39"/>
              <w:rPr>
                <w:rFonts w:cs="Times New Roman"/>
                <w:u w:val="single"/>
              </w:rPr>
            </w:pPr>
            <w:r>
              <w:rPr>
                <w:rFonts w:cs="Times New Roman"/>
                <w:u w:val="singl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00" w:type="pct"/>
            <w:vMerge w:val="continue"/>
            <w:vAlign w:val="center"/>
          </w:tcPr>
          <w:p>
            <w:pPr>
              <w:pStyle w:val="39"/>
              <w:rPr>
                <w:rFonts w:cs="Times New Roman"/>
                <w:u w:val="single"/>
              </w:rPr>
            </w:pPr>
          </w:p>
        </w:tc>
        <w:tc>
          <w:tcPr>
            <w:tcW w:w="3323" w:type="pct"/>
            <w:gridSpan w:val="3"/>
            <w:vAlign w:val="center"/>
          </w:tcPr>
          <w:p>
            <w:pPr>
              <w:pStyle w:val="39"/>
              <w:rPr>
                <w:rFonts w:cs="Times New Roman"/>
                <w:u w:val="single"/>
              </w:rPr>
            </w:pPr>
            <w:r>
              <w:rPr>
                <w:rFonts w:cs="Times New Roman"/>
                <w:u w:val="single"/>
              </w:rPr>
              <w:t>小计</w:t>
            </w:r>
          </w:p>
        </w:tc>
        <w:tc>
          <w:tcPr>
            <w:tcW w:w="1077" w:type="pct"/>
            <w:vAlign w:val="center"/>
          </w:tcPr>
          <w:p>
            <w:pPr>
              <w:pStyle w:val="39"/>
              <w:rPr>
                <w:rFonts w:cs="Times New Roman"/>
                <w:u w:val="single"/>
              </w:rPr>
            </w:pPr>
            <w:r>
              <w:rPr>
                <w:rFonts w:cs="Times New Roman"/>
                <w:u w:val="singl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600" w:type="pct"/>
            <w:vMerge w:val="restart"/>
            <w:vAlign w:val="center"/>
          </w:tcPr>
          <w:p>
            <w:pPr>
              <w:pStyle w:val="39"/>
              <w:rPr>
                <w:rFonts w:cs="Times New Roman"/>
                <w:u w:val="single"/>
              </w:rPr>
            </w:pPr>
            <w:r>
              <w:rPr>
                <w:rFonts w:cs="Times New Roman"/>
                <w:u w:val="single"/>
              </w:rPr>
              <w:t>营运期</w:t>
            </w:r>
          </w:p>
        </w:tc>
        <w:tc>
          <w:tcPr>
            <w:tcW w:w="232" w:type="pct"/>
            <w:vMerge w:val="restart"/>
            <w:vAlign w:val="center"/>
          </w:tcPr>
          <w:p>
            <w:pPr>
              <w:pStyle w:val="39"/>
              <w:rPr>
                <w:rFonts w:cs="Times New Roman"/>
                <w:u w:val="single"/>
              </w:rPr>
            </w:pPr>
            <w:r>
              <w:rPr>
                <w:rFonts w:cs="Times New Roman"/>
                <w:u w:val="single"/>
              </w:rPr>
              <w:t>一期</w:t>
            </w:r>
          </w:p>
        </w:tc>
        <w:tc>
          <w:tcPr>
            <w:tcW w:w="618" w:type="pct"/>
            <w:vMerge w:val="restart"/>
            <w:vAlign w:val="center"/>
          </w:tcPr>
          <w:p>
            <w:pPr>
              <w:pStyle w:val="39"/>
              <w:rPr>
                <w:rFonts w:cs="Times New Roman"/>
                <w:u w:val="single"/>
              </w:rPr>
            </w:pPr>
            <w:r>
              <w:rPr>
                <w:rFonts w:cs="Times New Roman"/>
                <w:u w:val="single"/>
              </w:rPr>
              <w:t>废水处理</w:t>
            </w:r>
          </w:p>
        </w:tc>
        <w:tc>
          <w:tcPr>
            <w:tcW w:w="2473" w:type="pct"/>
            <w:vAlign w:val="center"/>
          </w:tcPr>
          <w:p>
            <w:pPr>
              <w:pStyle w:val="39"/>
              <w:rPr>
                <w:rFonts w:cs="Times New Roman"/>
                <w:u w:val="single"/>
              </w:rPr>
            </w:pPr>
            <w:r>
              <w:rPr>
                <w:rFonts w:hint="eastAsia" w:cs="Times New Roman"/>
                <w:u w:val="single"/>
              </w:rPr>
              <w:t>废水收集池、化粪池</w:t>
            </w:r>
          </w:p>
        </w:tc>
        <w:tc>
          <w:tcPr>
            <w:tcW w:w="1077" w:type="pct"/>
            <w:vAlign w:val="center"/>
          </w:tcPr>
          <w:p>
            <w:pPr>
              <w:pStyle w:val="39"/>
              <w:rPr>
                <w:rFonts w:cs="Times New Roman"/>
                <w:u w:val="single"/>
              </w:rPr>
            </w:pPr>
            <w:r>
              <w:rPr>
                <w:rFonts w:hint="eastAsia" w:cs="Times New Roman"/>
                <w:u w:val="singl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00" w:type="pct"/>
            <w:vMerge w:val="continue"/>
            <w:vAlign w:val="center"/>
          </w:tcPr>
          <w:p>
            <w:pPr>
              <w:pStyle w:val="39"/>
              <w:rPr>
                <w:rFonts w:cs="Times New Roman"/>
                <w:u w:val="single"/>
              </w:rPr>
            </w:pPr>
          </w:p>
        </w:tc>
        <w:tc>
          <w:tcPr>
            <w:tcW w:w="232" w:type="pct"/>
            <w:vMerge w:val="continue"/>
            <w:vAlign w:val="center"/>
          </w:tcPr>
          <w:p>
            <w:pPr>
              <w:pStyle w:val="39"/>
              <w:rPr>
                <w:rFonts w:cs="Times New Roman"/>
                <w:u w:val="single"/>
              </w:rPr>
            </w:pPr>
          </w:p>
        </w:tc>
        <w:tc>
          <w:tcPr>
            <w:tcW w:w="618" w:type="pct"/>
            <w:vMerge w:val="continue"/>
            <w:vAlign w:val="center"/>
          </w:tcPr>
          <w:p>
            <w:pPr>
              <w:pStyle w:val="39"/>
              <w:rPr>
                <w:rFonts w:cs="Times New Roman"/>
                <w:u w:val="single"/>
              </w:rPr>
            </w:pPr>
          </w:p>
        </w:tc>
        <w:tc>
          <w:tcPr>
            <w:tcW w:w="2473" w:type="pct"/>
            <w:vAlign w:val="center"/>
          </w:tcPr>
          <w:p>
            <w:pPr>
              <w:pStyle w:val="39"/>
              <w:rPr>
                <w:rFonts w:cs="Times New Roman"/>
                <w:u w:val="single"/>
              </w:rPr>
            </w:pPr>
            <w:r>
              <w:rPr>
                <w:rFonts w:cs="Times New Roman"/>
                <w:u w:val="single"/>
              </w:rPr>
              <w:t>地下水监控井（</w:t>
            </w:r>
            <w:r>
              <w:rPr>
                <w:rFonts w:hint="eastAsia" w:cs="Times New Roman"/>
                <w:u w:val="single"/>
              </w:rPr>
              <w:t>采用项目水井</w:t>
            </w:r>
            <w:r>
              <w:rPr>
                <w:rFonts w:cs="Times New Roman"/>
                <w:u w:val="single"/>
              </w:rPr>
              <w:t>）</w:t>
            </w:r>
          </w:p>
        </w:tc>
        <w:tc>
          <w:tcPr>
            <w:tcW w:w="1077" w:type="pct"/>
            <w:vAlign w:val="center"/>
          </w:tcPr>
          <w:p>
            <w:pPr>
              <w:pStyle w:val="39"/>
              <w:rPr>
                <w:rFonts w:cs="Times New Roman"/>
                <w:u w:val="single"/>
              </w:rPr>
            </w:pPr>
            <w:r>
              <w:rPr>
                <w:rFonts w:hint="eastAsia" w:cs="Times New Roman"/>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00" w:type="pct"/>
            <w:vMerge w:val="continue"/>
            <w:vAlign w:val="center"/>
          </w:tcPr>
          <w:p>
            <w:pPr>
              <w:pStyle w:val="39"/>
              <w:rPr>
                <w:rFonts w:cs="Times New Roman"/>
                <w:u w:val="single"/>
              </w:rPr>
            </w:pPr>
          </w:p>
        </w:tc>
        <w:tc>
          <w:tcPr>
            <w:tcW w:w="232" w:type="pct"/>
            <w:vMerge w:val="continue"/>
            <w:vAlign w:val="center"/>
          </w:tcPr>
          <w:p>
            <w:pPr>
              <w:pStyle w:val="39"/>
              <w:rPr>
                <w:rFonts w:cs="Times New Roman"/>
                <w:u w:val="single"/>
              </w:rPr>
            </w:pPr>
          </w:p>
        </w:tc>
        <w:tc>
          <w:tcPr>
            <w:tcW w:w="618" w:type="pct"/>
            <w:vMerge w:val="restart"/>
            <w:vAlign w:val="center"/>
          </w:tcPr>
          <w:p>
            <w:pPr>
              <w:pStyle w:val="39"/>
              <w:rPr>
                <w:rFonts w:cs="Times New Roman"/>
                <w:u w:val="single"/>
              </w:rPr>
            </w:pPr>
            <w:r>
              <w:rPr>
                <w:rFonts w:cs="Times New Roman"/>
                <w:u w:val="single"/>
              </w:rPr>
              <w:t>废气治理</w:t>
            </w:r>
          </w:p>
        </w:tc>
        <w:tc>
          <w:tcPr>
            <w:tcW w:w="2473" w:type="pct"/>
            <w:vAlign w:val="center"/>
          </w:tcPr>
          <w:p>
            <w:pPr>
              <w:pStyle w:val="39"/>
              <w:rPr>
                <w:rFonts w:cs="Times New Roman"/>
                <w:u w:val="single"/>
              </w:rPr>
            </w:pPr>
            <w:r>
              <w:rPr>
                <w:rFonts w:cs="Times New Roman"/>
                <w:u w:val="single"/>
              </w:rPr>
              <w:t>鸡舍通风系统（一期</w:t>
            </w:r>
            <w:r>
              <w:rPr>
                <w:rFonts w:hint="eastAsia" w:cs="Times New Roman"/>
                <w:u w:val="single"/>
              </w:rPr>
              <w:t>2</w:t>
            </w:r>
            <w:r>
              <w:rPr>
                <w:rFonts w:cs="Times New Roman"/>
                <w:u w:val="single"/>
              </w:rPr>
              <w:t>栋）</w:t>
            </w:r>
          </w:p>
        </w:tc>
        <w:tc>
          <w:tcPr>
            <w:tcW w:w="1077" w:type="pct"/>
            <w:vAlign w:val="center"/>
          </w:tcPr>
          <w:p>
            <w:pPr>
              <w:pStyle w:val="39"/>
              <w:rPr>
                <w:rFonts w:cs="Times New Roman"/>
                <w:u w:val="single"/>
              </w:rPr>
            </w:pPr>
            <w:r>
              <w:rPr>
                <w:rFonts w:hint="eastAsia" w:cs="Times New Roman"/>
                <w:u w:val="singl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600" w:type="pct"/>
            <w:vMerge w:val="continue"/>
            <w:vAlign w:val="center"/>
          </w:tcPr>
          <w:p>
            <w:pPr>
              <w:pStyle w:val="39"/>
              <w:rPr>
                <w:rFonts w:cs="Times New Roman"/>
                <w:u w:val="single"/>
              </w:rPr>
            </w:pPr>
          </w:p>
        </w:tc>
        <w:tc>
          <w:tcPr>
            <w:tcW w:w="232" w:type="pct"/>
            <w:vMerge w:val="continue"/>
            <w:vAlign w:val="center"/>
          </w:tcPr>
          <w:p>
            <w:pPr>
              <w:pStyle w:val="39"/>
              <w:rPr>
                <w:rFonts w:cs="Times New Roman"/>
                <w:u w:val="single"/>
              </w:rPr>
            </w:pPr>
          </w:p>
        </w:tc>
        <w:tc>
          <w:tcPr>
            <w:tcW w:w="618" w:type="pct"/>
            <w:vMerge w:val="continue"/>
            <w:vAlign w:val="center"/>
          </w:tcPr>
          <w:p>
            <w:pPr>
              <w:pStyle w:val="39"/>
              <w:rPr>
                <w:rFonts w:cs="Times New Roman"/>
                <w:u w:val="single"/>
              </w:rPr>
            </w:pPr>
          </w:p>
        </w:tc>
        <w:tc>
          <w:tcPr>
            <w:tcW w:w="2473" w:type="pct"/>
            <w:vAlign w:val="center"/>
          </w:tcPr>
          <w:p>
            <w:pPr>
              <w:pStyle w:val="39"/>
              <w:rPr>
                <w:rFonts w:cs="Times New Roman"/>
                <w:u w:val="single"/>
              </w:rPr>
            </w:pPr>
            <w:r>
              <w:rPr>
                <w:rFonts w:cs="Times New Roman"/>
                <w:u w:val="single"/>
              </w:rPr>
              <w:t>备用发电机废气专用排烟竖井</w:t>
            </w:r>
          </w:p>
        </w:tc>
        <w:tc>
          <w:tcPr>
            <w:tcW w:w="1077" w:type="pct"/>
            <w:vAlign w:val="center"/>
          </w:tcPr>
          <w:p>
            <w:pPr>
              <w:pStyle w:val="39"/>
              <w:rPr>
                <w:rFonts w:cs="Times New Roman"/>
                <w:u w:val="single"/>
              </w:rPr>
            </w:pPr>
            <w:r>
              <w:rPr>
                <w:rFonts w:cs="Times New Roman"/>
                <w:u w:val="singl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00" w:type="pct"/>
            <w:vMerge w:val="continue"/>
            <w:vAlign w:val="center"/>
          </w:tcPr>
          <w:p>
            <w:pPr>
              <w:pStyle w:val="39"/>
              <w:rPr>
                <w:rFonts w:cs="Times New Roman"/>
                <w:u w:val="single"/>
              </w:rPr>
            </w:pPr>
          </w:p>
        </w:tc>
        <w:tc>
          <w:tcPr>
            <w:tcW w:w="232" w:type="pct"/>
            <w:vMerge w:val="continue"/>
            <w:vAlign w:val="center"/>
          </w:tcPr>
          <w:p>
            <w:pPr>
              <w:pStyle w:val="39"/>
              <w:rPr>
                <w:rFonts w:cs="Times New Roman"/>
                <w:u w:val="single"/>
              </w:rPr>
            </w:pPr>
          </w:p>
        </w:tc>
        <w:tc>
          <w:tcPr>
            <w:tcW w:w="618" w:type="pct"/>
            <w:vMerge w:val="continue"/>
            <w:vAlign w:val="center"/>
          </w:tcPr>
          <w:p>
            <w:pPr>
              <w:pStyle w:val="39"/>
              <w:rPr>
                <w:rFonts w:cs="Times New Roman"/>
                <w:u w:val="single"/>
              </w:rPr>
            </w:pPr>
          </w:p>
        </w:tc>
        <w:tc>
          <w:tcPr>
            <w:tcW w:w="2473" w:type="pct"/>
            <w:vAlign w:val="center"/>
          </w:tcPr>
          <w:p>
            <w:pPr>
              <w:pStyle w:val="39"/>
              <w:rPr>
                <w:rFonts w:cs="Times New Roman"/>
                <w:u w:val="single"/>
              </w:rPr>
            </w:pPr>
            <w:r>
              <w:rPr>
                <w:rFonts w:hint="eastAsia" w:cs="Times New Roman"/>
                <w:u w:val="single"/>
              </w:rPr>
              <w:t>抽烟机</w:t>
            </w:r>
            <w:r>
              <w:rPr>
                <w:rFonts w:cs="Times New Roman"/>
                <w:u w:val="single"/>
              </w:rPr>
              <w:t>装置（1个）</w:t>
            </w:r>
          </w:p>
        </w:tc>
        <w:tc>
          <w:tcPr>
            <w:tcW w:w="1077" w:type="pct"/>
            <w:vAlign w:val="center"/>
          </w:tcPr>
          <w:p>
            <w:pPr>
              <w:pStyle w:val="39"/>
              <w:rPr>
                <w:rFonts w:cs="Times New Roman"/>
                <w:u w:val="single"/>
              </w:rPr>
            </w:pPr>
            <w:r>
              <w:rPr>
                <w:rFonts w:hint="eastAsia" w:cs="Times New Roman"/>
                <w:u w:val="singl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00" w:type="pct"/>
            <w:vMerge w:val="continue"/>
            <w:vAlign w:val="center"/>
          </w:tcPr>
          <w:p>
            <w:pPr>
              <w:pStyle w:val="39"/>
              <w:rPr>
                <w:rFonts w:cs="Times New Roman"/>
                <w:u w:val="single"/>
              </w:rPr>
            </w:pPr>
          </w:p>
        </w:tc>
        <w:tc>
          <w:tcPr>
            <w:tcW w:w="232" w:type="pct"/>
            <w:vMerge w:val="continue"/>
            <w:vAlign w:val="center"/>
          </w:tcPr>
          <w:p>
            <w:pPr>
              <w:pStyle w:val="39"/>
              <w:rPr>
                <w:rFonts w:cs="Times New Roman"/>
                <w:u w:val="single"/>
              </w:rPr>
            </w:pPr>
          </w:p>
        </w:tc>
        <w:tc>
          <w:tcPr>
            <w:tcW w:w="618" w:type="pct"/>
            <w:vAlign w:val="center"/>
          </w:tcPr>
          <w:p>
            <w:pPr>
              <w:pStyle w:val="39"/>
              <w:rPr>
                <w:rFonts w:cs="Times New Roman"/>
                <w:u w:val="single"/>
              </w:rPr>
            </w:pPr>
            <w:r>
              <w:rPr>
                <w:rFonts w:cs="Times New Roman"/>
                <w:u w:val="single"/>
              </w:rPr>
              <w:t>噪声防治</w:t>
            </w:r>
          </w:p>
        </w:tc>
        <w:tc>
          <w:tcPr>
            <w:tcW w:w="2473" w:type="pct"/>
            <w:vAlign w:val="center"/>
          </w:tcPr>
          <w:p>
            <w:pPr>
              <w:pStyle w:val="39"/>
              <w:rPr>
                <w:rFonts w:cs="Times New Roman"/>
                <w:u w:val="single"/>
              </w:rPr>
            </w:pPr>
            <w:r>
              <w:rPr>
                <w:rFonts w:cs="Times New Roman"/>
                <w:u w:val="single"/>
              </w:rPr>
              <w:t>减振、隔声等措施</w:t>
            </w:r>
          </w:p>
        </w:tc>
        <w:tc>
          <w:tcPr>
            <w:tcW w:w="1077" w:type="pct"/>
            <w:vAlign w:val="center"/>
          </w:tcPr>
          <w:p>
            <w:pPr>
              <w:pStyle w:val="39"/>
              <w:rPr>
                <w:rFonts w:cs="Times New Roman"/>
                <w:u w:val="single"/>
              </w:rPr>
            </w:pPr>
            <w:r>
              <w:rPr>
                <w:rFonts w:cs="Times New Roman"/>
                <w:u w:val="singl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00" w:type="pct"/>
            <w:vMerge w:val="continue"/>
            <w:vAlign w:val="center"/>
          </w:tcPr>
          <w:p>
            <w:pPr>
              <w:pStyle w:val="39"/>
              <w:rPr>
                <w:rFonts w:cs="Times New Roman"/>
                <w:u w:val="single"/>
              </w:rPr>
            </w:pPr>
          </w:p>
        </w:tc>
        <w:tc>
          <w:tcPr>
            <w:tcW w:w="232" w:type="pct"/>
            <w:vMerge w:val="continue"/>
            <w:vAlign w:val="center"/>
          </w:tcPr>
          <w:p>
            <w:pPr>
              <w:pStyle w:val="39"/>
              <w:rPr>
                <w:rFonts w:cs="Times New Roman"/>
                <w:u w:val="single"/>
              </w:rPr>
            </w:pPr>
          </w:p>
        </w:tc>
        <w:tc>
          <w:tcPr>
            <w:tcW w:w="618" w:type="pct"/>
            <w:vMerge w:val="restart"/>
            <w:vAlign w:val="center"/>
          </w:tcPr>
          <w:p>
            <w:pPr>
              <w:pStyle w:val="39"/>
              <w:rPr>
                <w:rFonts w:cs="Times New Roman"/>
                <w:u w:val="single"/>
              </w:rPr>
            </w:pPr>
            <w:r>
              <w:rPr>
                <w:rFonts w:cs="Times New Roman"/>
                <w:u w:val="single"/>
              </w:rPr>
              <w:t>固废处理</w:t>
            </w:r>
          </w:p>
        </w:tc>
        <w:tc>
          <w:tcPr>
            <w:tcW w:w="2473" w:type="pct"/>
            <w:vAlign w:val="center"/>
          </w:tcPr>
          <w:p>
            <w:pPr>
              <w:pStyle w:val="39"/>
              <w:rPr>
                <w:rFonts w:cs="Times New Roman"/>
                <w:u w:val="single"/>
              </w:rPr>
            </w:pPr>
            <w:r>
              <w:rPr>
                <w:rFonts w:hint="eastAsia" w:cs="Times New Roman"/>
                <w:u w:val="single"/>
              </w:rPr>
              <w:t>鸡粪干燥设备1套</w:t>
            </w:r>
          </w:p>
        </w:tc>
        <w:tc>
          <w:tcPr>
            <w:tcW w:w="1077" w:type="pct"/>
            <w:vAlign w:val="center"/>
          </w:tcPr>
          <w:p>
            <w:pPr>
              <w:pStyle w:val="39"/>
              <w:rPr>
                <w:rFonts w:cs="Times New Roman"/>
                <w:u w:val="single"/>
              </w:rPr>
            </w:pPr>
            <w:r>
              <w:rPr>
                <w:rFonts w:cs="Times New Roman"/>
                <w:u w:val="singl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00" w:type="pct"/>
            <w:vMerge w:val="continue"/>
            <w:vAlign w:val="center"/>
          </w:tcPr>
          <w:p>
            <w:pPr>
              <w:pStyle w:val="39"/>
              <w:rPr>
                <w:rFonts w:cs="Times New Roman"/>
                <w:u w:val="single"/>
              </w:rPr>
            </w:pPr>
          </w:p>
        </w:tc>
        <w:tc>
          <w:tcPr>
            <w:tcW w:w="232" w:type="pct"/>
            <w:vMerge w:val="continue"/>
            <w:vAlign w:val="center"/>
          </w:tcPr>
          <w:p>
            <w:pPr>
              <w:pStyle w:val="39"/>
              <w:rPr>
                <w:rFonts w:cs="Times New Roman"/>
                <w:u w:val="single"/>
              </w:rPr>
            </w:pPr>
          </w:p>
        </w:tc>
        <w:tc>
          <w:tcPr>
            <w:tcW w:w="618" w:type="pct"/>
            <w:vMerge w:val="continue"/>
            <w:vAlign w:val="center"/>
          </w:tcPr>
          <w:p>
            <w:pPr>
              <w:pStyle w:val="39"/>
              <w:rPr>
                <w:rFonts w:cs="Times New Roman"/>
                <w:u w:val="single"/>
              </w:rPr>
            </w:pPr>
          </w:p>
        </w:tc>
        <w:tc>
          <w:tcPr>
            <w:tcW w:w="2473" w:type="pct"/>
            <w:vAlign w:val="center"/>
          </w:tcPr>
          <w:p>
            <w:pPr>
              <w:pStyle w:val="39"/>
              <w:rPr>
                <w:rFonts w:cs="Times New Roman"/>
                <w:u w:val="single"/>
              </w:rPr>
            </w:pPr>
            <w:r>
              <w:rPr>
                <w:rFonts w:cs="Times New Roman"/>
                <w:u w:val="single"/>
              </w:rPr>
              <w:t>医疗固废暂存间（10m</w:t>
            </w:r>
            <w:r>
              <w:rPr>
                <w:rFonts w:cs="Times New Roman"/>
                <w:u w:val="single"/>
                <w:vertAlign w:val="superscript"/>
              </w:rPr>
              <w:t>2</w:t>
            </w:r>
            <w:r>
              <w:rPr>
                <w:rFonts w:cs="Times New Roman"/>
                <w:u w:val="single"/>
              </w:rPr>
              <w:t>）</w:t>
            </w:r>
          </w:p>
        </w:tc>
        <w:tc>
          <w:tcPr>
            <w:tcW w:w="1077" w:type="pct"/>
            <w:vAlign w:val="center"/>
          </w:tcPr>
          <w:p>
            <w:pPr>
              <w:pStyle w:val="39"/>
              <w:rPr>
                <w:rFonts w:cs="Times New Roman"/>
                <w:u w:val="single"/>
              </w:rPr>
            </w:pPr>
            <w:r>
              <w:rPr>
                <w:rFonts w:cs="Times New Roman"/>
                <w:u w:val="singl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00" w:type="pct"/>
            <w:vMerge w:val="continue"/>
            <w:vAlign w:val="center"/>
          </w:tcPr>
          <w:p>
            <w:pPr>
              <w:pStyle w:val="39"/>
              <w:rPr>
                <w:rFonts w:cs="Times New Roman"/>
                <w:u w:val="single"/>
              </w:rPr>
            </w:pPr>
          </w:p>
        </w:tc>
        <w:tc>
          <w:tcPr>
            <w:tcW w:w="232" w:type="pct"/>
            <w:vMerge w:val="continue"/>
            <w:vAlign w:val="center"/>
          </w:tcPr>
          <w:p>
            <w:pPr>
              <w:pStyle w:val="39"/>
              <w:rPr>
                <w:rFonts w:cs="Times New Roman"/>
                <w:u w:val="single"/>
              </w:rPr>
            </w:pPr>
          </w:p>
        </w:tc>
        <w:tc>
          <w:tcPr>
            <w:tcW w:w="618" w:type="pct"/>
            <w:vMerge w:val="continue"/>
            <w:vAlign w:val="center"/>
          </w:tcPr>
          <w:p>
            <w:pPr>
              <w:pStyle w:val="39"/>
              <w:rPr>
                <w:rFonts w:cs="Times New Roman"/>
                <w:u w:val="single"/>
              </w:rPr>
            </w:pPr>
          </w:p>
        </w:tc>
        <w:tc>
          <w:tcPr>
            <w:tcW w:w="2473" w:type="pct"/>
            <w:vAlign w:val="center"/>
          </w:tcPr>
          <w:p>
            <w:pPr>
              <w:pStyle w:val="39"/>
              <w:rPr>
                <w:rFonts w:cs="Times New Roman"/>
                <w:u w:val="single"/>
              </w:rPr>
            </w:pPr>
            <w:r>
              <w:rPr>
                <w:rFonts w:cs="Times New Roman"/>
                <w:u w:val="single"/>
              </w:rPr>
              <w:t>生活垃圾收集桶</w:t>
            </w:r>
          </w:p>
        </w:tc>
        <w:tc>
          <w:tcPr>
            <w:tcW w:w="1077" w:type="pct"/>
            <w:vAlign w:val="center"/>
          </w:tcPr>
          <w:p>
            <w:pPr>
              <w:pStyle w:val="39"/>
              <w:rPr>
                <w:rFonts w:cs="Times New Roman"/>
                <w:u w:val="single"/>
              </w:rPr>
            </w:pPr>
            <w:r>
              <w:rPr>
                <w:rFonts w:cs="Times New Roman"/>
                <w:u w:val="singl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600" w:type="pct"/>
            <w:vMerge w:val="continue"/>
            <w:vAlign w:val="center"/>
          </w:tcPr>
          <w:p>
            <w:pPr>
              <w:pStyle w:val="39"/>
              <w:rPr>
                <w:rFonts w:cs="Times New Roman"/>
                <w:u w:val="single"/>
              </w:rPr>
            </w:pPr>
          </w:p>
        </w:tc>
        <w:tc>
          <w:tcPr>
            <w:tcW w:w="232" w:type="pct"/>
            <w:vMerge w:val="continue"/>
            <w:vAlign w:val="center"/>
          </w:tcPr>
          <w:p>
            <w:pPr>
              <w:pStyle w:val="39"/>
              <w:rPr>
                <w:rFonts w:cs="Times New Roman"/>
                <w:u w:val="single"/>
              </w:rPr>
            </w:pPr>
          </w:p>
        </w:tc>
        <w:tc>
          <w:tcPr>
            <w:tcW w:w="618" w:type="pct"/>
            <w:vAlign w:val="center"/>
          </w:tcPr>
          <w:p>
            <w:pPr>
              <w:pStyle w:val="39"/>
              <w:rPr>
                <w:rFonts w:cs="Times New Roman"/>
                <w:u w:val="single"/>
              </w:rPr>
            </w:pPr>
            <w:r>
              <w:rPr>
                <w:rFonts w:cs="Times New Roman"/>
                <w:u w:val="single"/>
              </w:rPr>
              <w:t>生态保护</w:t>
            </w:r>
          </w:p>
        </w:tc>
        <w:tc>
          <w:tcPr>
            <w:tcW w:w="2473" w:type="pct"/>
            <w:vAlign w:val="center"/>
          </w:tcPr>
          <w:p>
            <w:pPr>
              <w:pStyle w:val="39"/>
              <w:rPr>
                <w:rFonts w:cs="Times New Roman"/>
                <w:u w:val="single"/>
              </w:rPr>
            </w:pPr>
            <w:r>
              <w:rPr>
                <w:rFonts w:cs="Times New Roman"/>
                <w:u w:val="single"/>
              </w:rPr>
              <w:t>场区场界绿化（</w:t>
            </w:r>
            <w:r>
              <w:rPr>
                <w:rFonts w:hint="eastAsia" w:cs="Times New Roman"/>
                <w:u w:val="single"/>
              </w:rPr>
              <w:t>48073</w:t>
            </w:r>
            <w:r>
              <w:rPr>
                <w:rFonts w:cs="Times New Roman"/>
                <w:u w:val="single"/>
              </w:rPr>
              <w:t>m</w:t>
            </w:r>
            <w:r>
              <w:rPr>
                <w:rFonts w:cs="Times New Roman"/>
                <w:u w:val="single"/>
                <w:vertAlign w:val="superscript"/>
              </w:rPr>
              <w:t>2</w:t>
            </w:r>
            <w:r>
              <w:rPr>
                <w:rFonts w:cs="Times New Roman"/>
                <w:u w:val="single"/>
              </w:rPr>
              <w:t>，绿地率约</w:t>
            </w:r>
            <w:r>
              <w:rPr>
                <w:rFonts w:hint="eastAsia" w:cs="Times New Roman"/>
                <w:u w:val="single"/>
              </w:rPr>
              <w:t>38</w:t>
            </w:r>
            <w:r>
              <w:rPr>
                <w:rFonts w:cs="Times New Roman"/>
                <w:u w:val="single"/>
              </w:rPr>
              <w:t>%）</w:t>
            </w:r>
          </w:p>
        </w:tc>
        <w:tc>
          <w:tcPr>
            <w:tcW w:w="1077" w:type="pct"/>
            <w:vAlign w:val="center"/>
          </w:tcPr>
          <w:p>
            <w:pPr>
              <w:pStyle w:val="39"/>
              <w:rPr>
                <w:rFonts w:cs="Times New Roman"/>
                <w:u w:val="single"/>
              </w:rPr>
            </w:pPr>
            <w:r>
              <w:rPr>
                <w:rFonts w:cs="Times New Roman"/>
                <w:u w:val="singl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00" w:type="pct"/>
            <w:vMerge w:val="continue"/>
            <w:vAlign w:val="center"/>
          </w:tcPr>
          <w:p>
            <w:pPr>
              <w:pStyle w:val="39"/>
              <w:rPr>
                <w:rFonts w:cs="Times New Roman"/>
                <w:u w:val="single"/>
              </w:rPr>
            </w:pPr>
          </w:p>
        </w:tc>
        <w:tc>
          <w:tcPr>
            <w:tcW w:w="232" w:type="pct"/>
            <w:vMerge w:val="continue"/>
            <w:vAlign w:val="center"/>
          </w:tcPr>
          <w:p>
            <w:pPr>
              <w:pStyle w:val="39"/>
              <w:rPr>
                <w:rFonts w:cs="Times New Roman"/>
                <w:u w:val="single"/>
              </w:rPr>
            </w:pPr>
          </w:p>
        </w:tc>
        <w:tc>
          <w:tcPr>
            <w:tcW w:w="618" w:type="pct"/>
            <w:vAlign w:val="center"/>
          </w:tcPr>
          <w:p>
            <w:pPr>
              <w:pStyle w:val="39"/>
              <w:rPr>
                <w:rFonts w:cs="Times New Roman"/>
                <w:u w:val="single"/>
              </w:rPr>
            </w:pPr>
            <w:r>
              <w:rPr>
                <w:rFonts w:cs="Times New Roman"/>
                <w:u w:val="single"/>
              </w:rPr>
              <w:t>环境风险</w:t>
            </w:r>
          </w:p>
        </w:tc>
        <w:tc>
          <w:tcPr>
            <w:tcW w:w="2473" w:type="pct"/>
            <w:vAlign w:val="center"/>
          </w:tcPr>
          <w:p>
            <w:pPr>
              <w:pStyle w:val="39"/>
              <w:rPr>
                <w:rFonts w:cs="Times New Roman"/>
                <w:u w:val="single"/>
              </w:rPr>
            </w:pPr>
            <w:r>
              <w:rPr>
                <w:rFonts w:cs="Times New Roman"/>
                <w:u w:val="single"/>
              </w:rPr>
              <w:t>粪污处理系统等重点防渗区防渗措施</w:t>
            </w:r>
          </w:p>
        </w:tc>
        <w:tc>
          <w:tcPr>
            <w:tcW w:w="1077" w:type="pct"/>
            <w:vAlign w:val="center"/>
          </w:tcPr>
          <w:p>
            <w:pPr>
              <w:pStyle w:val="39"/>
              <w:rPr>
                <w:rFonts w:cs="Times New Roman"/>
                <w:u w:val="single"/>
              </w:rPr>
            </w:pPr>
            <w:r>
              <w:rPr>
                <w:rFonts w:hint="eastAsia" w:cs="Times New Roman"/>
                <w:u w:val="singl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00" w:type="pct"/>
            <w:vMerge w:val="continue"/>
            <w:vAlign w:val="center"/>
          </w:tcPr>
          <w:p>
            <w:pPr>
              <w:pStyle w:val="39"/>
              <w:rPr>
                <w:rFonts w:cs="Times New Roman"/>
                <w:u w:val="single"/>
              </w:rPr>
            </w:pPr>
          </w:p>
        </w:tc>
        <w:tc>
          <w:tcPr>
            <w:tcW w:w="3323" w:type="pct"/>
            <w:gridSpan w:val="3"/>
            <w:vAlign w:val="center"/>
          </w:tcPr>
          <w:p>
            <w:pPr>
              <w:pStyle w:val="39"/>
              <w:rPr>
                <w:rFonts w:cs="Times New Roman"/>
                <w:u w:val="single"/>
              </w:rPr>
            </w:pPr>
            <w:r>
              <w:rPr>
                <w:rFonts w:hint="eastAsia" w:cs="Times New Roman"/>
                <w:u w:val="single"/>
              </w:rPr>
              <w:t>小计</w:t>
            </w:r>
          </w:p>
        </w:tc>
        <w:tc>
          <w:tcPr>
            <w:tcW w:w="1077" w:type="pct"/>
            <w:vAlign w:val="center"/>
          </w:tcPr>
          <w:p>
            <w:pPr>
              <w:pStyle w:val="39"/>
              <w:rPr>
                <w:rFonts w:cs="Times New Roman"/>
                <w:u w:val="single"/>
              </w:rPr>
            </w:pPr>
            <w:r>
              <w:rPr>
                <w:rFonts w:hint="eastAsia" w:cs="Times New Roman"/>
                <w:u w:val="single"/>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00" w:type="pct"/>
            <w:vMerge w:val="continue"/>
            <w:vAlign w:val="center"/>
          </w:tcPr>
          <w:p>
            <w:pPr>
              <w:pStyle w:val="39"/>
              <w:rPr>
                <w:rFonts w:cs="Times New Roman"/>
                <w:u w:val="single"/>
              </w:rPr>
            </w:pPr>
          </w:p>
        </w:tc>
        <w:tc>
          <w:tcPr>
            <w:tcW w:w="232" w:type="pct"/>
            <w:vMerge w:val="restart"/>
            <w:vAlign w:val="center"/>
          </w:tcPr>
          <w:p>
            <w:pPr>
              <w:pStyle w:val="39"/>
              <w:rPr>
                <w:rFonts w:cs="Times New Roman"/>
                <w:u w:val="single"/>
              </w:rPr>
            </w:pPr>
            <w:r>
              <w:rPr>
                <w:rFonts w:cs="Times New Roman"/>
                <w:u w:val="single"/>
              </w:rPr>
              <w:t>二期</w:t>
            </w:r>
          </w:p>
        </w:tc>
        <w:tc>
          <w:tcPr>
            <w:tcW w:w="618" w:type="pct"/>
            <w:vMerge w:val="restart"/>
            <w:vAlign w:val="center"/>
          </w:tcPr>
          <w:p>
            <w:pPr>
              <w:pStyle w:val="39"/>
              <w:rPr>
                <w:rFonts w:cs="Times New Roman"/>
                <w:u w:val="single"/>
              </w:rPr>
            </w:pPr>
            <w:r>
              <w:rPr>
                <w:rFonts w:cs="Times New Roman"/>
                <w:u w:val="single"/>
              </w:rPr>
              <w:t>废气治理</w:t>
            </w:r>
          </w:p>
        </w:tc>
        <w:tc>
          <w:tcPr>
            <w:tcW w:w="2473" w:type="pct"/>
            <w:vAlign w:val="center"/>
          </w:tcPr>
          <w:p>
            <w:pPr>
              <w:pStyle w:val="39"/>
              <w:rPr>
                <w:rFonts w:cs="Times New Roman"/>
                <w:u w:val="single"/>
              </w:rPr>
            </w:pPr>
            <w:r>
              <w:rPr>
                <w:rFonts w:cs="Times New Roman"/>
                <w:u w:val="single"/>
              </w:rPr>
              <w:t>鸡舍通风系统（二期</w:t>
            </w:r>
            <w:r>
              <w:rPr>
                <w:rFonts w:hint="eastAsia" w:cs="Times New Roman"/>
                <w:u w:val="single"/>
              </w:rPr>
              <w:t>产蛋舍4</w:t>
            </w:r>
            <w:r>
              <w:rPr>
                <w:rFonts w:cs="Times New Roman"/>
                <w:u w:val="single"/>
              </w:rPr>
              <w:t>栋</w:t>
            </w:r>
            <w:r>
              <w:rPr>
                <w:rFonts w:hint="eastAsia" w:cs="Times New Roman"/>
                <w:u w:val="single"/>
              </w:rPr>
              <w:t>，育雏舍3栋</w:t>
            </w:r>
            <w:r>
              <w:rPr>
                <w:rFonts w:cs="Times New Roman"/>
                <w:u w:val="single"/>
              </w:rPr>
              <w:t>）</w:t>
            </w:r>
          </w:p>
        </w:tc>
        <w:tc>
          <w:tcPr>
            <w:tcW w:w="1077" w:type="pct"/>
            <w:vAlign w:val="center"/>
          </w:tcPr>
          <w:p>
            <w:pPr>
              <w:pStyle w:val="39"/>
              <w:rPr>
                <w:rFonts w:cs="Times New Roman"/>
                <w:u w:val="single"/>
              </w:rPr>
            </w:pPr>
            <w:r>
              <w:rPr>
                <w:rFonts w:cs="Times New Roman"/>
                <w:u w:val="single"/>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00" w:type="pct"/>
            <w:vMerge w:val="continue"/>
            <w:vAlign w:val="center"/>
          </w:tcPr>
          <w:p>
            <w:pPr>
              <w:pStyle w:val="39"/>
              <w:rPr>
                <w:rFonts w:cs="Times New Roman"/>
                <w:u w:val="single"/>
              </w:rPr>
            </w:pPr>
          </w:p>
        </w:tc>
        <w:tc>
          <w:tcPr>
            <w:tcW w:w="232" w:type="pct"/>
            <w:vMerge w:val="continue"/>
            <w:vAlign w:val="center"/>
          </w:tcPr>
          <w:p>
            <w:pPr>
              <w:pStyle w:val="39"/>
              <w:rPr>
                <w:rFonts w:cs="Times New Roman"/>
                <w:u w:val="single"/>
              </w:rPr>
            </w:pPr>
          </w:p>
        </w:tc>
        <w:tc>
          <w:tcPr>
            <w:tcW w:w="618" w:type="pct"/>
            <w:vMerge w:val="continue"/>
            <w:vAlign w:val="center"/>
          </w:tcPr>
          <w:p>
            <w:pPr>
              <w:pStyle w:val="39"/>
              <w:rPr>
                <w:rFonts w:cs="Times New Roman"/>
                <w:u w:val="single"/>
              </w:rPr>
            </w:pPr>
          </w:p>
        </w:tc>
        <w:tc>
          <w:tcPr>
            <w:tcW w:w="2473" w:type="pct"/>
            <w:vAlign w:val="center"/>
          </w:tcPr>
          <w:p>
            <w:pPr>
              <w:pStyle w:val="39"/>
              <w:rPr>
                <w:rFonts w:cs="Times New Roman"/>
                <w:u w:val="single"/>
              </w:rPr>
            </w:pPr>
            <w:r>
              <w:rPr>
                <w:rFonts w:hint="eastAsia" w:cs="Times New Roman"/>
                <w:u w:val="single"/>
              </w:rPr>
              <w:t>生物质颗粒锅炉废气布袋除尘器+20m高排气筒（3套+3根</w:t>
            </w:r>
            <w:r>
              <w:rPr>
                <w:rFonts w:cs="Times New Roman"/>
                <w:u w:val="single"/>
              </w:rPr>
              <w:t>排气筒</w:t>
            </w:r>
            <w:r>
              <w:rPr>
                <w:rFonts w:hint="eastAsia" w:cs="Times New Roman"/>
                <w:u w:val="single"/>
              </w:rPr>
              <w:t>）</w:t>
            </w:r>
          </w:p>
        </w:tc>
        <w:tc>
          <w:tcPr>
            <w:tcW w:w="1077" w:type="pct"/>
            <w:vAlign w:val="center"/>
          </w:tcPr>
          <w:p>
            <w:pPr>
              <w:pStyle w:val="39"/>
              <w:rPr>
                <w:rFonts w:cs="Times New Roman"/>
                <w:u w:val="single"/>
              </w:rPr>
            </w:pPr>
            <w:r>
              <w:rPr>
                <w:rFonts w:cs="Times New Roman"/>
                <w:u w:val="singl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00" w:type="pct"/>
            <w:vMerge w:val="continue"/>
            <w:vAlign w:val="center"/>
          </w:tcPr>
          <w:p>
            <w:pPr>
              <w:pStyle w:val="39"/>
              <w:rPr>
                <w:rFonts w:cs="Times New Roman"/>
                <w:u w:val="single"/>
              </w:rPr>
            </w:pPr>
          </w:p>
        </w:tc>
        <w:tc>
          <w:tcPr>
            <w:tcW w:w="232" w:type="pct"/>
            <w:vMerge w:val="continue"/>
            <w:vAlign w:val="center"/>
          </w:tcPr>
          <w:p>
            <w:pPr>
              <w:pStyle w:val="39"/>
              <w:rPr>
                <w:rFonts w:cs="Times New Roman"/>
                <w:u w:val="single"/>
              </w:rPr>
            </w:pPr>
          </w:p>
        </w:tc>
        <w:tc>
          <w:tcPr>
            <w:tcW w:w="618" w:type="pct"/>
            <w:vAlign w:val="center"/>
          </w:tcPr>
          <w:p>
            <w:pPr>
              <w:pStyle w:val="39"/>
              <w:rPr>
                <w:rFonts w:cs="Times New Roman"/>
                <w:u w:val="single"/>
              </w:rPr>
            </w:pPr>
            <w:r>
              <w:rPr>
                <w:rFonts w:cs="Times New Roman"/>
                <w:u w:val="single"/>
              </w:rPr>
              <w:t>废水处理</w:t>
            </w:r>
          </w:p>
        </w:tc>
        <w:tc>
          <w:tcPr>
            <w:tcW w:w="2473" w:type="pct"/>
            <w:vAlign w:val="center"/>
          </w:tcPr>
          <w:p>
            <w:pPr>
              <w:pStyle w:val="39"/>
              <w:rPr>
                <w:rFonts w:cs="Times New Roman"/>
                <w:u w:val="single"/>
              </w:rPr>
            </w:pPr>
            <w:r>
              <w:rPr>
                <w:rFonts w:hint="eastAsia" w:cs="Times New Roman"/>
                <w:u w:val="single"/>
              </w:rPr>
              <w:t>废水收集池</w:t>
            </w:r>
          </w:p>
        </w:tc>
        <w:tc>
          <w:tcPr>
            <w:tcW w:w="1077" w:type="pct"/>
            <w:vAlign w:val="center"/>
          </w:tcPr>
          <w:p>
            <w:pPr>
              <w:pStyle w:val="39"/>
              <w:rPr>
                <w:rFonts w:cs="Times New Roman"/>
                <w:u w:val="single"/>
              </w:rPr>
            </w:pPr>
            <w:r>
              <w:rPr>
                <w:rFonts w:cs="Times New Roman"/>
                <w:u w:val="singl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00" w:type="pct"/>
            <w:vMerge w:val="continue"/>
            <w:vAlign w:val="center"/>
          </w:tcPr>
          <w:p>
            <w:pPr>
              <w:pStyle w:val="39"/>
              <w:rPr>
                <w:rFonts w:cs="Times New Roman"/>
                <w:u w:val="single"/>
              </w:rPr>
            </w:pPr>
          </w:p>
        </w:tc>
        <w:tc>
          <w:tcPr>
            <w:tcW w:w="232" w:type="pct"/>
            <w:vMerge w:val="continue"/>
            <w:vAlign w:val="center"/>
          </w:tcPr>
          <w:p>
            <w:pPr>
              <w:pStyle w:val="39"/>
              <w:rPr>
                <w:rFonts w:cs="Times New Roman"/>
                <w:u w:val="single"/>
              </w:rPr>
            </w:pPr>
          </w:p>
        </w:tc>
        <w:tc>
          <w:tcPr>
            <w:tcW w:w="618" w:type="pct"/>
            <w:vAlign w:val="center"/>
          </w:tcPr>
          <w:p>
            <w:pPr>
              <w:pStyle w:val="39"/>
              <w:rPr>
                <w:rFonts w:cs="Times New Roman"/>
                <w:u w:val="single"/>
              </w:rPr>
            </w:pPr>
            <w:r>
              <w:rPr>
                <w:rFonts w:cs="Times New Roman"/>
                <w:u w:val="single"/>
              </w:rPr>
              <w:t>噪声防治</w:t>
            </w:r>
          </w:p>
        </w:tc>
        <w:tc>
          <w:tcPr>
            <w:tcW w:w="2473" w:type="pct"/>
            <w:vAlign w:val="center"/>
          </w:tcPr>
          <w:p>
            <w:pPr>
              <w:pStyle w:val="39"/>
              <w:rPr>
                <w:rFonts w:cs="Times New Roman"/>
                <w:u w:val="single"/>
              </w:rPr>
            </w:pPr>
            <w:r>
              <w:rPr>
                <w:rFonts w:cs="Times New Roman"/>
                <w:u w:val="single"/>
              </w:rPr>
              <w:t>减振、隔声等措施</w:t>
            </w:r>
          </w:p>
        </w:tc>
        <w:tc>
          <w:tcPr>
            <w:tcW w:w="1077" w:type="pct"/>
            <w:vAlign w:val="center"/>
          </w:tcPr>
          <w:p>
            <w:pPr>
              <w:pStyle w:val="39"/>
              <w:rPr>
                <w:rFonts w:cs="Times New Roman"/>
                <w:u w:val="single"/>
              </w:rPr>
            </w:pPr>
            <w:r>
              <w:rPr>
                <w:rFonts w:hint="eastAsia" w:cs="Times New Roman"/>
                <w:u w:val="singl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00" w:type="pct"/>
            <w:vMerge w:val="continue"/>
            <w:vAlign w:val="center"/>
          </w:tcPr>
          <w:p>
            <w:pPr>
              <w:pStyle w:val="39"/>
              <w:rPr>
                <w:rFonts w:cs="Times New Roman"/>
                <w:u w:val="single"/>
              </w:rPr>
            </w:pPr>
          </w:p>
        </w:tc>
        <w:tc>
          <w:tcPr>
            <w:tcW w:w="232" w:type="pct"/>
            <w:vMerge w:val="continue"/>
            <w:vAlign w:val="center"/>
          </w:tcPr>
          <w:p>
            <w:pPr>
              <w:pStyle w:val="39"/>
              <w:rPr>
                <w:rFonts w:cs="Times New Roman"/>
                <w:u w:val="single"/>
              </w:rPr>
            </w:pPr>
          </w:p>
        </w:tc>
        <w:tc>
          <w:tcPr>
            <w:tcW w:w="618" w:type="pct"/>
            <w:vAlign w:val="center"/>
          </w:tcPr>
          <w:p>
            <w:pPr>
              <w:pStyle w:val="39"/>
              <w:rPr>
                <w:rFonts w:cs="Times New Roman"/>
                <w:u w:val="single"/>
              </w:rPr>
            </w:pPr>
            <w:r>
              <w:rPr>
                <w:rFonts w:cs="Times New Roman"/>
                <w:u w:val="single"/>
              </w:rPr>
              <w:t>固废处理</w:t>
            </w:r>
          </w:p>
        </w:tc>
        <w:tc>
          <w:tcPr>
            <w:tcW w:w="2473" w:type="pct"/>
            <w:vAlign w:val="center"/>
          </w:tcPr>
          <w:p>
            <w:pPr>
              <w:pStyle w:val="39"/>
              <w:rPr>
                <w:rFonts w:cs="Times New Roman"/>
                <w:u w:val="single"/>
              </w:rPr>
            </w:pPr>
            <w:r>
              <w:rPr>
                <w:rFonts w:hint="eastAsia" w:cs="Times New Roman"/>
                <w:u w:val="single"/>
              </w:rPr>
              <w:t>鸡粪干燥设备2套</w:t>
            </w:r>
          </w:p>
        </w:tc>
        <w:tc>
          <w:tcPr>
            <w:tcW w:w="1077" w:type="pct"/>
            <w:vAlign w:val="center"/>
          </w:tcPr>
          <w:p>
            <w:pPr>
              <w:pStyle w:val="39"/>
              <w:rPr>
                <w:rFonts w:cs="Times New Roman"/>
                <w:u w:val="single"/>
              </w:rPr>
            </w:pPr>
            <w:r>
              <w:rPr>
                <w:rFonts w:hint="eastAsia" w:cs="Times New Roman"/>
                <w:u w:val="singl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00" w:type="pct"/>
            <w:vMerge w:val="continue"/>
            <w:vAlign w:val="center"/>
          </w:tcPr>
          <w:p>
            <w:pPr>
              <w:pStyle w:val="39"/>
              <w:rPr>
                <w:rFonts w:cs="Times New Roman"/>
                <w:u w:val="single"/>
              </w:rPr>
            </w:pPr>
          </w:p>
        </w:tc>
        <w:tc>
          <w:tcPr>
            <w:tcW w:w="3323" w:type="pct"/>
            <w:gridSpan w:val="3"/>
            <w:vAlign w:val="center"/>
          </w:tcPr>
          <w:p>
            <w:pPr>
              <w:pStyle w:val="39"/>
              <w:rPr>
                <w:rFonts w:cs="Times New Roman"/>
                <w:u w:val="single"/>
              </w:rPr>
            </w:pPr>
            <w:r>
              <w:rPr>
                <w:rFonts w:cs="Times New Roman"/>
                <w:u w:val="single"/>
              </w:rPr>
              <w:t>小计</w:t>
            </w:r>
          </w:p>
        </w:tc>
        <w:tc>
          <w:tcPr>
            <w:tcW w:w="1077" w:type="pct"/>
            <w:vAlign w:val="center"/>
          </w:tcPr>
          <w:p>
            <w:pPr>
              <w:pStyle w:val="39"/>
              <w:rPr>
                <w:rFonts w:cs="Times New Roman"/>
                <w:u w:val="single"/>
              </w:rPr>
            </w:pPr>
            <w:r>
              <w:rPr>
                <w:rFonts w:hint="eastAsia" w:cs="Times New Roman"/>
                <w:u w:val="single"/>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23" w:type="pct"/>
            <w:gridSpan w:val="4"/>
            <w:vAlign w:val="center"/>
          </w:tcPr>
          <w:p>
            <w:pPr>
              <w:pStyle w:val="39"/>
              <w:rPr>
                <w:rFonts w:cs="Times New Roman"/>
                <w:u w:val="single"/>
              </w:rPr>
            </w:pPr>
            <w:r>
              <w:rPr>
                <w:rFonts w:cs="Times New Roman"/>
                <w:u w:val="single"/>
              </w:rPr>
              <w:t>合计</w:t>
            </w:r>
          </w:p>
        </w:tc>
        <w:tc>
          <w:tcPr>
            <w:tcW w:w="1077" w:type="pct"/>
            <w:vAlign w:val="center"/>
          </w:tcPr>
          <w:p>
            <w:pPr>
              <w:pStyle w:val="39"/>
              <w:rPr>
                <w:rFonts w:cs="Times New Roman"/>
                <w:u w:val="single"/>
              </w:rPr>
            </w:pPr>
            <w:r>
              <w:rPr>
                <w:rFonts w:hint="eastAsia" w:cs="Times New Roman"/>
                <w:u w:val="single"/>
              </w:rPr>
              <w:t>180</w:t>
            </w:r>
          </w:p>
        </w:tc>
      </w:tr>
    </w:tbl>
    <w:p>
      <w:pPr>
        <w:pStyle w:val="3"/>
        <w:ind w:firstLine="480"/>
        <w:rPr>
          <w:rFonts w:cs="Times New Roman"/>
        </w:rPr>
      </w:pPr>
    </w:p>
    <w:p>
      <w:pPr>
        <w:pStyle w:val="3"/>
        <w:ind w:firstLine="480"/>
        <w:rPr>
          <w:rFonts w:cs="Times New Roman"/>
        </w:rPr>
      </w:pPr>
      <w:r>
        <w:rPr>
          <w:rFonts w:cs="Times New Roman"/>
        </w:rPr>
        <w:t>由上表8.1-1可知，本项目环保总投资为</w:t>
      </w:r>
      <w:r>
        <w:rPr>
          <w:rFonts w:hint="eastAsia" w:cs="Times New Roman"/>
        </w:rPr>
        <w:t>180</w:t>
      </w:r>
      <w:r>
        <w:rPr>
          <w:rFonts w:cs="Times New Roman"/>
        </w:rPr>
        <w:t>万元，占建设总投资（</w:t>
      </w:r>
      <w:r>
        <w:rPr>
          <w:rFonts w:hint="eastAsia" w:cs="Times New Roman"/>
        </w:rPr>
        <w:t>6</w:t>
      </w:r>
      <w:r>
        <w:rPr>
          <w:rFonts w:cs="Times New Roman"/>
        </w:rPr>
        <w:t>000万元）的</w:t>
      </w:r>
      <w:r>
        <w:rPr>
          <w:rFonts w:hint="eastAsia" w:cs="Times New Roman"/>
        </w:rPr>
        <w:t>3.0</w:t>
      </w:r>
      <w:r>
        <w:rPr>
          <w:rFonts w:cs="Times New Roman"/>
        </w:rPr>
        <w:t>%；其中用于</w:t>
      </w:r>
      <w:r>
        <w:rPr>
          <w:rFonts w:hint="eastAsia" w:cs="Times New Roman"/>
        </w:rPr>
        <w:t>鸡粪干燥设备</w:t>
      </w:r>
      <w:r>
        <w:rPr>
          <w:rFonts w:cs="Times New Roman"/>
        </w:rPr>
        <w:t>的投资最大，共</w:t>
      </w:r>
      <w:r>
        <w:rPr>
          <w:rFonts w:hint="eastAsia" w:cs="Times New Roman"/>
        </w:rPr>
        <w:t>45</w:t>
      </w:r>
      <w:r>
        <w:rPr>
          <w:rFonts w:cs="Times New Roman"/>
        </w:rPr>
        <w:t>万元，占环保投资的</w:t>
      </w:r>
      <w:r>
        <w:rPr>
          <w:rFonts w:hint="eastAsia" w:cs="Times New Roman"/>
        </w:rPr>
        <w:t>25</w:t>
      </w:r>
      <w:r>
        <w:rPr>
          <w:rFonts w:cs="Times New Roman"/>
        </w:rPr>
        <w:t>%；其次为废气污染治理、绿化措施。从环保投资比例来看，抓住了工程的</w:t>
      </w:r>
      <w:r>
        <w:rPr>
          <w:rFonts w:hint="eastAsia" w:cs="Times New Roman"/>
        </w:rPr>
        <w:t>鸡粪</w:t>
      </w:r>
      <w:r>
        <w:rPr>
          <w:rFonts w:cs="Times New Roman"/>
        </w:rPr>
        <w:t>、绿化及臭气治理的主要特征。因此，环保投资比例适当，分配较为合理。</w:t>
      </w:r>
    </w:p>
    <w:p>
      <w:pPr>
        <w:pStyle w:val="5"/>
        <w:rPr>
          <w:rFonts w:cs="Times New Roman"/>
        </w:rPr>
      </w:pPr>
      <w:bookmarkStart w:id="67" w:name="_Toc46322519"/>
      <w:bookmarkStart w:id="68" w:name="_Toc80889098"/>
      <w:r>
        <w:rPr>
          <w:rFonts w:cs="Times New Roman"/>
        </w:rPr>
        <w:t>社会效益分析</w:t>
      </w:r>
      <w:bookmarkEnd w:id="67"/>
      <w:bookmarkEnd w:id="68"/>
    </w:p>
    <w:p>
      <w:pPr>
        <w:pStyle w:val="3"/>
        <w:ind w:firstLine="480"/>
        <w:rPr>
          <w:rFonts w:cs="Times New Roman"/>
        </w:rPr>
      </w:pPr>
      <w:r>
        <w:rPr>
          <w:rFonts w:cs="Times New Roman"/>
        </w:rPr>
        <w:t>本项目的建设，不仅将提高当地鸡养殖业的科技技术发展和产品质量，还可带动当地农民脱贫致富。本项目的建设将有效解决“三农”问题，有利于提高农村经济收入，加快农民脱贫致富奔小康的步伐；有利于促进农业生产结构的调整，繁荣农村养殖经济；有利于增加当地劳动就业机会，激活农村剩余劳动力；有利于提高</w:t>
      </w:r>
      <w:r>
        <w:rPr>
          <w:rFonts w:hint="eastAsia" w:cs="Times New Roman"/>
        </w:rPr>
        <w:t>蛋鸡产蛋数量</w:t>
      </w:r>
      <w:r>
        <w:rPr>
          <w:rFonts w:cs="Times New Roman"/>
        </w:rPr>
        <w:t>，提高市场竞争力。该项目的实施可带动当地其他种植业、运输业等行业的发展，形成养殖产业链，对于繁荣区域经济起到积极的作用。</w:t>
      </w:r>
    </w:p>
    <w:p>
      <w:pPr>
        <w:pStyle w:val="3"/>
        <w:ind w:firstLine="480"/>
        <w:rPr>
          <w:rFonts w:cs="Times New Roman"/>
        </w:rPr>
      </w:pPr>
      <w:r>
        <w:rPr>
          <w:rFonts w:cs="Times New Roman"/>
        </w:rPr>
        <w:t>本项目带来的社会正效益，其主要表现在以下几个方面：</w:t>
      </w:r>
    </w:p>
    <w:p>
      <w:pPr>
        <w:pStyle w:val="3"/>
        <w:ind w:firstLine="480"/>
        <w:rPr>
          <w:rFonts w:cs="Times New Roman"/>
        </w:rPr>
      </w:pPr>
      <w:r>
        <w:rPr>
          <w:rFonts w:cs="Times New Roman"/>
        </w:rPr>
        <w:t>（1）有利于推动当地蛋鸡规模化发展进程</w:t>
      </w:r>
    </w:p>
    <w:p>
      <w:pPr>
        <w:pStyle w:val="3"/>
        <w:ind w:firstLine="480"/>
        <w:rPr>
          <w:rFonts w:cs="Times New Roman"/>
        </w:rPr>
      </w:pPr>
      <w:r>
        <w:rPr>
          <w:rFonts w:cs="Times New Roman"/>
        </w:rPr>
        <w:t>本项目建成后，通过标准化示范养鸡场的示范作用，提高农户养殖积极性，普及科技应用，提高行业效益。将带动更多养殖户开展规模化蛋鸡的养殖，向适度规模化、商品化过渡。为当地农村经济的发展、新农村建设及和谐社会建设做出重大贡献。</w:t>
      </w:r>
    </w:p>
    <w:p>
      <w:pPr>
        <w:pStyle w:val="3"/>
        <w:ind w:firstLine="480"/>
        <w:rPr>
          <w:rFonts w:cs="Times New Roman"/>
        </w:rPr>
      </w:pPr>
      <w:r>
        <w:rPr>
          <w:rFonts w:cs="Times New Roman"/>
        </w:rPr>
        <w:t>（2）有利于带动就业</w:t>
      </w:r>
    </w:p>
    <w:p>
      <w:pPr>
        <w:pStyle w:val="3"/>
        <w:ind w:firstLine="480"/>
        <w:rPr>
          <w:rFonts w:cs="Times New Roman"/>
        </w:rPr>
      </w:pPr>
      <w:r>
        <w:rPr>
          <w:rFonts w:cs="Times New Roman"/>
        </w:rPr>
        <w:t>生产型企业具有较强的外部效应，对带动当地剩余劳动力就业能产生积极作用。主要表现为两个方面：一是项目建设过程中，要雇用当地的劳动力，提供临时就业岗位；二是本项目建成后，将增长期的就业人员达</w:t>
      </w:r>
      <w:r>
        <w:rPr>
          <w:rFonts w:hint="eastAsia" w:cs="Times New Roman"/>
        </w:rPr>
        <w:t>50</w:t>
      </w:r>
      <w:r>
        <w:rPr>
          <w:rFonts w:cs="Times New Roman"/>
        </w:rPr>
        <w:t>人，提供长期就业机会；三是本项目的示范作用，将带动更多养殖户开展规模化蛋鸡的养殖，从而增加更多的就业机会。</w:t>
      </w:r>
    </w:p>
    <w:p>
      <w:pPr>
        <w:pStyle w:val="3"/>
        <w:ind w:firstLine="480"/>
        <w:rPr>
          <w:rFonts w:cs="Times New Roman"/>
        </w:rPr>
      </w:pPr>
      <w:r>
        <w:rPr>
          <w:rFonts w:cs="Times New Roman"/>
        </w:rPr>
        <w:t>（3）有利于周边无公害农产品生产</w:t>
      </w:r>
    </w:p>
    <w:p>
      <w:pPr>
        <w:pStyle w:val="3"/>
        <w:ind w:firstLine="480"/>
        <w:rPr>
          <w:rFonts w:cs="Times New Roman"/>
        </w:rPr>
      </w:pPr>
      <w:r>
        <w:rPr>
          <w:rFonts w:cs="Times New Roman"/>
        </w:rPr>
        <w:t>本项目产生的鸡粪制成优质有机肥用于土壤施肥、改良，还可制作营养钵、栽培蘑菇等。为周由种植业提供了大量优质有机肥，降低了化肥、农药在农产品生产中的使用量，为无公吉农产品生产提供了有利条件，有利于促进周围农村产业结构调整。同时，增产增收将提高周围农户的种植、养殖积极性，间接对周农村的社会稳定作出一定的贡献。</w:t>
      </w:r>
    </w:p>
    <w:p>
      <w:pPr>
        <w:pStyle w:val="5"/>
        <w:rPr>
          <w:rFonts w:cs="Times New Roman"/>
        </w:rPr>
      </w:pPr>
      <w:bookmarkStart w:id="69" w:name="_Toc46322520"/>
      <w:bookmarkStart w:id="70" w:name="_Toc80889099"/>
      <w:r>
        <w:rPr>
          <w:rFonts w:cs="Times New Roman"/>
        </w:rPr>
        <w:t>经济损益分析</w:t>
      </w:r>
      <w:bookmarkEnd w:id="69"/>
      <w:bookmarkEnd w:id="70"/>
    </w:p>
    <w:p>
      <w:pPr>
        <w:pStyle w:val="3"/>
        <w:ind w:firstLine="480"/>
        <w:rPr>
          <w:rFonts w:cs="Times New Roman"/>
        </w:rPr>
      </w:pPr>
      <w:r>
        <w:rPr>
          <w:rFonts w:cs="Times New Roman"/>
        </w:rPr>
        <w:t>关于建设项目的环境经济损益分析，国内目前尚无统一标准。此外，项目所排污染物作用于自然环境而造成的经济损失，其过程和机理是十分复杂的，其中有许多不确定因素。而且，许多因环境污染而造成的经济损失和由于污染防治而带来的环境收益，较难计量或是很难准确以货币形式来表达。为此，本报告在环境损益分析中，对于可计量部分给予定量表达，其它则采用类比分析方法予以估算，或者是给予忽略。</w:t>
      </w:r>
    </w:p>
    <w:p>
      <w:pPr>
        <w:pStyle w:val="6"/>
        <w:rPr>
          <w:rFonts w:cs="Times New Roman"/>
        </w:rPr>
      </w:pPr>
      <w:r>
        <w:rPr>
          <w:rFonts w:cs="Times New Roman"/>
        </w:rPr>
        <w:t>环境污染的损失</w:t>
      </w:r>
    </w:p>
    <w:p>
      <w:pPr>
        <w:pStyle w:val="3"/>
        <w:ind w:firstLine="480"/>
        <w:rPr>
          <w:rFonts w:cs="Times New Roman"/>
        </w:rPr>
      </w:pPr>
      <w:r>
        <w:rPr>
          <w:rFonts w:cs="Times New Roman"/>
        </w:rPr>
        <w:t>本项目的环境影响主要包括地表水环境、大气环境和声环境。从本报告的环境影响预测评价的结果可知，环境空气污染物、水污染物、噪声的排放均能满足有关排放标准的要求。本项目在营运期正常生产期间环境影响较少，但如发生事故性排放时或多或少对周围的环境产生一定影响并造成损失，但这些污染通过环保设施的有效运行管理和监测工作，可以使其不利的环境影响减小到最低。</w:t>
      </w:r>
    </w:p>
    <w:p>
      <w:pPr>
        <w:pStyle w:val="6"/>
        <w:rPr>
          <w:rFonts w:cs="Times New Roman"/>
        </w:rPr>
      </w:pPr>
      <w:r>
        <w:rPr>
          <w:rFonts w:cs="Times New Roman"/>
        </w:rPr>
        <w:t>环境效益分析</w:t>
      </w:r>
    </w:p>
    <w:p>
      <w:pPr>
        <w:pStyle w:val="3"/>
        <w:ind w:firstLine="480"/>
        <w:rPr>
          <w:rFonts w:cs="Times New Roman"/>
        </w:rPr>
      </w:pPr>
      <w:r>
        <w:rPr>
          <w:rFonts w:cs="Times New Roman"/>
        </w:rPr>
        <w:t>项目建成后，废水经过</w:t>
      </w:r>
      <w:r>
        <w:rPr>
          <w:rFonts w:hint="eastAsia" w:cs="Times New Roman"/>
        </w:rPr>
        <w:t>化粪池</w:t>
      </w:r>
      <w:r>
        <w:rPr>
          <w:rFonts w:cs="Times New Roman"/>
        </w:rPr>
        <w:t>处理后</w:t>
      </w:r>
      <w:r>
        <w:rPr>
          <w:rFonts w:hint="eastAsia" w:cs="Times New Roman"/>
        </w:rPr>
        <w:t>用作农肥</w:t>
      </w:r>
      <w:r>
        <w:rPr>
          <w:rFonts w:cs="Times New Roman"/>
        </w:rPr>
        <w:t>，鸡粪经</w:t>
      </w:r>
      <w:r>
        <w:rPr>
          <w:rFonts w:hint="eastAsia" w:cs="Times New Roman"/>
        </w:rPr>
        <w:t>干燥</w:t>
      </w:r>
      <w:r>
        <w:rPr>
          <w:rFonts w:cs="Times New Roman"/>
        </w:rPr>
        <w:t>处理后生产有机肥外售。不仅节约了宝贵的水资源，而且还可以推动使用有机肥，改善土壤肥力，节约化肥使用量，还可避免因施用化肥对周围环境产生的影响，增加农作物的收成，是“一举多得”的环保措施。</w:t>
      </w:r>
    </w:p>
    <w:p>
      <w:pPr>
        <w:pStyle w:val="3"/>
        <w:ind w:firstLine="480"/>
        <w:rPr>
          <w:rFonts w:cs="Times New Roman"/>
        </w:rPr>
      </w:pPr>
      <w:r>
        <w:rPr>
          <w:rFonts w:cs="Times New Roman"/>
        </w:rPr>
        <w:t>建设项目环保治理措施的实施，不仅可以有效地控制污染，而且通过对废物的综合利用还能带来一定的经济效益和环境效益。通过对拟建项目生产工艺的分析，项目因环保治理能带来的直接的经济效益和间接的环境效益。直接的经济效益一方面来自污染治理而减少的排污收费，另一方面来自废水回用、废物综合利用所得的经济效益。</w:t>
      </w:r>
    </w:p>
    <w:p>
      <w:pPr>
        <w:pStyle w:val="5"/>
        <w:rPr>
          <w:rFonts w:cs="Times New Roman"/>
        </w:rPr>
      </w:pPr>
      <w:bookmarkStart w:id="71" w:name="_Toc80889100"/>
      <w:bookmarkStart w:id="72" w:name="_Toc46322521"/>
      <w:r>
        <w:rPr>
          <w:rFonts w:cs="Times New Roman"/>
        </w:rPr>
        <w:t>综合评价</w:t>
      </w:r>
      <w:bookmarkEnd w:id="71"/>
      <w:bookmarkEnd w:id="72"/>
    </w:p>
    <w:p>
      <w:pPr>
        <w:pStyle w:val="3"/>
        <w:ind w:firstLine="480"/>
        <w:rPr>
          <w:rFonts w:cs="Times New Roman"/>
        </w:rPr>
      </w:pPr>
      <w:r>
        <w:rPr>
          <w:rFonts w:cs="Times New Roman"/>
        </w:rPr>
        <w:t>在社会效益方面，本项目并对解决周边村民的就业、促进地方的经济发展有重要贡献。</w:t>
      </w:r>
    </w:p>
    <w:p>
      <w:pPr>
        <w:pStyle w:val="3"/>
        <w:ind w:firstLine="480"/>
        <w:rPr>
          <w:rFonts w:cs="Times New Roman"/>
        </w:rPr>
      </w:pPr>
      <w:r>
        <w:rPr>
          <w:rFonts w:cs="Times New Roman"/>
        </w:rPr>
        <w:t>在环境效益方面，本项目的建设和运营会对环境产生一定的影响，但在工程建设中，只要严格执行有关的法律、法规，环保措施执行“三同时”制度，可保证对环境的影响控制在允许范围之内。</w:t>
      </w:r>
    </w:p>
    <w:p>
      <w:pPr>
        <w:pStyle w:val="3"/>
        <w:ind w:firstLine="480"/>
        <w:rPr>
          <w:rFonts w:cs="Times New Roman"/>
        </w:rPr>
      </w:pPr>
      <w:r>
        <w:rPr>
          <w:rFonts w:cs="Times New Roman"/>
        </w:rPr>
        <w:t>在经济效益方面，项目投资利润率与投资利税率较高，有较好的经济效益。</w:t>
      </w:r>
    </w:p>
    <w:p>
      <w:pPr>
        <w:pStyle w:val="3"/>
        <w:ind w:firstLine="480"/>
        <w:rPr>
          <w:rFonts w:cs="Times New Roman"/>
        </w:rPr>
      </w:pPr>
      <w:r>
        <w:rPr>
          <w:rFonts w:cs="Times New Roman"/>
        </w:rPr>
        <w:t>综合以上分析，本项目的开发建设，将带来相当大的社会效益，针对项目暴露出来的环境问题而采取相应的污染防治措施后，其环境代价较小。本项目所带来的社会和环境效益远远大于资源和环境污染造成的损失，从环境经济方面来看，项目具备可行性。</w:t>
      </w:r>
    </w:p>
    <w:p>
      <w:pPr>
        <w:pStyle w:val="3"/>
        <w:ind w:firstLine="480"/>
      </w:pPr>
    </w:p>
    <w:p>
      <w:pPr>
        <w:pStyle w:val="3"/>
        <w:ind w:firstLine="480"/>
      </w:pPr>
      <w:r>
        <w:br w:type="page"/>
      </w:r>
    </w:p>
    <w:p>
      <w:pPr>
        <w:pStyle w:val="2"/>
      </w:pPr>
      <w:bookmarkStart w:id="73" w:name="_Toc80889101"/>
      <w:r>
        <w:rPr>
          <w:rFonts w:hint="eastAsia"/>
        </w:rPr>
        <w:t>环境</w:t>
      </w:r>
      <w:r>
        <w:t>管理与环境监测</w:t>
      </w:r>
      <w:bookmarkEnd w:id="73"/>
    </w:p>
    <w:p>
      <w:pPr>
        <w:pStyle w:val="5"/>
        <w:rPr>
          <w:rFonts w:cs="Times New Roman"/>
        </w:rPr>
      </w:pPr>
      <w:bookmarkStart w:id="74" w:name="_Toc46322523"/>
      <w:bookmarkStart w:id="75" w:name="_Toc516215003"/>
      <w:bookmarkStart w:id="76" w:name="_Toc80889102"/>
      <w:r>
        <w:rPr>
          <w:rFonts w:cs="Times New Roman"/>
        </w:rPr>
        <w:t>环境管理</w:t>
      </w:r>
      <w:bookmarkEnd w:id="74"/>
      <w:bookmarkEnd w:id="75"/>
      <w:bookmarkEnd w:id="76"/>
    </w:p>
    <w:p>
      <w:pPr>
        <w:pStyle w:val="6"/>
        <w:rPr>
          <w:rFonts w:cs="Times New Roman"/>
        </w:rPr>
      </w:pPr>
      <w:r>
        <w:rPr>
          <w:rFonts w:cs="Times New Roman"/>
        </w:rPr>
        <w:t>环境管理的基本任务</w:t>
      </w:r>
    </w:p>
    <w:p>
      <w:pPr>
        <w:pStyle w:val="3"/>
        <w:ind w:firstLine="480"/>
        <w:rPr>
          <w:rFonts w:cs="Times New Roman"/>
        </w:rPr>
      </w:pPr>
      <w:r>
        <w:rPr>
          <w:rFonts w:cs="Times New Roman"/>
        </w:rPr>
        <w:t>本项目环境管理的基本任务是：控制污染物排放量，避免污染物对环境质量的损害。</w:t>
      </w:r>
    </w:p>
    <w:p>
      <w:pPr>
        <w:pStyle w:val="3"/>
        <w:ind w:firstLine="480"/>
        <w:rPr>
          <w:rFonts w:cs="Times New Roman"/>
        </w:rPr>
      </w:pPr>
      <w:r>
        <w:rPr>
          <w:rFonts w:cs="Times New Roman"/>
        </w:rPr>
        <w:t>为了控制污染物的排放，就需要加强计划、生产、技术、质量、设备、劳动、财务等方面的管理，把环境管理渗透到整个企业管理中，将环境管理溶合在一起，以减少从生产过程中各环节排出的污染物。</w:t>
      </w:r>
    </w:p>
    <w:p>
      <w:pPr>
        <w:pStyle w:val="3"/>
        <w:ind w:firstLine="480"/>
        <w:rPr>
          <w:rFonts w:cs="Times New Roman"/>
        </w:rPr>
      </w:pPr>
      <w:r>
        <w:rPr>
          <w:rFonts w:cs="Times New Roman"/>
        </w:rPr>
        <w:t>本项目应该将环境管理作为企业管理的重要组成部分，建立环境污染管理系统、制度、环境规划、协调发展生产保护环境的关系，使生产管理系统、制度、环境污染规划协调生产与保护环境的关系，使生产目标与环境目标统一起来，经济效益与环境效益统一起来。</w:t>
      </w:r>
    </w:p>
    <w:p>
      <w:pPr>
        <w:pStyle w:val="6"/>
        <w:rPr>
          <w:rFonts w:cs="Times New Roman"/>
        </w:rPr>
      </w:pPr>
      <w:r>
        <w:rPr>
          <w:rFonts w:cs="Times New Roman"/>
        </w:rPr>
        <w:t>环境管理机构</w:t>
      </w:r>
    </w:p>
    <w:p>
      <w:pPr>
        <w:pStyle w:val="3"/>
        <w:ind w:firstLine="480"/>
        <w:rPr>
          <w:rFonts w:cs="Times New Roman"/>
        </w:rPr>
      </w:pPr>
      <w:r>
        <w:rPr>
          <w:rFonts w:cs="Times New Roman"/>
        </w:rPr>
        <w:t>根据国家有关环境保护法规的要求和本项目生产的实际需要，建议该企业在设置组织机构时，考虑设置专门的环保管理机构，配备专职（兼职）环保管理人员1~2名。环保管理人员应有熟悉企业排污状况、具备一定清洁生产知识、责任心强和组织协调能力强的人员担任，以利于监督管理，负责全场的环境保护管理工作，发现问题能及时解决并向上级环保主管部门报告，其主要职责如下：</w:t>
      </w:r>
    </w:p>
    <w:p>
      <w:pPr>
        <w:pStyle w:val="3"/>
        <w:ind w:firstLine="480"/>
        <w:rPr>
          <w:rFonts w:cs="Times New Roman"/>
        </w:rPr>
      </w:pPr>
      <w:r>
        <w:rPr>
          <w:rFonts w:cs="Times New Roman"/>
        </w:rPr>
        <w:t>（1）宣传、贯彻和执行环境保护政策、法律法规及环境保护标准。开展环境保护宣传、教育、培训等专业知识普及工作；</w:t>
      </w:r>
    </w:p>
    <w:p>
      <w:pPr>
        <w:pStyle w:val="3"/>
        <w:ind w:firstLine="480"/>
        <w:rPr>
          <w:rFonts w:cs="Times New Roman"/>
        </w:rPr>
      </w:pPr>
      <w:r>
        <w:rPr>
          <w:rFonts w:cs="Times New Roman"/>
        </w:rPr>
        <w:t>（2）编制并组织实施环境保护规划和计划，并监督执行，负责日常环境保护的管理工作；</w:t>
      </w:r>
    </w:p>
    <w:p>
      <w:pPr>
        <w:pStyle w:val="3"/>
        <w:ind w:firstLine="480"/>
        <w:rPr>
          <w:rFonts w:cs="Times New Roman"/>
        </w:rPr>
      </w:pPr>
      <w:r>
        <w:rPr>
          <w:rFonts w:cs="Times New Roman"/>
        </w:rPr>
        <w:t>（3）领导并组织企业的环境监测工作，建立监测台帐和档案，编写环保简报，做好环境统计，使企业领导、上级部门及时掌握污染治理动态；</w:t>
      </w:r>
    </w:p>
    <w:p>
      <w:pPr>
        <w:pStyle w:val="3"/>
        <w:ind w:firstLine="480"/>
        <w:rPr>
          <w:rFonts w:cs="Times New Roman"/>
        </w:rPr>
      </w:pPr>
      <w:r>
        <w:rPr>
          <w:rFonts w:cs="Times New Roman"/>
        </w:rPr>
        <w:t>（4）建立建全环境保护与劳动安全管理制度，监督工程施工期、运行期和服务期满后环保措施的有效实施；</w:t>
      </w:r>
    </w:p>
    <w:p>
      <w:pPr>
        <w:pStyle w:val="3"/>
        <w:ind w:firstLine="480"/>
        <w:rPr>
          <w:rFonts w:cs="Times New Roman"/>
        </w:rPr>
      </w:pPr>
      <w:r>
        <w:rPr>
          <w:rFonts w:cs="Times New Roman"/>
        </w:rPr>
        <w:t>（5）为保证工程环保设施的正常运转，减少或防范污染事故，制定污染治理设备设施操作规程的检查、维修计划，检查、记录污染治理设施运行及检修情况，并定期检查操作人员的操作技能，在实际工作中检验各项操作规范的可行性；</w:t>
      </w:r>
    </w:p>
    <w:p>
      <w:pPr>
        <w:pStyle w:val="3"/>
        <w:ind w:firstLine="480"/>
        <w:rPr>
          <w:rFonts w:cs="Times New Roman"/>
        </w:rPr>
      </w:pPr>
      <w:r>
        <w:rPr>
          <w:rFonts w:cs="Times New Roman"/>
        </w:rPr>
        <w:t>（6）检查各环境保护设施的运行情况、负责污染事故性排放的处理和调查。</w:t>
      </w:r>
    </w:p>
    <w:p>
      <w:pPr>
        <w:pStyle w:val="6"/>
        <w:rPr>
          <w:rFonts w:cs="Times New Roman"/>
        </w:rPr>
      </w:pPr>
      <w:r>
        <w:rPr>
          <w:rFonts w:cs="Times New Roman"/>
        </w:rPr>
        <w:t>环境保护规章制度和措施</w:t>
      </w:r>
    </w:p>
    <w:p>
      <w:pPr>
        <w:pStyle w:val="3"/>
        <w:ind w:firstLine="480"/>
        <w:rPr>
          <w:rFonts w:cs="Times New Roman"/>
        </w:rPr>
      </w:pPr>
      <w:r>
        <w:rPr>
          <w:rFonts w:cs="Times New Roman"/>
        </w:rPr>
        <w:t>（1）制定环保设施的运行管理和定期监测制度；</w:t>
      </w:r>
    </w:p>
    <w:p>
      <w:pPr>
        <w:pStyle w:val="3"/>
        <w:ind w:firstLine="480"/>
        <w:rPr>
          <w:rFonts w:cs="Times New Roman"/>
        </w:rPr>
      </w:pPr>
      <w:r>
        <w:rPr>
          <w:rFonts w:cs="Times New Roman"/>
        </w:rPr>
        <w:t>（2）制定污染处理设施操作规程；</w:t>
      </w:r>
    </w:p>
    <w:p>
      <w:pPr>
        <w:pStyle w:val="3"/>
        <w:ind w:firstLine="480"/>
        <w:rPr>
          <w:rFonts w:cs="Times New Roman"/>
        </w:rPr>
      </w:pPr>
      <w:r>
        <w:rPr>
          <w:rFonts w:cs="Times New Roman"/>
        </w:rPr>
        <w:t>（3）制定危险品管理、使用和防护制度；</w:t>
      </w:r>
    </w:p>
    <w:p>
      <w:pPr>
        <w:pStyle w:val="3"/>
        <w:ind w:firstLine="480"/>
        <w:rPr>
          <w:rFonts w:cs="Times New Roman"/>
        </w:rPr>
      </w:pPr>
      <w:r>
        <w:rPr>
          <w:rFonts w:cs="Times New Roman"/>
        </w:rPr>
        <w:t>（4）制定事故防范和应急处理制度，制定劳动安全、卫生防护制度；</w:t>
      </w:r>
    </w:p>
    <w:p>
      <w:pPr>
        <w:pStyle w:val="3"/>
        <w:ind w:firstLine="480"/>
        <w:rPr>
          <w:rFonts w:cs="Times New Roman"/>
        </w:rPr>
      </w:pPr>
      <w:r>
        <w:rPr>
          <w:rFonts w:cs="Times New Roman"/>
        </w:rPr>
        <w:t>（5）搞好场区绿化工程，提高场区绿化率，美化场区环境。</w:t>
      </w:r>
    </w:p>
    <w:p>
      <w:pPr>
        <w:pStyle w:val="5"/>
        <w:rPr>
          <w:rFonts w:cs="Times New Roman"/>
        </w:rPr>
      </w:pPr>
      <w:bookmarkStart w:id="77" w:name="_Toc516215004"/>
      <w:bookmarkStart w:id="78" w:name="_Toc46322524"/>
      <w:bookmarkStart w:id="79" w:name="_Toc80889103"/>
      <w:r>
        <w:rPr>
          <w:rFonts w:cs="Times New Roman"/>
        </w:rPr>
        <w:t>环境监测计划</w:t>
      </w:r>
      <w:bookmarkEnd w:id="77"/>
      <w:bookmarkEnd w:id="78"/>
      <w:bookmarkEnd w:id="79"/>
    </w:p>
    <w:p>
      <w:pPr>
        <w:pStyle w:val="3"/>
        <w:ind w:firstLine="480"/>
        <w:rPr>
          <w:rFonts w:cs="Times New Roman"/>
        </w:rPr>
      </w:pPr>
      <w:r>
        <w:rPr>
          <w:rFonts w:cs="Times New Roman"/>
        </w:rPr>
        <w:t>环境监测基本原则是根据装置运行状况及污染物排放情况，对项目环保设施运行进行监督，并对各类污染物排放进行监测，为确保工程投运后“三废”达标排放，以及安全运行提供科学依据。在试生产和生产初期需加密监测，监测采样及化验分析方法按相应标准进行。</w:t>
      </w:r>
    </w:p>
    <w:p>
      <w:pPr>
        <w:pStyle w:val="3"/>
        <w:ind w:firstLine="480"/>
        <w:rPr>
          <w:rFonts w:cs="Times New Roman"/>
          <w:u w:val="single"/>
        </w:rPr>
      </w:pPr>
      <w:r>
        <w:rPr>
          <w:rFonts w:cs="Times New Roman"/>
          <w:u w:val="single"/>
        </w:rPr>
        <w:t xml:space="preserve">（1）污染源监测方案 </w:t>
      </w:r>
    </w:p>
    <w:p>
      <w:pPr>
        <w:pStyle w:val="3"/>
        <w:ind w:firstLine="480"/>
        <w:rPr>
          <w:rFonts w:cs="Times New Roman"/>
          <w:u w:val="single"/>
        </w:rPr>
      </w:pPr>
      <w:r>
        <w:rPr>
          <w:rFonts w:cs="Times New Roman"/>
          <w:u w:val="single"/>
        </w:rPr>
        <w:t>污染源监测包括废水污染源、废气污染源和噪声污染源，要求加强对无组织排放的监控。本项目污染源监测方案见表9.2-1。</w:t>
      </w:r>
    </w:p>
    <w:p>
      <w:pPr>
        <w:pStyle w:val="15"/>
        <w:rPr>
          <w:rFonts w:cs="Times New Roman"/>
          <w:snapToGrid w:val="0"/>
          <w:u w:val="single"/>
        </w:rPr>
      </w:pPr>
      <w:r>
        <w:rPr>
          <w:rFonts w:cs="Times New Roman"/>
          <w:snapToGrid w:val="0"/>
          <w:u w:val="single"/>
        </w:rPr>
        <w:t xml:space="preserve">表9.2-1  污染源监测方案 </w:t>
      </w:r>
    </w:p>
    <w:tbl>
      <w:tblPr>
        <w:tblStyle w:val="26"/>
        <w:tblW w:w="9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977"/>
        <w:gridCol w:w="2410"/>
        <w:gridCol w:w="2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vAlign w:val="center"/>
          </w:tcPr>
          <w:p>
            <w:pPr>
              <w:pStyle w:val="39"/>
              <w:rPr>
                <w:rFonts w:cs="Times New Roman"/>
                <w:u w:val="single"/>
              </w:rPr>
            </w:pPr>
            <w:r>
              <w:rPr>
                <w:rFonts w:cs="Times New Roman"/>
                <w:u w:val="single"/>
              </w:rPr>
              <w:t>类型</w:t>
            </w:r>
          </w:p>
        </w:tc>
        <w:tc>
          <w:tcPr>
            <w:tcW w:w="2977" w:type="dxa"/>
            <w:vAlign w:val="center"/>
          </w:tcPr>
          <w:p>
            <w:pPr>
              <w:pStyle w:val="39"/>
              <w:rPr>
                <w:rFonts w:cs="Times New Roman"/>
                <w:u w:val="single"/>
              </w:rPr>
            </w:pPr>
            <w:r>
              <w:rPr>
                <w:rFonts w:cs="Times New Roman"/>
                <w:u w:val="single"/>
              </w:rPr>
              <w:t>监测项目</w:t>
            </w:r>
          </w:p>
        </w:tc>
        <w:tc>
          <w:tcPr>
            <w:tcW w:w="2410" w:type="dxa"/>
            <w:vAlign w:val="center"/>
          </w:tcPr>
          <w:p>
            <w:pPr>
              <w:pStyle w:val="39"/>
              <w:rPr>
                <w:rFonts w:cs="Times New Roman"/>
                <w:u w:val="single"/>
              </w:rPr>
            </w:pPr>
            <w:r>
              <w:rPr>
                <w:rFonts w:cs="Times New Roman"/>
                <w:u w:val="single"/>
              </w:rPr>
              <w:t>监 测 点</w:t>
            </w:r>
          </w:p>
        </w:tc>
        <w:tc>
          <w:tcPr>
            <w:tcW w:w="2969" w:type="dxa"/>
            <w:vAlign w:val="center"/>
          </w:tcPr>
          <w:p>
            <w:pPr>
              <w:pStyle w:val="39"/>
              <w:rPr>
                <w:rFonts w:cs="Times New Roman"/>
                <w:u w:val="single"/>
              </w:rPr>
            </w:pPr>
            <w:r>
              <w:rPr>
                <w:rFonts w:cs="Times New Roman"/>
                <w:u w:val="single"/>
              </w:rPr>
              <w:t>监测频率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vMerge w:val="restart"/>
            <w:vAlign w:val="center"/>
          </w:tcPr>
          <w:p>
            <w:pPr>
              <w:pStyle w:val="39"/>
              <w:rPr>
                <w:rFonts w:cs="Times New Roman"/>
                <w:u w:val="single"/>
              </w:rPr>
            </w:pPr>
            <w:r>
              <w:rPr>
                <w:rFonts w:cs="Times New Roman"/>
                <w:u w:val="single"/>
              </w:rPr>
              <w:t>废气</w:t>
            </w:r>
          </w:p>
        </w:tc>
        <w:tc>
          <w:tcPr>
            <w:tcW w:w="2977" w:type="dxa"/>
            <w:vAlign w:val="center"/>
          </w:tcPr>
          <w:p>
            <w:pPr>
              <w:pStyle w:val="39"/>
              <w:rPr>
                <w:rFonts w:cs="Times New Roman"/>
                <w:u w:val="single"/>
                <w:vertAlign w:val="subscript"/>
              </w:rPr>
            </w:pPr>
            <w:r>
              <w:rPr>
                <w:rFonts w:cs="Times New Roman"/>
                <w:u w:val="single"/>
              </w:rPr>
              <w:t>H</w:t>
            </w:r>
            <w:r>
              <w:rPr>
                <w:rFonts w:cs="Times New Roman"/>
                <w:u w:val="single"/>
                <w:vertAlign w:val="subscript"/>
              </w:rPr>
              <w:t>2</w:t>
            </w:r>
            <w:r>
              <w:rPr>
                <w:rFonts w:cs="Times New Roman"/>
                <w:u w:val="single"/>
              </w:rPr>
              <w:t>S、NH</w:t>
            </w:r>
            <w:r>
              <w:rPr>
                <w:rFonts w:cs="Times New Roman"/>
                <w:u w:val="single"/>
                <w:vertAlign w:val="subscript"/>
              </w:rPr>
              <w:t>3</w:t>
            </w:r>
            <w:r>
              <w:rPr>
                <w:rFonts w:cs="Times New Roman"/>
                <w:u w:val="single"/>
              </w:rPr>
              <w:t>、</w:t>
            </w:r>
            <w:r>
              <w:rPr>
                <w:rFonts w:hint="eastAsia" w:cs="Times New Roman"/>
                <w:u w:val="single"/>
              </w:rPr>
              <w:t>臭气浓度</w:t>
            </w:r>
          </w:p>
        </w:tc>
        <w:tc>
          <w:tcPr>
            <w:tcW w:w="2410" w:type="dxa"/>
            <w:vAlign w:val="center"/>
          </w:tcPr>
          <w:p>
            <w:pPr>
              <w:pStyle w:val="39"/>
              <w:rPr>
                <w:rFonts w:cs="Times New Roman"/>
                <w:u w:val="single"/>
              </w:rPr>
            </w:pPr>
            <w:r>
              <w:rPr>
                <w:rFonts w:cs="Times New Roman"/>
                <w:u w:val="single"/>
              </w:rPr>
              <w:t>场界</w:t>
            </w:r>
            <w:r>
              <w:rPr>
                <w:rFonts w:hint="eastAsia" w:cs="Times New Roman"/>
                <w:u w:val="single"/>
              </w:rPr>
              <w:t>四周</w:t>
            </w:r>
          </w:p>
        </w:tc>
        <w:tc>
          <w:tcPr>
            <w:tcW w:w="2969" w:type="dxa"/>
            <w:vAlign w:val="center"/>
          </w:tcPr>
          <w:p>
            <w:pPr>
              <w:pStyle w:val="39"/>
              <w:rPr>
                <w:rFonts w:cs="Times New Roman"/>
                <w:u w:val="single"/>
              </w:rPr>
            </w:pPr>
            <w:r>
              <w:rPr>
                <w:rFonts w:cs="Times New Roman"/>
                <w:u w:val="single"/>
              </w:rPr>
              <w:t>一次/</w:t>
            </w:r>
            <w:r>
              <w:rPr>
                <w:rFonts w:hint="eastAsia" w:cs="Times New Roman"/>
                <w:u w:val="singl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vMerge w:val="continue"/>
            <w:vAlign w:val="center"/>
          </w:tcPr>
          <w:p>
            <w:pPr>
              <w:pStyle w:val="39"/>
              <w:rPr>
                <w:rFonts w:cs="Times New Roman"/>
                <w:u w:val="single"/>
              </w:rPr>
            </w:pPr>
          </w:p>
        </w:tc>
        <w:tc>
          <w:tcPr>
            <w:tcW w:w="2977" w:type="dxa"/>
            <w:vAlign w:val="center"/>
          </w:tcPr>
          <w:p>
            <w:pPr>
              <w:pStyle w:val="39"/>
              <w:rPr>
                <w:rFonts w:cs="Times New Roman"/>
                <w:u w:val="single"/>
              </w:rPr>
            </w:pPr>
            <w:r>
              <w:rPr>
                <w:rFonts w:hint="eastAsia" w:cs="Times New Roman"/>
                <w:u w:val="single"/>
              </w:rPr>
              <w:t>SO</w:t>
            </w:r>
            <w:r>
              <w:rPr>
                <w:rFonts w:hint="eastAsia" w:cs="Times New Roman"/>
                <w:u w:val="single"/>
                <w:vertAlign w:val="subscript"/>
              </w:rPr>
              <w:t>2</w:t>
            </w:r>
            <w:r>
              <w:rPr>
                <w:rFonts w:hint="eastAsia" w:cs="Times New Roman"/>
                <w:u w:val="single"/>
              </w:rPr>
              <w:t>、NO</w:t>
            </w:r>
            <w:r>
              <w:rPr>
                <w:rFonts w:hint="eastAsia" w:cs="Times New Roman"/>
                <w:u w:val="single"/>
                <w:vertAlign w:val="subscript"/>
              </w:rPr>
              <w:t>X</w:t>
            </w:r>
            <w:r>
              <w:rPr>
                <w:rFonts w:hint="eastAsia" w:cs="Times New Roman"/>
                <w:u w:val="single"/>
              </w:rPr>
              <w:t>、</w:t>
            </w:r>
            <w:r>
              <w:rPr>
                <w:rFonts w:cs="Times New Roman"/>
                <w:u w:val="single"/>
              </w:rPr>
              <w:t>烟尘</w:t>
            </w:r>
          </w:p>
        </w:tc>
        <w:tc>
          <w:tcPr>
            <w:tcW w:w="2410" w:type="dxa"/>
            <w:vAlign w:val="center"/>
          </w:tcPr>
          <w:p>
            <w:pPr>
              <w:pStyle w:val="39"/>
              <w:rPr>
                <w:rFonts w:cs="Times New Roman"/>
                <w:u w:val="single"/>
              </w:rPr>
            </w:pPr>
            <w:r>
              <w:rPr>
                <w:rFonts w:hint="eastAsia" w:cs="Times New Roman"/>
                <w:u w:val="single"/>
              </w:rPr>
              <w:t>生物质</w:t>
            </w:r>
            <w:r>
              <w:rPr>
                <w:rFonts w:cs="Times New Roman"/>
                <w:u w:val="single"/>
              </w:rPr>
              <w:t>锅炉排气筒</w:t>
            </w:r>
            <w:r>
              <w:rPr>
                <w:rFonts w:hint="eastAsia" w:cs="Times New Roman"/>
                <w:u w:val="single"/>
              </w:rPr>
              <w:t>（1</w:t>
            </w:r>
            <w:r>
              <w:rPr>
                <w:rFonts w:cs="Times New Roman"/>
                <w:u w:val="single"/>
              </w:rPr>
              <w:t>#</w:t>
            </w:r>
            <w:r>
              <w:rPr>
                <w:rFonts w:hint="eastAsia" w:cs="Times New Roman"/>
                <w:u w:val="single"/>
              </w:rPr>
              <w:t>、2</w:t>
            </w:r>
            <w:r>
              <w:rPr>
                <w:rFonts w:cs="Times New Roman"/>
                <w:u w:val="single"/>
              </w:rPr>
              <w:t>#</w:t>
            </w:r>
            <w:r>
              <w:rPr>
                <w:rFonts w:hint="eastAsia" w:cs="Times New Roman"/>
                <w:u w:val="single"/>
              </w:rPr>
              <w:t>、3</w:t>
            </w:r>
            <w:r>
              <w:rPr>
                <w:rFonts w:cs="Times New Roman"/>
                <w:u w:val="single"/>
              </w:rPr>
              <w:t>#</w:t>
            </w:r>
            <w:r>
              <w:rPr>
                <w:rFonts w:hint="eastAsia" w:cs="Times New Roman"/>
                <w:u w:val="single"/>
              </w:rPr>
              <w:t>）</w:t>
            </w:r>
          </w:p>
        </w:tc>
        <w:tc>
          <w:tcPr>
            <w:tcW w:w="2969" w:type="dxa"/>
            <w:vAlign w:val="center"/>
          </w:tcPr>
          <w:p>
            <w:pPr>
              <w:pStyle w:val="39"/>
              <w:rPr>
                <w:rFonts w:cs="Times New Roman"/>
                <w:u w:val="single"/>
              </w:rPr>
            </w:pPr>
            <w:r>
              <w:rPr>
                <w:rFonts w:cs="Times New Roman"/>
                <w:u w:val="single"/>
              </w:rPr>
              <w:t>一次/</w:t>
            </w:r>
            <w:r>
              <w:rPr>
                <w:rFonts w:hint="eastAsia" w:cs="Times New Roman"/>
                <w:u w:val="singl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vAlign w:val="center"/>
          </w:tcPr>
          <w:p>
            <w:pPr>
              <w:pStyle w:val="39"/>
              <w:rPr>
                <w:rFonts w:cs="Times New Roman"/>
                <w:u w:val="single"/>
              </w:rPr>
            </w:pPr>
            <w:r>
              <w:rPr>
                <w:rFonts w:cs="Times New Roman"/>
                <w:u w:val="single"/>
              </w:rPr>
              <w:t>噪声</w:t>
            </w:r>
          </w:p>
        </w:tc>
        <w:tc>
          <w:tcPr>
            <w:tcW w:w="2977" w:type="dxa"/>
            <w:vAlign w:val="center"/>
          </w:tcPr>
          <w:p>
            <w:pPr>
              <w:pStyle w:val="39"/>
              <w:rPr>
                <w:rFonts w:cs="Times New Roman"/>
                <w:u w:val="single"/>
              </w:rPr>
            </w:pPr>
            <w:r>
              <w:rPr>
                <w:rFonts w:cs="Times New Roman"/>
                <w:u w:val="single"/>
              </w:rPr>
              <w:t>等效声级</w:t>
            </w:r>
          </w:p>
        </w:tc>
        <w:tc>
          <w:tcPr>
            <w:tcW w:w="2410" w:type="dxa"/>
            <w:vAlign w:val="center"/>
          </w:tcPr>
          <w:p>
            <w:pPr>
              <w:pStyle w:val="39"/>
              <w:rPr>
                <w:rFonts w:cs="Times New Roman"/>
                <w:u w:val="single"/>
              </w:rPr>
            </w:pPr>
            <w:r>
              <w:rPr>
                <w:rFonts w:cs="Times New Roman"/>
                <w:u w:val="single"/>
              </w:rPr>
              <w:t>厂界外1m处</w:t>
            </w:r>
          </w:p>
        </w:tc>
        <w:tc>
          <w:tcPr>
            <w:tcW w:w="2969" w:type="dxa"/>
            <w:vAlign w:val="center"/>
          </w:tcPr>
          <w:p>
            <w:pPr>
              <w:pStyle w:val="39"/>
              <w:rPr>
                <w:rFonts w:cs="Times New Roman"/>
                <w:u w:val="single"/>
              </w:rPr>
            </w:pPr>
            <w:r>
              <w:rPr>
                <w:rFonts w:cs="Times New Roman"/>
                <w:u w:val="single"/>
              </w:rPr>
              <w:t>一次/</w:t>
            </w:r>
            <w:r>
              <w:rPr>
                <w:rFonts w:hint="eastAsia" w:cs="Times New Roman"/>
                <w:u w:val="single"/>
              </w:rPr>
              <w:t>年</w:t>
            </w:r>
            <w:r>
              <w:rPr>
                <w:rFonts w:cs="Times New Roman"/>
                <w:u w:val="single"/>
              </w:rPr>
              <w:t>，对项目内各噪声源根据需要进行有选择的监测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vAlign w:val="center"/>
          </w:tcPr>
          <w:p>
            <w:pPr>
              <w:pStyle w:val="39"/>
              <w:rPr>
                <w:rFonts w:cs="Times New Roman"/>
                <w:u w:val="single"/>
              </w:rPr>
            </w:pPr>
            <w:r>
              <w:rPr>
                <w:rFonts w:cs="Times New Roman"/>
                <w:u w:val="single"/>
              </w:rPr>
              <w:t>固废</w:t>
            </w:r>
          </w:p>
        </w:tc>
        <w:tc>
          <w:tcPr>
            <w:tcW w:w="2977" w:type="dxa"/>
            <w:vAlign w:val="center"/>
          </w:tcPr>
          <w:p>
            <w:pPr>
              <w:pStyle w:val="39"/>
              <w:rPr>
                <w:rFonts w:cs="Times New Roman"/>
                <w:u w:val="single"/>
              </w:rPr>
            </w:pPr>
            <w:r>
              <w:rPr>
                <w:rFonts w:cs="Times New Roman"/>
                <w:u w:val="single"/>
              </w:rPr>
              <w:t>蛔虫卵、粪大肠菌群数</w:t>
            </w:r>
          </w:p>
        </w:tc>
        <w:tc>
          <w:tcPr>
            <w:tcW w:w="2410" w:type="dxa"/>
            <w:vAlign w:val="center"/>
          </w:tcPr>
          <w:p>
            <w:pPr>
              <w:pStyle w:val="39"/>
              <w:rPr>
                <w:rFonts w:cs="Times New Roman"/>
                <w:u w:val="single"/>
              </w:rPr>
            </w:pPr>
            <w:r>
              <w:rPr>
                <w:rFonts w:hint="eastAsia" w:cs="Times New Roman"/>
                <w:u w:val="single"/>
              </w:rPr>
              <w:t>干燥机</w:t>
            </w:r>
            <w:r>
              <w:rPr>
                <w:rFonts w:cs="Times New Roman"/>
                <w:u w:val="single"/>
              </w:rPr>
              <w:t>生产的有机肥</w:t>
            </w:r>
          </w:p>
        </w:tc>
        <w:tc>
          <w:tcPr>
            <w:tcW w:w="2969" w:type="dxa"/>
            <w:vAlign w:val="center"/>
          </w:tcPr>
          <w:p>
            <w:pPr>
              <w:pStyle w:val="39"/>
              <w:rPr>
                <w:rFonts w:cs="Times New Roman"/>
                <w:u w:val="single"/>
              </w:rPr>
            </w:pPr>
            <w:r>
              <w:rPr>
                <w:rFonts w:cs="Times New Roman"/>
                <w:u w:val="single"/>
              </w:rPr>
              <w:t>一次/</w:t>
            </w:r>
            <w:r>
              <w:rPr>
                <w:rFonts w:hint="eastAsia" w:cs="Times New Roman"/>
                <w:u w:val="single"/>
              </w:rPr>
              <w:t>年</w:t>
            </w:r>
          </w:p>
        </w:tc>
      </w:tr>
    </w:tbl>
    <w:p>
      <w:pPr>
        <w:pStyle w:val="3"/>
        <w:ind w:firstLine="300"/>
        <w:rPr>
          <w:rFonts w:cs="Times New Roman"/>
          <w:sz w:val="15"/>
          <w:szCs w:val="15"/>
          <w:u w:val="single"/>
        </w:rPr>
      </w:pPr>
    </w:p>
    <w:p>
      <w:pPr>
        <w:pStyle w:val="3"/>
        <w:ind w:firstLine="480"/>
        <w:rPr>
          <w:rFonts w:cs="Times New Roman"/>
          <w:u w:val="single"/>
        </w:rPr>
      </w:pPr>
      <w:r>
        <w:rPr>
          <w:rFonts w:cs="Times New Roman"/>
          <w:u w:val="single"/>
        </w:rPr>
        <w:t>（2）环境质量监测方案</w:t>
      </w:r>
    </w:p>
    <w:p>
      <w:pPr>
        <w:pStyle w:val="3"/>
        <w:ind w:firstLine="480"/>
        <w:rPr>
          <w:rFonts w:cs="Times New Roman"/>
          <w:u w:val="single"/>
        </w:rPr>
      </w:pPr>
      <w:r>
        <w:rPr>
          <w:rFonts w:cs="Times New Roman"/>
          <w:u w:val="single"/>
        </w:rPr>
        <w:t>本项目建设后，对区域环境质量会产生潜在的影响，尤其是事故和非正常工况下，因此应加强对周围环境质量的监测。环境质量监测方案见表9.2-2。</w:t>
      </w:r>
    </w:p>
    <w:p>
      <w:pPr>
        <w:pStyle w:val="15"/>
        <w:rPr>
          <w:rFonts w:cs="Times New Roman"/>
          <w:snapToGrid w:val="0"/>
          <w:u w:val="single"/>
        </w:rPr>
      </w:pPr>
      <w:r>
        <w:rPr>
          <w:rFonts w:cs="Times New Roman"/>
          <w:snapToGrid w:val="0"/>
          <w:u w:val="single"/>
        </w:rPr>
        <w:t>表9.2-2  环境质量监测方案</w:t>
      </w:r>
    </w:p>
    <w:tbl>
      <w:tblPr>
        <w:tblStyle w:val="26"/>
        <w:tblW w:w="9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3543"/>
        <w:gridCol w:w="2977"/>
        <w:gridCol w:w="1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101" w:type="dxa"/>
            <w:vAlign w:val="center"/>
          </w:tcPr>
          <w:p>
            <w:pPr>
              <w:pStyle w:val="39"/>
              <w:rPr>
                <w:rFonts w:cs="Times New Roman"/>
                <w:u w:val="single"/>
              </w:rPr>
            </w:pPr>
            <w:r>
              <w:rPr>
                <w:rFonts w:cs="Times New Roman"/>
                <w:u w:val="single"/>
              </w:rPr>
              <w:t>环境要素</w:t>
            </w:r>
          </w:p>
        </w:tc>
        <w:tc>
          <w:tcPr>
            <w:tcW w:w="3543" w:type="dxa"/>
            <w:vAlign w:val="center"/>
          </w:tcPr>
          <w:p>
            <w:pPr>
              <w:pStyle w:val="39"/>
              <w:rPr>
                <w:rFonts w:cs="Times New Roman"/>
                <w:u w:val="single"/>
              </w:rPr>
            </w:pPr>
            <w:r>
              <w:rPr>
                <w:rFonts w:cs="Times New Roman"/>
                <w:u w:val="single"/>
              </w:rPr>
              <w:t>监测项目</w:t>
            </w:r>
          </w:p>
        </w:tc>
        <w:tc>
          <w:tcPr>
            <w:tcW w:w="2977" w:type="dxa"/>
            <w:vAlign w:val="center"/>
          </w:tcPr>
          <w:p>
            <w:pPr>
              <w:pStyle w:val="39"/>
              <w:rPr>
                <w:rFonts w:cs="Times New Roman"/>
                <w:u w:val="single"/>
              </w:rPr>
            </w:pPr>
            <w:r>
              <w:rPr>
                <w:rFonts w:cs="Times New Roman"/>
                <w:u w:val="single"/>
              </w:rPr>
              <w:t>监 测 点</w:t>
            </w:r>
          </w:p>
        </w:tc>
        <w:tc>
          <w:tcPr>
            <w:tcW w:w="1552" w:type="dxa"/>
            <w:vAlign w:val="center"/>
          </w:tcPr>
          <w:p>
            <w:pPr>
              <w:pStyle w:val="39"/>
              <w:rPr>
                <w:rFonts w:cs="Times New Roman"/>
                <w:u w:val="single"/>
              </w:rPr>
            </w:pPr>
            <w:r>
              <w:rPr>
                <w:rFonts w:cs="Times New Roman"/>
                <w:u w:val="single"/>
              </w:rPr>
              <w:t>监测时间及频率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101" w:type="dxa"/>
            <w:vAlign w:val="center"/>
          </w:tcPr>
          <w:p>
            <w:pPr>
              <w:pStyle w:val="39"/>
              <w:rPr>
                <w:rFonts w:cs="Times New Roman"/>
                <w:u w:val="single"/>
              </w:rPr>
            </w:pPr>
            <w:r>
              <w:rPr>
                <w:rFonts w:cs="Times New Roman"/>
                <w:u w:val="single"/>
              </w:rPr>
              <w:t>环境空气</w:t>
            </w:r>
          </w:p>
        </w:tc>
        <w:tc>
          <w:tcPr>
            <w:tcW w:w="3543" w:type="dxa"/>
            <w:vAlign w:val="center"/>
          </w:tcPr>
          <w:p>
            <w:pPr>
              <w:pStyle w:val="39"/>
              <w:rPr>
                <w:rFonts w:cs="Times New Roman"/>
                <w:u w:val="single"/>
              </w:rPr>
            </w:pPr>
            <w:r>
              <w:rPr>
                <w:rFonts w:cs="Times New Roman"/>
                <w:u w:val="single"/>
              </w:rPr>
              <w:t>H</w:t>
            </w:r>
            <w:r>
              <w:rPr>
                <w:rFonts w:cs="Times New Roman"/>
                <w:u w:val="single"/>
                <w:vertAlign w:val="subscript"/>
              </w:rPr>
              <w:t>2</w:t>
            </w:r>
            <w:r>
              <w:rPr>
                <w:rFonts w:cs="Times New Roman"/>
                <w:u w:val="single"/>
              </w:rPr>
              <w:t>S、NH</w:t>
            </w:r>
            <w:r>
              <w:rPr>
                <w:rFonts w:cs="Times New Roman"/>
                <w:u w:val="single"/>
                <w:vertAlign w:val="subscript"/>
              </w:rPr>
              <w:t>3</w:t>
            </w:r>
            <w:r>
              <w:rPr>
                <w:rFonts w:cs="Times New Roman"/>
                <w:u w:val="single"/>
              </w:rPr>
              <w:t>、</w:t>
            </w:r>
            <w:r>
              <w:rPr>
                <w:rFonts w:hint="eastAsia" w:cs="Times New Roman"/>
                <w:u w:val="single"/>
              </w:rPr>
              <w:t>SO</w:t>
            </w:r>
            <w:r>
              <w:rPr>
                <w:rFonts w:hint="eastAsia" w:cs="Times New Roman"/>
                <w:u w:val="single"/>
                <w:vertAlign w:val="subscript"/>
              </w:rPr>
              <w:t>2</w:t>
            </w:r>
            <w:r>
              <w:rPr>
                <w:rFonts w:hint="eastAsia" w:cs="Times New Roman"/>
                <w:u w:val="single"/>
              </w:rPr>
              <w:t>、NO</w:t>
            </w:r>
            <w:r>
              <w:rPr>
                <w:rFonts w:hint="eastAsia" w:cs="Times New Roman"/>
                <w:u w:val="single"/>
                <w:vertAlign w:val="subscript"/>
              </w:rPr>
              <w:t>X</w:t>
            </w:r>
            <w:r>
              <w:rPr>
                <w:rFonts w:hint="eastAsia" w:cs="Times New Roman"/>
                <w:u w:val="single"/>
              </w:rPr>
              <w:t>、</w:t>
            </w:r>
            <w:r>
              <w:rPr>
                <w:rFonts w:cs="Times New Roman"/>
                <w:u w:val="single"/>
              </w:rPr>
              <w:t>烟尘</w:t>
            </w:r>
            <w:r>
              <w:rPr>
                <w:rFonts w:hint="eastAsia" w:cs="Times New Roman"/>
                <w:u w:val="single"/>
              </w:rPr>
              <w:t>、</w:t>
            </w:r>
            <w:r>
              <w:rPr>
                <w:rFonts w:cs="Times New Roman"/>
                <w:u w:val="single"/>
              </w:rPr>
              <w:t>恶臭</w:t>
            </w:r>
          </w:p>
        </w:tc>
        <w:tc>
          <w:tcPr>
            <w:tcW w:w="2977" w:type="dxa"/>
            <w:vAlign w:val="center"/>
          </w:tcPr>
          <w:p>
            <w:pPr>
              <w:pStyle w:val="39"/>
              <w:rPr>
                <w:rFonts w:cs="Times New Roman"/>
                <w:u w:val="single"/>
              </w:rPr>
            </w:pPr>
            <w:r>
              <w:rPr>
                <w:rFonts w:cs="Times New Roman"/>
                <w:u w:val="single"/>
              </w:rPr>
              <w:t>东北向</w:t>
            </w:r>
            <w:r>
              <w:rPr>
                <w:rFonts w:hint="eastAsia" w:cs="Times New Roman"/>
                <w:u w:val="single"/>
              </w:rPr>
              <w:t>406</w:t>
            </w:r>
            <w:r>
              <w:rPr>
                <w:rFonts w:cs="Times New Roman"/>
                <w:u w:val="single"/>
              </w:rPr>
              <w:t>m处</w:t>
            </w:r>
            <w:r>
              <w:rPr>
                <w:rFonts w:hint="eastAsia" w:cs="Times New Roman"/>
                <w:u w:val="single"/>
              </w:rPr>
              <w:t>陈</w:t>
            </w:r>
            <w:r>
              <w:rPr>
                <w:rFonts w:cs="Times New Roman"/>
                <w:u w:val="single"/>
              </w:rPr>
              <w:t>家门居民点、</w:t>
            </w:r>
          </w:p>
          <w:p>
            <w:pPr>
              <w:pStyle w:val="39"/>
              <w:rPr>
                <w:rFonts w:cs="Times New Roman"/>
                <w:u w:val="single"/>
              </w:rPr>
            </w:pPr>
            <w:r>
              <w:rPr>
                <w:rFonts w:cs="Times New Roman"/>
                <w:u w:val="single"/>
              </w:rPr>
              <w:t>西南向</w:t>
            </w:r>
            <w:r>
              <w:rPr>
                <w:rFonts w:hint="eastAsia" w:cs="Times New Roman"/>
                <w:u w:val="single"/>
              </w:rPr>
              <w:t>543</w:t>
            </w:r>
            <w:r>
              <w:rPr>
                <w:rFonts w:cs="Times New Roman"/>
                <w:u w:val="single"/>
              </w:rPr>
              <w:t>m处</w:t>
            </w:r>
            <w:r>
              <w:rPr>
                <w:rFonts w:hint="eastAsia" w:cs="Times New Roman"/>
                <w:u w:val="single"/>
              </w:rPr>
              <w:t>长岭</w:t>
            </w:r>
            <w:r>
              <w:rPr>
                <w:rFonts w:cs="Times New Roman"/>
                <w:u w:val="single"/>
              </w:rPr>
              <w:t>居民点</w:t>
            </w:r>
          </w:p>
        </w:tc>
        <w:tc>
          <w:tcPr>
            <w:tcW w:w="1552" w:type="dxa"/>
            <w:vAlign w:val="center"/>
          </w:tcPr>
          <w:p>
            <w:pPr>
              <w:pStyle w:val="39"/>
              <w:rPr>
                <w:rFonts w:cs="Times New Roman"/>
                <w:u w:val="single"/>
              </w:rPr>
            </w:pPr>
            <w:r>
              <w:rPr>
                <w:rFonts w:cs="Times New Roman"/>
                <w:u w:val="single"/>
              </w:rPr>
              <w:t>一次/年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101" w:type="dxa"/>
            <w:vAlign w:val="center"/>
          </w:tcPr>
          <w:p>
            <w:pPr>
              <w:pStyle w:val="39"/>
              <w:rPr>
                <w:rFonts w:cs="Times New Roman"/>
                <w:u w:val="single"/>
              </w:rPr>
            </w:pPr>
            <w:r>
              <w:rPr>
                <w:rFonts w:cs="Times New Roman"/>
                <w:u w:val="single"/>
              </w:rPr>
              <w:t>地表水</w:t>
            </w:r>
          </w:p>
        </w:tc>
        <w:tc>
          <w:tcPr>
            <w:tcW w:w="3543" w:type="dxa"/>
            <w:vAlign w:val="center"/>
          </w:tcPr>
          <w:p>
            <w:pPr>
              <w:pStyle w:val="39"/>
              <w:rPr>
                <w:rFonts w:cs="Times New Roman"/>
                <w:u w:val="single"/>
              </w:rPr>
            </w:pPr>
            <w:r>
              <w:rPr>
                <w:rFonts w:cs="Times New Roman"/>
                <w:u w:val="single"/>
              </w:rPr>
              <w:t>PH、COD</w:t>
            </w:r>
            <w:r>
              <w:rPr>
                <w:rFonts w:cs="Times New Roman"/>
                <w:u w:val="single"/>
                <w:vertAlign w:val="subscript"/>
              </w:rPr>
              <w:t>Cr</w:t>
            </w:r>
            <w:r>
              <w:rPr>
                <w:rFonts w:cs="Times New Roman"/>
                <w:u w:val="single"/>
              </w:rPr>
              <w:t>、BOD</w:t>
            </w:r>
            <w:r>
              <w:rPr>
                <w:rFonts w:cs="Times New Roman"/>
                <w:u w:val="single"/>
                <w:vertAlign w:val="subscript"/>
              </w:rPr>
              <w:t>5</w:t>
            </w:r>
            <w:r>
              <w:rPr>
                <w:rFonts w:cs="Times New Roman"/>
                <w:u w:val="single"/>
              </w:rPr>
              <w:t>、NH</w:t>
            </w:r>
            <w:r>
              <w:rPr>
                <w:rFonts w:cs="Times New Roman"/>
                <w:u w:val="single"/>
                <w:vertAlign w:val="subscript"/>
              </w:rPr>
              <w:t>3</w:t>
            </w:r>
            <w:r>
              <w:rPr>
                <w:rFonts w:cs="Times New Roman"/>
                <w:u w:val="single"/>
              </w:rPr>
              <w:t>-N、SS、总磷</w:t>
            </w:r>
          </w:p>
        </w:tc>
        <w:tc>
          <w:tcPr>
            <w:tcW w:w="2977" w:type="dxa"/>
            <w:vAlign w:val="center"/>
          </w:tcPr>
          <w:p>
            <w:pPr>
              <w:pStyle w:val="39"/>
              <w:rPr>
                <w:rFonts w:cs="Times New Roman"/>
                <w:u w:val="single"/>
              </w:rPr>
            </w:pPr>
            <w:r>
              <w:rPr>
                <w:rFonts w:cs="Times New Roman"/>
                <w:u w:val="single"/>
              </w:rPr>
              <w:t>项目</w:t>
            </w:r>
            <w:r>
              <w:rPr>
                <w:rFonts w:hint="eastAsia" w:cs="Times New Roman"/>
                <w:u w:val="single"/>
              </w:rPr>
              <w:t>北侧</w:t>
            </w:r>
            <w:r>
              <w:rPr>
                <w:rFonts w:cs="Times New Roman"/>
                <w:u w:val="single"/>
              </w:rPr>
              <w:t>水塘</w:t>
            </w:r>
          </w:p>
        </w:tc>
        <w:tc>
          <w:tcPr>
            <w:tcW w:w="1552" w:type="dxa"/>
            <w:vAlign w:val="center"/>
          </w:tcPr>
          <w:p>
            <w:pPr>
              <w:pStyle w:val="39"/>
              <w:rPr>
                <w:rFonts w:cs="Times New Roman"/>
                <w:u w:val="single"/>
              </w:rPr>
            </w:pPr>
            <w:r>
              <w:rPr>
                <w:rFonts w:cs="Times New Roman"/>
                <w:u w:val="single"/>
              </w:rPr>
              <w:t>一次/年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101" w:type="dxa"/>
            <w:vAlign w:val="center"/>
          </w:tcPr>
          <w:p>
            <w:pPr>
              <w:pStyle w:val="39"/>
              <w:rPr>
                <w:rFonts w:cs="Times New Roman"/>
                <w:u w:val="single"/>
              </w:rPr>
            </w:pPr>
            <w:r>
              <w:rPr>
                <w:rFonts w:cs="Times New Roman"/>
                <w:u w:val="single"/>
              </w:rPr>
              <w:t>地下水</w:t>
            </w:r>
          </w:p>
        </w:tc>
        <w:tc>
          <w:tcPr>
            <w:tcW w:w="3543" w:type="dxa"/>
            <w:vAlign w:val="center"/>
          </w:tcPr>
          <w:p>
            <w:pPr>
              <w:pStyle w:val="39"/>
              <w:rPr>
                <w:rFonts w:cs="Times New Roman"/>
                <w:u w:val="single"/>
              </w:rPr>
            </w:pPr>
            <w:r>
              <w:rPr>
                <w:rFonts w:cs="Times New Roman"/>
                <w:u w:val="single"/>
              </w:rPr>
              <w:t>pH、氨氮、总硬度、硫酸盐、氯化物、硝酸盐、亚硝酸盐、总大肠菌群</w:t>
            </w:r>
          </w:p>
        </w:tc>
        <w:tc>
          <w:tcPr>
            <w:tcW w:w="2977" w:type="dxa"/>
            <w:vAlign w:val="center"/>
          </w:tcPr>
          <w:p>
            <w:pPr>
              <w:pStyle w:val="39"/>
              <w:rPr>
                <w:rFonts w:cs="Times New Roman"/>
                <w:u w:val="single"/>
              </w:rPr>
            </w:pPr>
            <w:r>
              <w:rPr>
                <w:rFonts w:cs="Times New Roman"/>
                <w:u w:val="single"/>
              </w:rPr>
              <w:t>场内监控井、东北</w:t>
            </w:r>
            <w:r>
              <w:rPr>
                <w:rFonts w:hint="eastAsia" w:cs="Times New Roman"/>
                <w:u w:val="single"/>
              </w:rPr>
              <w:t>陈</w:t>
            </w:r>
            <w:r>
              <w:rPr>
                <w:rFonts w:cs="Times New Roman"/>
                <w:u w:val="single"/>
              </w:rPr>
              <w:t>家门、西南</w:t>
            </w:r>
            <w:r>
              <w:rPr>
                <w:rFonts w:hint="eastAsia" w:cs="Times New Roman"/>
                <w:u w:val="single"/>
              </w:rPr>
              <w:t>长岭</w:t>
            </w:r>
            <w:r>
              <w:rPr>
                <w:rFonts w:cs="Times New Roman"/>
                <w:u w:val="single"/>
              </w:rPr>
              <w:t>居民水井</w:t>
            </w:r>
          </w:p>
        </w:tc>
        <w:tc>
          <w:tcPr>
            <w:tcW w:w="1552" w:type="dxa"/>
            <w:vAlign w:val="center"/>
          </w:tcPr>
          <w:p>
            <w:pPr>
              <w:pStyle w:val="39"/>
              <w:rPr>
                <w:rFonts w:cs="Times New Roman"/>
                <w:u w:val="single"/>
              </w:rPr>
            </w:pPr>
            <w:r>
              <w:rPr>
                <w:rFonts w:cs="Times New Roman"/>
                <w:u w:val="single"/>
              </w:rPr>
              <w:t>一次/年</w:t>
            </w:r>
          </w:p>
        </w:tc>
      </w:tr>
    </w:tbl>
    <w:p>
      <w:pPr>
        <w:pStyle w:val="5"/>
        <w:rPr>
          <w:rFonts w:cs="Times New Roman"/>
        </w:rPr>
      </w:pPr>
      <w:bookmarkStart w:id="80" w:name="_Toc80889104"/>
      <w:bookmarkStart w:id="81" w:name="_Toc46322525"/>
      <w:bookmarkStart w:id="82" w:name="_Toc516215005"/>
      <w:r>
        <w:rPr>
          <w:rFonts w:cs="Times New Roman"/>
        </w:rPr>
        <w:t>排污口设置及规范化管理</w:t>
      </w:r>
      <w:bookmarkEnd w:id="80"/>
      <w:bookmarkEnd w:id="81"/>
      <w:bookmarkEnd w:id="82"/>
    </w:p>
    <w:p>
      <w:pPr>
        <w:pStyle w:val="3"/>
        <w:ind w:firstLine="480"/>
        <w:rPr>
          <w:rFonts w:cs="Times New Roman"/>
        </w:rPr>
      </w:pPr>
      <w:r>
        <w:rPr>
          <w:rFonts w:cs="Times New Roman"/>
        </w:rPr>
        <w:t>根据《关于开展排放口规范化整治工作的通知》（国家环境保护总局环发【1999】24号）和《排放口规范化整治技术》（国家环境保护总局环发【1999】24号文）文件的要求，一切新建、改建的排污单位以及限期治理的排污单位，必须在建设污染治理设施的同时，建设规范化排污口。因此，建设单位在投产时，各类排污口必须规范化建设和管理，而且规范化工作应于污染治理同步实施，即治理设施完工时，规范化工作必须同时完成，并列入污染物治理设施的验收内容。</w:t>
      </w:r>
    </w:p>
    <w:p>
      <w:pPr>
        <w:pStyle w:val="3"/>
        <w:ind w:firstLine="480"/>
        <w:rPr>
          <w:rFonts w:cs="Times New Roman"/>
        </w:rPr>
      </w:pPr>
      <w:r>
        <w:rPr>
          <w:rFonts w:cs="Times New Roman"/>
        </w:rPr>
        <w:t>排污口是企业排放污染物进入环境的通道，强化排污口的管理是实施污染物总量控制的基础工作之一，也是区域环境管理逐步实现污染物排放的科学化、定量化的重要手段。</w:t>
      </w:r>
    </w:p>
    <w:p>
      <w:pPr>
        <w:pStyle w:val="3"/>
        <w:ind w:firstLine="480"/>
        <w:rPr>
          <w:rFonts w:cs="Times New Roman"/>
        </w:rPr>
      </w:pPr>
      <w:r>
        <w:rPr>
          <w:rFonts w:cs="Times New Roman"/>
        </w:rPr>
        <w:t>（1）本项目主要废气排放口为</w:t>
      </w:r>
      <w:r>
        <w:rPr>
          <w:rFonts w:hint="eastAsia" w:cs="Times New Roman"/>
        </w:rPr>
        <w:t>锅炉废气排</w:t>
      </w:r>
      <w:r>
        <w:rPr>
          <w:rFonts w:cs="Times New Roman"/>
        </w:rPr>
        <w:t>气筒，鸡舍及</w:t>
      </w:r>
      <w:r>
        <w:rPr>
          <w:rFonts w:hint="eastAsia" w:cs="Times New Roman"/>
        </w:rPr>
        <w:t>鸡粪处理区</w:t>
      </w:r>
      <w:r>
        <w:rPr>
          <w:rFonts w:cs="Times New Roman"/>
        </w:rPr>
        <w:t>呈无组织排放；</w:t>
      </w:r>
      <w:r>
        <w:rPr>
          <w:rFonts w:hint="eastAsia" w:cs="Times New Roman"/>
        </w:rPr>
        <w:t>锅炉废气</w:t>
      </w:r>
      <w:r>
        <w:rPr>
          <w:rFonts w:cs="Times New Roman"/>
        </w:rPr>
        <w:t>便于采样的采样点，项目不得设置污水对外排放口或生产生活废水与厂区雨水排放沟渠管网对接口。</w:t>
      </w:r>
    </w:p>
    <w:p>
      <w:pPr>
        <w:pStyle w:val="3"/>
        <w:ind w:firstLine="480"/>
        <w:rPr>
          <w:rFonts w:cs="Times New Roman"/>
        </w:rPr>
      </w:pPr>
      <w:r>
        <w:rPr>
          <w:rFonts w:cs="Times New Roman"/>
        </w:rPr>
        <w:t>（2）按《环境保护图形标志——排放口（源）》（GB15562.1-1995）规定的图形，在各气、水、声排污口（源）挂牌标识，做到各排污口（源）的环保标志明显，便于企业管理和公众监督。标志牌必须保持清晰、完整，当发现有形象损坏、颜色污染、退色等情况时，应及时修复或更换。检查时间至少每年一次。同时单位内主要废气排放点、污水处理站进出口、总排口均应根据环保要求留有采样口，并设置明显标志，以便环保部门定期检查、监督和验收。</w:t>
      </w:r>
    </w:p>
    <w:p>
      <w:pPr>
        <w:pStyle w:val="15"/>
        <w:ind w:left="420" w:hanging="420"/>
        <w:rPr>
          <w:rFonts w:cs="Times New Roman"/>
        </w:rPr>
      </w:pPr>
      <w:r>
        <w:rPr>
          <w:rFonts w:cs="Times New Roman"/>
        </w:rPr>
        <w:t>表</w:t>
      </w:r>
      <w:r>
        <w:rPr>
          <w:rStyle w:val="40"/>
          <w:rFonts w:cs="Times New Roman"/>
        </w:rPr>
        <w:t xml:space="preserve">9.3-1   </w:t>
      </w:r>
      <w:r>
        <w:rPr>
          <w:rFonts w:cs="Times New Roman"/>
        </w:rPr>
        <w:t>排放口图形标志</w:t>
      </w:r>
    </w:p>
    <w:p>
      <w:pPr>
        <w:pStyle w:val="3"/>
        <w:ind w:firstLine="0" w:firstLineChars="0"/>
        <w:jc w:val="center"/>
        <w:rPr>
          <w:rFonts w:cs="Times New Roman"/>
        </w:rPr>
      </w:pPr>
      <w:r>
        <w:rPr>
          <w:rFonts w:cs="Times New Roman"/>
        </w:rPr>
        <w:drawing>
          <wp:inline distT="0" distB="0" distL="0" distR="0">
            <wp:extent cx="5149215" cy="1439545"/>
            <wp:effectExtent l="0" t="0" r="0" b="825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41"/>
                    <a:stretch>
                      <a:fillRect/>
                    </a:stretch>
                  </pic:blipFill>
                  <pic:spPr>
                    <a:xfrm>
                      <a:off x="0" y="0"/>
                      <a:ext cx="5149668" cy="1440000"/>
                    </a:xfrm>
                    <a:prstGeom prst="rect">
                      <a:avLst/>
                    </a:prstGeom>
                  </pic:spPr>
                </pic:pic>
              </a:graphicData>
            </a:graphic>
          </wp:inline>
        </w:drawing>
      </w:r>
    </w:p>
    <w:p>
      <w:pPr>
        <w:pStyle w:val="3"/>
        <w:ind w:firstLine="480"/>
        <w:rPr>
          <w:rFonts w:cs="Times New Roman"/>
        </w:rPr>
      </w:pPr>
      <w:r>
        <w:rPr>
          <w:rFonts w:cs="Times New Roman"/>
        </w:rPr>
        <w:t>（3）企业须使用国家环保局统一印制的《中华人民共和国环保图形标志登记证》并按要求填写相关内容。</w:t>
      </w:r>
    </w:p>
    <w:p>
      <w:pPr>
        <w:pStyle w:val="3"/>
        <w:ind w:firstLine="480"/>
        <w:rPr>
          <w:rFonts w:cs="Times New Roman"/>
        </w:rPr>
      </w:pPr>
      <w:r>
        <w:rPr>
          <w:rFonts w:cs="Times New Roman"/>
        </w:rPr>
        <w:t>（4）根据排污口管理档案内容要求，项目建成后，应将主要污染物种类、树量、浓度、排放去向、立标情况及设施运行情况记录于档案。</w:t>
      </w:r>
    </w:p>
    <w:p>
      <w:pPr>
        <w:pStyle w:val="3"/>
        <w:ind w:firstLine="480"/>
        <w:rPr>
          <w:rFonts w:cs="Times New Roman"/>
        </w:rPr>
      </w:pPr>
      <w:r>
        <w:rPr>
          <w:rFonts w:cs="Times New Roman"/>
        </w:rPr>
        <w:br w:type="page"/>
      </w:r>
    </w:p>
    <w:p>
      <w:pPr>
        <w:pStyle w:val="5"/>
        <w:rPr>
          <w:rFonts w:cs="Times New Roman"/>
        </w:rPr>
      </w:pPr>
      <w:bookmarkStart w:id="83" w:name="_Toc80889105"/>
      <w:bookmarkStart w:id="84" w:name="_Toc46322526"/>
      <w:bookmarkStart w:id="85" w:name="_Toc516215006"/>
      <w:r>
        <w:rPr>
          <w:rFonts w:cs="Times New Roman"/>
        </w:rPr>
        <w:t>环保设施竣工验收</w:t>
      </w:r>
      <w:bookmarkEnd w:id="83"/>
      <w:bookmarkEnd w:id="84"/>
      <w:bookmarkEnd w:id="85"/>
    </w:p>
    <w:p>
      <w:pPr>
        <w:pStyle w:val="3"/>
        <w:ind w:firstLine="480"/>
        <w:rPr>
          <w:rFonts w:cs="Times New Roman"/>
        </w:rPr>
      </w:pPr>
      <w:r>
        <w:rPr>
          <w:rFonts w:cs="Times New Roman"/>
        </w:rPr>
        <w:t>项目在正式营运前，必须向负责审批的环保行政主管部门提交“环保竣工验收报告”，说明设施运行情况，治理的效果，达到的标准。项目分两期建设，分期验收合格后，方可正式投入生产使用；</w:t>
      </w:r>
    </w:p>
    <w:p>
      <w:pPr>
        <w:pStyle w:val="3"/>
        <w:ind w:firstLine="480"/>
        <w:rPr>
          <w:rFonts w:cs="Times New Roman"/>
        </w:rPr>
      </w:pPr>
      <w:r>
        <w:rPr>
          <w:rFonts w:cs="Times New Roman"/>
        </w:rPr>
        <w:t>根据《建设项目竣工环境保护验收暂行办法》（国环规环评[2017]4号第十二条：除需要取得排污许可证的水和大气污染防治设施外，其他环境保护设施的验收期限一般不超过3个月。需要对该类环境保护设施进行调试或者整改的，验收期限可以适当延期，但最长不超过12个月。验收期限是指自建设项目环境保护设施竣工之日起至建设单位向社会公开验收报告之日止的时间。</w:t>
      </w:r>
    </w:p>
    <w:p>
      <w:pPr>
        <w:pStyle w:val="3"/>
        <w:ind w:firstLine="480"/>
        <w:rPr>
          <w:rFonts w:cs="Times New Roman"/>
        </w:rPr>
      </w:pPr>
      <w:r>
        <w:rPr>
          <w:rFonts w:cs="Times New Roman"/>
        </w:rPr>
        <w:t>建设项目竣工环境保护企业自行验收工作程序：</w:t>
      </w:r>
    </w:p>
    <w:p>
      <w:pPr>
        <w:pStyle w:val="3"/>
        <w:ind w:firstLine="480"/>
        <w:rPr>
          <w:rFonts w:cs="Times New Roman"/>
        </w:rPr>
      </w:pPr>
      <w:r>
        <w:rPr>
          <w:rFonts w:hint="eastAsia" w:ascii="宋体" w:hAnsi="宋体" w:cs="宋体"/>
        </w:rPr>
        <w:t>①</w:t>
      </w:r>
      <w:r>
        <w:rPr>
          <w:rFonts w:cs="Times New Roman"/>
        </w:rPr>
        <w:t>在建设项目竣工后、正式投入生产或运行前，企业按照环境影响报告表及其批复文件要求，对与主体工程配套建设的环境保护设施落实情况进行查验。</w:t>
      </w:r>
    </w:p>
    <w:p>
      <w:pPr>
        <w:pStyle w:val="3"/>
        <w:ind w:firstLine="480"/>
        <w:rPr>
          <w:rFonts w:cs="Times New Roman"/>
        </w:rPr>
      </w:pPr>
      <w:r>
        <w:rPr>
          <w:rFonts w:hint="eastAsia" w:ascii="宋体" w:hAnsi="宋体" w:cs="宋体"/>
        </w:rPr>
        <w:t>②</w:t>
      </w:r>
      <w:r>
        <w:rPr>
          <w:rFonts w:cs="Times New Roman"/>
        </w:rPr>
        <w:t>按照环境保护主管部门制定的竣工环境保护验收技术规范，企业自行编制或委托具备相应技术能力的机构，对建设项目环境保护设施落实情况进行调查，开展相关环境监测，编制竣工环境保护验收调查（监测）报告。企业、验收调查（监测）机构及其相关人员对验收调查（监测）报告结论终身负责。</w:t>
      </w:r>
    </w:p>
    <w:p>
      <w:pPr>
        <w:pStyle w:val="3"/>
        <w:ind w:firstLine="480"/>
        <w:rPr>
          <w:rFonts w:cs="Times New Roman"/>
        </w:rPr>
      </w:pPr>
      <w:r>
        <w:rPr>
          <w:rFonts w:hint="eastAsia" w:ascii="宋体" w:hAnsi="宋体" w:cs="宋体"/>
        </w:rPr>
        <w:t>③</w:t>
      </w:r>
      <w:r>
        <w:rPr>
          <w:rFonts w:cs="Times New Roman"/>
        </w:rPr>
        <w:t>验收调查（监测）报告编制完成后，由企业法人组织对建设项目环境保护设施和环境保护措施进行验收，形成书面报告备查，并向社会公开。</w:t>
      </w:r>
    </w:p>
    <w:p>
      <w:pPr>
        <w:pStyle w:val="3"/>
        <w:ind w:firstLine="480"/>
        <w:rPr>
          <w:rFonts w:cs="Times New Roman"/>
        </w:rPr>
      </w:pPr>
      <w:r>
        <w:rPr>
          <w:rFonts w:hint="eastAsia" w:ascii="宋体" w:hAnsi="宋体" w:cs="宋体"/>
        </w:rPr>
        <w:t>④</w:t>
      </w:r>
      <w:r>
        <w:rPr>
          <w:rFonts w:cs="Times New Roman"/>
        </w:rPr>
        <w:t>企业自行组织竣工环境保护验收时，应成立验收组，对建设项目环境保护设施及其他环境保护措施进行资料审查、现场踏勘，形成验收意见，验收组成员名单附后。验收意见应经三分之二以上验收组成员同意。</w:t>
      </w:r>
    </w:p>
    <w:p>
      <w:pPr>
        <w:pStyle w:val="3"/>
        <w:ind w:firstLine="480"/>
        <w:rPr>
          <w:rFonts w:cs="Times New Roman"/>
        </w:rPr>
      </w:pPr>
      <w:r>
        <w:rPr>
          <w:rFonts w:cs="Times New Roman"/>
        </w:rPr>
        <w:t>验收组应由项目法人、设计单位、施工单位、环境监理单位、环境监测单位、环境影响报告表编制单位、变更环境影响报告表编制单位、验收调查（监测）报告编制单位代表，以及不少于5名行业专家组成。</w:t>
      </w:r>
    </w:p>
    <w:p>
      <w:pPr>
        <w:pStyle w:val="3"/>
        <w:ind w:firstLine="480"/>
        <w:rPr>
          <w:rFonts w:cs="Times New Roman"/>
        </w:rPr>
      </w:pPr>
      <w:r>
        <w:rPr>
          <w:rFonts w:hint="eastAsia" w:ascii="宋体" w:hAnsi="宋体" w:cs="宋体"/>
        </w:rPr>
        <w:t>⑤</w:t>
      </w:r>
      <w:r>
        <w:rPr>
          <w:rFonts w:cs="Times New Roman"/>
        </w:rPr>
        <w:t>企业应对验收意见中提出的环保问题进行整改。环境保护设施未经验收或者验收不合格的，建设项目主体工程不得投入生产或者使用。</w:t>
      </w:r>
    </w:p>
    <w:p>
      <w:pPr>
        <w:pStyle w:val="3"/>
        <w:ind w:firstLine="480"/>
        <w:rPr>
          <w:rFonts w:cs="Times New Roman"/>
        </w:rPr>
      </w:pPr>
      <w:r>
        <w:rPr>
          <w:rFonts w:hint="eastAsia" w:ascii="宋体" w:hAnsi="宋体" w:cs="宋体"/>
        </w:rPr>
        <w:t>⑥</w:t>
      </w:r>
      <w:r>
        <w:rPr>
          <w:rFonts w:cs="Times New Roman"/>
        </w:rPr>
        <w:t>企业应自验收通过之日起30个工作日内，制作竣工环境保护验收意见书，并将验收意见书、验收调查（监测）报告和“三同时”验收登记表上传至建设项目竣工环境保护企业自行验收信息平台，并如实向社会公开。</w:t>
      </w:r>
    </w:p>
    <w:p>
      <w:pPr>
        <w:pStyle w:val="3"/>
        <w:ind w:firstLine="480"/>
        <w:rPr>
          <w:rFonts w:cs="Times New Roman"/>
        </w:rPr>
      </w:pPr>
      <w:r>
        <w:rPr>
          <w:rFonts w:cs="Times New Roman"/>
        </w:rPr>
        <w:t>根据建设项目污染源产生及排放情况和污染防治措施，提出本项目环境保护设施竣工验收内容见表9.4-1。</w:t>
      </w:r>
    </w:p>
    <w:p>
      <w:pPr>
        <w:pStyle w:val="15"/>
        <w:ind w:left="420" w:hanging="420"/>
        <w:rPr>
          <w:rFonts w:cs="Times New Roman"/>
          <w:u w:val="single"/>
        </w:rPr>
      </w:pPr>
      <w:r>
        <w:rPr>
          <w:rFonts w:cs="Times New Roman"/>
          <w:u w:val="single"/>
        </w:rPr>
        <w:t>表9.4-1    建设项目一、二期工程总体验收一览表</w:t>
      </w:r>
    </w:p>
    <w:tbl>
      <w:tblPr>
        <w:tblStyle w:val="26"/>
        <w:tblW w:w="100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839"/>
        <w:gridCol w:w="13"/>
        <w:gridCol w:w="815"/>
        <w:gridCol w:w="992"/>
        <w:gridCol w:w="2410"/>
        <w:gridCol w:w="4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jc w:val="center"/>
        </w:trPr>
        <w:tc>
          <w:tcPr>
            <w:tcW w:w="852" w:type="dxa"/>
            <w:vAlign w:val="center"/>
          </w:tcPr>
          <w:p>
            <w:pPr>
              <w:pStyle w:val="39"/>
              <w:rPr>
                <w:rFonts w:cs="Times New Roman"/>
                <w:u w:val="single"/>
              </w:rPr>
            </w:pPr>
            <w:r>
              <w:rPr>
                <w:rFonts w:cs="Times New Roman"/>
                <w:u w:val="single"/>
              </w:rPr>
              <w:t>分期</w:t>
            </w:r>
          </w:p>
        </w:tc>
        <w:tc>
          <w:tcPr>
            <w:tcW w:w="852" w:type="dxa"/>
            <w:gridSpan w:val="2"/>
            <w:vAlign w:val="center"/>
          </w:tcPr>
          <w:p>
            <w:pPr>
              <w:pStyle w:val="39"/>
              <w:rPr>
                <w:rFonts w:cs="Times New Roman"/>
                <w:u w:val="single"/>
              </w:rPr>
            </w:pPr>
            <w:r>
              <w:rPr>
                <w:rFonts w:cs="Times New Roman"/>
                <w:u w:val="single"/>
              </w:rPr>
              <w:t>类别</w:t>
            </w:r>
          </w:p>
        </w:tc>
        <w:tc>
          <w:tcPr>
            <w:tcW w:w="1807" w:type="dxa"/>
            <w:gridSpan w:val="2"/>
            <w:vAlign w:val="center"/>
          </w:tcPr>
          <w:p>
            <w:pPr>
              <w:pStyle w:val="39"/>
              <w:rPr>
                <w:rFonts w:cs="Times New Roman"/>
                <w:u w:val="single"/>
              </w:rPr>
            </w:pPr>
            <w:r>
              <w:rPr>
                <w:rFonts w:cs="Times New Roman"/>
                <w:u w:val="single"/>
              </w:rPr>
              <w:t>污染源</w:t>
            </w:r>
          </w:p>
        </w:tc>
        <w:tc>
          <w:tcPr>
            <w:tcW w:w="2410" w:type="dxa"/>
            <w:vAlign w:val="center"/>
          </w:tcPr>
          <w:p>
            <w:pPr>
              <w:pStyle w:val="39"/>
              <w:rPr>
                <w:rFonts w:cs="Times New Roman"/>
                <w:u w:val="single"/>
              </w:rPr>
            </w:pPr>
            <w:r>
              <w:rPr>
                <w:rFonts w:cs="Times New Roman"/>
                <w:u w:val="single"/>
              </w:rPr>
              <w:t>主要环保措施</w:t>
            </w:r>
          </w:p>
        </w:tc>
        <w:tc>
          <w:tcPr>
            <w:tcW w:w="4104" w:type="dxa"/>
            <w:vAlign w:val="center"/>
          </w:tcPr>
          <w:p>
            <w:pPr>
              <w:pStyle w:val="39"/>
              <w:rPr>
                <w:rFonts w:cs="Times New Roman"/>
                <w:u w:val="single"/>
              </w:rPr>
            </w:pPr>
            <w:r>
              <w:rPr>
                <w:rFonts w:cs="Times New Roman"/>
                <w:u w:val="single"/>
              </w:rPr>
              <w:t>环保要求/执行标准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2" w:type="dxa"/>
            <w:vMerge w:val="restart"/>
            <w:vAlign w:val="center"/>
          </w:tcPr>
          <w:p>
            <w:pPr>
              <w:pStyle w:val="39"/>
              <w:rPr>
                <w:rFonts w:cs="Times New Roman"/>
                <w:u w:val="single"/>
              </w:rPr>
            </w:pPr>
            <w:r>
              <w:rPr>
                <w:rFonts w:cs="Times New Roman"/>
                <w:u w:val="single"/>
              </w:rPr>
              <w:t>一期</w:t>
            </w:r>
          </w:p>
        </w:tc>
        <w:tc>
          <w:tcPr>
            <w:tcW w:w="852" w:type="dxa"/>
            <w:gridSpan w:val="2"/>
            <w:vMerge w:val="restart"/>
            <w:vAlign w:val="center"/>
          </w:tcPr>
          <w:p>
            <w:pPr>
              <w:pStyle w:val="39"/>
              <w:rPr>
                <w:rFonts w:cs="Times New Roman"/>
                <w:u w:val="single"/>
              </w:rPr>
            </w:pPr>
            <w:r>
              <w:rPr>
                <w:rFonts w:cs="Times New Roman"/>
                <w:u w:val="single"/>
              </w:rPr>
              <w:t>废水</w:t>
            </w:r>
          </w:p>
        </w:tc>
        <w:tc>
          <w:tcPr>
            <w:tcW w:w="1807" w:type="dxa"/>
            <w:gridSpan w:val="2"/>
            <w:vAlign w:val="center"/>
          </w:tcPr>
          <w:p>
            <w:pPr>
              <w:pStyle w:val="39"/>
              <w:rPr>
                <w:rFonts w:cs="Times New Roman"/>
                <w:u w:val="single"/>
              </w:rPr>
            </w:pPr>
            <w:r>
              <w:rPr>
                <w:rFonts w:cs="Times New Roman"/>
                <w:u w:val="single"/>
              </w:rPr>
              <w:t>初期雨水</w:t>
            </w:r>
          </w:p>
        </w:tc>
        <w:tc>
          <w:tcPr>
            <w:tcW w:w="2410" w:type="dxa"/>
            <w:vAlign w:val="center"/>
          </w:tcPr>
          <w:p>
            <w:pPr>
              <w:pStyle w:val="39"/>
              <w:rPr>
                <w:rFonts w:cs="Times New Roman"/>
                <w:u w:val="single"/>
              </w:rPr>
            </w:pPr>
            <w:r>
              <w:rPr>
                <w:rFonts w:cs="Times New Roman"/>
                <w:u w:val="single"/>
              </w:rPr>
              <w:t>雨污分流，雨水收集管</w:t>
            </w:r>
          </w:p>
        </w:tc>
        <w:tc>
          <w:tcPr>
            <w:tcW w:w="4104" w:type="dxa"/>
            <w:vAlign w:val="center"/>
          </w:tcPr>
          <w:p>
            <w:pPr>
              <w:widowControl w:val="0"/>
              <w:autoSpaceDE w:val="0"/>
              <w:autoSpaceDN w:val="0"/>
              <w:snapToGrid/>
              <w:jc w:val="center"/>
              <w:rPr>
                <w:rFonts w:ascii="Times New Roman" w:hAnsi="Times New Roman" w:cs="Times New Roman"/>
                <w:u w:val="single"/>
              </w:rPr>
            </w:pPr>
            <w:r>
              <w:rPr>
                <w:rFonts w:ascii="Times New Roman" w:hAnsi="Times New Roman" w:cs="Times New Roman"/>
                <w:u w:val="single"/>
              </w:rPr>
              <w:t>初期雨水收集进入</w:t>
            </w:r>
            <w:r>
              <w:rPr>
                <w:rFonts w:hint="eastAsia" w:ascii="Times New Roman" w:hAnsi="Times New Roman" w:cs="Times New Roman"/>
                <w:u w:val="single"/>
              </w:rPr>
              <w:t>北侧水塘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2" w:type="dxa"/>
            <w:vMerge w:val="continue"/>
            <w:vAlign w:val="center"/>
          </w:tcPr>
          <w:p>
            <w:pPr>
              <w:pStyle w:val="39"/>
              <w:rPr>
                <w:rFonts w:cs="Times New Roman"/>
                <w:u w:val="single"/>
              </w:rPr>
            </w:pPr>
          </w:p>
        </w:tc>
        <w:tc>
          <w:tcPr>
            <w:tcW w:w="852" w:type="dxa"/>
            <w:gridSpan w:val="2"/>
            <w:vMerge w:val="continue"/>
            <w:vAlign w:val="center"/>
          </w:tcPr>
          <w:p>
            <w:pPr>
              <w:pStyle w:val="39"/>
              <w:rPr>
                <w:rFonts w:cs="Times New Roman"/>
                <w:u w:val="single"/>
              </w:rPr>
            </w:pPr>
          </w:p>
        </w:tc>
        <w:tc>
          <w:tcPr>
            <w:tcW w:w="1807" w:type="dxa"/>
            <w:gridSpan w:val="2"/>
            <w:vAlign w:val="center"/>
          </w:tcPr>
          <w:p>
            <w:pPr>
              <w:pStyle w:val="39"/>
              <w:rPr>
                <w:rFonts w:cs="Times New Roman"/>
                <w:u w:val="single"/>
              </w:rPr>
            </w:pPr>
            <w:r>
              <w:rPr>
                <w:rFonts w:hint="eastAsia" w:cs="Times New Roman"/>
                <w:u w:val="single"/>
              </w:rPr>
              <w:t>鸡舍</w:t>
            </w:r>
            <w:r>
              <w:rPr>
                <w:rFonts w:cs="Times New Roman"/>
                <w:u w:val="single"/>
              </w:rPr>
              <w:t>冲洗废水、生活污水</w:t>
            </w:r>
          </w:p>
        </w:tc>
        <w:tc>
          <w:tcPr>
            <w:tcW w:w="2410" w:type="dxa"/>
            <w:vAlign w:val="center"/>
          </w:tcPr>
          <w:p>
            <w:pPr>
              <w:pStyle w:val="39"/>
              <w:rPr>
                <w:rFonts w:cs="Times New Roman"/>
                <w:u w:val="single"/>
              </w:rPr>
            </w:pPr>
            <w:r>
              <w:rPr>
                <w:rFonts w:hint="eastAsia" w:cs="Times New Roman"/>
                <w:u w:val="single"/>
              </w:rPr>
              <w:t>鸡舍冲洗废水收集池、化粪池</w:t>
            </w:r>
          </w:p>
        </w:tc>
        <w:tc>
          <w:tcPr>
            <w:tcW w:w="4104" w:type="dxa"/>
            <w:vAlign w:val="center"/>
          </w:tcPr>
          <w:p>
            <w:pPr>
              <w:pStyle w:val="39"/>
              <w:rPr>
                <w:rFonts w:cs="Times New Roman"/>
                <w:u w:val="single"/>
              </w:rPr>
            </w:pPr>
            <w:r>
              <w:rPr>
                <w:u w:val="single"/>
              </w:rPr>
              <w:t>化粪池</w:t>
            </w:r>
            <w:r>
              <w:rPr>
                <w:rFonts w:hint="eastAsia"/>
                <w:u w:val="single"/>
              </w:rPr>
              <w:t>处理后用作农肥，</w:t>
            </w:r>
            <w:r>
              <w:rPr>
                <w:u w:val="single"/>
              </w:rPr>
              <w:t>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2" w:type="dxa"/>
            <w:vMerge w:val="continue"/>
            <w:vAlign w:val="center"/>
          </w:tcPr>
          <w:p>
            <w:pPr>
              <w:pStyle w:val="39"/>
              <w:rPr>
                <w:rFonts w:cs="Times New Roman"/>
                <w:u w:val="single"/>
              </w:rPr>
            </w:pPr>
          </w:p>
        </w:tc>
        <w:tc>
          <w:tcPr>
            <w:tcW w:w="852" w:type="dxa"/>
            <w:gridSpan w:val="2"/>
            <w:vMerge w:val="continue"/>
            <w:vAlign w:val="center"/>
          </w:tcPr>
          <w:p>
            <w:pPr>
              <w:pStyle w:val="39"/>
              <w:rPr>
                <w:rFonts w:cs="Times New Roman"/>
                <w:u w:val="single"/>
              </w:rPr>
            </w:pPr>
          </w:p>
        </w:tc>
        <w:tc>
          <w:tcPr>
            <w:tcW w:w="1807" w:type="dxa"/>
            <w:gridSpan w:val="2"/>
            <w:vAlign w:val="center"/>
          </w:tcPr>
          <w:p>
            <w:pPr>
              <w:pStyle w:val="39"/>
              <w:rPr>
                <w:rFonts w:cs="Times New Roman"/>
                <w:u w:val="single"/>
              </w:rPr>
            </w:pPr>
            <w:r>
              <w:rPr>
                <w:rFonts w:cs="Times New Roman"/>
                <w:u w:val="single"/>
              </w:rPr>
              <w:t>场区及周边监控</w:t>
            </w:r>
          </w:p>
        </w:tc>
        <w:tc>
          <w:tcPr>
            <w:tcW w:w="2410" w:type="dxa"/>
            <w:vAlign w:val="center"/>
          </w:tcPr>
          <w:p>
            <w:pPr>
              <w:pStyle w:val="39"/>
              <w:rPr>
                <w:rFonts w:cs="Times New Roman"/>
                <w:u w:val="single"/>
              </w:rPr>
            </w:pPr>
            <w:r>
              <w:rPr>
                <w:rFonts w:cs="Times New Roman"/>
                <w:u w:val="single"/>
              </w:rPr>
              <w:t>监测井（</w:t>
            </w:r>
            <w:r>
              <w:rPr>
                <w:rFonts w:hint="eastAsia" w:cs="Times New Roman"/>
                <w:u w:val="single"/>
              </w:rPr>
              <w:t>项目水井</w:t>
            </w:r>
            <w:r>
              <w:rPr>
                <w:rFonts w:cs="Times New Roman"/>
                <w:u w:val="single"/>
              </w:rPr>
              <w:t>）</w:t>
            </w:r>
          </w:p>
        </w:tc>
        <w:tc>
          <w:tcPr>
            <w:tcW w:w="4104" w:type="dxa"/>
            <w:vAlign w:val="center"/>
          </w:tcPr>
          <w:p>
            <w:pPr>
              <w:pStyle w:val="39"/>
              <w:rPr>
                <w:rFonts w:cs="Times New Roman"/>
                <w:u w:val="single"/>
              </w:rPr>
            </w:pPr>
            <w:r>
              <w:rPr>
                <w:rFonts w:cs="Times New Roman"/>
                <w:u w:val="single"/>
              </w:rPr>
              <w:t>地下水监测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2" w:type="dxa"/>
            <w:vMerge w:val="continue"/>
            <w:vAlign w:val="center"/>
          </w:tcPr>
          <w:p>
            <w:pPr>
              <w:pStyle w:val="39"/>
              <w:rPr>
                <w:rFonts w:cs="Times New Roman"/>
                <w:u w:val="single"/>
              </w:rPr>
            </w:pPr>
          </w:p>
        </w:tc>
        <w:tc>
          <w:tcPr>
            <w:tcW w:w="852" w:type="dxa"/>
            <w:gridSpan w:val="2"/>
            <w:vMerge w:val="restart"/>
            <w:vAlign w:val="center"/>
          </w:tcPr>
          <w:p>
            <w:pPr>
              <w:pStyle w:val="39"/>
              <w:rPr>
                <w:rFonts w:cs="Times New Roman"/>
                <w:u w:val="single"/>
              </w:rPr>
            </w:pPr>
            <w:r>
              <w:rPr>
                <w:rFonts w:cs="Times New Roman"/>
                <w:u w:val="single"/>
              </w:rPr>
              <w:t>废气</w:t>
            </w:r>
          </w:p>
        </w:tc>
        <w:tc>
          <w:tcPr>
            <w:tcW w:w="1807" w:type="dxa"/>
            <w:gridSpan w:val="2"/>
            <w:vAlign w:val="center"/>
          </w:tcPr>
          <w:p>
            <w:pPr>
              <w:pStyle w:val="39"/>
              <w:rPr>
                <w:rFonts w:cs="Times New Roman"/>
                <w:u w:val="single"/>
              </w:rPr>
            </w:pPr>
            <w:r>
              <w:rPr>
                <w:rFonts w:cs="Times New Roman"/>
                <w:u w:val="single"/>
              </w:rPr>
              <w:t>鸡舍（</w:t>
            </w:r>
            <w:r>
              <w:rPr>
                <w:rFonts w:hint="eastAsia" w:cs="Times New Roman"/>
                <w:u w:val="single"/>
              </w:rPr>
              <w:t>2</w:t>
            </w:r>
            <w:r>
              <w:rPr>
                <w:rFonts w:cs="Times New Roman"/>
                <w:u w:val="single"/>
              </w:rPr>
              <w:t>栋）</w:t>
            </w:r>
          </w:p>
        </w:tc>
        <w:tc>
          <w:tcPr>
            <w:tcW w:w="2410" w:type="dxa"/>
            <w:vAlign w:val="center"/>
          </w:tcPr>
          <w:p>
            <w:pPr>
              <w:pStyle w:val="39"/>
              <w:rPr>
                <w:rFonts w:cs="Times New Roman"/>
                <w:u w:val="single"/>
              </w:rPr>
            </w:pPr>
            <w:r>
              <w:rPr>
                <w:rFonts w:cs="Times New Roman"/>
                <w:u w:val="single"/>
              </w:rPr>
              <w:t>卫生和通风系统、喷洒除臭剂、定期清理、科学饲养等</w:t>
            </w:r>
          </w:p>
        </w:tc>
        <w:tc>
          <w:tcPr>
            <w:tcW w:w="4104" w:type="dxa"/>
            <w:vMerge w:val="restart"/>
            <w:vAlign w:val="center"/>
          </w:tcPr>
          <w:p>
            <w:pPr>
              <w:pStyle w:val="39"/>
              <w:rPr>
                <w:rFonts w:cs="Times New Roman"/>
                <w:u w:val="single"/>
              </w:rPr>
            </w:pPr>
            <w:r>
              <w:rPr>
                <w:rFonts w:cs="Times New Roman"/>
                <w:u w:val="single"/>
              </w:rPr>
              <w:t>《畜禽养殖业污染物排放标准》(GB18596-2001)</w:t>
            </w:r>
          </w:p>
          <w:p>
            <w:pPr>
              <w:pStyle w:val="39"/>
              <w:rPr>
                <w:rFonts w:cs="Times New Roman"/>
                <w:u w:val="single"/>
              </w:rPr>
            </w:pPr>
            <w:r>
              <w:rPr>
                <w:rFonts w:cs="Times New Roman"/>
                <w:u w:val="single"/>
                <w:lang w:val="zh-CN"/>
              </w:rPr>
              <w:t>《恶臭污染物排放标准》（GB14554-93）</w:t>
            </w:r>
            <w:r>
              <w:rPr>
                <w:rFonts w:cs="Times New Roman"/>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2" w:type="dxa"/>
            <w:vMerge w:val="continue"/>
            <w:vAlign w:val="center"/>
          </w:tcPr>
          <w:p>
            <w:pPr>
              <w:pStyle w:val="39"/>
              <w:rPr>
                <w:rFonts w:cs="Times New Roman"/>
                <w:u w:val="single"/>
              </w:rPr>
            </w:pPr>
          </w:p>
        </w:tc>
        <w:tc>
          <w:tcPr>
            <w:tcW w:w="852" w:type="dxa"/>
            <w:gridSpan w:val="2"/>
            <w:vMerge w:val="continue"/>
            <w:vAlign w:val="center"/>
          </w:tcPr>
          <w:p>
            <w:pPr>
              <w:pStyle w:val="39"/>
              <w:rPr>
                <w:rFonts w:cs="Times New Roman"/>
                <w:u w:val="single"/>
              </w:rPr>
            </w:pPr>
          </w:p>
        </w:tc>
        <w:tc>
          <w:tcPr>
            <w:tcW w:w="1807" w:type="dxa"/>
            <w:gridSpan w:val="2"/>
            <w:vAlign w:val="center"/>
          </w:tcPr>
          <w:p>
            <w:pPr>
              <w:pStyle w:val="39"/>
              <w:rPr>
                <w:rFonts w:cs="Times New Roman"/>
                <w:u w:val="single"/>
              </w:rPr>
            </w:pPr>
            <w:r>
              <w:rPr>
                <w:rFonts w:cs="Times New Roman"/>
                <w:u w:val="single"/>
              </w:rPr>
              <w:t>鸡粪处理区</w:t>
            </w:r>
          </w:p>
        </w:tc>
        <w:tc>
          <w:tcPr>
            <w:tcW w:w="2410" w:type="dxa"/>
            <w:vAlign w:val="center"/>
          </w:tcPr>
          <w:p>
            <w:pPr>
              <w:pStyle w:val="39"/>
              <w:rPr>
                <w:rFonts w:cs="Times New Roman"/>
                <w:u w:val="single"/>
              </w:rPr>
            </w:pPr>
            <w:r>
              <w:rPr>
                <w:rFonts w:cs="Times New Roman"/>
                <w:u w:val="single"/>
              </w:rPr>
              <w:t>喷洒除臭剂</w:t>
            </w:r>
          </w:p>
        </w:tc>
        <w:tc>
          <w:tcPr>
            <w:tcW w:w="4104" w:type="dxa"/>
            <w:vMerge w:val="continue"/>
            <w:vAlign w:val="center"/>
          </w:tcPr>
          <w:p>
            <w:pPr>
              <w:pStyle w:val="39"/>
              <w:rPr>
                <w:rFonts w:cs="Times New Roman"/>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2" w:type="dxa"/>
            <w:vMerge w:val="continue"/>
            <w:vAlign w:val="center"/>
          </w:tcPr>
          <w:p>
            <w:pPr>
              <w:pStyle w:val="39"/>
              <w:rPr>
                <w:rFonts w:cs="Times New Roman"/>
                <w:u w:val="single"/>
              </w:rPr>
            </w:pPr>
          </w:p>
        </w:tc>
        <w:tc>
          <w:tcPr>
            <w:tcW w:w="852" w:type="dxa"/>
            <w:gridSpan w:val="2"/>
            <w:vMerge w:val="continue"/>
            <w:vAlign w:val="center"/>
          </w:tcPr>
          <w:p>
            <w:pPr>
              <w:pStyle w:val="39"/>
              <w:rPr>
                <w:rFonts w:cs="Times New Roman"/>
                <w:u w:val="single"/>
              </w:rPr>
            </w:pPr>
          </w:p>
        </w:tc>
        <w:tc>
          <w:tcPr>
            <w:tcW w:w="1807" w:type="dxa"/>
            <w:gridSpan w:val="2"/>
            <w:vAlign w:val="center"/>
          </w:tcPr>
          <w:p>
            <w:pPr>
              <w:pStyle w:val="39"/>
              <w:rPr>
                <w:rFonts w:cs="Times New Roman"/>
                <w:u w:val="single"/>
              </w:rPr>
            </w:pPr>
            <w:r>
              <w:rPr>
                <w:rFonts w:cs="Times New Roman"/>
                <w:u w:val="single"/>
              </w:rPr>
              <w:t>备用发电机</w:t>
            </w:r>
          </w:p>
        </w:tc>
        <w:tc>
          <w:tcPr>
            <w:tcW w:w="2410" w:type="dxa"/>
            <w:vAlign w:val="center"/>
          </w:tcPr>
          <w:p>
            <w:pPr>
              <w:pStyle w:val="39"/>
              <w:rPr>
                <w:rFonts w:cs="Times New Roman"/>
                <w:u w:val="single"/>
              </w:rPr>
            </w:pPr>
            <w:r>
              <w:rPr>
                <w:rFonts w:cs="Times New Roman"/>
                <w:u w:val="single"/>
              </w:rPr>
              <w:t>专用排烟竖井</w:t>
            </w:r>
          </w:p>
        </w:tc>
        <w:tc>
          <w:tcPr>
            <w:tcW w:w="4104" w:type="dxa"/>
            <w:vAlign w:val="center"/>
          </w:tcPr>
          <w:p>
            <w:pPr>
              <w:pStyle w:val="39"/>
              <w:rPr>
                <w:rFonts w:cs="Times New Roman"/>
                <w:u w:val="single"/>
              </w:rPr>
            </w:pPr>
            <w:r>
              <w:rPr>
                <w:rFonts w:cs="Times New Roman"/>
                <w:u w:val="single"/>
              </w:rPr>
              <w:t>《大气污染物综合排放标准》（GB16297-1996）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2" w:type="dxa"/>
            <w:vMerge w:val="continue"/>
            <w:vAlign w:val="center"/>
          </w:tcPr>
          <w:p>
            <w:pPr>
              <w:pStyle w:val="39"/>
              <w:rPr>
                <w:rFonts w:cs="Times New Roman"/>
                <w:u w:val="single"/>
              </w:rPr>
            </w:pPr>
          </w:p>
        </w:tc>
        <w:tc>
          <w:tcPr>
            <w:tcW w:w="852" w:type="dxa"/>
            <w:gridSpan w:val="2"/>
            <w:vMerge w:val="continue"/>
            <w:vAlign w:val="center"/>
          </w:tcPr>
          <w:p>
            <w:pPr>
              <w:pStyle w:val="39"/>
              <w:rPr>
                <w:rFonts w:cs="Times New Roman"/>
                <w:u w:val="single"/>
              </w:rPr>
            </w:pPr>
          </w:p>
        </w:tc>
        <w:tc>
          <w:tcPr>
            <w:tcW w:w="1807" w:type="dxa"/>
            <w:gridSpan w:val="2"/>
            <w:vAlign w:val="center"/>
          </w:tcPr>
          <w:p>
            <w:pPr>
              <w:pStyle w:val="39"/>
              <w:rPr>
                <w:rFonts w:cs="Times New Roman"/>
                <w:u w:val="single"/>
              </w:rPr>
            </w:pPr>
            <w:r>
              <w:rPr>
                <w:rFonts w:cs="Times New Roman"/>
                <w:u w:val="single"/>
              </w:rPr>
              <w:t>食堂厨房</w:t>
            </w:r>
          </w:p>
        </w:tc>
        <w:tc>
          <w:tcPr>
            <w:tcW w:w="2410" w:type="dxa"/>
            <w:vAlign w:val="center"/>
          </w:tcPr>
          <w:p>
            <w:pPr>
              <w:pStyle w:val="39"/>
              <w:rPr>
                <w:rFonts w:cs="Times New Roman"/>
                <w:u w:val="single"/>
              </w:rPr>
            </w:pPr>
            <w:r>
              <w:rPr>
                <w:rFonts w:cs="Times New Roman"/>
                <w:u w:val="single"/>
              </w:rPr>
              <w:t>经油烟净化器处理后屋顶排放</w:t>
            </w:r>
          </w:p>
        </w:tc>
        <w:tc>
          <w:tcPr>
            <w:tcW w:w="4104" w:type="dxa"/>
            <w:vAlign w:val="center"/>
          </w:tcPr>
          <w:p>
            <w:pPr>
              <w:pStyle w:val="39"/>
              <w:rPr>
                <w:rFonts w:cs="Times New Roman"/>
                <w:u w:val="single"/>
              </w:rPr>
            </w:pPr>
            <w:r>
              <w:rPr>
                <w:rFonts w:cs="Times New Roman"/>
                <w:u w:val="single"/>
              </w:rPr>
              <w:t>《饮食业油烟排放标准(试行)》（GB18483-2001）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2" w:type="dxa"/>
            <w:vMerge w:val="continue"/>
            <w:vAlign w:val="center"/>
          </w:tcPr>
          <w:p>
            <w:pPr>
              <w:pStyle w:val="39"/>
              <w:rPr>
                <w:rFonts w:cs="Times New Roman"/>
                <w:u w:val="single"/>
              </w:rPr>
            </w:pPr>
          </w:p>
        </w:tc>
        <w:tc>
          <w:tcPr>
            <w:tcW w:w="852" w:type="dxa"/>
            <w:gridSpan w:val="2"/>
            <w:vAlign w:val="center"/>
          </w:tcPr>
          <w:p>
            <w:pPr>
              <w:pStyle w:val="39"/>
              <w:rPr>
                <w:rFonts w:cs="Times New Roman"/>
                <w:u w:val="single"/>
              </w:rPr>
            </w:pPr>
            <w:r>
              <w:rPr>
                <w:rFonts w:cs="Times New Roman"/>
                <w:u w:val="single"/>
              </w:rPr>
              <w:t>噪声</w:t>
            </w:r>
          </w:p>
        </w:tc>
        <w:tc>
          <w:tcPr>
            <w:tcW w:w="1807" w:type="dxa"/>
            <w:gridSpan w:val="2"/>
            <w:vAlign w:val="center"/>
          </w:tcPr>
          <w:p>
            <w:pPr>
              <w:pStyle w:val="39"/>
              <w:rPr>
                <w:rFonts w:cs="Times New Roman"/>
                <w:u w:val="single"/>
              </w:rPr>
            </w:pPr>
            <w:r>
              <w:rPr>
                <w:rFonts w:cs="Times New Roman"/>
                <w:u w:val="single"/>
              </w:rPr>
              <w:t>高噪声设备</w:t>
            </w:r>
          </w:p>
        </w:tc>
        <w:tc>
          <w:tcPr>
            <w:tcW w:w="2410" w:type="dxa"/>
            <w:vAlign w:val="center"/>
          </w:tcPr>
          <w:p>
            <w:pPr>
              <w:pStyle w:val="39"/>
              <w:rPr>
                <w:rFonts w:cs="Times New Roman"/>
                <w:u w:val="single"/>
              </w:rPr>
            </w:pPr>
            <w:r>
              <w:rPr>
                <w:rFonts w:cs="Times New Roman"/>
                <w:u w:val="single"/>
              </w:rPr>
              <w:t>消声减振；场区、场界绿化</w:t>
            </w:r>
          </w:p>
        </w:tc>
        <w:tc>
          <w:tcPr>
            <w:tcW w:w="4104" w:type="dxa"/>
            <w:vAlign w:val="center"/>
          </w:tcPr>
          <w:p>
            <w:pPr>
              <w:pStyle w:val="39"/>
              <w:rPr>
                <w:rFonts w:cs="Times New Roman"/>
                <w:u w:val="single"/>
              </w:rPr>
            </w:pPr>
            <w:r>
              <w:rPr>
                <w:rFonts w:cs="Times New Roman"/>
                <w:u w:val="single"/>
              </w:rPr>
              <w:t>《工业企业厂界环境噪声排放标准》（GB12348-2008）中的2类标准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2" w:type="dxa"/>
            <w:vMerge w:val="continue"/>
            <w:vAlign w:val="center"/>
          </w:tcPr>
          <w:p>
            <w:pPr>
              <w:pStyle w:val="39"/>
              <w:rPr>
                <w:rFonts w:cs="Times New Roman"/>
                <w:u w:val="single"/>
              </w:rPr>
            </w:pPr>
          </w:p>
        </w:tc>
        <w:tc>
          <w:tcPr>
            <w:tcW w:w="852" w:type="dxa"/>
            <w:gridSpan w:val="2"/>
            <w:vMerge w:val="restart"/>
            <w:vAlign w:val="center"/>
          </w:tcPr>
          <w:p>
            <w:pPr>
              <w:pStyle w:val="39"/>
              <w:rPr>
                <w:rFonts w:cs="Times New Roman"/>
                <w:u w:val="single"/>
              </w:rPr>
            </w:pPr>
            <w:r>
              <w:rPr>
                <w:rFonts w:cs="Times New Roman"/>
                <w:u w:val="single"/>
              </w:rPr>
              <w:t>固废</w:t>
            </w:r>
          </w:p>
        </w:tc>
        <w:tc>
          <w:tcPr>
            <w:tcW w:w="815" w:type="dxa"/>
            <w:vAlign w:val="center"/>
          </w:tcPr>
          <w:p>
            <w:pPr>
              <w:pStyle w:val="39"/>
              <w:rPr>
                <w:rFonts w:cs="Times New Roman"/>
                <w:u w:val="single"/>
              </w:rPr>
            </w:pPr>
            <w:r>
              <w:rPr>
                <w:rFonts w:cs="Times New Roman"/>
                <w:u w:val="single"/>
              </w:rPr>
              <w:t>鸡舍</w:t>
            </w:r>
          </w:p>
        </w:tc>
        <w:tc>
          <w:tcPr>
            <w:tcW w:w="992" w:type="dxa"/>
            <w:vAlign w:val="center"/>
          </w:tcPr>
          <w:p>
            <w:pPr>
              <w:pStyle w:val="39"/>
              <w:rPr>
                <w:rFonts w:cs="Times New Roman"/>
                <w:u w:val="single"/>
              </w:rPr>
            </w:pPr>
            <w:r>
              <w:rPr>
                <w:rFonts w:cs="Times New Roman"/>
                <w:u w:val="single"/>
              </w:rPr>
              <w:t>鸡粪</w:t>
            </w:r>
          </w:p>
        </w:tc>
        <w:tc>
          <w:tcPr>
            <w:tcW w:w="2410" w:type="dxa"/>
            <w:vAlign w:val="center"/>
          </w:tcPr>
          <w:p>
            <w:pPr>
              <w:pStyle w:val="39"/>
              <w:rPr>
                <w:rFonts w:cs="Times New Roman"/>
                <w:u w:val="single"/>
              </w:rPr>
            </w:pPr>
            <w:r>
              <w:rPr>
                <w:rFonts w:hint="eastAsia" w:cs="Times New Roman"/>
                <w:u w:val="single"/>
              </w:rPr>
              <w:t>法国多赛干燥机设备</w:t>
            </w:r>
          </w:p>
        </w:tc>
        <w:tc>
          <w:tcPr>
            <w:tcW w:w="4104" w:type="dxa"/>
            <w:vAlign w:val="center"/>
          </w:tcPr>
          <w:p>
            <w:pPr>
              <w:pStyle w:val="39"/>
              <w:rPr>
                <w:rFonts w:cs="Times New Roman"/>
                <w:u w:val="single"/>
              </w:rPr>
            </w:pPr>
            <w:r>
              <w:rPr>
                <w:rFonts w:cs="Times New Roman"/>
                <w:u w:val="single"/>
              </w:rPr>
              <w:t>《畜禽养殖业污染物排放标准》（GB18596-2001）</w:t>
            </w:r>
          </w:p>
          <w:p>
            <w:pPr>
              <w:pStyle w:val="39"/>
              <w:rPr>
                <w:rFonts w:cs="Times New Roman"/>
                <w:u w:val="single"/>
              </w:rPr>
            </w:pPr>
            <w:r>
              <w:rPr>
                <w:rFonts w:cs="Times New Roman"/>
                <w:u w:val="single"/>
              </w:rPr>
              <w:t>《粪便无害化卫生要求》（GB7959-2012）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2" w:type="dxa"/>
            <w:vMerge w:val="continue"/>
            <w:vAlign w:val="center"/>
          </w:tcPr>
          <w:p>
            <w:pPr>
              <w:pStyle w:val="39"/>
              <w:rPr>
                <w:rFonts w:cs="Times New Roman"/>
                <w:u w:val="single"/>
              </w:rPr>
            </w:pPr>
          </w:p>
        </w:tc>
        <w:tc>
          <w:tcPr>
            <w:tcW w:w="852" w:type="dxa"/>
            <w:gridSpan w:val="2"/>
            <w:vMerge w:val="continue"/>
            <w:vAlign w:val="center"/>
          </w:tcPr>
          <w:p>
            <w:pPr>
              <w:pStyle w:val="39"/>
              <w:rPr>
                <w:rFonts w:cs="Times New Roman"/>
                <w:u w:val="single"/>
              </w:rPr>
            </w:pPr>
          </w:p>
        </w:tc>
        <w:tc>
          <w:tcPr>
            <w:tcW w:w="815" w:type="dxa"/>
            <w:vAlign w:val="center"/>
          </w:tcPr>
          <w:p>
            <w:pPr>
              <w:pStyle w:val="39"/>
              <w:rPr>
                <w:rFonts w:cs="Times New Roman"/>
                <w:u w:val="single"/>
              </w:rPr>
            </w:pPr>
            <w:r>
              <w:rPr>
                <w:rFonts w:cs="Times New Roman"/>
                <w:u w:val="single"/>
              </w:rPr>
              <w:t>鸡舍</w:t>
            </w:r>
          </w:p>
        </w:tc>
        <w:tc>
          <w:tcPr>
            <w:tcW w:w="992" w:type="dxa"/>
            <w:vAlign w:val="center"/>
          </w:tcPr>
          <w:p>
            <w:pPr>
              <w:pStyle w:val="39"/>
              <w:rPr>
                <w:rFonts w:cs="Times New Roman"/>
                <w:u w:val="single"/>
              </w:rPr>
            </w:pPr>
            <w:r>
              <w:rPr>
                <w:rFonts w:cs="Times New Roman"/>
                <w:u w:val="single"/>
              </w:rPr>
              <w:t>病死鸡</w:t>
            </w:r>
          </w:p>
        </w:tc>
        <w:tc>
          <w:tcPr>
            <w:tcW w:w="2410" w:type="dxa"/>
            <w:vAlign w:val="center"/>
          </w:tcPr>
          <w:p>
            <w:pPr>
              <w:pStyle w:val="39"/>
              <w:rPr>
                <w:rFonts w:cs="Times New Roman"/>
                <w:u w:val="single"/>
              </w:rPr>
            </w:pPr>
            <w:r>
              <w:rPr>
                <w:rFonts w:hint="eastAsia" w:cs="Times New Roman"/>
                <w:u w:val="single"/>
              </w:rPr>
              <w:t>病死鸡</w:t>
            </w:r>
            <w:r>
              <w:rPr>
                <w:rFonts w:hint="eastAsia" w:ascii="宋体" w:hAnsi="宋体" w:cs="宋体"/>
                <w:kern w:val="0"/>
                <w:szCs w:val="24"/>
                <w:u w:val="single"/>
              </w:rPr>
              <w:t>委托</w:t>
            </w:r>
            <w:r>
              <w:rPr>
                <w:rFonts w:ascii="宋体" w:hAnsi="宋体" w:cs="宋体"/>
                <w:kern w:val="0"/>
                <w:szCs w:val="24"/>
                <w:u w:val="single"/>
              </w:rPr>
              <w:t>衡阳县畜牧水产局统一</w:t>
            </w:r>
            <w:r>
              <w:rPr>
                <w:rFonts w:hint="eastAsia" w:ascii="宋体" w:hAnsi="宋体" w:cs="宋体"/>
                <w:kern w:val="0"/>
                <w:szCs w:val="24"/>
                <w:u w:val="single"/>
              </w:rPr>
              <w:t>收集，再</w:t>
            </w:r>
            <w:r>
              <w:rPr>
                <w:rFonts w:ascii="宋体" w:hAnsi="宋体" w:cs="宋体"/>
                <w:kern w:val="0"/>
                <w:szCs w:val="24"/>
                <w:u w:val="single"/>
              </w:rPr>
              <w:t>运至衡阳</w:t>
            </w:r>
            <w:r>
              <w:rPr>
                <w:rFonts w:hint="eastAsia" w:ascii="宋体" w:hAnsi="宋体" w:cs="宋体"/>
                <w:kern w:val="0"/>
                <w:szCs w:val="24"/>
                <w:u w:val="single"/>
              </w:rPr>
              <w:t>市</w:t>
            </w:r>
            <w:r>
              <w:rPr>
                <w:rFonts w:ascii="宋体" w:hAnsi="宋体" w:cs="宋体"/>
                <w:kern w:val="0"/>
                <w:szCs w:val="24"/>
                <w:u w:val="single"/>
              </w:rPr>
              <w:t>禾和</w:t>
            </w:r>
            <w:r>
              <w:rPr>
                <w:rFonts w:hint="eastAsia" w:ascii="宋体" w:hAnsi="宋体" w:cs="宋体"/>
                <w:kern w:val="0"/>
                <w:szCs w:val="24"/>
                <w:u w:val="single"/>
              </w:rPr>
              <w:t>动物无害化处理有限</w:t>
            </w:r>
            <w:r>
              <w:rPr>
                <w:rFonts w:ascii="宋体" w:hAnsi="宋体" w:cs="宋体"/>
                <w:kern w:val="0"/>
                <w:szCs w:val="24"/>
                <w:u w:val="single"/>
              </w:rPr>
              <w:t>公司无害化处置</w:t>
            </w:r>
          </w:p>
        </w:tc>
        <w:tc>
          <w:tcPr>
            <w:tcW w:w="4104" w:type="dxa"/>
            <w:vAlign w:val="center"/>
          </w:tcPr>
          <w:p>
            <w:pPr>
              <w:pStyle w:val="39"/>
              <w:rPr>
                <w:rFonts w:cs="Times New Roman"/>
                <w:u w:val="single"/>
              </w:rPr>
            </w:pPr>
            <w:r>
              <w:rPr>
                <w:rFonts w:cs="Times New Roman"/>
                <w:u w:val="single"/>
              </w:rPr>
              <w:t>《病害动物和病害动物产品生物安全处理规程》（GB16548-2006）和《病死动物无害化处理技术规范》（农医发[2017]25号）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2" w:type="dxa"/>
            <w:vMerge w:val="continue"/>
            <w:vAlign w:val="center"/>
          </w:tcPr>
          <w:p>
            <w:pPr>
              <w:pStyle w:val="39"/>
              <w:rPr>
                <w:rFonts w:cs="Times New Roman"/>
                <w:u w:val="single"/>
              </w:rPr>
            </w:pPr>
          </w:p>
        </w:tc>
        <w:tc>
          <w:tcPr>
            <w:tcW w:w="852" w:type="dxa"/>
            <w:gridSpan w:val="2"/>
            <w:vMerge w:val="continue"/>
            <w:vAlign w:val="center"/>
          </w:tcPr>
          <w:p>
            <w:pPr>
              <w:pStyle w:val="39"/>
              <w:rPr>
                <w:rFonts w:cs="Times New Roman"/>
                <w:u w:val="single"/>
              </w:rPr>
            </w:pPr>
          </w:p>
        </w:tc>
        <w:tc>
          <w:tcPr>
            <w:tcW w:w="815" w:type="dxa"/>
            <w:vAlign w:val="center"/>
          </w:tcPr>
          <w:p>
            <w:pPr>
              <w:pStyle w:val="39"/>
              <w:rPr>
                <w:rFonts w:cs="Times New Roman"/>
                <w:u w:val="single"/>
              </w:rPr>
            </w:pPr>
            <w:r>
              <w:rPr>
                <w:rFonts w:cs="Times New Roman"/>
                <w:u w:val="single"/>
              </w:rPr>
              <w:t>医疗室</w:t>
            </w:r>
          </w:p>
        </w:tc>
        <w:tc>
          <w:tcPr>
            <w:tcW w:w="992" w:type="dxa"/>
            <w:vAlign w:val="center"/>
          </w:tcPr>
          <w:p>
            <w:pPr>
              <w:pStyle w:val="39"/>
              <w:rPr>
                <w:rFonts w:cs="Times New Roman"/>
                <w:u w:val="single"/>
              </w:rPr>
            </w:pPr>
            <w:r>
              <w:rPr>
                <w:rFonts w:cs="Times New Roman"/>
                <w:u w:val="single"/>
              </w:rPr>
              <w:t>医疗废物</w:t>
            </w:r>
          </w:p>
        </w:tc>
        <w:tc>
          <w:tcPr>
            <w:tcW w:w="2410" w:type="dxa"/>
            <w:vAlign w:val="center"/>
          </w:tcPr>
          <w:p>
            <w:pPr>
              <w:pStyle w:val="39"/>
              <w:rPr>
                <w:rFonts w:cs="Times New Roman"/>
                <w:u w:val="single"/>
              </w:rPr>
            </w:pPr>
            <w:r>
              <w:rPr>
                <w:rFonts w:cs="Times New Roman"/>
                <w:u w:val="single"/>
              </w:rPr>
              <w:t>危废暂存间（10m</w:t>
            </w:r>
            <w:r>
              <w:rPr>
                <w:rFonts w:cs="Times New Roman"/>
                <w:u w:val="single"/>
                <w:vertAlign w:val="superscript"/>
              </w:rPr>
              <w:t>2</w:t>
            </w:r>
            <w:r>
              <w:rPr>
                <w:rFonts w:cs="Times New Roman"/>
                <w:u w:val="single"/>
              </w:rPr>
              <w:t>）暂存后集中送有资质单位处置</w:t>
            </w:r>
          </w:p>
        </w:tc>
        <w:tc>
          <w:tcPr>
            <w:tcW w:w="4104" w:type="dxa"/>
            <w:vAlign w:val="center"/>
          </w:tcPr>
          <w:p>
            <w:pPr>
              <w:pStyle w:val="39"/>
              <w:rPr>
                <w:rFonts w:cs="Times New Roman"/>
                <w:u w:val="single"/>
              </w:rPr>
            </w:pPr>
            <w:r>
              <w:rPr>
                <w:rFonts w:cs="Times New Roman"/>
                <w:u w:val="single"/>
              </w:rPr>
              <w:t>《危险废物填埋污染控制标准》（GB 18598－2001）及2013年修改单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2" w:type="dxa"/>
            <w:vMerge w:val="continue"/>
            <w:vAlign w:val="center"/>
          </w:tcPr>
          <w:p>
            <w:pPr>
              <w:pStyle w:val="39"/>
              <w:rPr>
                <w:rFonts w:cs="Times New Roman"/>
                <w:u w:val="single"/>
              </w:rPr>
            </w:pPr>
          </w:p>
        </w:tc>
        <w:tc>
          <w:tcPr>
            <w:tcW w:w="852" w:type="dxa"/>
            <w:gridSpan w:val="2"/>
            <w:vMerge w:val="continue"/>
            <w:vAlign w:val="center"/>
          </w:tcPr>
          <w:p>
            <w:pPr>
              <w:pStyle w:val="39"/>
              <w:rPr>
                <w:rFonts w:cs="Times New Roman"/>
                <w:u w:val="single"/>
              </w:rPr>
            </w:pPr>
          </w:p>
        </w:tc>
        <w:tc>
          <w:tcPr>
            <w:tcW w:w="815" w:type="dxa"/>
            <w:vAlign w:val="center"/>
          </w:tcPr>
          <w:p>
            <w:pPr>
              <w:pStyle w:val="39"/>
              <w:rPr>
                <w:rFonts w:cs="Times New Roman"/>
                <w:u w:val="single"/>
              </w:rPr>
            </w:pPr>
            <w:r>
              <w:rPr>
                <w:rFonts w:cs="Times New Roman"/>
                <w:u w:val="single"/>
              </w:rPr>
              <w:t>办公生活</w:t>
            </w:r>
          </w:p>
        </w:tc>
        <w:tc>
          <w:tcPr>
            <w:tcW w:w="992" w:type="dxa"/>
            <w:vAlign w:val="center"/>
          </w:tcPr>
          <w:p>
            <w:pPr>
              <w:pStyle w:val="39"/>
              <w:rPr>
                <w:rFonts w:cs="Times New Roman"/>
                <w:u w:val="single"/>
              </w:rPr>
            </w:pPr>
            <w:r>
              <w:rPr>
                <w:rFonts w:cs="Times New Roman"/>
                <w:u w:val="single"/>
              </w:rPr>
              <w:t>生活垃圾</w:t>
            </w:r>
          </w:p>
        </w:tc>
        <w:tc>
          <w:tcPr>
            <w:tcW w:w="2410" w:type="dxa"/>
            <w:vAlign w:val="center"/>
          </w:tcPr>
          <w:p>
            <w:pPr>
              <w:pStyle w:val="39"/>
              <w:rPr>
                <w:rFonts w:cs="Times New Roman"/>
                <w:u w:val="single"/>
              </w:rPr>
            </w:pPr>
            <w:r>
              <w:rPr>
                <w:rFonts w:cs="Times New Roman"/>
                <w:kern w:val="0"/>
                <w:u w:val="single"/>
              </w:rPr>
              <w:t>环卫部门收集后送至填埋场</w:t>
            </w:r>
          </w:p>
        </w:tc>
        <w:tc>
          <w:tcPr>
            <w:tcW w:w="4104" w:type="dxa"/>
            <w:vAlign w:val="center"/>
          </w:tcPr>
          <w:p>
            <w:pPr>
              <w:pStyle w:val="39"/>
              <w:rPr>
                <w:rFonts w:cs="Times New Roman"/>
                <w:u w:val="single"/>
              </w:rPr>
            </w:pPr>
            <w:r>
              <w:rPr>
                <w:rFonts w:cs="Times New Roman"/>
                <w:kern w:val="0"/>
                <w:u w:val="single"/>
              </w:rPr>
              <w:t>无害化处置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2" w:type="dxa"/>
            <w:vMerge w:val="continue"/>
            <w:vAlign w:val="center"/>
          </w:tcPr>
          <w:p>
            <w:pPr>
              <w:pStyle w:val="39"/>
              <w:rPr>
                <w:rFonts w:cs="Times New Roman"/>
                <w:u w:val="single"/>
              </w:rPr>
            </w:pPr>
          </w:p>
        </w:tc>
        <w:tc>
          <w:tcPr>
            <w:tcW w:w="839" w:type="dxa"/>
            <w:vMerge w:val="restart"/>
            <w:vAlign w:val="center"/>
          </w:tcPr>
          <w:p>
            <w:pPr>
              <w:pStyle w:val="39"/>
              <w:rPr>
                <w:rFonts w:cs="Times New Roman"/>
                <w:u w:val="single"/>
              </w:rPr>
            </w:pPr>
            <w:r>
              <w:rPr>
                <w:rFonts w:cs="Times New Roman"/>
                <w:u w:val="single"/>
              </w:rPr>
              <w:t>环境风险</w:t>
            </w:r>
          </w:p>
        </w:tc>
        <w:tc>
          <w:tcPr>
            <w:tcW w:w="1820" w:type="dxa"/>
            <w:gridSpan w:val="3"/>
            <w:vAlign w:val="center"/>
          </w:tcPr>
          <w:p>
            <w:pPr>
              <w:jc w:val="center"/>
              <w:rPr>
                <w:rFonts w:ascii="Times New Roman" w:hAnsi="Times New Roman" w:cs="Times New Roman"/>
                <w:u w:val="single"/>
              </w:rPr>
            </w:pPr>
            <w:r>
              <w:rPr>
                <w:rFonts w:hint="eastAsia" w:ascii="Times New Roman" w:hAnsi="Times New Roman" w:cs="Times New Roman"/>
                <w:u w:val="single"/>
              </w:rPr>
              <w:t>鸡舍、鸡舍冲洗废水收集池</w:t>
            </w:r>
            <w:r>
              <w:rPr>
                <w:rFonts w:ascii="Times New Roman" w:hAnsi="Times New Roman" w:cs="Times New Roman"/>
                <w:u w:val="single"/>
              </w:rPr>
              <w:t>、</w:t>
            </w:r>
            <w:r>
              <w:rPr>
                <w:rFonts w:hint="eastAsia" w:ascii="Times New Roman" w:hAnsi="Times New Roman" w:cs="Times New Roman"/>
                <w:u w:val="single"/>
              </w:rPr>
              <w:t>化粪池</w:t>
            </w:r>
            <w:r>
              <w:rPr>
                <w:rFonts w:ascii="Times New Roman" w:hAnsi="Times New Roman" w:cs="Times New Roman"/>
                <w:u w:val="single"/>
              </w:rPr>
              <w:t>、危废暂存间等</w:t>
            </w:r>
          </w:p>
        </w:tc>
        <w:tc>
          <w:tcPr>
            <w:tcW w:w="2410" w:type="dxa"/>
            <w:vAlign w:val="center"/>
          </w:tcPr>
          <w:p>
            <w:pPr>
              <w:pStyle w:val="39"/>
              <w:rPr>
                <w:rFonts w:cs="Times New Roman"/>
                <w:u w:val="single"/>
              </w:rPr>
            </w:pPr>
            <w:r>
              <w:rPr>
                <w:rFonts w:cs="Times New Roman"/>
                <w:u w:val="single"/>
              </w:rPr>
              <w:t>重点防渗区，做好防渗措施</w:t>
            </w:r>
          </w:p>
        </w:tc>
        <w:tc>
          <w:tcPr>
            <w:tcW w:w="4104" w:type="dxa"/>
            <w:vAlign w:val="center"/>
          </w:tcPr>
          <w:p>
            <w:pPr>
              <w:pStyle w:val="39"/>
              <w:rPr>
                <w:rFonts w:cs="Times New Roman"/>
                <w:u w:val="single"/>
              </w:rPr>
            </w:pPr>
            <w:r>
              <w:rPr>
                <w:rFonts w:cs="Times New Roman"/>
                <w:u w:val="single"/>
              </w:rPr>
              <w:t>参照《危险废物填埋污染控制标准》（GB18598-2001）及2013年修改单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2" w:type="dxa"/>
            <w:vMerge w:val="continue"/>
            <w:vAlign w:val="center"/>
          </w:tcPr>
          <w:p>
            <w:pPr>
              <w:pStyle w:val="39"/>
              <w:rPr>
                <w:rFonts w:cs="Times New Roman"/>
                <w:u w:val="single"/>
              </w:rPr>
            </w:pPr>
          </w:p>
        </w:tc>
        <w:tc>
          <w:tcPr>
            <w:tcW w:w="839" w:type="dxa"/>
            <w:vMerge w:val="continue"/>
            <w:vAlign w:val="center"/>
          </w:tcPr>
          <w:p>
            <w:pPr>
              <w:pStyle w:val="39"/>
              <w:rPr>
                <w:rFonts w:cs="Times New Roman"/>
                <w:u w:val="single"/>
              </w:rPr>
            </w:pPr>
          </w:p>
        </w:tc>
        <w:tc>
          <w:tcPr>
            <w:tcW w:w="4230" w:type="dxa"/>
            <w:gridSpan w:val="4"/>
            <w:vAlign w:val="center"/>
          </w:tcPr>
          <w:p>
            <w:pPr>
              <w:pStyle w:val="39"/>
              <w:rPr>
                <w:rFonts w:cs="Times New Roman"/>
                <w:u w:val="single"/>
              </w:rPr>
            </w:pPr>
            <w:r>
              <w:rPr>
                <w:rFonts w:cs="Times New Roman"/>
                <w:u w:val="single"/>
              </w:rPr>
              <w:t>环境风险防范措施、突发环境事件应急预案</w:t>
            </w:r>
          </w:p>
        </w:tc>
        <w:tc>
          <w:tcPr>
            <w:tcW w:w="4104" w:type="dxa"/>
            <w:vAlign w:val="center"/>
          </w:tcPr>
          <w:p>
            <w:pPr>
              <w:pStyle w:val="39"/>
              <w:rPr>
                <w:rFonts w:cs="Times New Roman"/>
                <w:u w:val="single"/>
              </w:rPr>
            </w:pPr>
            <w:r>
              <w:rPr>
                <w:rFonts w:cs="Times New Roman"/>
                <w:u w:val="single"/>
              </w:rPr>
              <w:t>是否齐全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2" w:type="dxa"/>
            <w:vMerge w:val="continue"/>
            <w:vAlign w:val="center"/>
          </w:tcPr>
          <w:p>
            <w:pPr>
              <w:pStyle w:val="39"/>
              <w:rPr>
                <w:rFonts w:cs="Times New Roman"/>
                <w:u w:val="single"/>
              </w:rPr>
            </w:pPr>
          </w:p>
        </w:tc>
        <w:tc>
          <w:tcPr>
            <w:tcW w:w="839" w:type="dxa"/>
            <w:vAlign w:val="center"/>
          </w:tcPr>
          <w:p>
            <w:pPr>
              <w:pStyle w:val="39"/>
              <w:rPr>
                <w:rFonts w:cs="Times New Roman"/>
                <w:u w:val="single"/>
              </w:rPr>
            </w:pPr>
            <w:r>
              <w:rPr>
                <w:rFonts w:cs="Times New Roman"/>
                <w:u w:val="single"/>
              </w:rPr>
              <w:t>生态</w:t>
            </w:r>
          </w:p>
        </w:tc>
        <w:tc>
          <w:tcPr>
            <w:tcW w:w="1820" w:type="dxa"/>
            <w:gridSpan w:val="3"/>
            <w:vAlign w:val="center"/>
          </w:tcPr>
          <w:p>
            <w:pPr>
              <w:pStyle w:val="39"/>
              <w:rPr>
                <w:rFonts w:cs="Times New Roman"/>
                <w:u w:val="single"/>
              </w:rPr>
            </w:pPr>
            <w:r>
              <w:rPr>
                <w:rFonts w:cs="Times New Roman"/>
                <w:u w:val="single"/>
              </w:rPr>
              <w:t>/</w:t>
            </w:r>
          </w:p>
        </w:tc>
        <w:tc>
          <w:tcPr>
            <w:tcW w:w="2410" w:type="dxa"/>
            <w:vAlign w:val="center"/>
          </w:tcPr>
          <w:p>
            <w:pPr>
              <w:pStyle w:val="39"/>
              <w:rPr>
                <w:rFonts w:cs="Times New Roman"/>
                <w:u w:val="single"/>
              </w:rPr>
            </w:pPr>
            <w:r>
              <w:rPr>
                <w:rFonts w:cs="Times New Roman"/>
                <w:kern w:val="0"/>
                <w:u w:val="single"/>
              </w:rPr>
              <w:t>绿地率达到</w:t>
            </w:r>
            <w:r>
              <w:rPr>
                <w:rFonts w:hint="eastAsia" w:eastAsia="TimesNewRomanPSMT" w:cs="Times New Roman"/>
                <w:kern w:val="0"/>
                <w:u w:val="single"/>
              </w:rPr>
              <w:t>38</w:t>
            </w:r>
            <w:r>
              <w:rPr>
                <w:rFonts w:eastAsia="TimesNewRomanPSMT" w:cs="Times New Roman"/>
                <w:kern w:val="0"/>
                <w:u w:val="single"/>
              </w:rPr>
              <w:t>%</w:t>
            </w:r>
          </w:p>
        </w:tc>
        <w:tc>
          <w:tcPr>
            <w:tcW w:w="4104" w:type="dxa"/>
            <w:vAlign w:val="center"/>
          </w:tcPr>
          <w:p>
            <w:pPr>
              <w:pStyle w:val="39"/>
              <w:rPr>
                <w:rFonts w:cs="Times New Roman"/>
                <w:u w:val="single"/>
              </w:rPr>
            </w:pPr>
            <w:r>
              <w:rPr>
                <w:rFonts w:cs="Times New Roman"/>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2" w:type="dxa"/>
            <w:vMerge w:val="restart"/>
            <w:vAlign w:val="center"/>
          </w:tcPr>
          <w:p>
            <w:pPr>
              <w:pStyle w:val="39"/>
              <w:rPr>
                <w:rFonts w:cs="Times New Roman"/>
                <w:u w:val="single"/>
              </w:rPr>
            </w:pPr>
            <w:r>
              <w:rPr>
                <w:rFonts w:cs="Times New Roman"/>
                <w:u w:val="single"/>
              </w:rPr>
              <w:t>二期</w:t>
            </w:r>
          </w:p>
        </w:tc>
        <w:tc>
          <w:tcPr>
            <w:tcW w:w="839" w:type="dxa"/>
            <w:vMerge w:val="restart"/>
            <w:vAlign w:val="center"/>
          </w:tcPr>
          <w:p>
            <w:pPr>
              <w:pStyle w:val="39"/>
              <w:rPr>
                <w:rFonts w:cs="Times New Roman"/>
                <w:u w:val="single"/>
              </w:rPr>
            </w:pPr>
            <w:r>
              <w:rPr>
                <w:rFonts w:cs="Times New Roman"/>
                <w:u w:val="single"/>
              </w:rPr>
              <w:t>废气</w:t>
            </w:r>
          </w:p>
        </w:tc>
        <w:tc>
          <w:tcPr>
            <w:tcW w:w="1820" w:type="dxa"/>
            <w:gridSpan w:val="3"/>
            <w:vAlign w:val="center"/>
          </w:tcPr>
          <w:p>
            <w:pPr>
              <w:pStyle w:val="39"/>
              <w:rPr>
                <w:rFonts w:cs="Times New Roman"/>
                <w:u w:val="single"/>
              </w:rPr>
            </w:pPr>
            <w:r>
              <w:rPr>
                <w:rFonts w:cs="Times New Roman"/>
                <w:u w:val="single"/>
              </w:rPr>
              <w:t>鸡舍（</w:t>
            </w:r>
            <w:r>
              <w:rPr>
                <w:rFonts w:hint="eastAsia" w:cs="Times New Roman"/>
                <w:u w:val="single"/>
              </w:rPr>
              <w:t>产蛋舍4</w:t>
            </w:r>
            <w:r>
              <w:rPr>
                <w:rFonts w:cs="Times New Roman"/>
                <w:u w:val="single"/>
              </w:rPr>
              <w:t>栋</w:t>
            </w:r>
            <w:r>
              <w:rPr>
                <w:rFonts w:hint="eastAsia" w:cs="Times New Roman"/>
                <w:u w:val="single"/>
              </w:rPr>
              <w:t>、育雏舍3栋</w:t>
            </w:r>
            <w:r>
              <w:rPr>
                <w:rFonts w:cs="Times New Roman"/>
                <w:u w:val="single"/>
              </w:rPr>
              <w:t>）</w:t>
            </w:r>
          </w:p>
        </w:tc>
        <w:tc>
          <w:tcPr>
            <w:tcW w:w="2410" w:type="dxa"/>
            <w:vAlign w:val="center"/>
          </w:tcPr>
          <w:p>
            <w:pPr>
              <w:pStyle w:val="39"/>
              <w:rPr>
                <w:rFonts w:cs="Times New Roman"/>
                <w:u w:val="single"/>
              </w:rPr>
            </w:pPr>
            <w:r>
              <w:rPr>
                <w:rFonts w:cs="Times New Roman"/>
                <w:u w:val="single"/>
              </w:rPr>
              <w:t>加强卫生和通风、喷洒除臭剂、定期清理、科学饲养、场界、场区绿化等</w:t>
            </w:r>
          </w:p>
        </w:tc>
        <w:tc>
          <w:tcPr>
            <w:tcW w:w="4104" w:type="dxa"/>
            <w:vAlign w:val="center"/>
          </w:tcPr>
          <w:p>
            <w:pPr>
              <w:pStyle w:val="39"/>
              <w:rPr>
                <w:rFonts w:cs="Times New Roman"/>
                <w:u w:val="single"/>
              </w:rPr>
            </w:pPr>
            <w:r>
              <w:rPr>
                <w:rFonts w:cs="Times New Roman"/>
                <w:u w:val="single"/>
              </w:rPr>
              <w:t>《畜禽养殖业污染物排放标准》(GB18596-2001)</w:t>
            </w:r>
          </w:p>
          <w:p>
            <w:pPr>
              <w:pStyle w:val="39"/>
              <w:rPr>
                <w:rFonts w:cs="Times New Roman"/>
                <w:u w:val="single"/>
              </w:rPr>
            </w:pPr>
            <w:r>
              <w:rPr>
                <w:rFonts w:cs="Times New Roman"/>
                <w:u w:val="single"/>
                <w:lang w:val="zh-CN"/>
              </w:rPr>
              <w:t>《恶臭污染物排放标准》（GB14554-93）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2" w:type="dxa"/>
            <w:vMerge w:val="continue"/>
            <w:vAlign w:val="center"/>
          </w:tcPr>
          <w:p>
            <w:pPr>
              <w:pStyle w:val="39"/>
              <w:rPr>
                <w:rFonts w:cs="Times New Roman"/>
                <w:u w:val="single"/>
              </w:rPr>
            </w:pPr>
          </w:p>
        </w:tc>
        <w:tc>
          <w:tcPr>
            <w:tcW w:w="839" w:type="dxa"/>
            <w:vMerge w:val="continue"/>
            <w:vAlign w:val="center"/>
          </w:tcPr>
          <w:p>
            <w:pPr>
              <w:pStyle w:val="39"/>
              <w:rPr>
                <w:rFonts w:cs="Times New Roman"/>
                <w:u w:val="single"/>
              </w:rPr>
            </w:pPr>
          </w:p>
        </w:tc>
        <w:tc>
          <w:tcPr>
            <w:tcW w:w="1820" w:type="dxa"/>
            <w:gridSpan w:val="3"/>
            <w:vAlign w:val="center"/>
          </w:tcPr>
          <w:p>
            <w:pPr>
              <w:pStyle w:val="39"/>
              <w:rPr>
                <w:rFonts w:cs="Times New Roman"/>
                <w:u w:val="single"/>
              </w:rPr>
            </w:pPr>
            <w:r>
              <w:rPr>
                <w:rFonts w:hint="eastAsia" w:cs="Times New Roman"/>
                <w:u w:val="single"/>
              </w:rPr>
              <w:t>锅炉废气</w:t>
            </w:r>
          </w:p>
        </w:tc>
        <w:tc>
          <w:tcPr>
            <w:tcW w:w="2410" w:type="dxa"/>
            <w:vAlign w:val="center"/>
          </w:tcPr>
          <w:p>
            <w:pPr>
              <w:pStyle w:val="39"/>
              <w:rPr>
                <w:rFonts w:cs="Times New Roman"/>
                <w:u w:val="single"/>
              </w:rPr>
            </w:pPr>
            <w:r>
              <w:rPr>
                <w:rFonts w:hint="eastAsia" w:cs="Times New Roman"/>
                <w:u w:val="single"/>
              </w:rPr>
              <w:t>布袋除尘器+20m高排气筒（1</w:t>
            </w:r>
            <w:r>
              <w:rPr>
                <w:rFonts w:cs="Times New Roman"/>
                <w:u w:val="single"/>
              </w:rPr>
              <w:t>#、</w:t>
            </w:r>
            <w:r>
              <w:rPr>
                <w:rFonts w:hint="eastAsia" w:cs="Times New Roman"/>
                <w:u w:val="single"/>
              </w:rPr>
              <w:t>2</w:t>
            </w:r>
            <w:r>
              <w:rPr>
                <w:rFonts w:cs="Times New Roman"/>
                <w:u w:val="single"/>
              </w:rPr>
              <w:t>#、</w:t>
            </w:r>
            <w:r>
              <w:rPr>
                <w:rFonts w:hint="eastAsia" w:cs="Times New Roman"/>
                <w:u w:val="single"/>
              </w:rPr>
              <w:t>3</w:t>
            </w:r>
            <w:r>
              <w:rPr>
                <w:rFonts w:cs="Times New Roman"/>
                <w:u w:val="single"/>
              </w:rPr>
              <w:t>#</w:t>
            </w:r>
            <w:r>
              <w:rPr>
                <w:rFonts w:hint="eastAsia" w:cs="Times New Roman"/>
                <w:u w:val="single"/>
              </w:rPr>
              <w:t>）</w:t>
            </w:r>
          </w:p>
        </w:tc>
        <w:tc>
          <w:tcPr>
            <w:tcW w:w="4104" w:type="dxa"/>
            <w:vAlign w:val="center"/>
          </w:tcPr>
          <w:p>
            <w:pPr>
              <w:pStyle w:val="39"/>
              <w:rPr>
                <w:rFonts w:cs="Times New Roman"/>
                <w:u w:val="single"/>
              </w:rPr>
            </w:pPr>
            <w:r>
              <w:rPr>
                <w:rFonts w:hint="eastAsia" w:cs="Times New Roman"/>
                <w:u w:val="single"/>
              </w:rPr>
              <w:t>SO</w:t>
            </w:r>
            <w:r>
              <w:rPr>
                <w:rFonts w:hint="eastAsia" w:cs="Times New Roman"/>
                <w:u w:val="single"/>
                <w:vertAlign w:val="subscript"/>
              </w:rPr>
              <w:t>2</w:t>
            </w:r>
            <w:r>
              <w:rPr>
                <w:rFonts w:hint="eastAsia" w:cs="Times New Roman"/>
                <w:u w:val="single"/>
              </w:rPr>
              <w:t>、烟尘</w:t>
            </w:r>
            <w:r>
              <w:rPr>
                <w:rFonts w:cs="Times New Roman"/>
                <w:u w:val="single"/>
              </w:rPr>
              <w:t>执行</w:t>
            </w:r>
          </w:p>
          <w:p>
            <w:pPr>
              <w:pStyle w:val="39"/>
              <w:rPr>
                <w:rFonts w:cs="Times New Roman"/>
                <w:u w:val="single"/>
              </w:rPr>
            </w:pPr>
            <w:r>
              <w:rPr>
                <w:rFonts w:hint="eastAsia"/>
                <w:u w:val="single"/>
              </w:rPr>
              <w:t>《工业炉窑大气污染物排放标准》（GB9078-1996）中的干燥窑炉二级排放标准的</w:t>
            </w:r>
            <w:r>
              <w:rPr>
                <w:u w:val="single"/>
              </w:rPr>
              <w:t>排放浓度限值要求</w:t>
            </w:r>
            <w:r>
              <w:rPr>
                <w:rFonts w:hint="eastAsia"/>
                <w:u w:val="single"/>
              </w:rPr>
              <w:t>；</w:t>
            </w:r>
            <w:r>
              <w:rPr>
                <w:u w:val="single"/>
              </w:rPr>
              <w:t>NO</w:t>
            </w:r>
            <w:r>
              <w:rPr>
                <w:u w:val="single"/>
                <w:vertAlign w:val="subscript"/>
              </w:rPr>
              <w:t>x</w:t>
            </w:r>
            <w:r>
              <w:rPr>
                <w:rFonts w:hint="eastAsia"/>
                <w:u w:val="single"/>
              </w:rPr>
              <w:t>参考《锅炉大气污染物排放标准》（GB13271-2014）中表2新建锅炉中燃煤锅炉排放控制要求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2" w:type="dxa"/>
            <w:vMerge w:val="continue"/>
            <w:vAlign w:val="center"/>
          </w:tcPr>
          <w:p>
            <w:pPr>
              <w:pStyle w:val="39"/>
              <w:rPr>
                <w:rFonts w:cs="Times New Roman"/>
                <w:u w:val="single"/>
              </w:rPr>
            </w:pPr>
          </w:p>
        </w:tc>
        <w:tc>
          <w:tcPr>
            <w:tcW w:w="839" w:type="dxa"/>
            <w:vAlign w:val="center"/>
          </w:tcPr>
          <w:p>
            <w:pPr>
              <w:pStyle w:val="39"/>
              <w:rPr>
                <w:rFonts w:cs="Times New Roman"/>
                <w:u w:val="single"/>
              </w:rPr>
            </w:pPr>
            <w:r>
              <w:rPr>
                <w:rFonts w:cs="Times New Roman"/>
                <w:u w:val="single"/>
              </w:rPr>
              <w:t>废水</w:t>
            </w:r>
          </w:p>
        </w:tc>
        <w:tc>
          <w:tcPr>
            <w:tcW w:w="1820" w:type="dxa"/>
            <w:gridSpan w:val="3"/>
            <w:vAlign w:val="center"/>
          </w:tcPr>
          <w:p>
            <w:pPr>
              <w:pStyle w:val="39"/>
              <w:rPr>
                <w:rFonts w:cs="Times New Roman"/>
                <w:u w:val="single"/>
              </w:rPr>
            </w:pPr>
            <w:r>
              <w:rPr>
                <w:rFonts w:cs="Times New Roman"/>
                <w:u w:val="single"/>
              </w:rPr>
              <w:t>鸡舍（</w:t>
            </w:r>
            <w:r>
              <w:rPr>
                <w:rFonts w:hint="eastAsia" w:cs="Times New Roman"/>
                <w:u w:val="single"/>
              </w:rPr>
              <w:t>产蛋舍4</w:t>
            </w:r>
            <w:r>
              <w:rPr>
                <w:rFonts w:cs="Times New Roman"/>
                <w:u w:val="single"/>
              </w:rPr>
              <w:t>栋</w:t>
            </w:r>
            <w:r>
              <w:rPr>
                <w:rFonts w:hint="eastAsia" w:cs="Times New Roman"/>
                <w:u w:val="single"/>
              </w:rPr>
              <w:t>、育雏舍3栋</w:t>
            </w:r>
            <w:r>
              <w:rPr>
                <w:rFonts w:cs="Times New Roman"/>
                <w:u w:val="single"/>
              </w:rPr>
              <w:t>）</w:t>
            </w:r>
          </w:p>
        </w:tc>
        <w:tc>
          <w:tcPr>
            <w:tcW w:w="2410" w:type="dxa"/>
            <w:vAlign w:val="center"/>
          </w:tcPr>
          <w:p>
            <w:pPr>
              <w:pStyle w:val="39"/>
              <w:rPr>
                <w:rFonts w:cs="Times New Roman"/>
                <w:u w:val="single"/>
              </w:rPr>
            </w:pPr>
            <w:r>
              <w:rPr>
                <w:rFonts w:hint="eastAsia" w:cs="Times New Roman"/>
                <w:u w:val="single"/>
              </w:rPr>
              <w:t>废水收集池</w:t>
            </w:r>
          </w:p>
        </w:tc>
        <w:tc>
          <w:tcPr>
            <w:tcW w:w="4104" w:type="dxa"/>
            <w:vAlign w:val="center"/>
          </w:tcPr>
          <w:p>
            <w:pPr>
              <w:pStyle w:val="39"/>
              <w:rPr>
                <w:rFonts w:cs="Times New Roman"/>
                <w:u w:val="single"/>
              </w:rPr>
            </w:pPr>
            <w:r>
              <w:rPr>
                <w:u w:val="single"/>
              </w:rPr>
              <w:t>化粪池</w:t>
            </w:r>
            <w:r>
              <w:rPr>
                <w:rFonts w:hint="eastAsia"/>
                <w:u w:val="single"/>
              </w:rPr>
              <w:t>处理后用作农肥，</w:t>
            </w:r>
            <w:r>
              <w:rPr>
                <w:u w:val="single"/>
              </w:rPr>
              <w:t>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2" w:type="dxa"/>
            <w:vMerge w:val="continue"/>
            <w:vAlign w:val="center"/>
          </w:tcPr>
          <w:p>
            <w:pPr>
              <w:pStyle w:val="39"/>
              <w:rPr>
                <w:rFonts w:cs="Times New Roman"/>
                <w:u w:val="single"/>
              </w:rPr>
            </w:pPr>
          </w:p>
        </w:tc>
        <w:tc>
          <w:tcPr>
            <w:tcW w:w="839" w:type="dxa"/>
            <w:vAlign w:val="center"/>
          </w:tcPr>
          <w:p>
            <w:pPr>
              <w:pStyle w:val="39"/>
              <w:rPr>
                <w:rFonts w:cs="Times New Roman"/>
                <w:u w:val="single"/>
              </w:rPr>
            </w:pPr>
            <w:r>
              <w:rPr>
                <w:rFonts w:hint="eastAsia" w:cs="Times New Roman"/>
                <w:u w:val="single"/>
              </w:rPr>
              <w:t>固废</w:t>
            </w:r>
          </w:p>
        </w:tc>
        <w:tc>
          <w:tcPr>
            <w:tcW w:w="1820" w:type="dxa"/>
            <w:gridSpan w:val="3"/>
            <w:vAlign w:val="center"/>
          </w:tcPr>
          <w:p>
            <w:pPr>
              <w:pStyle w:val="39"/>
              <w:rPr>
                <w:rFonts w:cs="Times New Roman"/>
                <w:u w:val="single"/>
              </w:rPr>
            </w:pPr>
            <w:r>
              <w:rPr>
                <w:rFonts w:cs="Times New Roman"/>
                <w:u w:val="single"/>
              </w:rPr>
              <w:t>鸡粪</w:t>
            </w:r>
          </w:p>
        </w:tc>
        <w:tc>
          <w:tcPr>
            <w:tcW w:w="2410" w:type="dxa"/>
            <w:vAlign w:val="center"/>
          </w:tcPr>
          <w:p>
            <w:pPr>
              <w:pStyle w:val="39"/>
              <w:rPr>
                <w:rFonts w:cs="Times New Roman"/>
                <w:u w:val="single"/>
              </w:rPr>
            </w:pPr>
            <w:r>
              <w:rPr>
                <w:rFonts w:hint="eastAsia" w:cs="Times New Roman"/>
                <w:u w:val="single"/>
              </w:rPr>
              <w:t>法国多赛干燥机设备</w:t>
            </w:r>
          </w:p>
        </w:tc>
        <w:tc>
          <w:tcPr>
            <w:tcW w:w="4104" w:type="dxa"/>
            <w:vAlign w:val="center"/>
          </w:tcPr>
          <w:p>
            <w:pPr>
              <w:pStyle w:val="39"/>
              <w:rPr>
                <w:rFonts w:cs="Times New Roman"/>
                <w:u w:val="single"/>
              </w:rPr>
            </w:pPr>
            <w:r>
              <w:rPr>
                <w:rFonts w:cs="Times New Roman"/>
                <w:u w:val="single"/>
              </w:rPr>
              <w:t>《畜禽养殖业污染物排放标准》（GB18596-2001）</w:t>
            </w:r>
          </w:p>
          <w:p>
            <w:pPr>
              <w:pStyle w:val="39"/>
              <w:rPr>
                <w:rFonts w:cs="Times New Roman"/>
                <w:u w:val="single"/>
              </w:rPr>
            </w:pPr>
            <w:r>
              <w:rPr>
                <w:rFonts w:cs="Times New Roman"/>
                <w:u w:val="single"/>
              </w:rPr>
              <w:t>《粪便无害化卫生要求》（GB7959-2012）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2" w:type="dxa"/>
            <w:vMerge w:val="continue"/>
            <w:vAlign w:val="center"/>
          </w:tcPr>
          <w:p>
            <w:pPr>
              <w:pStyle w:val="39"/>
              <w:rPr>
                <w:rFonts w:cs="Times New Roman"/>
                <w:u w:val="single"/>
              </w:rPr>
            </w:pPr>
          </w:p>
        </w:tc>
        <w:tc>
          <w:tcPr>
            <w:tcW w:w="839" w:type="dxa"/>
            <w:vAlign w:val="center"/>
          </w:tcPr>
          <w:p>
            <w:pPr>
              <w:pStyle w:val="39"/>
              <w:rPr>
                <w:rFonts w:cs="Times New Roman"/>
                <w:u w:val="single"/>
              </w:rPr>
            </w:pPr>
            <w:r>
              <w:rPr>
                <w:rFonts w:cs="Times New Roman"/>
                <w:u w:val="single"/>
              </w:rPr>
              <w:t>噪声</w:t>
            </w:r>
          </w:p>
        </w:tc>
        <w:tc>
          <w:tcPr>
            <w:tcW w:w="1820" w:type="dxa"/>
            <w:gridSpan w:val="3"/>
            <w:vAlign w:val="center"/>
          </w:tcPr>
          <w:p>
            <w:pPr>
              <w:pStyle w:val="39"/>
              <w:rPr>
                <w:rFonts w:cs="Times New Roman"/>
                <w:u w:val="single"/>
              </w:rPr>
            </w:pPr>
            <w:r>
              <w:rPr>
                <w:rFonts w:cs="Times New Roman"/>
                <w:u w:val="single"/>
              </w:rPr>
              <w:t>高噪声设备</w:t>
            </w:r>
          </w:p>
        </w:tc>
        <w:tc>
          <w:tcPr>
            <w:tcW w:w="2410" w:type="dxa"/>
            <w:vAlign w:val="center"/>
          </w:tcPr>
          <w:p>
            <w:pPr>
              <w:pStyle w:val="39"/>
              <w:rPr>
                <w:rFonts w:cs="Times New Roman"/>
                <w:u w:val="single"/>
              </w:rPr>
            </w:pPr>
            <w:r>
              <w:rPr>
                <w:rFonts w:cs="Times New Roman"/>
                <w:u w:val="single"/>
              </w:rPr>
              <w:t>消声减振；场区、场界绿化</w:t>
            </w:r>
          </w:p>
        </w:tc>
        <w:tc>
          <w:tcPr>
            <w:tcW w:w="4104" w:type="dxa"/>
            <w:vAlign w:val="center"/>
          </w:tcPr>
          <w:p>
            <w:pPr>
              <w:pStyle w:val="39"/>
              <w:rPr>
                <w:rFonts w:cs="Times New Roman"/>
                <w:u w:val="single"/>
              </w:rPr>
            </w:pPr>
            <w:r>
              <w:rPr>
                <w:rFonts w:cs="Times New Roman"/>
                <w:u w:val="single"/>
              </w:rPr>
              <w:t>《工业企业厂界环境噪声排放标准》（GB12348-2008）中的2类标准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2" w:type="dxa"/>
            <w:vMerge w:val="continue"/>
            <w:vAlign w:val="center"/>
          </w:tcPr>
          <w:p>
            <w:pPr>
              <w:pStyle w:val="39"/>
              <w:rPr>
                <w:rFonts w:cs="Times New Roman"/>
                <w:u w:val="single"/>
              </w:rPr>
            </w:pPr>
          </w:p>
        </w:tc>
        <w:tc>
          <w:tcPr>
            <w:tcW w:w="839" w:type="dxa"/>
            <w:vAlign w:val="center"/>
          </w:tcPr>
          <w:p>
            <w:pPr>
              <w:pStyle w:val="39"/>
              <w:rPr>
                <w:rFonts w:cs="Times New Roman"/>
                <w:u w:val="single"/>
              </w:rPr>
            </w:pPr>
            <w:r>
              <w:rPr>
                <w:rFonts w:cs="Times New Roman"/>
                <w:u w:val="single"/>
              </w:rPr>
              <w:t>风险</w:t>
            </w:r>
          </w:p>
        </w:tc>
        <w:tc>
          <w:tcPr>
            <w:tcW w:w="1820" w:type="dxa"/>
            <w:gridSpan w:val="3"/>
            <w:vAlign w:val="center"/>
          </w:tcPr>
          <w:p>
            <w:pPr>
              <w:pStyle w:val="39"/>
              <w:rPr>
                <w:rFonts w:cs="Times New Roman"/>
                <w:u w:val="single"/>
              </w:rPr>
            </w:pPr>
            <w:r>
              <w:rPr>
                <w:rFonts w:cs="Times New Roman"/>
                <w:u w:val="single"/>
              </w:rPr>
              <w:t>鸡舍（</w:t>
            </w:r>
            <w:r>
              <w:rPr>
                <w:rFonts w:hint="eastAsia" w:cs="Times New Roman"/>
                <w:u w:val="single"/>
              </w:rPr>
              <w:t>产蛋舍4</w:t>
            </w:r>
            <w:r>
              <w:rPr>
                <w:rFonts w:cs="Times New Roman"/>
                <w:u w:val="single"/>
              </w:rPr>
              <w:t>栋</w:t>
            </w:r>
            <w:r>
              <w:rPr>
                <w:rFonts w:hint="eastAsia" w:cs="Times New Roman"/>
                <w:u w:val="single"/>
              </w:rPr>
              <w:t>、育雏舍3栋</w:t>
            </w:r>
            <w:r>
              <w:rPr>
                <w:rFonts w:cs="Times New Roman"/>
                <w:u w:val="single"/>
              </w:rPr>
              <w:t>）</w:t>
            </w:r>
          </w:p>
        </w:tc>
        <w:tc>
          <w:tcPr>
            <w:tcW w:w="2410" w:type="dxa"/>
            <w:vAlign w:val="center"/>
          </w:tcPr>
          <w:p>
            <w:pPr>
              <w:pStyle w:val="39"/>
              <w:rPr>
                <w:rFonts w:cs="Times New Roman"/>
                <w:u w:val="single"/>
              </w:rPr>
            </w:pPr>
            <w:r>
              <w:rPr>
                <w:rFonts w:cs="Times New Roman"/>
                <w:u w:val="single"/>
              </w:rPr>
              <w:t>是否做好防渗措施</w:t>
            </w:r>
          </w:p>
        </w:tc>
        <w:tc>
          <w:tcPr>
            <w:tcW w:w="4104" w:type="dxa"/>
            <w:vAlign w:val="center"/>
          </w:tcPr>
          <w:p>
            <w:pPr>
              <w:pStyle w:val="39"/>
              <w:rPr>
                <w:rFonts w:cs="Times New Roman"/>
                <w:u w:val="single"/>
              </w:rPr>
            </w:pPr>
            <w:r>
              <w:rPr>
                <w:rFonts w:cs="Times New Roman"/>
                <w:u w:val="single"/>
              </w:rPr>
              <w:t>参照《危险废物填埋污染控制标准》（GB18598-2001）及2013年修改单</w:t>
            </w:r>
          </w:p>
        </w:tc>
      </w:tr>
    </w:tbl>
    <w:p>
      <w:pPr>
        <w:pStyle w:val="3"/>
        <w:ind w:firstLine="480"/>
        <w:rPr>
          <w:rFonts w:cs="Times New Roman"/>
        </w:rPr>
      </w:pPr>
      <w:bookmarkStart w:id="86" w:name="_Toc516215007"/>
    </w:p>
    <w:p>
      <w:pPr>
        <w:pStyle w:val="5"/>
        <w:rPr>
          <w:rFonts w:cs="Times New Roman"/>
          <w:u w:val="single"/>
        </w:rPr>
      </w:pPr>
      <w:bookmarkStart w:id="87" w:name="_Toc46322527"/>
      <w:bookmarkStart w:id="88" w:name="_Toc80889106"/>
      <w:r>
        <w:rPr>
          <w:rFonts w:cs="Times New Roman"/>
          <w:u w:val="single"/>
        </w:rPr>
        <w:t>总量控制</w:t>
      </w:r>
      <w:bookmarkEnd w:id="86"/>
      <w:bookmarkEnd w:id="87"/>
      <w:bookmarkEnd w:id="88"/>
    </w:p>
    <w:p>
      <w:pPr>
        <w:pStyle w:val="3"/>
        <w:ind w:firstLine="480"/>
        <w:rPr>
          <w:rFonts w:cs="Times New Roman"/>
          <w:u w:val="single"/>
        </w:rPr>
      </w:pPr>
      <w:r>
        <w:rPr>
          <w:rFonts w:cs="Times New Roman"/>
          <w:u w:val="single"/>
        </w:rPr>
        <w:t>本项目</w:t>
      </w:r>
      <w:r>
        <w:rPr>
          <w:rFonts w:hint="eastAsia" w:cs="Times New Roman"/>
          <w:u w:val="single"/>
        </w:rPr>
        <w:t>蛋鸡</w:t>
      </w:r>
      <w:r>
        <w:rPr>
          <w:rFonts w:cs="Times New Roman"/>
          <w:u w:val="single"/>
        </w:rPr>
        <w:t>养殖采用干清粪工艺清除鸡舍粪污，</w:t>
      </w:r>
      <w:r>
        <w:rPr>
          <w:rFonts w:hint="eastAsia" w:cs="Times New Roman"/>
          <w:u w:val="single"/>
        </w:rPr>
        <w:t>鸡舍年冲洗1次，冲洗废水产生量较少，冲洗</w:t>
      </w:r>
      <w:r>
        <w:rPr>
          <w:rFonts w:cs="Times New Roman"/>
          <w:u w:val="single"/>
        </w:rPr>
        <w:t>废水</w:t>
      </w:r>
      <w:r>
        <w:rPr>
          <w:rFonts w:hint="eastAsia" w:cs="Times New Roman"/>
          <w:u w:val="single"/>
        </w:rPr>
        <w:t>排入废水收集池，经水泵抽至化粪池处理后用作农肥</w:t>
      </w:r>
      <w:r>
        <w:rPr>
          <w:rFonts w:cs="Times New Roman"/>
          <w:u w:val="single"/>
        </w:rPr>
        <w:t>，可实现零排放，因此，不建议申请废水污染物总量控制指标。</w:t>
      </w:r>
    </w:p>
    <w:p>
      <w:pPr>
        <w:pStyle w:val="3"/>
        <w:ind w:firstLine="480"/>
        <w:rPr>
          <w:u w:val="single"/>
        </w:rPr>
      </w:pPr>
      <w:r>
        <w:rPr>
          <w:rFonts w:cs="Times New Roman"/>
          <w:u w:val="single"/>
        </w:rPr>
        <w:t>项目废气涉及国家总量控制指标的因子为备用柴油发电机废气</w:t>
      </w:r>
      <w:r>
        <w:rPr>
          <w:rFonts w:hint="eastAsia" w:cs="Times New Roman"/>
          <w:u w:val="single"/>
        </w:rPr>
        <w:t>及生物质颗粒锅炉燃烧废气</w:t>
      </w:r>
      <w:r>
        <w:rPr>
          <w:rFonts w:cs="Times New Roman"/>
          <w:u w:val="single"/>
        </w:rPr>
        <w:t>，考虑备用发电机使用情况具有不确定性，属于间隙排放，时间较短，排放量小，废气经专用烟道屋顶排放，因此，不建议</w:t>
      </w:r>
      <w:r>
        <w:rPr>
          <w:rFonts w:hint="eastAsia" w:cs="Times New Roman"/>
          <w:u w:val="single"/>
        </w:rPr>
        <w:t>纳入本次</w:t>
      </w:r>
      <w:r>
        <w:rPr>
          <w:rFonts w:cs="Times New Roman"/>
          <w:u w:val="single"/>
        </w:rPr>
        <w:t>申请废气污染物总量控制指标</w:t>
      </w:r>
      <w:r>
        <w:rPr>
          <w:rFonts w:hint="eastAsia" w:cs="Times New Roman"/>
          <w:u w:val="single"/>
        </w:rPr>
        <w:t>；生物质锅炉燃烧废气中</w:t>
      </w:r>
      <w:r>
        <w:rPr>
          <w:rFonts w:cs="Times New Roman"/>
          <w:u w:val="single"/>
        </w:rPr>
        <w:t>总量控制指标因子的排放情况</w:t>
      </w:r>
      <w:r>
        <w:rPr>
          <w:rFonts w:cs="Times New Roman"/>
          <w:kern w:val="0"/>
          <w:u w:val="single"/>
        </w:rPr>
        <w:t>SO</w:t>
      </w:r>
      <w:r>
        <w:rPr>
          <w:rFonts w:cs="Times New Roman"/>
          <w:kern w:val="0"/>
          <w:u w:val="single"/>
          <w:vertAlign w:val="subscript"/>
        </w:rPr>
        <w:t>2</w:t>
      </w:r>
      <w:r>
        <w:rPr>
          <w:rFonts w:cs="Times New Roman"/>
          <w:kern w:val="0"/>
          <w:u w:val="single"/>
        </w:rPr>
        <w:t>：</w:t>
      </w:r>
      <w:r>
        <w:rPr>
          <w:rFonts w:hint="eastAsia" w:cs="Times New Roman"/>
          <w:kern w:val="0"/>
          <w:u w:val="single"/>
        </w:rPr>
        <w:t>0.</w:t>
      </w:r>
      <w:r>
        <w:rPr>
          <w:rFonts w:cs="Times New Roman"/>
          <w:kern w:val="0"/>
          <w:u w:val="single"/>
        </w:rPr>
        <w:t>2</w:t>
      </w:r>
      <w:r>
        <w:rPr>
          <w:rFonts w:hint="eastAsia" w:cs="Times New Roman"/>
          <w:kern w:val="0"/>
          <w:u w:val="single"/>
        </w:rPr>
        <w:t>2</w:t>
      </w:r>
      <w:r>
        <w:rPr>
          <w:rFonts w:cs="Times New Roman"/>
          <w:kern w:val="0"/>
          <w:u w:val="single"/>
        </w:rPr>
        <w:t>t</w:t>
      </w:r>
      <w:r>
        <w:rPr>
          <w:rFonts w:cs="Times New Roman"/>
          <w:u w:val="single"/>
        </w:rPr>
        <w:t>/a</w:t>
      </w:r>
      <w:r>
        <w:rPr>
          <w:rFonts w:cs="Times New Roman"/>
          <w:kern w:val="0"/>
          <w:u w:val="single"/>
        </w:rPr>
        <w:t>；NO</w:t>
      </w:r>
      <w:r>
        <w:rPr>
          <w:rFonts w:cs="Times New Roman"/>
          <w:kern w:val="0"/>
          <w:u w:val="single"/>
          <w:vertAlign w:val="subscript"/>
        </w:rPr>
        <w:t>X</w:t>
      </w:r>
      <w:r>
        <w:rPr>
          <w:rFonts w:cs="Times New Roman"/>
          <w:u w:val="single"/>
        </w:rPr>
        <w:t>：</w:t>
      </w:r>
      <w:r>
        <w:rPr>
          <w:rFonts w:cs="Times New Roman"/>
          <w:kern w:val="0"/>
          <w:u w:val="single"/>
        </w:rPr>
        <w:t>0.</w:t>
      </w:r>
      <w:r>
        <w:rPr>
          <w:rFonts w:hint="eastAsia" w:cs="Times New Roman"/>
          <w:kern w:val="0"/>
          <w:u w:val="single"/>
        </w:rPr>
        <w:t>6</w:t>
      </w:r>
      <w:r>
        <w:rPr>
          <w:rFonts w:cs="Times New Roman"/>
          <w:kern w:val="0"/>
          <w:u w:val="single"/>
        </w:rPr>
        <w:t>6t</w:t>
      </w:r>
      <w:r>
        <w:rPr>
          <w:rFonts w:cs="Times New Roman"/>
          <w:u w:val="single"/>
        </w:rPr>
        <w:t>/a</w:t>
      </w:r>
      <w:r>
        <w:rPr>
          <w:rFonts w:hint="eastAsia" w:cs="Times New Roman"/>
          <w:u w:val="single"/>
        </w:rPr>
        <w:t>，由于</w:t>
      </w:r>
      <w:r>
        <w:rPr>
          <w:rFonts w:cs="Times New Roman"/>
          <w:u w:val="single"/>
        </w:rPr>
        <w:t>本项目为农业项目，无需申请，因此本项目可不申请总量控制指标</w:t>
      </w:r>
      <w:r>
        <w:rPr>
          <w:rFonts w:hint="eastAsia" w:cs="Times New Roman"/>
          <w:u w:val="single"/>
        </w:rPr>
        <w:t>。</w:t>
      </w:r>
    </w:p>
    <w:p>
      <w:pPr>
        <w:pStyle w:val="3"/>
        <w:ind w:firstLine="480"/>
      </w:pPr>
      <w:r>
        <w:br w:type="page"/>
      </w:r>
    </w:p>
    <w:p>
      <w:pPr>
        <w:pStyle w:val="2"/>
      </w:pPr>
      <w:bookmarkStart w:id="89" w:name="_Toc80889107"/>
      <w:r>
        <w:rPr>
          <w:rFonts w:hint="eastAsia"/>
        </w:rPr>
        <w:t>结论</w:t>
      </w:r>
      <w:r>
        <w:t>及</w:t>
      </w:r>
      <w:r>
        <w:rPr>
          <w:rFonts w:hint="eastAsia"/>
        </w:rPr>
        <w:t>建议</w:t>
      </w:r>
      <w:bookmarkEnd w:id="89"/>
    </w:p>
    <w:p>
      <w:pPr>
        <w:pStyle w:val="5"/>
      </w:pPr>
      <w:bookmarkStart w:id="90" w:name="_Toc80889108"/>
      <w:r>
        <w:rPr>
          <w:rFonts w:hint="eastAsia"/>
        </w:rPr>
        <w:t>项目</w:t>
      </w:r>
      <w:r>
        <w:t>概况</w:t>
      </w:r>
      <w:bookmarkEnd w:id="90"/>
    </w:p>
    <w:p>
      <w:pPr>
        <w:pStyle w:val="3"/>
        <w:ind w:firstLine="480"/>
        <w:rPr>
          <w:rFonts w:cs="Times New Roman"/>
        </w:rPr>
      </w:pPr>
      <w:r>
        <w:rPr>
          <w:rFonts w:cs="Times New Roman"/>
        </w:rPr>
        <w:t>（1）项目名称：</w:t>
      </w:r>
      <w:r>
        <w:rPr>
          <w:rFonts w:hint="eastAsia" w:cs="Times New Roman"/>
        </w:rPr>
        <w:t>湖南安发</w:t>
      </w:r>
      <w:r>
        <w:rPr>
          <w:rFonts w:cs="Times New Roman"/>
        </w:rPr>
        <w:t>原生态农业旅游开发有限公司养鸡场项目；</w:t>
      </w:r>
    </w:p>
    <w:p>
      <w:pPr>
        <w:pStyle w:val="3"/>
        <w:ind w:firstLine="480"/>
        <w:rPr>
          <w:rFonts w:cs="Times New Roman"/>
        </w:rPr>
      </w:pPr>
      <w:r>
        <w:rPr>
          <w:rFonts w:cs="Times New Roman"/>
        </w:rPr>
        <w:t>（2）建设单位：</w:t>
      </w:r>
      <w:r>
        <w:rPr>
          <w:rFonts w:hint="eastAsia" w:cs="Times New Roman"/>
        </w:rPr>
        <w:t>湖南安发</w:t>
      </w:r>
      <w:r>
        <w:rPr>
          <w:rFonts w:cs="Times New Roman"/>
        </w:rPr>
        <w:t>原生态农业旅游开发有限公司</w:t>
      </w:r>
    </w:p>
    <w:p>
      <w:pPr>
        <w:pStyle w:val="3"/>
        <w:ind w:firstLine="480"/>
        <w:rPr>
          <w:rFonts w:cs="Times New Roman"/>
        </w:rPr>
      </w:pPr>
      <w:r>
        <w:rPr>
          <w:rFonts w:cs="Times New Roman"/>
        </w:rPr>
        <w:t>（3）项目性质：新建；</w:t>
      </w:r>
    </w:p>
    <w:p>
      <w:pPr>
        <w:pStyle w:val="3"/>
        <w:ind w:firstLine="480"/>
        <w:rPr>
          <w:rFonts w:cs="Times New Roman"/>
        </w:rPr>
      </w:pPr>
      <w:r>
        <w:rPr>
          <w:rFonts w:cs="Times New Roman"/>
        </w:rPr>
        <w:t>（4）项目投资：总投资6000万元，企业自筹；</w:t>
      </w:r>
    </w:p>
    <w:p>
      <w:pPr>
        <w:pStyle w:val="3"/>
        <w:ind w:firstLine="480"/>
        <w:rPr>
          <w:rFonts w:cs="Times New Roman"/>
        </w:rPr>
      </w:pPr>
      <w:r>
        <w:rPr>
          <w:rFonts w:cs="Times New Roman"/>
        </w:rPr>
        <w:t>（5）建设地点：</w:t>
      </w:r>
      <w:r>
        <w:rPr>
          <w:rFonts w:hint="eastAsia" w:cs="Times New Roman"/>
        </w:rPr>
        <w:t>衡阳县台</w:t>
      </w:r>
      <w:r>
        <w:rPr>
          <w:rFonts w:cs="Times New Roman"/>
        </w:rPr>
        <w:t>源镇前进村财冲组和东湖寺村近</w:t>
      </w:r>
      <w:r>
        <w:rPr>
          <w:rFonts w:hint="eastAsia" w:cs="Times New Roman"/>
        </w:rPr>
        <w:t>斯</w:t>
      </w:r>
      <w:r>
        <w:rPr>
          <w:rFonts w:cs="Times New Roman"/>
        </w:rPr>
        <w:t>塘组（2000坐标系厂区中心经纬度，东经：112°23'40.7382"、北纬：27°4'39.6789</w:t>
      </w:r>
      <w:r>
        <w:rPr>
          <w:rFonts w:hint="eastAsia" w:cs="Times New Roman"/>
        </w:rPr>
        <w:t>″</w:t>
      </w:r>
      <w:r>
        <w:rPr>
          <w:rFonts w:cs="Times New Roman"/>
        </w:rPr>
        <w:t>），项目地理位置见附图1；</w:t>
      </w:r>
    </w:p>
    <w:p>
      <w:pPr>
        <w:pStyle w:val="3"/>
        <w:ind w:firstLine="480"/>
        <w:rPr>
          <w:rFonts w:cs="Times New Roman"/>
        </w:rPr>
      </w:pPr>
      <w:r>
        <w:rPr>
          <w:rFonts w:cs="Times New Roman"/>
        </w:rPr>
        <w:t>（6）建设规模及建设内容：本项目规划总用地面积为</w:t>
      </w:r>
      <w:r>
        <w:rPr>
          <w:rFonts w:cs="Times New Roman"/>
          <w:szCs w:val="24"/>
          <w:shd w:val="clear" w:color="auto" w:fill="FFFFFF"/>
        </w:rPr>
        <w:t>126508.27</w:t>
      </w:r>
      <w:r>
        <w:rPr>
          <w:rFonts w:cs="Times New Roman"/>
        </w:rPr>
        <w:t>m</w:t>
      </w:r>
      <w:r>
        <w:rPr>
          <w:rFonts w:cs="Times New Roman"/>
          <w:vertAlign w:val="superscript"/>
        </w:rPr>
        <w:t>2</w:t>
      </w:r>
      <w:r>
        <w:rPr>
          <w:rFonts w:hint="eastAsia" w:cs="Times New Roman"/>
          <w:szCs w:val="24"/>
          <w:shd w:val="clear" w:color="auto" w:fill="FFFFFF"/>
        </w:rPr>
        <w:t>（约189.8亩）</w:t>
      </w:r>
      <w:r>
        <w:rPr>
          <w:rFonts w:cs="Times New Roman"/>
        </w:rPr>
        <w:t>，总建筑面积约</w:t>
      </w:r>
      <w:r>
        <w:rPr>
          <w:rFonts w:cs="Times New Roman"/>
          <w:szCs w:val="24"/>
          <w:shd w:val="clear" w:color="auto" w:fill="FFFFFF"/>
        </w:rPr>
        <w:t>19944.97</w:t>
      </w:r>
      <w:r>
        <w:rPr>
          <w:rFonts w:hint="eastAsia" w:cs="Times New Roman"/>
          <w:szCs w:val="24"/>
          <w:shd w:val="clear" w:color="auto" w:fill="FFFFFF"/>
        </w:rPr>
        <w:t>m</w:t>
      </w:r>
      <w:r>
        <w:rPr>
          <w:rFonts w:cs="Times New Roman"/>
          <w:szCs w:val="24"/>
          <w:shd w:val="clear" w:color="auto" w:fill="FFFFFF"/>
          <w:vertAlign w:val="superscript"/>
        </w:rPr>
        <w:t>2</w:t>
      </w:r>
      <w:r>
        <w:rPr>
          <w:rFonts w:cs="Times New Roman"/>
        </w:rPr>
        <w:t>；其中一期用地面积约</w:t>
      </w:r>
      <w:r>
        <w:rPr>
          <w:rFonts w:hint="eastAsia"/>
        </w:rPr>
        <w:t>70150.18</w:t>
      </w:r>
      <w:r>
        <w:rPr>
          <w:rFonts w:cs="Times New Roman"/>
        </w:rPr>
        <w:t>m</w:t>
      </w:r>
      <w:r>
        <w:rPr>
          <w:rFonts w:cs="Times New Roman"/>
          <w:vertAlign w:val="superscript"/>
        </w:rPr>
        <w:t>2</w:t>
      </w:r>
      <w:r>
        <w:rPr>
          <w:rFonts w:cs="Times New Roman"/>
        </w:rPr>
        <w:t>，建筑面积</w:t>
      </w:r>
      <w:r>
        <w:rPr>
          <w:rFonts w:cs="Times New Roman"/>
          <w:szCs w:val="24"/>
          <w:shd w:val="clear" w:color="auto" w:fill="FFFFFF"/>
        </w:rPr>
        <w:t>7903.53</w:t>
      </w:r>
      <w:r>
        <w:rPr>
          <w:rFonts w:hint="eastAsia" w:cs="Times New Roman"/>
          <w:szCs w:val="24"/>
          <w:shd w:val="clear" w:color="auto" w:fill="FFFFFF"/>
        </w:rPr>
        <w:t>m</w:t>
      </w:r>
      <w:r>
        <w:rPr>
          <w:rFonts w:cs="Times New Roman"/>
          <w:szCs w:val="24"/>
          <w:shd w:val="clear" w:color="auto" w:fill="FFFFFF"/>
          <w:vertAlign w:val="superscript"/>
        </w:rPr>
        <w:t>2</w:t>
      </w:r>
      <w:r>
        <w:rPr>
          <w:rFonts w:hint="eastAsia" w:cs="Times New Roman"/>
          <w:szCs w:val="24"/>
          <w:shd w:val="clear" w:color="auto" w:fill="FFFFFF"/>
        </w:rPr>
        <w:t>，</w:t>
      </w:r>
      <w:r>
        <w:rPr>
          <w:rFonts w:cs="Times New Roman"/>
          <w:szCs w:val="24"/>
          <w:shd w:val="clear" w:color="auto" w:fill="FFFFFF"/>
        </w:rPr>
        <w:t>主要建设内容包括</w:t>
      </w:r>
      <w:r>
        <w:rPr>
          <w:rFonts w:hint="eastAsia" w:cs="Times New Roman"/>
          <w:szCs w:val="24"/>
          <w:shd w:val="clear" w:color="auto" w:fill="FFFFFF"/>
        </w:rPr>
        <w:t>2栋</w:t>
      </w:r>
      <w:r>
        <w:rPr>
          <w:rFonts w:cs="Times New Roman"/>
          <w:szCs w:val="24"/>
          <w:shd w:val="clear" w:color="auto" w:fill="FFFFFF"/>
        </w:rPr>
        <w:t>产蛋舍、蛋库及其配套的办公生活管理区、鸡粪储存仓库、</w:t>
      </w:r>
      <w:r>
        <w:rPr>
          <w:rFonts w:hint="eastAsia" w:cs="Times New Roman"/>
          <w:szCs w:val="24"/>
          <w:shd w:val="clear" w:color="auto" w:fill="FFFFFF"/>
        </w:rPr>
        <w:t>辅助</w:t>
      </w:r>
      <w:r>
        <w:rPr>
          <w:rFonts w:cs="Times New Roman"/>
          <w:szCs w:val="24"/>
          <w:shd w:val="clear" w:color="auto" w:fill="FFFFFF"/>
        </w:rPr>
        <w:t>用房等</w:t>
      </w:r>
      <w:r>
        <w:rPr>
          <w:rFonts w:cs="Times New Roman"/>
        </w:rPr>
        <w:t>；二期用地面积约</w:t>
      </w:r>
      <w:r>
        <w:rPr>
          <w:rFonts w:hint="eastAsia"/>
        </w:rPr>
        <w:t>56358.09</w:t>
      </w:r>
      <w:r>
        <w:rPr>
          <w:rFonts w:cs="Times New Roman"/>
        </w:rPr>
        <w:t>m</w:t>
      </w:r>
      <w:r>
        <w:rPr>
          <w:rFonts w:cs="Times New Roman"/>
          <w:vertAlign w:val="superscript"/>
        </w:rPr>
        <w:t>2</w:t>
      </w:r>
      <w:r>
        <w:rPr>
          <w:rFonts w:cs="Times New Roman"/>
        </w:rPr>
        <w:t>；建筑面积</w:t>
      </w:r>
      <w:r>
        <w:rPr>
          <w:rFonts w:cs="Times New Roman"/>
          <w:szCs w:val="24"/>
          <w:shd w:val="clear" w:color="auto" w:fill="FFFFFF"/>
        </w:rPr>
        <w:t>12041.44</w:t>
      </w:r>
      <w:r>
        <w:rPr>
          <w:rFonts w:hint="eastAsia" w:cs="Times New Roman"/>
          <w:szCs w:val="24"/>
          <w:shd w:val="clear" w:color="auto" w:fill="FFFFFF"/>
        </w:rPr>
        <w:t>m</w:t>
      </w:r>
      <w:r>
        <w:rPr>
          <w:rFonts w:cs="Times New Roman"/>
          <w:szCs w:val="24"/>
          <w:shd w:val="clear" w:color="auto" w:fill="FFFFFF"/>
          <w:vertAlign w:val="superscript"/>
        </w:rPr>
        <w:t>2</w:t>
      </w:r>
      <w:r>
        <w:rPr>
          <w:rFonts w:hint="eastAsia" w:cs="Times New Roman"/>
        </w:rPr>
        <w:t>，主要建设</w:t>
      </w:r>
      <w:r>
        <w:rPr>
          <w:rFonts w:cs="Times New Roman"/>
        </w:rPr>
        <w:t>内容包括</w:t>
      </w:r>
      <w:r>
        <w:rPr>
          <w:rFonts w:hint="eastAsia" w:cs="Times New Roman"/>
        </w:rPr>
        <w:t>4栋</w:t>
      </w:r>
      <w:r>
        <w:rPr>
          <w:rFonts w:cs="Times New Roman"/>
        </w:rPr>
        <w:t>产蛋舍、</w:t>
      </w:r>
      <w:r>
        <w:rPr>
          <w:rFonts w:hint="eastAsia" w:cs="Times New Roman"/>
        </w:rPr>
        <w:t>3栋</w:t>
      </w:r>
      <w:r>
        <w:rPr>
          <w:rFonts w:cs="Times New Roman"/>
        </w:rPr>
        <w:t>育雏舍及饲料库。项目建成满负荷生产后，存栏</w:t>
      </w:r>
      <w:r>
        <w:rPr>
          <w:rFonts w:hint="eastAsia" w:cs="Times New Roman"/>
        </w:rPr>
        <w:t>蛋</w:t>
      </w:r>
      <w:r>
        <w:rPr>
          <w:rFonts w:cs="Times New Roman"/>
        </w:rPr>
        <w:t>鸡60万</w:t>
      </w:r>
      <w:r>
        <w:rPr>
          <w:rFonts w:hint="eastAsia" w:cs="Times New Roman"/>
        </w:rPr>
        <w:t>羽/</w:t>
      </w:r>
      <w:r>
        <w:rPr>
          <w:rFonts w:cs="Times New Roman"/>
        </w:rPr>
        <w:t>a</w:t>
      </w:r>
      <w:r>
        <w:rPr>
          <w:rFonts w:hint="eastAsia" w:cs="Times New Roman"/>
        </w:rPr>
        <w:t>，</w:t>
      </w:r>
      <w:r>
        <w:rPr>
          <w:rFonts w:cs="Times New Roman"/>
        </w:rPr>
        <w:t>鸡蛋</w:t>
      </w:r>
      <w:r>
        <w:rPr>
          <w:rFonts w:hint="eastAsia" w:cs="Times New Roman"/>
        </w:rPr>
        <w:t>12312.5t/a</w:t>
      </w:r>
      <w:r>
        <w:rPr>
          <w:rFonts w:cs="Times New Roman"/>
        </w:rPr>
        <w:t>；分两期建设，</w:t>
      </w:r>
      <w:r>
        <w:rPr>
          <w:rFonts w:hint="eastAsia" w:cs="Times New Roman"/>
        </w:rPr>
        <w:t>一</w:t>
      </w:r>
      <w:r>
        <w:rPr>
          <w:rFonts w:cs="Times New Roman"/>
        </w:rPr>
        <w:t>期存栏</w:t>
      </w:r>
      <w:r>
        <w:rPr>
          <w:rFonts w:hint="eastAsia" w:cs="Times New Roman"/>
        </w:rPr>
        <w:t>蛋</w:t>
      </w:r>
      <w:r>
        <w:rPr>
          <w:rFonts w:cs="Times New Roman"/>
        </w:rPr>
        <w:t>鸡20万</w:t>
      </w:r>
      <w:r>
        <w:rPr>
          <w:rFonts w:hint="eastAsia" w:cs="Times New Roman"/>
        </w:rPr>
        <w:t>羽/</w:t>
      </w:r>
      <w:r>
        <w:rPr>
          <w:rFonts w:cs="Times New Roman"/>
        </w:rPr>
        <w:t>a</w:t>
      </w:r>
      <w:r>
        <w:rPr>
          <w:rFonts w:hint="eastAsia" w:cs="Times New Roman"/>
        </w:rPr>
        <w:t>，</w:t>
      </w:r>
      <w:r>
        <w:rPr>
          <w:rFonts w:cs="Times New Roman"/>
        </w:rPr>
        <w:t>鸡蛋</w:t>
      </w:r>
      <w:r>
        <w:rPr>
          <w:rFonts w:hint="eastAsia" w:cs="Times New Roman"/>
        </w:rPr>
        <w:t>4104.2t/a；二期存栏</w:t>
      </w:r>
      <w:r>
        <w:rPr>
          <w:rFonts w:cs="Times New Roman"/>
        </w:rPr>
        <w:t>蛋鸡</w:t>
      </w:r>
      <w:r>
        <w:rPr>
          <w:rFonts w:hint="eastAsia" w:cs="Times New Roman"/>
        </w:rPr>
        <w:t>40万羽/</w:t>
      </w:r>
      <w:r>
        <w:rPr>
          <w:rFonts w:cs="Times New Roman"/>
        </w:rPr>
        <w:t>a</w:t>
      </w:r>
      <w:r>
        <w:rPr>
          <w:rFonts w:hint="eastAsia" w:cs="Times New Roman"/>
        </w:rPr>
        <w:t>，</w:t>
      </w:r>
      <w:r>
        <w:rPr>
          <w:rFonts w:cs="Times New Roman"/>
        </w:rPr>
        <w:t>鸡蛋</w:t>
      </w:r>
      <w:r>
        <w:rPr>
          <w:rFonts w:hint="eastAsia" w:cs="Times New Roman"/>
        </w:rPr>
        <w:t>8208.3t/a</w:t>
      </w:r>
      <w:r>
        <w:rPr>
          <w:rFonts w:cs="Times New Roman"/>
        </w:rPr>
        <w:t>；</w:t>
      </w:r>
      <w:r>
        <w:rPr>
          <w:rFonts w:hint="eastAsia" w:cs="Times New Roman"/>
        </w:rPr>
        <w:t>育雏鸡存栏20万羽/a。</w:t>
      </w:r>
    </w:p>
    <w:p>
      <w:pPr>
        <w:pStyle w:val="3"/>
        <w:ind w:firstLine="480"/>
        <w:rPr>
          <w:rFonts w:cs="Times New Roman"/>
        </w:rPr>
      </w:pPr>
      <w:r>
        <w:rPr>
          <w:rFonts w:cs="Times New Roman"/>
        </w:rPr>
        <w:t>（7）劳动定员：职工</w:t>
      </w:r>
      <w:r>
        <w:rPr>
          <w:rFonts w:hint="eastAsia" w:cs="Times New Roman"/>
        </w:rPr>
        <w:t>5</w:t>
      </w:r>
      <w:r>
        <w:rPr>
          <w:rFonts w:cs="Times New Roman"/>
        </w:rPr>
        <w:t>0人，</w:t>
      </w:r>
      <w:r>
        <w:rPr>
          <w:rFonts w:hint="eastAsia" w:cs="Times New Roman"/>
        </w:rPr>
        <w:t>一半职工在厂内食宿，一半仅在厂内用餐不住宿</w:t>
      </w:r>
      <w:r>
        <w:rPr>
          <w:rFonts w:cs="Times New Roman"/>
        </w:rPr>
        <w:t>。</w:t>
      </w:r>
    </w:p>
    <w:p>
      <w:pPr>
        <w:pStyle w:val="3"/>
        <w:ind w:firstLine="480"/>
        <w:rPr>
          <w:rFonts w:cs="Times New Roman"/>
        </w:rPr>
      </w:pPr>
      <w:r>
        <w:rPr>
          <w:rFonts w:cs="Times New Roman"/>
        </w:rPr>
        <w:t>（8）工作制度：年运营365天，每天1班，日工作8小时；夜间不进行喂料等工作。</w:t>
      </w:r>
    </w:p>
    <w:p>
      <w:pPr>
        <w:pStyle w:val="3"/>
        <w:ind w:firstLine="480"/>
      </w:pPr>
      <w:r>
        <w:rPr>
          <w:rFonts w:cs="Times New Roman"/>
        </w:rPr>
        <w:t>（9）建设工期：预计202</w:t>
      </w:r>
      <w:r>
        <w:rPr>
          <w:rFonts w:hint="eastAsia" w:cs="Times New Roman"/>
        </w:rPr>
        <w:t>1</w:t>
      </w:r>
      <w:r>
        <w:rPr>
          <w:rFonts w:cs="Times New Roman"/>
        </w:rPr>
        <w:t>年12月份开始动工建设，202</w:t>
      </w:r>
      <w:r>
        <w:rPr>
          <w:rFonts w:hint="eastAsia" w:cs="Times New Roman"/>
        </w:rPr>
        <w:t>3</w:t>
      </w:r>
      <w:r>
        <w:rPr>
          <w:rFonts w:cs="Times New Roman"/>
        </w:rPr>
        <w:t>年12月底竣工投产；其中一期202</w:t>
      </w:r>
      <w:r>
        <w:rPr>
          <w:rFonts w:hint="eastAsia" w:cs="Times New Roman"/>
        </w:rPr>
        <w:t>1</w:t>
      </w:r>
      <w:r>
        <w:rPr>
          <w:rFonts w:cs="Times New Roman"/>
        </w:rPr>
        <w:t>年12月至202</w:t>
      </w:r>
      <w:r>
        <w:rPr>
          <w:rFonts w:hint="eastAsia" w:cs="Times New Roman"/>
        </w:rPr>
        <w:t>2</w:t>
      </w:r>
      <w:r>
        <w:rPr>
          <w:rFonts w:cs="Times New Roman"/>
        </w:rPr>
        <w:t>年12月；二期202</w:t>
      </w:r>
      <w:r>
        <w:rPr>
          <w:rFonts w:hint="eastAsia" w:cs="Times New Roman"/>
        </w:rPr>
        <w:t>2</w:t>
      </w:r>
      <w:r>
        <w:rPr>
          <w:rFonts w:cs="Times New Roman"/>
        </w:rPr>
        <w:t>年12月至202</w:t>
      </w:r>
      <w:r>
        <w:rPr>
          <w:rFonts w:hint="eastAsia" w:cs="Times New Roman"/>
        </w:rPr>
        <w:t>3</w:t>
      </w:r>
      <w:r>
        <w:rPr>
          <w:rFonts w:cs="Times New Roman"/>
        </w:rPr>
        <w:t>年12月。</w:t>
      </w:r>
    </w:p>
    <w:p>
      <w:pPr>
        <w:pStyle w:val="5"/>
      </w:pPr>
      <w:bookmarkStart w:id="91" w:name="_Toc80889109"/>
      <w:r>
        <w:rPr>
          <w:rFonts w:hint="eastAsia"/>
        </w:rPr>
        <w:t>环境</w:t>
      </w:r>
      <w:r>
        <w:t>质量现状</w:t>
      </w:r>
      <w:bookmarkEnd w:id="91"/>
    </w:p>
    <w:p>
      <w:pPr>
        <w:pStyle w:val="3"/>
        <w:ind w:firstLine="480"/>
        <w:rPr>
          <w:rFonts w:cs="Times New Roman"/>
        </w:rPr>
      </w:pPr>
      <w:r>
        <w:rPr>
          <w:rFonts w:cs="Times New Roman"/>
        </w:rPr>
        <w:t>（1）环境空气质量现状</w:t>
      </w:r>
    </w:p>
    <w:p>
      <w:pPr>
        <w:pStyle w:val="3"/>
        <w:ind w:firstLine="480"/>
        <w:rPr>
          <w:rFonts w:cs="Times New Roman"/>
        </w:rPr>
      </w:pPr>
      <w:r>
        <w:rPr>
          <w:rFonts w:cs="Times New Roman"/>
        </w:rPr>
        <w:t>根据</w:t>
      </w:r>
      <w:r>
        <w:rPr>
          <w:rFonts w:hint="eastAsia"/>
          <w:lang w:val="en-GB"/>
        </w:rPr>
        <w:t>衡阳县例行监测数据进行统计分析结构</w:t>
      </w:r>
      <w:r>
        <w:rPr>
          <w:rFonts w:cs="Times New Roman"/>
        </w:rPr>
        <w:t>，</w:t>
      </w:r>
      <w:r>
        <w:rPr>
          <w:rFonts w:hint="eastAsia" w:cs="Times New Roman"/>
        </w:rPr>
        <w:t>衡阳县区域空气环境各指标均能达到《环境空气质量标准》（GB3095-2012）修改单二级标准，说明本项目所在评价区域为环境空气质量为达标区，相比去年衡阳县环境空气质量在一定的程度上得到改善。</w:t>
      </w:r>
    </w:p>
    <w:p>
      <w:pPr>
        <w:pStyle w:val="3"/>
        <w:ind w:firstLine="480"/>
        <w:rPr>
          <w:rFonts w:cs="Times New Roman"/>
        </w:rPr>
      </w:pPr>
      <w:r>
        <w:rPr>
          <w:rFonts w:hint="eastAsia" w:cs="Times New Roman"/>
        </w:rPr>
        <w:t>根据监测结果，评价区域空气环境指标中H</w:t>
      </w:r>
      <w:r>
        <w:rPr>
          <w:rFonts w:hint="eastAsia" w:cs="Times New Roman"/>
          <w:vertAlign w:val="subscript"/>
        </w:rPr>
        <w:t>2</w:t>
      </w:r>
      <w:r>
        <w:rPr>
          <w:rFonts w:hint="eastAsia" w:cs="Times New Roman"/>
        </w:rPr>
        <w:t>S、NH</w:t>
      </w:r>
      <w:r>
        <w:rPr>
          <w:rFonts w:hint="eastAsia" w:cs="Times New Roman"/>
          <w:vertAlign w:val="subscript"/>
        </w:rPr>
        <w:t>3</w:t>
      </w:r>
      <w:r>
        <w:rPr>
          <w:rFonts w:hint="eastAsia" w:cs="Times New Roman"/>
        </w:rPr>
        <w:t>均能达到《环境影响评价技术导则大气环境》（HJ2.2-2018）附录D浓度限值要求，臭气浓度为区域本底值，区域环境空气质量良好。</w:t>
      </w:r>
    </w:p>
    <w:p>
      <w:pPr>
        <w:pStyle w:val="3"/>
        <w:ind w:firstLine="480"/>
        <w:rPr>
          <w:rFonts w:cs="Times New Roman"/>
        </w:rPr>
      </w:pPr>
      <w:r>
        <w:rPr>
          <w:rFonts w:cs="Times New Roman"/>
        </w:rPr>
        <w:t>（2）地下水环境质量现状</w:t>
      </w:r>
    </w:p>
    <w:p>
      <w:pPr>
        <w:pStyle w:val="3"/>
        <w:ind w:firstLine="480"/>
        <w:rPr>
          <w:rFonts w:cs="Times New Roman"/>
        </w:rPr>
      </w:pPr>
      <w:r>
        <w:rPr>
          <w:rFonts w:cs="Times New Roman"/>
        </w:rPr>
        <w:t>根据监测结果，</w:t>
      </w:r>
      <w:r>
        <w:rPr>
          <w:rFonts w:hint="eastAsia"/>
        </w:rPr>
        <w:t>项目北侧水塘水质</w:t>
      </w:r>
      <w:r>
        <w:t>中</w:t>
      </w:r>
      <w:r>
        <w:rPr>
          <w:rFonts w:hint="eastAsia"/>
        </w:rPr>
        <w:t>各</w:t>
      </w:r>
      <w:r>
        <w:t>监测因子均能达到《地表水环境质量标准》（GB3838-2002）</w:t>
      </w:r>
      <w:r>
        <w:rPr>
          <w:rFonts w:hint="eastAsia"/>
        </w:rPr>
        <w:t>Ⅲ</w:t>
      </w:r>
      <w:r>
        <w:rPr>
          <w:szCs w:val="24"/>
        </w:rPr>
        <w:t>类标准</w:t>
      </w:r>
      <w:r>
        <w:rPr>
          <w:rFonts w:hint="eastAsia"/>
          <w:szCs w:val="24"/>
        </w:rPr>
        <w:t>，</w:t>
      </w:r>
      <w:r>
        <w:t>水塘水质</w:t>
      </w:r>
      <w:r>
        <w:rPr>
          <w:rFonts w:hint="eastAsia"/>
        </w:rPr>
        <w:t>良好</w:t>
      </w:r>
      <w:r>
        <w:t>。</w:t>
      </w:r>
    </w:p>
    <w:p>
      <w:pPr>
        <w:pStyle w:val="3"/>
        <w:ind w:firstLine="480"/>
        <w:rPr>
          <w:rFonts w:cs="Times New Roman"/>
        </w:rPr>
      </w:pPr>
      <w:r>
        <w:rPr>
          <w:rFonts w:cs="Times New Roman"/>
        </w:rPr>
        <w:t>（3）地下水环境质量现状</w:t>
      </w:r>
    </w:p>
    <w:p>
      <w:pPr>
        <w:pStyle w:val="3"/>
        <w:ind w:firstLine="480"/>
        <w:rPr>
          <w:rFonts w:cs="Times New Roman"/>
        </w:rPr>
      </w:pPr>
      <w:r>
        <w:rPr>
          <w:rFonts w:cs="Times New Roman"/>
        </w:rPr>
        <w:t>监测结果表明项目所在区域地下水环境现状质量较好，其现状质量符合《地下水环境质量标准》（GB/T14848-2017）中的</w:t>
      </w:r>
      <w:r>
        <w:rPr>
          <w:rFonts w:hint="eastAsia" w:ascii="宋体" w:hAnsi="宋体" w:cs="宋体"/>
        </w:rPr>
        <w:t>Ⅲ</w:t>
      </w:r>
      <w:r>
        <w:rPr>
          <w:rFonts w:cs="Times New Roman"/>
        </w:rPr>
        <w:t>类水质标准。</w:t>
      </w:r>
    </w:p>
    <w:p>
      <w:pPr>
        <w:pStyle w:val="3"/>
        <w:ind w:firstLine="480"/>
        <w:rPr>
          <w:rFonts w:cs="Times New Roman"/>
        </w:rPr>
      </w:pPr>
      <w:r>
        <w:rPr>
          <w:rFonts w:cs="Times New Roman"/>
        </w:rPr>
        <w:t>（4）声环境质量现状</w:t>
      </w:r>
    </w:p>
    <w:p>
      <w:pPr>
        <w:pStyle w:val="3"/>
        <w:ind w:firstLine="472"/>
        <w:rPr>
          <w:rFonts w:cs="Times New Roman"/>
        </w:rPr>
      </w:pPr>
      <w:r>
        <w:rPr>
          <w:rFonts w:cs="Times New Roman"/>
          <w:spacing w:val="-2"/>
        </w:rPr>
        <w:t>根据监测结果，</w:t>
      </w:r>
      <w:r>
        <w:t>项目所在区域地下水环境现状质量较好，其现状质量符合《地下水环境质量标准》</w:t>
      </w:r>
      <w:r>
        <w:rPr>
          <w:rFonts w:hint="eastAsia"/>
        </w:rPr>
        <w:t>（</w:t>
      </w:r>
      <w:r>
        <w:t>GB/T14848-</w:t>
      </w:r>
      <w:r>
        <w:rPr>
          <w:rFonts w:hint="eastAsia"/>
        </w:rPr>
        <w:t>2017）</w:t>
      </w:r>
      <w:r>
        <w:t>中的</w:t>
      </w:r>
      <w:r>
        <w:rPr>
          <w:rFonts w:hint="eastAsia" w:ascii="宋体" w:hAnsi="宋体" w:cs="宋体"/>
        </w:rPr>
        <w:t>Ⅲ</w:t>
      </w:r>
      <w:r>
        <w:t>类水质标准。</w:t>
      </w:r>
    </w:p>
    <w:p>
      <w:pPr>
        <w:pStyle w:val="3"/>
        <w:ind w:firstLine="480"/>
        <w:rPr>
          <w:rFonts w:cs="Times New Roman"/>
        </w:rPr>
      </w:pPr>
      <w:r>
        <w:rPr>
          <w:rFonts w:cs="Times New Roman"/>
        </w:rPr>
        <w:t>（5）土壤环境质量现状</w:t>
      </w:r>
    </w:p>
    <w:p>
      <w:pPr>
        <w:pStyle w:val="3"/>
        <w:ind w:firstLine="480"/>
        <w:rPr>
          <w:rFonts w:cs="Times New Roman"/>
        </w:rPr>
      </w:pPr>
      <w:r>
        <w:rPr>
          <w:rFonts w:cs="Times New Roman"/>
        </w:rPr>
        <w:t>由上表可知，</w:t>
      </w:r>
      <w:r>
        <w:rPr>
          <w:rFonts w:hint="eastAsia"/>
        </w:rPr>
        <w:t>本项目拟建区域土壤环境中</w:t>
      </w:r>
      <w:r>
        <w:t>砷、铬、镉、铜、铅、汞、镍</w:t>
      </w:r>
      <w:r>
        <w:rPr>
          <w:rFonts w:hint="eastAsia"/>
        </w:rPr>
        <w:t>监测因子能满足</w:t>
      </w:r>
      <w:r>
        <w:t>土壤环境质量农用地土壤污染风险管控标</w:t>
      </w:r>
      <w:r>
        <w:rPr>
          <w:bCs/>
          <w:kern w:val="0"/>
        </w:rPr>
        <w:t>准（试行）》（GB15618-2018）风险筛选值中的</w:t>
      </w:r>
      <w:r>
        <w:t>其他</w:t>
      </w:r>
      <w:r>
        <w:rPr>
          <w:bCs/>
          <w:kern w:val="0"/>
        </w:rPr>
        <w:t>的标准</w:t>
      </w:r>
      <w:r>
        <w:t>限值</w:t>
      </w:r>
      <w:r>
        <w:rPr>
          <w:rFonts w:hint="eastAsia"/>
        </w:rPr>
        <w:t>，</w:t>
      </w:r>
      <w:r>
        <w:rPr>
          <w:bCs/>
          <w:kern w:val="0"/>
        </w:rPr>
        <w:t>其他指标</w:t>
      </w:r>
      <w:r>
        <w:rPr>
          <w:rFonts w:hint="eastAsia"/>
          <w:bCs/>
          <w:kern w:val="0"/>
        </w:rPr>
        <w:t>可达到</w:t>
      </w:r>
      <w:r>
        <w:t>《土壤环境质量建设用地土壤污染风险管控标准（试行）》（GB36600-2018）风险筛选值中的第二类用地</w:t>
      </w:r>
      <w:r>
        <w:rPr>
          <w:bCs/>
          <w:kern w:val="0"/>
        </w:rPr>
        <w:t>的标准</w:t>
      </w:r>
      <w:r>
        <w:t>限值</w:t>
      </w:r>
      <w:r>
        <w:rPr>
          <w:rFonts w:hint="eastAsia"/>
        </w:rPr>
        <w:t>；拟建地土壤环境良好。</w:t>
      </w:r>
    </w:p>
    <w:p>
      <w:pPr>
        <w:pStyle w:val="3"/>
        <w:ind w:firstLine="480"/>
        <w:rPr>
          <w:rFonts w:cs="Times New Roman"/>
        </w:rPr>
      </w:pPr>
      <w:r>
        <w:rPr>
          <w:rFonts w:cs="Times New Roman"/>
        </w:rPr>
        <w:t>（5）生态环境质量现状</w:t>
      </w:r>
    </w:p>
    <w:p>
      <w:pPr>
        <w:pStyle w:val="3"/>
        <w:ind w:firstLine="480"/>
      </w:pPr>
      <w:r>
        <w:rPr>
          <w:rFonts w:cs="Times New Roman"/>
        </w:rPr>
        <w:t>项目用地面积</w:t>
      </w:r>
      <w:r>
        <w:rPr>
          <w:rFonts w:cs="Times New Roman"/>
          <w:szCs w:val="24"/>
          <w:shd w:val="clear" w:color="auto" w:fill="FFFFFF"/>
        </w:rPr>
        <w:t>126508.27</w:t>
      </w:r>
      <w:r>
        <w:rPr>
          <w:rFonts w:cs="Times New Roman"/>
        </w:rPr>
        <w:t>m</w:t>
      </w:r>
      <w:r>
        <w:rPr>
          <w:rFonts w:cs="Times New Roman"/>
          <w:vertAlign w:val="superscript"/>
        </w:rPr>
        <w:t>2</w:t>
      </w:r>
      <w:r>
        <w:rPr>
          <w:rFonts w:hint="eastAsia" w:cs="Times New Roman"/>
          <w:szCs w:val="24"/>
          <w:shd w:val="clear" w:color="auto" w:fill="FFFFFF"/>
        </w:rPr>
        <w:t>（约189.8亩）</w:t>
      </w:r>
      <w:r>
        <w:rPr>
          <w:rFonts w:cs="Times New Roman"/>
        </w:rPr>
        <w:t>；用地为</w:t>
      </w:r>
      <w:r>
        <w:rPr>
          <w:rFonts w:hint="eastAsia" w:cs="Times New Roman"/>
        </w:rPr>
        <w:t>衡阳县台</w:t>
      </w:r>
      <w:r>
        <w:rPr>
          <w:rFonts w:cs="Times New Roman"/>
        </w:rPr>
        <w:t>源镇前进村财冲组和东湖寺村近丝塘组，</w:t>
      </w:r>
      <w:r>
        <w:rPr>
          <w:rFonts w:hint="eastAsia" w:cs="Times New Roman"/>
        </w:rPr>
        <w:t>湖南安发</w:t>
      </w:r>
      <w:r>
        <w:rPr>
          <w:rFonts w:cs="Times New Roman"/>
        </w:rPr>
        <w:t>原生态农业旅游开发有限公司已经与当地村委会签订土地使用权租凭协议；土地利用现状主要为荒地及林地</w:t>
      </w:r>
      <w:r>
        <w:rPr>
          <w:rFonts w:hint="eastAsia" w:cs="Times New Roman"/>
        </w:rPr>
        <w:t>，</w:t>
      </w:r>
      <w:r>
        <w:rPr>
          <w:rFonts w:cs="Times New Roman"/>
        </w:rPr>
        <w:t>少量耕地。</w:t>
      </w:r>
    </w:p>
    <w:p>
      <w:pPr>
        <w:pStyle w:val="5"/>
      </w:pPr>
      <w:bookmarkStart w:id="92" w:name="_Toc80889110"/>
      <w:r>
        <w:rPr>
          <w:rFonts w:hint="eastAsia"/>
        </w:rPr>
        <w:t>主要</w:t>
      </w:r>
      <w:r>
        <w:t>环境影响分析</w:t>
      </w:r>
      <w:bookmarkEnd w:id="92"/>
    </w:p>
    <w:p>
      <w:pPr>
        <w:pStyle w:val="6"/>
        <w:rPr>
          <w:rFonts w:cs="Times New Roman"/>
        </w:rPr>
      </w:pPr>
      <w:r>
        <w:rPr>
          <w:rFonts w:cs="Times New Roman"/>
        </w:rPr>
        <w:t>施工期环境影响评价结论</w:t>
      </w:r>
    </w:p>
    <w:p>
      <w:pPr>
        <w:pStyle w:val="3"/>
        <w:ind w:firstLine="480"/>
        <w:rPr>
          <w:rFonts w:cs="Times New Roman"/>
        </w:rPr>
      </w:pPr>
      <w:r>
        <w:rPr>
          <w:rFonts w:cs="Times New Roman"/>
        </w:rPr>
        <w:t>本项目位于</w:t>
      </w:r>
      <w:r>
        <w:rPr>
          <w:rFonts w:hint="eastAsia" w:cs="Times New Roman"/>
        </w:rPr>
        <w:t>台</w:t>
      </w:r>
      <w:r>
        <w:rPr>
          <w:rFonts w:cs="Times New Roman"/>
        </w:rPr>
        <w:t>源镇前进村财冲组和东湖寺村近</w:t>
      </w:r>
      <w:r>
        <w:rPr>
          <w:rFonts w:hint="eastAsia" w:cs="Times New Roman"/>
        </w:rPr>
        <w:t>斯</w:t>
      </w:r>
      <w:r>
        <w:rPr>
          <w:rFonts w:cs="Times New Roman"/>
        </w:rPr>
        <w:t>塘组，占地面积约</w:t>
      </w:r>
      <w:r>
        <w:rPr>
          <w:rFonts w:hint="eastAsia" w:cs="Times New Roman"/>
          <w:szCs w:val="24"/>
          <w:shd w:val="clear" w:color="auto" w:fill="FFFFFF"/>
        </w:rPr>
        <w:t>189.8亩</w:t>
      </w:r>
      <w:r>
        <w:rPr>
          <w:rFonts w:cs="Times New Roman"/>
        </w:rPr>
        <w:t>。建设期间，各类建材及土石方进出造成一定的扬尘，对周围的大气会造成一定的影响；施工过程中施工人员的生活污水排放将对周边水环境造成一定影响；建设期间，各类建筑机械噪声会对周围声环境造成一定的影响；建筑过程产生的建筑垃圾，必须纳入指定堆放场；项目建设会造成部分水土流失，绿地面积减少。</w:t>
      </w:r>
    </w:p>
    <w:p>
      <w:pPr>
        <w:pStyle w:val="3"/>
        <w:ind w:firstLine="480"/>
        <w:rPr>
          <w:rFonts w:cs="Times New Roman"/>
          <w:sz w:val="28"/>
        </w:rPr>
      </w:pPr>
      <w:r>
        <w:rPr>
          <w:rFonts w:cs="Times New Roman"/>
        </w:rPr>
        <w:t>施工期的影响是暂时的，随着施工期的结束，这些影响将逐渐消失。</w:t>
      </w:r>
    </w:p>
    <w:p>
      <w:pPr>
        <w:pStyle w:val="6"/>
      </w:pPr>
      <w:bookmarkStart w:id="93" w:name="_Toc46322532"/>
      <w:r>
        <w:t>营运期环境影响评价结论</w:t>
      </w:r>
      <w:bookmarkEnd w:id="93"/>
    </w:p>
    <w:p>
      <w:pPr>
        <w:pStyle w:val="6"/>
        <w:rPr>
          <w:rFonts w:cs="Times New Roman"/>
        </w:rPr>
      </w:pPr>
      <w:r>
        <w:rPr>
          <w:rFonts w:cs="Times New Roman"/>
        </w:rPr>
        <w:t>水环境影响分析结论</w:t>
      </w:r>
    </w:p>
    <w:p>
      <w:pPr>
        <w:pStyle w:val="3"/>
        <w:ind w:firstLine="480"/>
        <w:rPr>
          <w:rFonts w:cs="Times New Roman"/>
          <w:kern w:val="0"/>
          <w:szCs w:val="24"/>
        </w:rPr>
      </w:pPr>
      <w:r>
        <w:rPr>
          <w:rFonts w:cs="Times New Roman"/>
        </w:rPr>
        <w:t>项目采用雨污分流，雨水经雨水管网收集后排入项目</w:t>
      </w:r>
      <w:r>
        <w:rPr>
          <w:rFonts w:hint="eastAsia" w:cs="Times New Roman"/>
        </w:rPr>
        <w:t>北侧水塘</w:t>
      </w:r>
      <w:r>
        <w:rPr>
          <w:rFonts w:cs="Times New Roman"/>
        </w:rPr>
        <w:t>；鸡舍</w:t>
      </w:r>
      <w:r>
        <w:rPr>
          <w:rFonts w:cs="Times New Roman"/>
          <w:kern w:val="0"/>
          <w:szCs w:val="24"/>
        </w:rPr>
        <w:t>冲洗废水和生活污水经</w:t>
      </w:r>
      <w:r>
        <w:rPr>
          <w:rFonts w:hint="eastAsia" w:cs="Times New Roman"/>
          <w:kern w:val="0"/>
          <w:szCs w:val="24"/>
        </w:rPr>
        <w:t>三级化粪池处理后用作农肥</w:t>
      </w:r>
      <w:r>
        <w:rPr>
          <w:rFonts w:cs="Times New Roman"/>
          <w:kern w:val="0"/>
          <w:szCs w:val="24"/>
        </w:rPr>
        <w:t>，不外排。</w:t>
      </w:r>
    </w:p>
    <w:p>
      <w:pPr>
        <w:pStyle w:val="6"/>
        <w:rPr>
          <w:rFonts w:cs="Times New Roman"/>
        </w:rPr>
      </w:pPr>
      <w:r>
        <w:rPr>
          <w:rFonts w:cs="Times New Roman"/>
        </w:rPr>
        <w:t>大气环境影响分析结论</w:t>
      </w:r>
    </w:p>
    <w:p>
      <w:pPr>
        <w:pStyle w:val="3"/>
        <w:ind w:firstLine="480"/>
        <w:rPr>
          <w:rFonts w:cs="Times New Roman"/>
        </w:rPr>
      </w:pPr>
      <w:r>
        <w:rPr>
          <w:rFonts w:cs="Times New Roman"/>
        </w:rPr>
        <w:t>项目鸡舍、鸡粪处理区等产生恶臭气体，经科学饱饲养，优化饲料等，及时清粪，喷洒除臭剂，加强通风换气；鸡粪处理区采用</w:t>
      </w:r>
      <w:r>
        <w:rPr>
          <w:rFonts w:hint="eastAsia" w:cs="Times New Roman"/>
        </w:rPr>
        <w:t>法国多赛干燥机</w:t>
      </w:r>
      <w:r>
        <w:rPr>
          <w:rFonts w:hint="eastAsia" w:cs="Times New Roman"/>
          <w:kern w:val="0"/>
        </w:rPr>
        <w:t>直接干燥成有机肥，由于鸡粪未发酵，</w:t>
      </w:r>
      <w:r>
        <w:rPr>
          <w:rFonts w:hint="eastAsia"/>
        </w:rPr>
        <w:t>恶臭产生量较少</w:t>
      </w:r>
      <w:r>
        <w:rPr>
          <w:rFonts w:cs="Times New Roman"/>
        </w:rPr>
        <w:t>，场界恶臭可达《畜禽养殖业污染物排放标准》（</w:t>
      </w:r>
      <w:r>
        <w:rPr>
          <w:rFonts w:eastAsia="TimesNewRomanPSMT" w:cs="Times New Roman"/>
        </w:rPr>
        <w:t>DB44/613-2009</w:t>
      </w:r>
      <w:r>
        <w:rPr>
          <w:rFonts w:cs="Times New Roman"/>
        </w:rPr>
        <w:t>）标准，氨和硫化氢执行《恶臭污染物排放标准》（</w:t>
      </w:r>
      <w:r>
        <w:rPr>
          <w:rFonts w:eastAsia="TimesNewRomanPSMT" w:cs="Times New Roman"/>
        </w:rPr>
        <w:t>GB14554-93</w:t>
      </w:r>
      <w:r>
        <w:rPr>
          <w:rFonts w:cs="Times New Roman"/>
        </w:rPr>
        <w:t>）表</w:t>
      </w:r>
      <w:r>
        <w:rPr>
          <w:rFonts w:eastAsia="TimesNewRomanPSMT" w:cs="Times New Roman"/>
        </w:rPr>
        <w:t>1</w:t>
      </w:r>
      <w:r>
        <w:rPr>
          <w:rFonts w:cs="Times New Roman"/>
        </w:rPr>
        <w:t>厂界新改扩建二级标准，对周围环境影响很小。</w:t>
      </w:r>
    </w:p>
    <w:p>
      <w:pPr>
        <w:pStyle w:val="3"/>
        <w:ind w:firstLine="480"/>
        <w:rPr>
          <w:rFonts w:cs="Times New Roman"/>
        </w:rPr>
      </w:pPr>
      <w:r>
        <w:rPr>
          <w:rFonts w:hint="eastAsia"/>
        </w:rPr>
        <w:t>本项目</w:t>
      </w:r>
      <w:r>
        <w:t>锅炉</w:t>
      </w:r>
      <w:r>
        <w:rPr>
          <w:rFonts w:hint="eastAsia"/>
        </w:rPr>
        <w:t>燃烧</w:t>
      </w:r>
      <w:r>
        <w:t>废气</w:t>
      </w:r>
      <w:r>
        <w:rPr>
          <w:rFonts w:hint="eastAsia"/>
        </w:rPr>
        <w:t>经过布袋除尘器后</w:t>
      </w:r>
      <w:r>
        <w:t>通过</w:t>
      </w:r>
      <w:r>
        <w:rPr>
          <w:rFonts w:hint="eastAsia"/>
        </w:rPr>
        <w:t>20</w:t>
      </w:r>
      <w:r>
        <w:t>m</w:t>
      </w:r>
      <w:r>
        <w:rPr>
          <w:rFonts w:hint="eastAsia"/>
        </w:rPr>
        <w:t>高</w:t>
      </w:r>
      <w:r>
        <w:t>排气筒外排</w:t>
      </w:r>
      <w:r>
        <w:rPr>
          <w:rFonts w:hint="eastAsia"/>
        </w:rPr>
        <w:t>，</w:t>
      </w:r>
      <w:r>
        <w:rPr>
          <w:rFonts w:cs="Times New Roman"/>
        </w:rPr>
        <w:t>可满足《锅炉大气污染物排放标准》（GB13271-20</w:t>
      </w:r>
      <w:r>
        <w:rPr>
          <w:rFonts w:hint="eastAsia" w:cs="Times New Roman"/>
        </w:rPr>
        <w:t>1</w:t>
      </w:r>
      <w:r>
        <w:rPr>
          <w:rFonts w:cs="Times New Roman"/>
        </w:rPr>
        <w:t>4）表2</w:t>
      </w:r>
      <w:r>
        <w:rPr>
          <w:rFonts w:hint="eastAsia" w:cs="Times New Roman"/>
        </w:rPr>
        <w:t>参照燃煤</w:t>
      </w:r>
      <w:r>
        <w:rPr>
          <w:rFonts w:cs="Times New Roman"/>
        </w:rPr>
        <w:t>锅炉规定排放浓度限值要求。</w:t>
      </w:r>
    </w:p>
    <w:p>
      <w:pPr>
        <w:pStyle w:val="3"/>
        <w:ind w:firstLine="480"/>
        <w:rPr>
          <w:rFonts w:cs="Times New Roman"/>
        </w:rPr>
      </w:pPr>
      <w:r>
        <w:rPr>
          <w:rFonts w:cs="Times New Roman"/>
        </w:rPr>
        <w:t>项目备用发电机以清洁能源（普通柴油），满足《普通柴油》（</w:t>
      </w:r>
      <w:r>
        <w:rPr>
          <w:rFonts w:eastAsia="TimesNewRomanPSMT" w:cs="Times New Roman"/>
        </w:rPr>
        <w:t>GB252-2015</w:t>
      </w:r>
      <w:r>
        <w:rPr>
          <w:rFonts w:cs="Times New Roman"/>
        </w:rPr>
        <w:t>）的规定，且使用时间少，尾气经专用烟道引到屋顶排放后，可达《大气污染物综合排放标准》（GB16297-1996）表2标准要求，对周围环境影响较小。</w:t>
      </w:r>
    </w:p>
    <w:p>
      <w:pPr>
        <w:pStyle w:val="3"/>
        <w:ind w:firstLine="480"/>
        <w:rPr>
          <w:rFonts w:cs="Times New Roman"/>
        </w:rPr>
      </w:pPr>
      <w:r>
        <w:rPr>
          <w:rFonts w:cs="Times New Roman"/>
        </w:rPr>
        <w:t>食堂油烟收集后经油烟净化器处理后经排烟竖井屋顶高考排放，可达到《饮食业油烟排放标准（试行）》（</w:t>
      </w:r>
      <w:r>
        <w:rPr>
          <w:rFonts w:eastAsia="TimesNewRomanPSMT" w:cs="Times New Roman"/>
        </w:rPr>
        <w:t>GB18483-2001</w:t>
      </w:r>
      <w:r>
        <w:rPr>
          <w:rFonts w:cs="Times New Roman"/>
        </w:rPr>
        <w:t>）小型标准的要求，对环境影响较小。</w:t>
      </w:r>
    </w:p>
    <w:p>
      <w:pPr>
        <w:pStyle w:val="6"/>
        <w:rPr>
          <w:rFonts w:cs="Times New Roman"/>
        </w:rPr>
      </w:pPr>
      <w:r>
        <w:rPr>
          <w:rFonts w:cs="Times New Roman"/>
        </w:rPr>
        <w:t>声环境影响分析结论</w:t>
      </w:r>
    </w:p>
    <w:p>
      <w:pPr>
        <w:pStyle w:val="3"/>
        <w:ind w:firstLine="480"/>
        <w:rPr>
          <w:rFonts w:cs="Times New Roman"/>
        </w:rPr>
      </w:pPr>
      <w:r>
        <w:rPr>
          <w:rFonts w:cs="Times New Roman"/>
        </w:rPr>
        <w:t>本项目营运期间产生的噪声主要为生产设备运行噪声，属于机械式噪声，在采取墙壁隔声、底座减振、源头降噪等常用的噪声防治设施后，生产设备的噪声会得到很大程度的削减，本项目营运期厂界噪声可以达到《工业企业厂界环境噪声排放标准》（GB12348-2008）2类标准。对周边声环境和敏感点的影响不大。</w:t>
      </w:r>
    </w:p>
    <w:p>
      <w:pPr>
        <w:pStyle w:val="6"/>
        <w:rPr>
          <w:rFonts w:cs="Times New Roman"/>
        </w:rPr>
      </w:pPr>
      <w:r>
        <w:rPr>
          <w:rFonts w:cs="Times New Roman"/>
        </w:rPr>
        <w:t>固废环境影响分析结论</w:t>
      </w:r>
    </w:p>
    <w:p>
      <w:pPr>
        <w:pStyle w:val="3"/>
        <w:ind w:firstLine="480"/>
        <w:rPr>
          <w:rFonts w:cs="Times New Roman"/>
        </w:rPr>
      </w:pPr>
      <w:r>
        <w:rPr>
          <w:rFonts w:cs="Times New Roman"/>
        </w:rPr>
        <w:t>项目项目鸡粪收集运至鸡粪处理区，采用</w:t>
      </w:r>
      <w:r>
        <w:rPr>
          <w:rFonts w:hint="eastAsia" w:cs="Times New Roman"/>
        </w:rPr>
        <w:t>法国多赛干燥机直接生产</w:t>
      </w:r>
      <w:r>
        <w:rPr>
          <w:rFonts w:cs="Times New Roman"/>
        </w:rPr>
        <w:t>有机肥后外售。</w:t>
      </w:r>
      <w:r>
        <w:rPr>
          <w:rFonts w:hint="eastAsia" w:cs="Times New Roman"/>
          <w:u w:val="single"/>
        </w:rPr>
        <w:t>病死鸡</w:t>
      </w:r>
      <w:r>
        <w:rPr>
          <w:rFonts w:hint="eastAsia" w:ascii="宋体" w:hAnsi="宋体" w:cs="宋体"/>
          <w:kern w:val="0"/>
          <w:szCs w:val="24"/>
          <w:u w:val="single"/>
        </w:rPr>
        <w:t>委托</w:t>
      </w:r>
      <w:r>
        <w:rPr>
          <w:rFonts w:ascii="宋体" w:hAnsi="宋体" w:cs="宋体"/>
          <w:kern w:val="0"/>
          <w:szCs w:val="24"/>
          <w:u w:val="single"/>
        </w:rPr>
        <w:t>衡阳县畜牧水产局统一</w:t>
      </w:r>
      <w:r>
        <w:rPr>
          <w:rFonts w:hint="eastAsia" w:ascii="宋体" w:hAnsi="宋体" w:cs="宋体"/>
          <w:kern w:val="0"/>
          <w:szCs w:val="24"/>
          <w:u w:val="single"/>
        </w:rPr>
        <w:t>收集，再</w:t>
      </w:r>
      <w:r>
        <w:rPr>
          <w:rFonts w:ascii="宋体" w:hAnsi="宋体" w:cs="宋体"/>
          <w:kern w:val="0"/>
          <w:szCs w:val="24"/>
          <w:u w:val="single"/>
        </w:rPr>
        <w:t>运至衡阳</w:t>
      </w:r>
      <w:r>
        <w:rPr>
          <w:rFonts w:hint="eastAsia" w:ascii="宋体" w:hAnsi="宋体" w:cs="宋体"/>
          <w:kern w:val="0"/>
          <w:szCs w:val="24"/>
          <w:u w:val="single"/>
        </w:rPr>
        <w:t>市</w:t>
      </w:r>
      <w:r>
        <w:rPr>
          <w:rFonts w:ascii="宋体" w:hAnsi="宋体" w:cs="宋体"/>
          <w:kern w:val="0"/>
          <w:szCs w:val="24"/>
          <w:u w:val="single"/>
        </w:rPr>
        <w:t>禾和</w:t>
      </w:r>
      <w:r>
        <w:rPr>
          <w:rFonts w:hint="eastAsia" w:ascii="宋体" w:hAnsi="宋体" w:cs="宋体"/>
          <w:kern w:val="0"/>
          <w:szCs w:val="24"/>
          <w:u w:val="single"/>
        </w:rPr>
        <w:t>动物无害化处理有限</w:t>
      </w:r>
      <w:r>
        <w:rPr>
          <w:rFonts w:ascii="宋体" w:hAnsi="宋体" w:cs="宋体"/>
          <w:kern w:val="0"/>
          <w:szCs w:val="24"/>
          <w:u w:val="single"/>
        </w:rPr>
        <w:t>公司无害化处置</w:t>
      </w:r>
      <w:r>
        <w:rPr>
          <w:rFonts w:hint="eastAsia" w:ascii="宋体" w:hAnsi="宋体" w:cs="宋体"/>
          <w:kern w:val="0"/>
          <w:szCs w:val="24"/>
          <w:u w:val="single"/>
        </w:rPr>
        <w:t>，</w:t>
      </w:r>
      <w:r>
        <w:rPr>
          <w:rFonts w:cs="Times New Roman"/>
        </w:rPr>
        <w:t>蛋壳</w:t>
      </w:r>
      <w:r>
        <w:rPr>
          <w:rFonts w:hint="eastAsia" w:cs="Times New Roman"/>
        </w:rPr>
        <w:t>破碎后于</w:t>
      </w:r>
      <w:r>
        <w:rPr>
          <w:rFonts w:cs="Times New Roman"/>
        </w:rPr>
        <w:t>鸡粪</w:t>
      </w:r>
      <w:r>
        <w:rPr>
          <w:rFonts w:hint="eastAsia" w:cs="Times New Roman"/>
        </w:rPr>
        <w:t>制成</w:t>
      </w:r>
      <w:r>
        <w:rPr>
          <w:rFonts w:cs="Times New Roman"/>
        </w:rPr>
        <w:t>有机肥外售。</w:t>
      </w:r>
    </w:p>
    <w:p>
      <w:pPr>
        <w:pStyle w:val="3"/>
        <w:ind w:firstLine="480"/>
        <w:rPr>
          <w:rFonts w:cs="Times New Roman"/>
        </w:rPr>
      </w:pPr>
      <w:r>
        <w:rPr>
          <w:rFonts w:cs="Times New Roman"/>
        </w:rPr>
        <w:t>废包装物料由生产商回收；医疗垃圾交由有医疗垃圾处理资质的单位处置；生活垃圾交由环卫部门统一收集处理，不外排</w:t>
      </w:r>
      <w:r>
        <w:rPr>
          <w:rFonts w:hint="eastAsia" w:cs="Times New Roman"/>
        </w:rPr>
        <w:t>；</w:t>
      </w:r>
      <w:r>
        <w:rPr>
          <w:rFonts w:hint="eastAsia"/>
        </w:rPr>
        <w:t>锅炉灰渣及布袋除尘器的颗粒物，收集后袋装作为农肥。</w:t>
      </w:r>
      <w:r>
        <w:rPr>
          <w:rFonts w:cs="Times New Roman"/>
        </w:rPr>
        <w:t>固体废物分类收集、分类处置，不会对周边环境和敏感点造成影响。</w:t>
      </w:r>
    </w:p>
    <w:p>
      <w:pPr>
        <w:pStyle w:val="6"/>
        <w:rPr>
          <w:rFonts w:cs="Times New Roman"/>
        </w:rPr>
      </w:pPr>
      <w:r>
        <w:rPr>
          <w:rFonts w:cs="Times New Roman"/>
        </w:rPr>
        <w:t>环境风险评价结论</w:t>
      </w:r>
    </w:p>
    <w:p>
      <w:pPr>
        <w:pStyle w:val="3"/>
        <w:ind w:firstLine="480"/>
        <w:rPr>
          <w:rFonts w:cs="Times New Roman"/>
        </w:rPr>
      </w:pPr>
      <w:r>
        <w:rPr>
          <w:rFonts w:cs="Times New Roman"/>
        </w:rPr>
        <w:t>根据分析，本项目风险评价为简单分析。经分析，在采取相应的风险防范措施之后，本项目环境风险事故的发生概率较低。建设单位应严格按照《建筑设计防火规范》（</w:t>
      </w:r>
      <w:r>
        <w:rPr>
          <w:rFonts w:eastAsia="TimesNewRomanPSMT" w:cs="Times New Roman"/>
        </w:rPr>
        <w:t>GB50016-2006</w:t>
      </w:r>
      <w:r>
        <w:rPr>
          <w:rFonts w:cs="Times New Roman"/>
        </w:rPr>
        <w:t>）等相关规范进行设计和管理，制订完善的应急预案体系，在此基础上，本项目的环境风险水平是可以接受的。</w:t>
      </w:r>
    </w:p>
    <w:p>
      <w:pPr>
        <w:pStyle w:val="5"/>
        <w:rPr>
          <w:rFonts w:cs="Times New Roman"/>
        </w:rPr>
      </w:pPr>
      <w:bookmarkStart w:id="94" w:name="_Toc46322533"/>
      <w:bookmarkStart w:id="95" w:name="_Toc80889111"/>
      <w:r>
        <w:rPr>
          <w:rFonts w:cs="Times New Roman"/>
        </w:rPr>
        <w:t>总量建议指标</w:t>
      </w:r>
      <w:bookmarkEnd w:id="94"/>
      <w:bookmarkEnd w:id="95"/>
    </w:p>
    <w:p>
      <w:pPr>
        <w:pStyle w:val="3"/>
        <w:ind w:firstLine="480"/>
        <w:rPr>
          <w:rFonts w:cs="Times New Roman"/>
        </w:rPr>
      </w:pPr>
      <w:r>
        <w:rPr>
          <w:rFonts w:cs="Times New Roman"/>
        </w:rPr>
        <w:t>（</w:t>
      </w:r>
      <w:r>
        <w:rPr>
          <w:rFonts w:eastAsia="TimesNewRomanPSMT" w:cs="Times New Roman"/>
        </w:rPr>
        <w:t>1</w:t>
      </w:r>
      <w:r>
        <w:rPr>
          <w:rFonts w:cs="Times New Roman"/>
        </w:rPr>
        <w:t>）大气污染物：</w:t>
      </w:r>
      <w:r>
        <w:rPr>
          <w:rFonts w:hint="eastAsia" w:cs="Times New Roman"/>
          <w:u w:val="single"/>
        </w:rPr>
        <w:t>由于</w:t>
      </w:r>
      <w:r>
        <w:rPr>
          <w:rFonts w:cs="Times New Roman"/>
          <w:u w:val="single"/>
        </w:rPr>
        <w:t>本项目为农业项目，无需申请，因此本项目可不申请总量控制指标</w:t>
      </w:r>
      <w:r>
        <w:rPr>
          <w:rFonts w:hint="eastAsia" w:cs="Times New Roman"/>
          <w:u w:val="single"/>
        </w:rPr>
        <w:t>。</w:t>
      </w:r>
    </w:p>
    <w:p>
      <w:pPr>
        <w:pStyle w:val="3"/>
        <w:ind w:firstLine="480"/>
      </w:pPr>
      <w:r>
        <w:rPr>
          <w:rFonts w:cs="Times New Roman"/>
        </w:rPr>
        <w:t>（</w:t>
      </w:r>
      <w:r>
        <w:rPr>
          <w:rFonts w:eastAsia="TimesNewRomanPSMT" w:cs="Times New Roman"/>
        </w:rPr>
        <w:t>2</w:t>
      </w:r>
      <w:r>
        <w:rPr>
          <w:rFonts w:cs="Times New Roman"/>
        </w:rPr>
        <w:t>）水污染物：鸡舍冲洗废水和生活污水经</w:t>
      </w:r>
      <w:r>
        <w:rPr>
          <w:rFonts w:hint="eastAsia" w:cs="Times New Roman"/>
        </w:rPr>
        <w:t>化粪池处理后用作农肥</w:t>
      </w:r>
      <w:r>
        <w:rPr>
          <w:rFonts w:cs="Times New Roman"/>
        </w:rPr>
        <w:t>，不外排；因此项目无废水外排，无需水污染物总量控制指标。</w:t>
      </w:r>
    </w:p>
    <w:p>
      <w:pPr>
        <w:pStyle w:val="5"/>
      </w:pPr>
      <w:bookmarkStart w:id="96" w:name="_Toc80889112"/>
      <w:r>
        <w:rPr>
          <w:rFonts w:hint="eastAsia"/>
        </w:rPr>
        <w:t>主要</w:t>
      </w:r>
      <w:r>
        <w:t>环境保护措施</w:t>
      </w:r>
      <w:bookmarkEnd w:id="96"/>
    </w:p>
    <w:p>
      <w:pPr>
        <w:pStyle w:val="6"/>
        <w:rPr>
          <w:rFonts w:cs="Times New Roman"/>
        </w:rPr>
      </w:pPr>
      <w:r>
        <w:rPr>
          <w:rFonts w:cs="Times New Roman"/>
        </w:rPr>
        <w:t>施工期污染防治措施结论</w:t>
      </w:r>
    </w:p>
    <w:p>
      <w:pPr>
        <w:pStyle w:val="3"/>
        <w:ind w:firstLine="480"/>
        <w:rPr>
          <w:rFonts w:cs="Times New Roman"/>
        </w:rPr>
      </w:pPr>
      <w:r>
        <w:rPr>
          <w:rFonts w:cs="Times New Roman"/>
        </w:rPr>
        <w:t>（1）大气污染防治措施：围挡、建筑垃圾应及时处理清运、封闭运输、洒水等。</w:t>
      </w:r>
    </w:p>
    <w:p>
      <w:pPr>
        <w:pStyle w:val="3"/>
        <w:ind w:firstLine="480"/>
        <w:rPr>
          <w:rFonts w:cs="Times New Roman"/>
        </w:rPr>
      </w:pPr>
      <w:r>
        <w:rPr>
          <w:rFonts w:cs="Times New Roman"/>
        </w:rPr>
        <w:t>（2）水环境保护措施：科学施工、加强管理；施工生产废水循环利用，生活废水经过化粪池预处理后作为农肥等。</w:t>
      </w:r>
    </w:p>
    <w:p>
      <w:pPr>
        <w:pStyle w:val="3"/>
        <w:ind w:firstLine="480"/>
        <w:rPr>
          <w:rFonts w:cs="Times New Roman"/>
        </w:rPr>
      </w:pPr>
      <w:r>
        <w:rPr>
          <w:rFonts w:cs="Times New Roman"/>
        </w:rPr>
        <w:t>（3）噪声污染防治措施：合理安排施工时间，尽量采用低噪声的施工设备和工艺，加强施工机械和车辆运行维护保养。</w:t>
      </w:r>
    </w:p>
    <w:p>
      <w:pPr>
        <w:pStyle w:val="3"/>
        <w:ind w:firstLine="480"/>
        <w:rPr>
          <w:rFonts w:cs="Times New Roman"/>
        </w:rPr>
      </w:pPr>
      <w:r>
        <w:rPr>
          <w:rFonts w:cs="Times New Roman"/>
        </w:rPr>
        <w:t>（4）固废污染防治措施：建筑垃圾清运至指定地点堆放；生活垃圾交由镇环卫部门统一处理。</w:t>
      </w:r>
    </w:p>
    <w:p>
      <w:pPr>
        <w:pStyle w:val="3"/>
        <w:ind w:firstLine="480"/>
        <w:rPr>
          <w:rFonts w:cs="Times New Roman"/>
        </w:rPr>
      </w:pPr>
      <w:r>
        <w:rPr>
          <w:rFonts w:cs="Times New Roman"/>
        </w:rPr>
        <w:t>（5）水土流失防治措施：施工完成后及时进行路面硬化和空地绿化；避免在暴雨季节进行大规模的土石方开挖工作等。</w:t>
      </w:r>
    </w:p>
    <w:p>
      <w:pPr>
        <w:pStyle w:val="6"/>
      </w:pPr>
      <w:bookmarkStart w:id="97" w:name="_Toc46322535"/>
      <w:r>
        <w:t>营运期污染防治措施结论</w:t>
      </w:r>
      <w:bookmarkEnd w:id="97"/>
    </w:p>
    <w:p>
      <w:pPr>
        <w:pStyle w:val="7"/>
        <w:rPr>
          <w:rFonts w:cs="Times New Roman"/>
        </w:rPr>
      </w:pPr>
      <w:r>
        <w:rPr>
          <w:rFonts w:cs="Times New Roman"/>
        </w:rPr>
        <w:t>水污染防治措施</w:t>
      </w:r>
    </w:p>
    <w:p>
      <w:pPr>
        <w:pStyle w:val="3"/>
        <w:ind w:firstLine="480"/>
        <w:rPr>
          <w:rFonts w:cs="Times New Roman"/>
          <w:kern w:val="0"/>
          <w:szCs w:val="24"/>
        </w:rPr>
      </w:pPr>
      <w:r>
        <w:rPr>
          <w:rFonts w:cs="Times New Roman"/>
        </w:rPr>
        <w:t>鸡舍冲洗废水和生活污水经</w:t>
      </w:r>
      <w:r>
        <w:rPr>
          <w:rFonts w:hint="eastAsia" w:cs="Times New Roman"/>
        </w:rPr>
        <w:t>化粪池处理后用作农肥</w:t>
      </w:r>
      <w:r>
        <w:rPr>
          <w:rFonts w:cs="Times New Roman"/>
          <w:kern w:val="0"/>
          <w:szCs w:val="24"/>
        </w:rPr>
        <w:t>，不外排。</w:t>
      </w:r>
    </w:p>
    <w:p>
      <w:pPr>
        <w:pStyle w:val="7"/>
        <w:rPr>
          <w:rFonts w:cs="Times New Roman"/>
        </w:rPr>
      </w:pPr>
      <w:r>
        <w:rPr>
          <w:rFonts w:cs="Times New Roman"/>
        </w:rPr>
        <w:t>大气防治措施</w:t>
      </w:r>
    </w:p>
    <w:p>
      <w:pPr>
        <w:pStyle w:val="3"/>
        <w:ind w:firstLine="480"/>
        <w:rPr>
          <w:rFonts w:cs="Times New Roman"/>
        </w:rPr>
      </w:pPr>
      <w:r>
        <w:rPr>
          <w:rFonts w:cs="Times New Roman"/>
        </w:rPr>
        <w:t>项目采用科学养殖方法，鸡舍等采用半封闭形式，鸡粪处理区采用</w:t>
      </w:r>
      <w:r>
        <w:rPr>
          <w:rFonts w:hint="eastAsia" w:cs="Times New Roman"/>
        </w:rPr>
        <w:t>法国多赛干燥机直接生产有机肥外售</w:t>
      </w:r>
      <w:r>
        <w:rPr>
          <w:rFonts w:cs="Times New Roman"/>
        </w:rPr>
        <w:t>，产生的恶臭气体经喷洒除臭剂、自然扩散、绿化阻隔，厂区绿化等措施处理后厂界臭气可达到《畜禽养殖业污染物排放标准》（</w:t>
      </w:r>
      <w:r>
        <w:rPr>
          <w:rFonts w:eastAsia="TimesNewRomanPSMT" w:cs="Times New Roman"/>
        </w:rPr>
        <w:t>DB44/613-2009</w:t>
      </w:r>
      <w:r>
        <w:rPr>
          <w:rFonts w:cs="Times New Roman"/>
        </w:rPr>
        <w:t>），氨和硫化氢达《恶臭污染物排放标准》（</w:t>
      </w:r>
      <w:r>
        <w:rPr>
          <w:rFonts w:eastAsia="TimesNewRomanPSMT" w:cs="Times New Roman"/>
        </w:rPr>
        <w:t>GB14554-93</w:t>
      </w:r>
      <w:r>
        <w:rPr>
          <w:rFonts w:cs="Times New Roman"/>
        </w:rPr>
        <w:t>）表</w:t>
      </w:r>
      <w:r>
        <w:rPr>
          <w:rFonts w:eastAsia="TimesNewRomanPSMT" w:cs="Times New Roman"/>
        </w:rPr>
        <w:t>1</w:t>
      </w:r>
      <w:r>
        <w:rPr>
          <w:rFonts w:cs="Times New Roman"/>
        </w:rPr>
        <w:t>厂界新改扩建二级标准要求。</w:t>
      </w:r>
    </w:p>
    <w:p>
      <w:pPr>
        <w:pStyle w:val="3"/>
        <w:ind w:firstLine="480"/>
        <w:rPr>
          <w:rFonts w:cs="Times New Roman"/>
        </w:rPr>
      </w:pPr>
      <w:r>
        <w:rPr>
          <w:rFonts w:hint="eastAsia"/>
        </w:rPr>
        <w:t>本项目</w:t>
      </w:r>
      <w:r>
        <w:t>锅炉</w:t>
      </w:r>
      <w:r>
        <w:rPr>
          <w:rFonts w:hint="eastAsia"/>
        </w:rPr>
        <w:t>燃烧</w:t>
      </w:r>
      <w:r>
        <w:t>废气</w:t>
      </w:r>
      <w:r>
        <w:rPr>
          <w:rFonts w:hint="eastAsia"/>
        </w:rPr>
        <w:t>经过布袋除尘器后</w:t>
      </w:r>
      <w:r>
        <w:t>通过</w:t>
      </w:r>
      <w:r>
        <w:rPr>
          <w:rFonts w:hint="eastAsia"/>
        </w:rPr>
        <w:t>20</w:t>
      </w:r>
      <w:r>
        <w:t>m</w:t>
      </w:r>
      <w:r>
        <w:rPr>
          <w:rFonts w:hint="eastAsia"/>
        </w:rPr>
        <w:t>高</w:t>
      </w:r>
      <w:r>
        <w:t>排气筒外排</w:t>
      </w:r>
      <w:r>
        <w:rPr>
          <w:rFonts w:hint="eastAsia"/>
        </w:rPr>
        <w:t>，</w:t>
      </w:r>
      <w:r>
        <w:rPr>
          <w:rFonts w:cs="Times New Roman"/>
        </w:rPr>
        <w:t>可满足《锅炉大气污染物排放标准》（GB13271-20</w:t>
      </w:r>
      <w:r>
        <w:rPr>
          <w:rFonts w:hint="eastAsia" w:cs="Times New Roman"/>
        </w:rPr>
        <w:t>1</w:t>
      </w:r>
      <w:r>
        <w:rPr>
          <w:rFonts w:cs="Times New Roman"/>
        </w:rPr>
        <w:t>4）表2</w:t>
      </w:r>
      <w:r>
        <w:rPr>
          <w:rFonts w:hint="eastAsia" w:cs="Times New Roman"/>
        </w:rPr>
        <w:t>参照燃煤</w:t>
      </w:r>
      <w:r>
        <w:rPr>
          <w:rFonts w:cs="Times New Roman"/>
        </w:rPr>
        <w:t>锅炉规定排放浓度限值要求。</w:t>
      </w:r>
    </w:p>
    <w:p>
      <w:pPr>
        <w:pStyle w:val="3"/>
        <w:ind w:firstLine="480"/>
        <w:rPr>
          <w:rFonts w:cs="Times New Roman"/>
        </w:rPr>
      </w:pPr>
      <w:r>
        <w:rPr>
          <w:rFonts w:cs="Times New Roman"/>
        </w:rPr>
        <w:t>项目备用发电机以清洁能源（普通柴油），满足《普通柴油》（</w:t>
      </w:r>
      <w:r>
        <w:rPr>
          <w:rFonts w:eastAsia="TimesNewRomanPSMT" w:cs="Times New Roman"/>
        </w:rPr>
        <w:t>GB252-2015</w:t>
      </w:r>
      <w:r>
        <w:rPr>
          <w:rFonts w:cs="Times New Roman"/>
        </w:rPr>
        <w:t>）的规定，且使用时间少，尾气经专用烟道引到屋顶排放后，可达《大气污染物综合排放标准》（GB16297-1996）表2标准要求，对周围环境影响较小。</w:t>
      </w:r>
    </w:p>
    <w:p>
      <w:pPr>
        <w:pStyle w:val="3"/>
        <w:ind w:firstLine="480"/>
        <w:rPr>
          <w:rFonts w:cs="Times New Roman"/>
        </w:rPr>
      </w:pPr>
      <w:r>
        <w:rPr>
          <w:rFonts w:cs="Times New Roman"/>
        </w:rPr>
        <w:t>食堂油烟收集后经油烟净化器处理后经排烟竖井屋顶高考排放，最低去除效率要达到</w:t>
      </w:r>
      <w:r>
        <w:rPr>
          <w:rFonts w:eastAsia="TimesNewRomanPSMT" w:cs="Times New Roman"/>
        </w:rPr>
        <w:t>60%</w:t>
      </w:r>
      <w:r>
        <w:rPr>
          <w:rFonts w:cs="Times New Roman"/>
        </w:rPr>
        <w:t>，经处理的油烟引至楼顶高空排放。</w:t>
      </w:r>
    </w:p>
    <w:p>
      <w:pPr>
        <w:pStyle w:val="7"/>
        <w:rPr>
          <w:rFonts w:cs="Times New Roman"/>
        </w:rPr>
      </w:pPr>
      <w:r>
        <w:rPr>
          <w:rFonts w:cs="Times New Roman"/>
        </w:rPr>
        <w:t>噪声防治措施</w:t>
      </w:r>
    </w:p>
    <w:p>
      <w:pPr>
        <w:pStyle w:val="3"/>
        <w:ind w:firstLine="480"/>
        <w:rPr>
          <w:rFonts w:cs="Times New Roman"/>
        </w:rPr>
      </w:pPr>
      <w:r>
        <w:rPr>
          <w:rFonts w:cs="Times New Roman"/>
        </w:rPr>
        <w:t>本项目营运期间产生的噪声主要为生产设备运行噪声，属于机械式噪声，在采取墙壁隔声、底座减振、源头降噪等常用的噪声防治设施后，生产设备的噪声会得到很大程度的削减，本项目营运期厂界噪声可以达到《工业企业厂界环境噪声排放标准》（</w:t>
      </w:r>
      <w:r>
        <w:rPr>
          <w:rFonts w:eastAsia="TimesNewRomanPSMT" w:cs="Times New Roman"/>
        </w:rPr>
        <w:t>GB12348-2008</w:t>
      </w:r>
      <w:r>
        <w:rPr>
          <w:rFonts w:cs="Times New Roman"/>
        </w:rPr>
        <w:t>）</w:t>
      </w:r>
      <w:r>
        <w:rPr>
          <w:rFonts w:eastAsia="TimesNewRomanPSMT" w:cs="Times New Roman"/>
        </w:rPr>
        <w:t xml:space="preserve">2 </w:t>
      </w:r>
      <w:r>
        <w:rPr>
          <w:rFonts w:cs="Times New Roman"/>
        </w:rPr>
        <w:t>类。</w:t>
      </w:r>
    </w:p>
    <w:p>
      <w:pPr>
        <w:pStyle w:val="7"/>
        <w:rPr>
          <w:rFonts w:cs="Times New Roman"/>
        </w:rPr>
      </w:pPr>
      <w:r>
        <w:rPr>
          <w:rFonts w:cs="Times New Roman"/>
        </w:rPr>
        <w:t>固体废物防治措施</w:t>
      </w:r>
    </w:p>
    <w:p>
      <w:pPr>
        <w:pStyle w:val="3"/>
        <w:ind w:firstLine="480"/>
        <w:rPr>
          <w:rFonts w:cs="Times New Roman"/>
        </w:rPr>
      </w:pPr>
      <w:r>
        <w:rPr>
          <w:rFonts w:cs="Times New Roman"/>
        </w:rPr>
        <w:t>项目项目鸡粪收集运至鸡粪处理区，采用</w:t>
      </w:r>
      <w:r>
        <w:rPr>
          <w:rFonts w:hint="eastAsia" w:cs="Times New Roman"/>
        </w:rPr>
        <w:t>法国多赛干燥机直接生产</w:t>
      </w:r>
      <w:r>
        <w:rPr>
          <w:rFonts w:cs="Times New Roman"/>
        </w:rPr>
        <w:t>有机肥后外售。</w:t>
      </w:r>
      <w:r>
        <w:rPr>
          <w:rFonts w:hint="eastAsia" w:cs="Times New Roman"/>
          <w:u w:val="single"/>
        </w:rPr>
        <w:t>病死鸡</w:t>
      </w:r>
      <w:r>
        <w:rPr>
          <w:rFonts w:hint="eastAsia" w:ascii="宋体" w:hAnsi="宋体" w:cs="宋体"/>
          <w:kern w:val="0"/>
          <w:szCs w:val="24"/>
          <w:u w:val="single"/>
        </w:rPr>
        <w:t>委托</w:t>
      </w:r>
      <w:r>
        <w:rPr>
          <w:rFonts w:ascii="宋体" w:hAnsi="宋体" w:cs="宋体"/>
          <w:kern w:val="0"/>
          <w:szCs w:val="24"/>
          <w:u w:val="single"/>
        </w:rPr>
        <w:t>衡阳县畜牧水产局统一</w:t>
      </w:r>
      <w:r>
        <w:rPr>
          <w:rFonts w:hint="eastAsia" w:ascii="宋体" w:hAnsi="宋体" w:cs="宋体"/>
          <w:kern w:val="0"/>
          <w:szCs w:val="24"/>
          <w:u w:val="single"/>
        </w:rPr>
        <w:t>收集，再</w:t>
      </w:r>
      <w:r>
        <w:rPr>
          <w:rFonts w:ascii="宋体" w:hAnsi="宋体" w:cs="宋体"/>
          <w:kern w:val="0"/>
          <w:szCs w:val="24"/>
          <w:u w:val="single"/>
        </w:rPr>
        <w:t>运至衡阳</w:t>
      </w:r>
      <w:r>
        <w:rPr>
          <w:rFonts w:hint="eastAsia" w:ascii="宋体" w:hAnsi="宋体" w:cs="宋体"/>
          <w:kern w:val="0"/>
          <w:szCs w:val="24"/>
          <w:u w:val="single"/>
        </w:rPr>
        <w:t>市</w:t>
      </w:r>
      <w:r>
        <w:rPr>
          <w:rFonts w:ascii="宋体" w:hAnsi="宋体" w:cs="宋体"/>
          <w:kern w:val="0"/>
          <w:szCs w:val="24"/>
          <w:u w:val="single"/>
        </w:rPr>
        <w:t>禾和</w:t>
      </w:r>
      <w:r>
        <w:rPr>
          <w:rFonts w:hint="eastAsia" w:ascii="宋体" w:hAnsi="宋体" w:cs="宋体"/>
          <w:kern w:val="0"/>
          <w:szCs w:val="24"/>
          <w:u w:val="single"/>
        </w:rPr>
        <w:t>动物无害化处理有限</w:t>
      </w:r>
      <w:r>
        <w:rPr>
          <w:rFonts w:ascii="宋体" w:hAnsi="宋体" w:cs="宋体"/>
          <w:kern w:val="0"/>
          <w:szCs w:val="24"/>
          <w:u w:val="single"/>
        </w:rPr>
        <w:t>公司无害化处置</w:t>
      </w:r>
      <w:r>
        <w:rPr>
          <w:rFonts w:hint="eastAsia" w:cs="Times New Roman"/>
        </w:rPr>
        <w:t>，</w:t>
      </w:r>
      <w:r>
        <w:rPr>
          <w:rFonts w:cs="Times New Roman"/>
        </w:rPr>
        <w:t>蛋壳在</w:t>
      </w:r>
      <w:r>
        <w:rPr>
          <w:rFonts w:hint="eastAsia" w:cs="Times New Roman"/>
        </w:rPr>
        <w:t>破碎后</w:t>
      </w:r>
      <w:r>
        <w:rPr>
          <w:rFonts w:cs="Times New Roman"/>
        </w:rPr>
        <w:t>与鸡粪</w:t>
      </w:r>
      <w:r>
        <w:rPr>
          <w:rFonts w:hint="eastAsia" w:cs="Times New Roman"/>
        </w:rPr>
        <w:t>制成</w:t>
      </w:r>
      <w:r>
        <w:rPr>
          <w:rFonts w:cs="Times New Roman"/>
        </w:rPr>
        <w:t>有机肥外售。</w:t>
      </w:r>
    </w:p>
    <w:p>
      <w:pPr>
        <w:pStyle w:val="3"/>
        <w:ind w:firstLine="480"/>
      </w:pPr>
      <w:r>
        <w:rPr>
          <w:rFonts w:cs="Times New Roman"/>
        </w:rPr>
        <w:t>废包装物料由生产商回收；医疗垃圾交由有医疗垃圾处理资质的单位处置；生活垃圾交由环卫部门统一收集处理，不外排</w:t>
      </w:r>
      <w:r>
        <w:rPr>
          <w:rFonts w:hint="eastAsia" w:cs="Times New Roman"/>
        </w:rPr>
        <w:t>；</w:t>
      </w:r>
      <w:r>
        <w:rPr>
          <w:rFonts w:hint="eastAsia"/>
        </w:rPr>
        <w:t>锅炉灰渣及布袋除尘器的颗粒物，收集后袋装作为农肥。</w:t>
      </w:r>
    </w:p>
    <w:p>
      <w:pPr>
        <w:pStyle w:val="5"/>
      </w:pPr>
      <w:bookmarkStart w:id="98" w:name="_Toc80889113"/>
      <w:r>
        <w:rPr>
          <w:rFonts w:hint="eastAsia"/>
        </w:rPr>
        <w:t>项目</w:t>
      </w:r>
      <w:r>
        <w:t>建设可行性分析</w:t>
      </w:r>
      <w:bookmarkEnd w:id="98"/>
    </w:p>
    <w:p>
      <w:pPr>
        <w:pStyle w:val="6"/>
      </w:pPr>
      <w:r>
        <w:t>产业政策符合性分析</w:t>
      </w:r>
    </w:p>
    <w:p>
      <w:pPr>
        <w:pStyle w:val="3"/>
        <w:ind w:firstLine="480"/>
      </w:pPr>
      <w:r>
        <w:t>本项目属于《产业结构调整指导目录（</w:t>
      </w:r>
      <w:r>
        <w:rPr>
          <w:rFonts w:hint="eastAsia"/>
        </w:rPr>
        <w:t>2019</w:t>
      </w:r>
      <w:r>
        <w:t>年本）中的第一类：</w:t>
      </w:r>
      <w:r>
        <w:rPr>
          <w:rFonts w:hint="eastAsia"/>
        </w:rPr>
        <w:t>“</w:t>
      </w:r>
      <w:r>
        <w:t>鼓励类中的第一大类</w:t>
      </w:r>
      <w:r>
        <w:rPr>
          <w:rFonts w:hint="eastAsia"/>
        </w:rPr>
        <w:t>“</w:t>
      </w:r>
      <w:r>
        <w:t>农林业</w:t>
      </w:r>
      <w:r>
        <w:rPr>
          <w:rFonts w:hint="eastAsia"/>
        </w:rPr>
        <w:t>”</w:t>
      </w:r>
      <w:r>
        <w:t>中第</w:t>
      </w:r>
      <w:r>
        <w:rPr>
          <w:rFonts w:hint="eastAsia"/>
        </w:rPr>
        <w:t>4</w:t>
      </w:r>
      <w:r>
        <w:t>项畜禽标准化规模养殖技术开发与应用</w:t>
      </w:r>
      <w:r>
        <w:rPr>
          <w:rFonts w:hint="eastAsia"/>
        </w:rPr>
        <w:t>”</w:t>
      </w:r>
      <w:r>
        <w:t>，</w:t>
      </w:r>
      <w:r>
        <w:rPr>
          <w:rFonts w:hint="eastAsia"/>
        </w:rPr>
        <w:t>因此，</w:t>
      </w:r>
      <w:r>
        <w:t>本项目符合国家产业政策要求。</w:t>
      </w:r>
    </w:p>
    <w:p>
      <w:pPr>
        <w:pStyle w:val="6"/>
        <w:rPr>
          <w:lang w:val="zh-CN"/>
        </w:rPr>
      </w:pPr>
      <w:r>
        <w:t>选址可行性分析</w:t>
      </w:r>
    </w:p>
    <w:p>
      <w:pPr>
        <w:pStyle w:val="3"/>
        <w:ind w:firstLine="480"/>
      </w:pPr>
      <w:r>
        <w:rPr>
          <w:rFonts w:hint="eastAsia"/>
          <w:lang w:val="zh-CN"/>
        </w:rPr>
        <w:t>本项目符合</w:t>
      </w:r>
      <w:r>
        <w:rPr>
          <w:lang w:val="zh-CN"/>
        </w:rPr>
        <w:t>《畜禽养殖业污染防治技术规范》（HJ/T81-2001）中选址要求</w:t>
      </w:r>
      <w:r>
        <w:rPr>
          <w:rFonts w:hint="eastAsia"/>
          <w:lang w:val="zh-CN"/>
        </w:rPr>
        <w:t>、</w:t>
      </w:r>
      <w:r>
        <w:rPr>
          <w:lang w:val="zh-CN"/>
        </w:rPr>
        <w:t>符合《畜禽养殖产地环境评价规范》（HJ568-2010）中环境质量要求</w:t>
      </w:r>
      <w:r>
        <w:rPr>
          <w:rFonts w:hint="eastAsia"/>
          <w:lang w:val="zh-CN"/>
        </w:rPr>
        <w:t>、</w:t>
      </w:r>
      <w:r>
        <w:rPr>
          <w:lang w:val="zh-CN"/>
        </w:rPr>
        <w:t>符合《畜禽养殖业污染治理工程技术规范》（HJ 497-2009）的相关要求</w:t>
      </w:r>
      <w:r>
        <w:rPr>
          <w:rFonts w:hint="eastAsia"/>
          <w:lang w:val="zh-CN"/>
        </w:rPr>
        <w:t>、</w:t>
      </w:r>
      <w:r>
        <w:rPr>
          <w:rFonts w:hint="eastAsia"/>
        </w:rPr>
        <w:t>符合</w:t>
      </w:r>
      <w:r>
        <w:t>《畜禽规模养殖污染防治条例》、《畜禽养殖污染防治管理办法》及《畜禽养殖业污染防治技术规范》（HJ/T81-2001）等国家法律及行业规范中对畜禽养殖场场址选择的相关要求</w:t>
      </w:r>
      <w:r>
        <w:rPr>
          <w:rFonts w:hint="eastAsia"/>
        </w:rPr>
        <w:t>。</w:t>
      </w:r>
    </w:p>
    <w:p>
      <w:pPr>
        <w:pStyle w:val="3"/>
        <w:ind w:firstLine="480"/>
      </w:pPr>
      <w:r>
        <w:t>本项目已在</w:t>
      </w:r>
      <w:r>
        <w:rPr>
          <w:rFonts w:hint="eastAsia"/>
        </w:rPr>
        <w:t>湖南省</w:t>
      </w:r>
      <w:r>
        <w:t>投资项目在线审批监管平台备案成功</w:t>
      </w:r>
      <w:r>
        <w:rPr>
          <w:rFonts w:hint="eastAsia"/>
        </w:rPr>
        <w:t>并取得</w:t>
      </w:r>
      <w:r>
        <w:t>衡</w:t>
      </w:r>
      <w:r>
        <w:rPr>
          <w:rFonts w:hint="eastAsia"/>
        </w:rPr>
        <w:t>阳</w:t>
      </w:r>
      <w:r>
        <w:t>县发展和改革局的</w:t>
      </w:r>
      <w:r>
        <w:rPr>
          <w:rFonts w:hint="eastAsia"/>
        </w:rPr>
        <w:t>备案</w:t>
      </w:r>
      <w:r>
        <w:t>证明材料。</w:t>
      </w:r>
    </w:p>
    <w:p>
      <w:pPr>
        <w:pStyle w:val="3"/>
        <w:ind w:firstLine="480"/>
      </w:pPr>
      <w:r>
        <w:rPr>
          <w:rFonts w:hint="eastAsia"/>
        </w:rPr>
        <w:t>因此项目选址可行。</w:t>
      </w:r>
    </w:p>
    <w:p>
      <w:pPr>
        <w:pStyle w:val="6"/>
      </w:pPr>
      <w:r>
        <w:rPr>
          <w:rFonts w:hint="eastAsia"/>
        </w:rPr>
        <w:t>平面布置合理性</w:t>
      </w:r>
    </w:p>
    <w:p>
      <w:pPr>
        <w:pStyle w:val="3"/>
        <w:ind w:firstLine="480"/>
        <w:rPr>
          <w:lang w:val="zh-CN"/>
        </w:rPr>
      </w:pPr>
      <w:r>
        <w:rPr>
          <w:lang w:val="zh-CN"/>
        </w:rPr>
        <w:t>本项目的总平面布置是根据养殖工艺流程，结合场地自然条件及各建、构筑物对防火、卫生、安全的要求，</w:t>
      </w:r>
      <w:r>
        <w:rPr>
          <w:rFonts w:hint="eastAsia"/>
          <w:lang w:val="zh-CN"/>
        </w:rPr>
        <w:t>养殖场、饲料加工厂及有机物处置设施区功能明确，</w:t>
      </w:r>
      <w:r>
        <w:rPr>
          <w:lang w:val="zh-CN"/>
        </w:rPr>
        <w:t>场区布局较为合理，符合《畜禽养殖业污染治理工程技术规范》（HJ/</w:t>
      </w:r>
      <w:r>
        <w:t>497</w:t>
      </w:r>
      <w:r>
        <w:rPr>
          <w:lang w:val="zh-CN"/>
        </w:rPr>
        <w:t>-200</w:t>
      </w:r>
      <w:r>
        <w:t>9</w:t>
      </w:r>
      <w:r>
        <w:rPr>
          <w:lang w:val="zh-CN"/>
        </w:rPr>
        <w:t>）的规定。</w:t>
      </w:r>
      <w:r>
        <w:rPr>
          <w:rFonts w:hint="eastAsia"/>
          <w:lang w:val="zh-CN"/>
        </w:rPr>
        <w:t>因此</w:t>
      </w:r>
      <w:r>
        <w:rPr>
          <w:lang w:val="zh-CN"/>
        </w:rPr>
        <w:t>，从环境保护的角度分析本项目的平面布置基本合理。</w:t>
      </w:r>
    </w:p>
    <w:p>
      <w:pPr>
        <w:pStyle w:val="6"/>
      </w:pPr>
      <w:r>
        <w:rPr>
          <w:rFonts w:hint="eastAsia"/>
        </w:rPr>
        <w:t>“</w:t>
      </w:r>
      <w:r>
        <w:t>三线一单</w:t>
      </w:r>
      <w:r>
        <w:rPr>
          <w:rFonts w:hint="eastAsia"/>
        </w:rPr>
        <w:t>”符合性</w:t>
      </w:r>
      <w:r>
        <w:t>分析</w:t>
      </w:r>
    </w:p>
    <w:p>
      <w:pPr>
        <w:pStyle w:val="3"/>
        <w:ind w:firstLine="480"/>
      </w:pPr>
      <w:r>
        <w:rPr>
          <w:rFonts w:hint="eastAsia"/>
        </w:rPr>
        <w:t>项目不在衡阳县生态红线范围内，在</w:t>
      </w:r>
      <w:r>
        <w:rPr>
          <w:lang w:val="zh-CN"/>
        </w:rPr>
        <w:t>相关污染防治措施和污染物排放控制要求</w:t>
      </w:r>
      <w:r>
        <w:rPr>
          <w:rFonts w:hint="eastAsia"/>
          <w:lang w:val="zh-CN"/>
        </w:rPr>
        <w:t>下</w:t>
      </w:r>
      <w:r>
        <w:rPr>
          <w:lang w:val="zh-CN"/>
        </w:rPr>
        <w:t>，</w:t>
      </w:r>
      <w:r>
        <w:rPr>
          <w:rFonts w:hint="eastAsia"/>
        </w:rPr>
        <w:t>不会改变区域环境质量功能区划，满足区域环境质量底线控制要求，</w:t>
      </w:r>
      <w:r>
        <w:rPr>
          <w:lang w:val="zh-CN"/>
        </w:rPr>
        <w:t>不会突破资源利用上线</w:t>
      </w:r>
      <w:r>
        <w:rPr>
          <w:rFonts w:hint="eastAsia"/>
          <w:lang w:val="zh-CN"/>
        </w:rPr>
        <w:t>，不属于</w:t>
      </w:r>
      <w:r>
        <w:rPr>
          <w:lang w:val="zh-CN"/>
        </w:rPr>
        <w:t>环境准入负面清单</w:t>
      </w:r>
      <w:r>
        <w:rPr>
          <w:rFonts w:hint="eastAsia"/>
          <w:lang w:val="zh-CN"/>
        </w:rPr>
        <w:t>内的项目，因此，项目符合</w:t>
      </w:r>
      <w:r>
        <w:rPr>
          <w:rFonts w:hint="eastAsia"/>
        </w:rPr>
        <w:t>“</w:t>
      </w:r>
      <w:r>
        <w:t>三线一单</w:t>
      </w:r>
      <w:r>
        <w:rPr>
          <w:rFonts w:hint="eastAsia"/>
        </w:rPr>
        <w:t>”。</w:t>
      </w:r>
    </w:p>
    <w:p>
      <w:pPr>
        <w:pStyle w:val="5"/>
      </w:pPr>
      <w:bookmarkStart w:id="99" w:name="_Toc80889114"/>
      <w:r>
        <w:rPr>
          <w:rFonts w:hint="eastAsia"/>
        </w:rPr>
        <w:t>项目</w:t>
      </w:r>
      <w:r>
        <w:t>制约因素及解决办法</w:t>
      </w:r>
      <w:bookmarkEnd w:id="99"/>
    </w:p>
    <w:p>
      <w:pPr>
        <w:pStyle w:val="3"/>
        <w:ind w:firstLine="480"/>
        <w:rPr>
          <w:rFonts w:cs="Times New Roman"/>
        </w:rPr>
      </w:pPr>
      <w:r>
        <w:rPr>
          <w:rFonts w:hint="eastAsia" w:cs="Times New Roman"/>
        </w:rPr>
        <w:t>制约因素：</w:t>
      </w:r>
      <w:r>
        <w:rPr>
          <w:rFonts w:cs="Times New Roman"/>
        </w:rPr>
        <w:t>根据现场踏勘，本项目场界周边100m范围</w:t>
      </w:r>
      <w:r>
        <w:rPr>
          <w:rFonts w:hint="eastAsia" w:cs="Times New Roman"/>
        </w:rPr>
        <w:t>有</w:t>
      </w:r>
      <w:r>
        <w:rPr>
          <w:rFonts w:cs="Times New Roman"/>
        </w:rPr>
        <w:t>5</w:t>
      </w:r>
      <w:r>
        <w:rPr>
          <w:rFonts w:hint="eastAsia" w:cs="Times New Roman"/>
        </w:rPr>
        <w:t>户</w:t>
      </w:r>
      <w:r>
        <w:rPr>
          <w:rFonts w:cs="Times New Roman"/>
        </w:rPr>
        <w:t>住户居住</w:t>
      </w:r>
      <w:r>
        <w:rPr>
          <w:rFonts w:hint="eastAsia" w:cs="Times New Roman"/>
        </w:rPr>
        <w:t>；</w:t>
      </w:r>
    </w:p>
    <w:p>
      <w:pPr>
        <w:pStyle w:val="3"/>
        <w:ind w:firstLine="480"/>
        <w:rPr>
          <w:rFonts w:cs="Times New Roman"/>
        </w:rPr>
      </w:pPr>
      <w:r>
        <w:rPr>
          <w:rFonts w:hint="eastAsia" w:cs="Times New Roman"/>
        </w:rPr>
        <w:t>解决办法：目前建设单位正在与卫生防护距离内的住户签订租赁合同，待房屋租赁合同签订完成后</w:t>
      </w:r>
      <w:r>
        <w:rPr>
          <w:rFonts w:cs="Times New Roman"/>
        </w:rPr>
        <w:t>；本项目无明显的环境制约因素。</w:t>
      </w:r>
    </w:p>
    <w:p>
      <w:pPr>
        <w:pStyle w:val="5"/>
      </w:pPr>
      <w:bookmarkStart w:id="100" w:name="_Toc80889115"/>
      <w:r>
        <w:rPr>
          <w:rFonts w:hint="eastAsia"/>
        </w:rPr>
        <w:t>评价</w:t>
      </w:r>
      <w:r>
        <w:t>总体结论</w:t>
      </w:r>
      <w:bookmarkEnd w:id="100"/>
    </w:p>
    <w:p>
      <w:pPr>
        <w:pStyle w:val="3"/>
        <w:ind w:firstLine="480"/>
        <w:rPr>
          <w:rFonts w:cs="Times New Roman"/>
        </w:rPr>
      </w:pPr>
      <w:r>
        <w:rPr>
          <w:rFonts w:cs="Times New Roman"/>
        </w:rPr>
        <w:t>项目的建设符合当前国家产业政策，选址可行；工程工艺合理，工程的建设符合有关规定和要求；本报告对建设项目拟建地址及其周围地区进行了环境质量现状监测、调查与评价；对项目的排污负荷进行了估算，预测了该项目外排污染物对周围环境可能产生的影响，并提出了相应的污染防治措施及对策；对本项目的风险影响进行了定性与定量分析，提出了风险事故防范与应急措施。</w:t>
      </w:r>
    </w:p>
    <w:p>
      <w:pPr>
        <w:pStyle w:val="3"/>
        <w:ind w:firstLine="480"/>
        <w:rPr>
          <w:rFonts w:cs="Times New Roman"/>
        </w:rPr>
      </w:pPr>
      <w:r>
        <w:rPr>
          <w:rFonts w:cs="Times New Roman"/>
        </w:rPr>
        <w:t>综上所述，建设单位必须严格遵守“三同时”的管理规定，完成各项报建手续，落实本评价报告中所提出的环保措施和建议，确保环保处理设施正常使用和运行，同时进一步加强废气的治理工作，环境保护治理设施必须经过有关环保管理部门的认可和验收，生产方可正常营运，同时加强大气污染物排放、水污染物及厂界噪声达标排放监控管理，做到达标排放，确保本项目所在区域的环境质量不因本项目的建设而受到不良影响，真正实现环境保护与经济建设的可持续协调发展。项目建成后，进一步提高清洁生产水平，使项目建成后对环境影响减少到最低限度；加强风险事故的预防和管理，认真执行防止危险品泄漏的规范和各项措施，严格执行“减小事故危害的措施、应急计划”，避免污染环境。</w:t>
      </w:r>
    </w:p>
    <w:p>
      <w:pPr>
        <w:pStyle w:val="3"/>
        <w:ind w:firstLine="480"/>
      </w:pPr>
      <w:r>
        <w:rPr>
          <w:rFonts w:cs="Times New Roman"/>
        </w:rPr>
        <w:t>在完成以上工作程序和落实本报告提出的各项环保措施、风险防范措施的基础上，从环境保护角度而言，该项目的建设是可行的。</w:t>
      </w:r>
    </w:p>
    <w:p>
      <w:pPr>
        <w:pStyle w:val="5"/>
      </w:pPr>
      <w:bookmarkStart w:id="101" w:name="_Toc80889116"/>
      <w:r>
        <w:rPr>
          <w:rFonts w:hint="eastAsia"/>
        </w:rPr>
        <w:t>建议</w:t>
      </w:r>
      <w:bookmarkEnd w:id="101"/>
    </w:p>
    <w:p>
      <w:pPr>
        <w:pStyle w:val="3"/>
        <w:ind w:firstLine="480"/>
        <w:rPr>
          <w:rFonts w:cs="Times New Roman"/>
        </w:rPr>
      </w:pPr>
      <w:r>
        <w:rPr>
          <w:rFonts w:cs="Times New Roman"/>
        </w:rPr>
        <w:t>为保护环境进一步改善环境质量，针对本项目完成后的具体情况，提出以下建议：</w:t>
      </w:r>
    </w:p>
    <w:p>
      <w:pPr>
        <w:pStyle w:val="3"/>
        <w:ind w:firstLine="480"/>
        <w:rPr>
          <w:rFonts w:cs="Times New Roman"/>
        </w:rPr>
      </w:pPr>
      <w:r>
        <w:rPr>
          <w:rFonts w:cs="Times New Roman"/>
        </w:rPr>
        <w:t>（1）建设单位须严格执行环境保护“三同时”制度，要保证足够的环保资金，落实本环评提出的各项治理措施，并严格接受环保主管部门对其环境保护工作的日常监督。</w:t>
      </w:r>
    </w:p>
    <w:p>
      <w:pPr>
        <w:pStyle w:val="3"/>
        <w:ind w:firstLine="480"/>
        <w:rPr>
          <w:rFonts w:cs="Times New Roman"/>
        </w:rPr>
      </w:pPr>
      <w:r>
        <w:rPr>
          <w:rFonts w:cs="Times New Roman"/>
        </w:rPr>
        <w:t>（2）加强厂区绿化，建设单位在委托设计绿化方案时，可向设计单位提出要尽量选用对恶臭气体吸附效果好的树种的要求，并向设计单位提出，在恶臭源附近适当的位置种植。</w:t>
      </w:r>
    </w:p>
    <w:p>
      <w:pPr>
        <w:pStyle w:val="3"/>
        <w:ind w:firstLine="480"/>
        <w:rPr>
          <w:rFonts w:cs="Times New Roman"/>
        </w:rPr>
      </w:pPr>
      <w:r>
        <w:rPr>
          <w:rFonts w:cs="Times New Roman"/>
        </w:rPr>
        <w:t xml:space="preserve">（3）建设单位应搞好厂区卫生，发现病死鸡要及时无害化处理，严禁随意丢弃，严禁出售或作为饲料再利用。 </w:t>
      </w:r>
    </w:p>
    <w:p>
      <w:pPr>
        <w:pStyle w:val="3"/>
        <w:ind w:firstLine="480"/>
        <w:rPr>
          <w:rFonts w:cs="Times New Roman"/>
        </w:rPr>
      </w:pPr>
      <w:r>
        <w:rPr>
          <w:rFonts w:cs="Times New Roman"/>
        </w:rPr>
        <w:t>（4）建设单位应加强环保管理，建立健全各项环保管理规章制度、操作规程和环保台帐，切实加强“三废”管理，将其对环境的影响降至最低。同时，加强项目各项污染源控制设施/设备的运行管理，确保工程污染治理效果。</w:t>
      </w:r>
    </w:p>
    <w:p>
      <w:pPr>
        <w:pStyle w:val="3"/>
        <w:ind w:firstLine="480"/>
        <w:rPr>
          <w:rFonts w:cs="Times New Roman"/>
        </w:rPr>
      </w:pPr>
      <w:r>
        <w:rPr>
          <w:rFonts w:cs="Times New Roman"/>
        </w:rPr>
        <w:t>（5）建设单位加强环保宣传，提高职工环保意识，并与周边居民、单位密切联系，处理好和人民群众的关系，广泛听取意见和建议，并有效落实。</w:t>
      </w:r>
    </w:p>
    <w:p>
      <w:pPr>
        <w:pStyle w:val="3"/>
        <w:ind w:firstLine="480"/>
        <w:rPr>
          <w:rFonts w:cs="Times New Roman"/>
        </w:rPr>
      </w:pPr>
      <w:r>
        <w:rPr>
          <w:rFonts w:cs="Times New Roman"/>
        </w:rPr>
        <w:t>（</w:t>
      </w:r>
      <w:r>
        <w:rPr>
          <w:rFonts w:eastAsia="TimesNewRomanPSMT" w:cs="Times New Roman"/>
        </w:rPr>
        <w:t>6</w:t>
      </w:r>
      <w:r>
        <w:rPr>
          <w:rFonts w:cs="Times New Roman"/>
        </w:rPr>
        <w:t>）公司应建立健全的环境保护制度，加强各环保设施的维修、保养及管理，确保治污设施的正常运转。</w:t>
      </w:r>
    </w:p>
    <w:p>
      <w:pPr>
        <w:pStyle w:val="3"/>
        <w:ind w:firstLine="480"/>
      </w:pPr>
    </w:p>
    <w:sectPr>
      <w:footerReference r:id="rId8" w:type="default"/>
      <w:pgSz w:w="11906" w:h="16838"/>
      <w:pgMar w:top="1474" w:right="1361" w:bottom="1474" w:left="1588"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EFF" w:usb1="C0007843" w:usb2="00000009" w:usb3="00000000" w:csb0="400001FF" w:csb1="FFFF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 w:name="Segoe UI Symbol">
    <w:panose1 w:val="020B0502040204020203"/>
    <w:charset w:val="00"/>
    <w:family w:val="swiss"/>
    <w:pitch w:val="default"/>
    <w:sig w:usb0="800001E3" w:usb1="1200FFEF" w:usb2="00040000" w:usb3="04000000" w:csb0="00000001" w:csb1="40000000"/>
  </w:font>
  <w:font w:name="TimesNewRomanPSMT">
    <w:altName w:val="等线"/>
    <w:panose1 w:val="00000000000000000000"/>
    <w:charset w:val="86"/>
    <w:family w:val="auto"/>
    <w:pitch w:val="default"/>
    <w:sig w:usb0="00000000" w:usb1="00000000" w:usb2="00000000" w:usb3="00000000" w:csb0="00040000" w:csb1="00000000"/>
  </w:font>
  <w:font w:name="TimesNewRomanPS-BoldM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12888583"/>
      <w:docPartObj>
        <w:docPartGallery w:val="AutoText"/>
      </w:docPartObj>
    </w:sdtPr>
    <w:sdtEndPr>
      <w:rPr>
        <w:rStyle w:val="29"/>
      </w:rPr>
    </w:sdtEndPr>
    <w:sdtContent>
      <w:p>
        <w:pPr>
          <w:pStyle w:val="20"/>
          <w:jc w:val="center"/>
          <w:rPr>
            <w:rStyle w:val="29"/>
            <w:rFonts w:eastAsia="宋体"/>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9421673"/>
      <w:docPartObj>
        <w:docPartGallery w:val="AutoText"/>
      </w:docPartObj>
    </w:sdtPr>
    <w:sdtEndPr>
      <w:rPr>
        <w:rStyle w:val="29"/>
      </w:rPr>
    </w:sdtEndPr>
    <w:sdtContent>
      <w:p>
        <w:pPr>
          <w:pStyle w:val="20"/>
          <w:jc w:val="center"/>
          <w:rPr>
            <w:rStyle w:val="29"/>
            <w:rFonts w:eastAsia="宋体"/>
          </w:rPr>
        </w:pPr>
        <w:r>
          <w:rPr>
            <w:rStyle w:val="29"/>
            <w:rFonts w:eastAsia="宋体"/>
          </w:rPr>
          <w:fldChar w:fldCharType="begin"/>
        </w:r>
        <w:r>
          <w:rPr>
            <w:rStyle w:val="29"/>
            <w:rFonts w:eastAsia="宋体"/>
          </w:rPr>
          <w:instrText xml:space="preserve">PAGE   \* MERGEFORMAT</w:instrText>
        </w:r>
        <w:r>
          <w:rPr>
            <w:rStyle w:val="29"/>
            <w:rFonts w:eastAsia="宋体"/>
          </w:rPr>
          <w:fldChar w:fldCharType="separate"/>
        </w:r>
        <w:r>
          <w:rPr>
            <w:rStyle w:val="29"/>
            <w:rFonts w:eastAsia="宋体"/>
            <w:lang w:val="zh-CN"/>
          </w:rPr>
          <w:t>III</w:t>
        </w:r>
        <w:r>
          <w:rPr>
            <w:rStyle w:val="29"/>
            <w:rFonts w:eastAsia="宋体"/>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62618086"/>
      <w:docPartObj>
        <w:docPartGallery w:val="AutoText"/>
      </w:docPartObj>
    </w:sdtPr>
    <w:sdtEndPr>
      <w:rPr>
        <w:rStyle w:val="29"/>
      </w:rPr>
    </w:sdtEndPr>
    <w:sdtContent>
      <w:p>
        <w:pPr>
          <w:pStyle w:val="20"/>
          <w:jc w:val="center"/>
          <w:rPr>
            <w:rStyle w:val="29"/>
            <w:rFonts w:eastAsia="宋体"/>
          </w:rPr>
        </w:pPr>
        <w:r>
          <w:rPr>
            <w:rStyle w:val="29"/>
            <w:rFonts w:eastAsia="宋体"/>
          </w:rPr>
          <w:fldChar w:fldCharType="begin"/>
        </w:r>
        <w:r>
          <w:rPr>
            <w:rStyle w:val="29"/>
            <w:rFonts w:eastAsia="宋体"/>
          </w:rPr>
          <w:instrText xml:space="preserve">PAGE   \* MERGEFORMAT</w:instrText>
        </w:r>
        <w:r>
          <w:rPr>
            <w:rStyle w:val="29"/>
            <w:rFonts w:eastAsia="宋体"/>
          </w:rPr>
          <w:fldChar w:fldCharType="separate"/>
        </w:r>
        <w:r>
          <w:rPr>
            <w:rStyle w:val="29"/>
            <w:rFonts w:eastAsia="宋体"/>
            <w:lang w:val="zh-CN"/>
          </w:rPr>
          <w:t>53</w:t>
        </w:r>
        <w:r>
          <w:rPr>
            <w:rStyle w:val="29"/>
            <w:rFonts w:eastAsia="宋体"/>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rFonts w:hint="eastAsia" w:cs="Times New Roman"/>
      </w:rPr>
      <w:t>湖南安发</w:t>
    </w:r>
    <w:r>
      <w:rPr>
        <w:rFonts w:cs="Times New Roman"/>
      </w:rPr>
      <w:t>原生态农业旅游开发有限公司养鸡场项目</w:t>
    </w:r>
    <w:r>
      <w:rPr>
        <w:rFonts w:hint="eastAsia" w:cs="Times New Roman"/>
      </w:rPr>
      <w:t>环境</w:t>
    </w:r>
    <w:r>
      <w:rPr>
        <w:rFonts w:cs="Times New Roman"/>
      </w:rPr>
      <w:t>影响报告书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8"/>
    <w:multiLevelType w:val="singleLevel"/>
    <w:tmpl w:val="FFFFFF88"/>
    <w:lvl w:ilvl="0" w:tentative="0">
      <w:start w:val="1"/>
      <w:numFmt w:val="lowerLetter"/>
      <w:pStyle w:val="13"/>
      <w:lvlText w:val="%1)"/>
      <w:lvlJc w:val="left"/>
      <w:pPr>
        <w:ind w:left="63" w:hanging="420"/>
      </w:pPr>
    </w:lvl>
  </w:abstractNum>
  <w:abstractNum w:abstractNumId="1">
    <w:nsid w:val="FFFFFF89"/>
    <w:multiLevelType w:val="singleLevel"/>
    <w:tmpl w:val="FFFFFF89"/>
    <w:lvl w:ilvl="0" w:tentative="0">
      <w:start w:val="1"/>
      <w:numFmt w:val="bullet"/>
      <w:pStyle w:val="16"/>
      <w:lvlText w:val=""/>
      <w:lvlJc w:val="left"/>
      <w:pPr>
        <w:tabs>
          <w:tab w:val="left" w:pos="360"/>
        </w:tabs>
        <w:ind w:left="360" w:hanging="360" w:hangingChars="200"/>
      </w:pPr>
      <w:rPr>
        <w:rFonts w:hint="default" w:ascii="Wingdings" w:hAnsi="Wingdings"/>
      </w:rPr>
    </w:lvl>
  </w:abstractNum>
  <w:abstractNum w:abstractNumId="2">
    <w:nsid w:val="0891592B"/>
    <w:multiLevelType w:val="multilevel"/>
    <w:tmpl w:val="0891592B"/>
    <w:lvl w:ilvl="0" w:tentative="0">
      <w:start w:val="1"/>
      <w:numFmt w:val="decimal"/>
      <w:pStyle w:val="2"/>
      <w:lvlText w:val="%1"/>
      <w:lvlJc w:val="left"/>
      <w:pPr>
        <w:ind w:left="432" w:hanging="432"/>
      </w:pPr>
    </w:lvl>
    <w:lvl w:ilvl="1" w:tentative="0">
      <w:start w:val="1"/>
      <w:numFmt w:val="decimal"/>
      <w:pStyle w:val="5"/>
      <w:lvlText w:val="%1.%2"/>
      <w:lvlJc w:val="left"/>
      <w:pPr>
        <w:ind w:left="576" w:hanging="576"/>
      </w:pPr>
    </w:lvl>
    <w:lvl w:ilvl="2" w:tentative="0">
      <w:start w:val="1"/>
      <w:numFmt w:val="decimal"/>
      <w:pStyle w:val="6"/>
      <w:lvlText w:val="%1.%2.%3"/>
      <w:lvlJc w:val="left"/>
      <w:pPr>
        <w:ind w:left="720" w:hanging="720"/>
      </w:pPr>
    </w:lvl>
    <w:lvl w:ilvl="3" w:tentative="0">
      <w:start w:val="1"/>
      <w:numFmt w:val="decimal"/>
      <w:pStyle w:val="7"/>
      <w:lvlText w:val="%1.%2.%3.%4"/>
      <w:lvlJc w:val="left"/>
      <w:pPr>
        <w:ind w:left="1148" w:hanging="864"/>
      </w:pPr>
    </w:lvl>
    <w:lvl w:ilvl="4" w:tentative="0">
      <w:start w:val="1"/>
      <w:numFmt w:val="decimal"/>
      <w:pStyle w:val="8"/>
      <w:lvlText w:val="%1.%2.%3.%4.%5"/>
      <w:lvlJc w:val="left"/>
      <w:pPr>
        <w:ind w:left="1008" w:hanging="1008"/>
      </w:pPr>
    </w:lvl>
    <w:lvl w:ilvl="5" w:tentative="0">
      <w:start w:val="1"/>
      <w:numFmt w:val="decimal"/>
      <w:pStyle w:val="9"/>
      <w:lvlText w:val="%1.%2.%3.%4.%5.%6"/>
      <w:lvlJc w:val="left"/>
      <w:pPr>
        <w:ind w:left="1152" w:hanging="1152"/>
      </w:pPr>
    </w:lvl>
    <w:lvl w:ilvl="6" w:tentative="0">
      <w:start w:val="1"/>
      <w:numFmt w:val="decimal"/>
      <w:pStyle w:val="10"/>
      <w:lvlText w:val="%1.%2.%3.%4.%5.%6.%7"/>
      <w:lvlJc w:val="left"/>
      <w:pPr>
        <w:ind w:left="1296" w:hanging="1296"/>
      </w:pPr>
    </w:lvl>
    <w:lvl w:ilvl="7" w:tentative="0">
      <w:start w:val="1"/>
      <w:numFmt w:val="decimal"/>
      <w:pStyle w:val="11"/>
      <w:lvlText w:val="%1.%2.%3.%4.%5.%6.%7.%8"/>
      <w:lvlJc w:val="left"/>
      <w:pPr>
        <w:ind w:left="1440" w:hanging="1440"/>
      </w:pPr>
    </w:lvl>
    <w:lvl w:ilvl="8" w:tentative="0">
      <w:start w:val="1"/>
      <w:numFmt w:val="decimal"/>
      <w:pStyle w:val="12"/>
      <w:lvlText w:val="%1.%2.%3.%4.%5.%6.%7.%8.%9"/>
      <w:lvlJc w:val="left"/>
      <w:pPr>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B32"/>
    <w:rsid w:val="00003D63"/>
    <w:rsid w:val="00013D3C"/>
    <w:rsid w:val="000404DB"/>
    <w:rsid w:val="000422F6"/>
    <w:rsid w:val="00042382"/>
    <w:rsid w:val="00042CB8"/>
    <w:rsid w:val="0005389C"/>
    <w:rsid w:val="00067964"/>
    <w:rsid w:val="0007080C"/>
    <w:rsid w:val="00073155"/>
    <w:rsid w:val="00082579"/>
    <w:rsid w:val="00083D32"/>
    <w:rsid w:val="00085153"/>
    <w:rsid w:val="000869A9"/>
    <w:rsid w:val="00086FF3"/>
    <w:rsid w:val="00094F27"/>
    <w:rsid w:val="00095937"/>
    <w:rsid w:val="000A01A3"/>
    <w:rsid w:val="000A3C82"/>
    <w:rsid w:val="000B0783"/>
    <w:rsid w:val="000B4AD9"/>
    <w:rsid w:val="000B691A"/>
    <w:rsid w:val="000C0F5C"/>
    <w:rsid w:val="000D397A"/>
    <w:rsid w:val="000E043D"/>
    <w:rsid w:val="000E4091"/>
    <w:rsid w:val="000E77E4"/>
    <w:rsid w:val="000F2262"/>
    <w:rsid w:val="000F6CEF"/>
    <w:rsid w:val="00103F0D"/>
    <w:rsid w:val="001044F6"/>
    <w:rsid w:val="00107E0F"/>
    <w:rsid w:val="00114648"/>
    <w:rsid w:val="00114BB3"/>
    <w:rsid w:val="0011603E"/>
    <w:rsid w:val="00131551"/>
    <w:rsid w:val="00131B45"/>
    <w:rsid w:val="0014068A"/>
    <w:rsid w:val="001452C6"/>
    <w:rsid w:val="001457F0"/>
    <w:rsid w:val="00146634"/>
    <w:rsid w:val="001518EC"/>
    <w:rsid w:val="0015280E"/>
    <w:rsid w:val="00154E26"/>
    <w:rsid w:val="00155C18"/>
    <w:rsid w:val="00157BE7"/>
    <w:rsid w:val="0016038C"/>
    <w:rsid w:val="0016472E"/>
    <w:rsid w:val="001763CC"/>
    <w:rsid w:val="00183008"/>
    <w:rsid w:val="00186353"/>
    <w:rsid w:val="00191D60"/>
    <w:rsid w:val="00192B95"/>
    <w:rsid w:val="00193D73"/>
    <w:rsid w:val="001940C2"/>
    <w:rsid w:val="001A0B2D"/>
    <w:rsid w:val="001B5E1B"/>
    <w:rsid w:val="001B6C04"/>
    <w:rsid w:val="001C0E1F"/>
    <w:rsid w:val="001C238F"/>
    <w:rsid w:val="001C773D"/>
    <w:rsid w:val="001D1D7D"/>
    <w:rsid w:val="001E23BF"/>
    <w:rsid w:val="001F038C"/>
    <w:rsid w:val="001F2DD3"/>
    <w:rsid w:val="001F5B59"/>
    <w:rsid w:val="00202383"/>
    <w:rsid w:val="0020542C"/>
    <w:rsid w:val="00227CCE"/>
    <w:rsid w:val="00232DA2"/>
    <w:rsid w:val="00234839"/>
    <w:rsid w:val="002354F8"/>
    <w:rsid w:val="00244721"/>
    <w:rsid w:val="00247156"/>
    <w:rsid w:val="002479B5"/>
    <w:rsid w:val="00251510"/>
    <w:rsid w:val="002716F2"/>
    <w:rsid w:val="002723DD"/>
    <w:rsid w:val="002748AB"/>
    <w:rsid w:val="00274B51"/>
    <w:rsid w:val="00297D38"/>
    <w:rsid w:val="002B6308"/>
    <w:rsid w:val="002D27CA"/>
    <w:rsid w:val="002D5AFF"/>
    <w:rsid w:val="002F0A8E"/>
    <w:rsid w:val="00301D69"/>
    <w:rsid w:val="00305E41"/>
    <w:rsid w:val="00306084"/>
    <w:rsid w:val="0031024F"/>
    <w:rsid w:val="003109DE"/>
    <w:rsid w:val="00312A18"/>
    <w:rsid w:val="00312BE6"/>
    <w:rsid w:val="00315C57"/>
    <w:rsid w:val="00327567"/>
    <w:rsid w:val="003350B8"/>
    <w:rsid w:val="00343F81"/>
    <w:rsid w:val="00361783"/>
    <w:rsid w:val="003763C8"/>
    <w:rsid w:val="00380A82"/>
    <w:rsid w:val="00384ECB"/>
    <w:rsid w:val="00393851"/>
    <w:rsid w:val="003A0154"/>
    <w:rsid w:val="003A1F84"/>
    <w:rsid w:val="003A4AE9"/>
    <w:rsid w:val="003A70D0"/>
    <w:rsid w:val="003B3928"/>
    <w:rsid w:val="003D0068"/>
    <w:rsid w:val="003E2A87"/>
    <w:rsid w:val="003E6AC8"/>
    <w:rsid w:val="003F0044"/>
    <w:rsid w:val="003F1226"/>
    <w:rsid w:val="003F169F"/>
    <w:rsid w:val="003F6C97"/>
    <w:rsid w:val="00404EA5"/>
    <w:rsid w:val="004267CF"/>
    <w:rsid w:val="00427137"/>
    <w:rsid w:val="00432D6B"/>
    <w:rsid w:val="00442C88"/>
    <w:rsid w:val="004452D6"/>
    <w:rsid w:val="00445BC2"/>
    <w:rsid w:val="00457025"/>
    <w:rsid w:val="00457ABF"/>
    <w:rsid w:val="00481558"/>
    <w:rsid w:val="00482630"/>
    <w:rsid w:val="00483F92"/>
    <w:rsid w:val="00484A7E"/>
    <w:rsid w:val="004A0E48"/>
    <w:rsid w:val="004B7096"/>
    <w:rsid w:val="004B77F0"/>
    <w:rsid w:val="004C716E"/>
    <w:rsid w:val="004D6558"/>
    <w:rsid w:val="004E54D9"/>
    <w:rsid w:val="0050382E"/>
    <w:rsid w:val="00504150"/>
    <w:rsid w:val="005107D5"/>
    <w:rsid w:val="005146AC"/>
    <w:rsid w:val="00515D9B"/>
    <w:rsid w:val="00522B46"/>
    <w:rsid w:val="0052309A"/>
    <w:rsid w:val="00523640"/>
    <w:rsid w:val="005242EF"/>
    <w:rsid w:val="00526F28"/>
    <w:rsid w:val="0055147D"/>
    <w:rsid w:val="00552CE0"/>
    <w:rsid w:val="00555DA9"/>
    <w:rsid w:val="00560D4D"/>
    <w:rsid w:val="00563706"/>
    <w:rsid w:val="005733C4"/>
    <w:rsid w:val="0057526F"/>
    <w:rsid w:val="0057540B"/>
    <w:rsid w:val="00576F96"/>
    <w:rsid w:val="0058053B"/>
    <w:rsid w:val="0058188F"/>
    <w:rsid w:val="00583DDF"/>
    <w:rsid w:val="00585E97"/>
    <w:rsid w:val="0059760B"/>
    <w:rsid w:val="005A62F2"/>
    <w:rsid w:val="005A7315"/>
    <w:rsid w:val="005A7777"/>
    <w:rsid w:val="005B26FA"/>
    <w:rsid w:val="005B3337"/>
    <w:rsid w:val="005C482C"/>
    <w:rsid w:val="005C6CAA"/>
    <w:rsid w:val="005D13BC"/>
    <w:rsid w:val="005D4D79"/>
    <w:rsid w:val="005E3A95"/>
    <w:rsid w:val="005E7E86"/>
    <w:rsid w:val="005F158A"/>
    <w:rsid w:val="005F6527"/>
    <w:rsid w:val="00603864"/>
    <w:rsid w:val="00603A7E"/>
    <w:rsid w:val="0061168B"/>
    <w:rsid w:val="00611C41"/>
    <w:rsid w:val="0062603E"/>
    <w:rsid w:val="006308EA"/>
    <w:rsid w:val="00661037"/>
    <w:rsid w:val="00663328"/>
    <w:rsid w:val="0066395E"/>
    <w:rsid w:val="006642D5"/>
    <w:rsid w:val="006772F5"/>
    <w:rsid w:val="00677EB4"/>
    <w:rsid w:val="00681E9B"/>
    <w:rsid w:val="0068481E"/>
    <w:rsid w:val="00693BD0"/>
    <w:rsid w:val="00694498"/>
    <w:rsid w:val="00696EF7"/>
    <w:rsid w:val="006A0C7C"/>
    <w:rsid w:val="006A1399"/>
    <w:rsid w:val="006A46E7"/>
    <w:rsid w:val="006B29F6"/>
    <w:rsid w:val="006B7472"/>
    <w:rsid w:val="006C298B"/>
    <w:rsid w:val="006C75C1"/>
    <w:rsid w:val="006E6E87"/>
    <w:rsid w:val="006F0908"/>
    <w:rsid w:val="006F25C3"/>
    <w:rsid w:val="006F3A1E"/>
    <w:rsid w:val="00701389"/>
    <w:rsid w:val="00705BF3"/>
    <w:rsid w:val="00713041"/>
    <w:rsid w:val="0072087C"/>
    <w:rsid w:val="00722DF9"/>
    <w:rsid w:val="00740F3B"/>
    <w:rsid w:val="00742371"/>
    <w:rsid w:val="007434A2"/>
    <w:rsid w:val="00745910"/>
    <w:rsid w:val="00751B3C"/>
    <w:rsid w:val="007574BC"/>
    <w:rsid w:val="00764308"/>
    <w:rsid w:val="00764E8C"/>
    <w:rsid w:val="0077264B"/>
    <w:rsid w:val="007767B9"/>
    <w:rsid w:val="0077753E"/>
    <w:rsid w:val="007A0273"/>
    <w:rsid w:val="007A1497"/>
    <w:rsid w:val="007A2E0E"/>
    <w:rsid w:val="007A5A01"/>
    <w:rsid w:val="007B0C41"/>
    <w:rsid w:val="007B2A02"/>
    <w:rsid w:val="007B3C3B"/>
    <w:rsid w:val="007C2C29"/>
    <w:rsid w:val="007C457E"/>
    <w:rsid w:val="007C5875"/>
    <w:rsid w:val="007D265D"/>
    <w:rsid w:val="007E38AA"/>
    <w:rsid w:val="007F5665"/>
    <w:rsid w:val="00801B7D"/>
    <w:rsid w:val="00820947"/>
    <w:rsid w:val="00823417"/>
    <w:rsid w:val="00830079"/>
    <w:rsid w:val="00831E71"/>
    <w:rsid w:val="0083455D"/>
    <w:rsid w:val="00836A29"/>
    <w:rsid w:val="00842309"/>
    <w:rsid w:val="008525FE"/>
    <w:rsid w:val="00853163"/>
    <w:rsid w:val="00875931"/>
    <w:rsid w:val="00884A82"/>
    <w:rsid w:val="00892897"/>
    <w:rsid w:val="00894C33"/>
    <w:rsid w:val="00897DA1"/>
    <w:rsid w:val="008A65D4"/>
    <w:rsid w:val="008B6D36"/>
    <w:rsid w:val="008B774E"/>
    <w:rsid w:val="008C617F"/>
    <w:rsid w:val="008D08AA"/>
    <w:rsid w:val="008D2220"/>
    <w:rsid w:val="008D29C4"/>
    <w:rsid w:val="008D6026"/>
    <w:rsid w:val="008E25D5"/>
    <w:rsid w:val="008E3573"/>
    <w:rsid w:val="00911780"/>
    <w:rsid w:val="009131F0"/>
    <w:rsid w:val="009137CF"/>
    <w:rsid w:val="00922CC0"/>
    <w:rsid w:val="00931D94"/>
    <w:rsid w:val="00936941"/>
    <w:rsid w:val="0095117F"/>
    <w:rsid w:val="00953A7F"/>
    <w:rsid w:val="009550B8"/>
    <w:rsid w:val="00962E65"/>
    <w:rsid w:val="009640CA"/>
    <w:rsid w:val="00965391"/>
    <w:rsid w:val="0097093A"/>
    <w:rsid w:val="00971A72"/>
    <w:rsid w:val="00974312"/>
    <w:rsid w:val="00974FB6"/>
    <w:rsid w:val="00982A5F"/>
    <w:rsid w:val="009834A6"/>
    <w:rsid w:val="00990C92"/>
    <w:rsid w:val="009D3E46"/>
    <w:rsid w:val="009D6664"/>
    <w:rsid w:val="009E4E02"/>
    <w:rsid w:val="009E707A"/>
    <w:rsid w:val="009E7BE4"/>
    <w:rsid w:val="009F0B7A"/>
    <w:rsid w:val="009F6064"/>
    <w:rsid w:val="009F6C2F"/>
    <w:rsid w:val="00A01D72"/>
    <w:rsid w:val="00A06D82"/>
    <w:rsid w:val="00A1226E"/>
    <w:rsid w:val="00A145A2"/>
    <w:rsid w:val="00A153F7"/>
    <w:rsid w:val="00A22FF9"/>
    <w:rsid w:val="00A32E3E"/>
    <w:rsid w:val="00A33E02"/>
    <w:rsid w:val="00A42B31"/>
    <w:rsid w:val="00A51C63"/>
    <w:rsid w:val="00A54EF2"/>
    <w:rsid w:val="00A60E52"/>
    <w:rsid w:val="00A67698"/>
    <w:rsid w:val="00A72397"/>
    <w:rsid w:val="00A7483E"/>
    <w:rsid w:val="00A75298"/>
    <w:rsid w:val="00A7629D"/>
    <w:rsid w:val="00A80474"/>
    <w:rsid w:val="00A81F94"/>
    <w:rsid w:val="00A9035E"/>
    <w:rsid w:val="00AA3531"/>
    <w:rsid w:val="00AA5F69"/>
    <w:rsid w:val="00AA659B"/>
    <w:rsid w:val="00AA74D6"/>
    <w:rsid w:val="00AB063C"/>
    <w:rsid w:val="00AC3AB1"/>
    <w:rsid w:val="00AC66BE"/>
    <w:rsid w:val="00AE181B"/>
    <w:rsid w:val="00AE6E7D"/>
    <w:rsid w:val="00AE721C"/>
    <w:rsid w:val="00AF1D4B"/>
    <w:rsid w:val="00AF413C"/>
    <w:rsid w:val="00AF68E0"/>
    <w:rsid w:val="00B13626"/>
    <w:rsid w:val="00B16C69"/>
    <w:rsid w:val="00B22359"/>
    <w:rsid w:val="00B3129F"/>
    <w:rsid w:val="00B4101E"/>
    <w:rsid w:val="00B4468D"/>
    <w:rsid w:val="00B51D7D"/>
    <w:rsid w:val="00B57AE9"/>
    <w:rsid w:val="00B625B2"/>
    <w:rsid w:val="00B7007E"/>
    <w:rsid w:val="00B868E7"/>
    <w:rsid w:val="00B86FAA"/>
    <w:rsid w:val="00B87128"/>
    <w:rsid w:val="00B90AEB"/>
    <w:rsid w:val="00B94956"/>
    <w:rsid w:val="00B9631A"/>
    <w:rsid w:val="00B971BE"/>
    <w:rsid w:val="00BA4226"/>
    <w:rsid w:val="00BA7026"/>
    <w:rsid w:val="00BC14C4"/>
    <w:rsid w:val="00BC351C"/>
    <w:rsid w:val="00BC5A8E"/>
    <w:rsid w:val="00BD27D0"/>
    <w:rsid w:val="00BD3926"/>
    <w:rsid w:val="00BD4581"/>
    <w:rsid w:val="00BD79F2"/>
    <w:rsid w:val="00BE0150"/>
    <w:rsid w:val="00BE0945"/>
    <w:rsid w:val="00BE5EFB"/>
    <w:rsid w:val="00BE67D5"/>
    <w:rsid w:val="00BE6A91"/>
    <w:rsid w:val="00BF5A98"/>
    <w:rsid w:val="00C00BB0"/>
    <w:rsid w:val="00C054F3"/>
    <w:rsid w:val="00C05ABD"/>
    <w:rsid w:val="00C1078E"/>
    <w:rsid w:val="00C10B4D"/>
    <w:rsid w:val="00C15FDA"/>
    <w:rsid w:val="00C30768"/>
    <w:rsid w:val="00C36F28"/>
    <w:rsid w:val="00C42F98"/>
    <w:rsid w:val="00C44B11"/>
    <w:rsid w:val="00C4612D"/>
    <w:rsid w:val="00C47D72"/>
    <w:rsid w:val="00C64858"/>
    <w:rsid w:val="00C6707B"/>
    <w:rsid w:val="00C70A70"/>
    <w:rsid w:val="00C71662"/>
    <w:rsid w:val="00C84A0A"/>
    <w:rsid w:val="00C84A3A"/>
    <w:rsid w:val="00C932CB"/>
    <w:rsid w:val="00C9428C"/>
    <w:rsid w:val="00CA4866"/>
    <w:rsid w:val="00CB166A"/>
    <w:rsid w:val="00CB2E78"/>
    <w:rsid w:val="00CD559A"/>
    <w:rsid w:val="00CF4A9E"/>
    <w:rsid w:val="00CF70DC"/>
    <w:rsid w:val="00CF774A"/>
    <w:rsid w:val="00D1750D"/>
    <w:rsid w:val="00D2140B"/>
    <w:rsid w:val="00D30E74"/>
    <w:rsid w:val="00D411D9"/>
    <w:rsid w:val="00D4758B"/>
    <w:rsid w:val="00D57971"/>
    <w:rsid w:val="00D64CE6"/>
    <w:rsid w:val="00D70007"/>
    <w:rsid w:val="00D73AA2"/>
    <w:rsid w:val="00D73C2C"/>
    <w:rsid w:val="00D82DDE"/>
    <w:rsid w:val="00D8314D"/>
    <w:rsid w:val="00D94561"/>
    <w:rsid w:val="00DA4B56"/>
    <w:rsid w:val="00DA5E00"/>
    <w:rsid w:val="00DC1B32"/>
    <w:rsid w:val="00DC2A99"/>
    <w:rsid w:val="00DC530F"/>
    <w:rsid w:val="00DC549F"/>
    <w:rsid w:val="00DD150E"/>
    <w:rsid w:val="00DE515E"/>
    <w:rsid w:val="00DF144D"/>
    <w:rsid w:val="00DF23FB"/>
    <w:rsid w:val="00DF3756"/>
    <w:rsid w:val="00DF4038"/>
    <w:rsid w:val="00E0022F"/>
    <w:rsid w:val="00E01FB7"/>
    <w:rsid w:val="00E04424"/>
    <w:rsid w:val="00E045B4"/>
    <w:rsid w:val="00E05B83"/>
    <w:rsid w:val="00E07B6B"/>
    <w:rsid w:val="00E20DD4"/>
    <w:rsid w:val="00E21CD7"/>
    <w:rsid w:val="00E42E8F"/>
    <w:rsid w:val="00E43B28"/>
    <w:rsid w:val="00E46689"/>
    <w:rsid w:val="00E51B65"/>
    <w:rsid w:val="00E55C6C"/>
    <w:rsid w:val="00E61982"/>
    <w:rsid w:val="00E644A9"/>
    <w:rsid w:val="00E91F8B"/>
    <w:rsid w:val="00E9265F"/>
    <w:rsid w:val="00E94CBC"/>
    <w:rsid w:val="00EA13FD"/>
    <w:rsid w:val="00EB4FFF"/>
    <w:rsid w:val="00EC30F6"/>
    <w:rsid w:val="00ED0863"/>
    <w:rsid w:val="00ED1D5F"/>
    <w:rsid w:val="00ED32E3"/>
    <w:rsid w:val="00ED6AED"/>
    <w:rsid w:val="00ED7C97"/>
    <w:rsid w:val="00EE1D3B"/>
    <w:rsid w:val="00EE4B05"/>
    <w:rsid w:val="00EE71AF"/>
    <w:rsid w:val="00EE7A29"/>
    <w:rsid w:val="00EF2198"/>
    <w:rsid w:val="00EF2D44"/>
    <w:rsid w:val="00EF4786"/>
    <w:rsid w:val="00F03FE3"/>
    <w:rsid w:val="00F05408"/>
    <w:rsid w:val="00F06A9E"/>
    <w:rsid w:val="00F07BA8"/>
    <w:rsid w:val="00F14FEF"/>
    <w:rsid w:val="00F32A86"/>
    <w:rsid w:val="00F34BC3"/>
    <w:rsid w:val="00F36BEE"/>
    <w:rsid w:val="00F3750E"/>
    <w:rsid w:val="00F42079"/>
    <w:rsid w:val="00F536DB"/>
    <w:rsid w:val="00F5560A"/>
    <w:rsid w:val="00F62488"/>
    <w:rsid w:val="00F63D38"/>
    <w:rsid w:val="00F653E7"/>
    <w:rsid w:val="00F713B6"/>
    <w:rsid w:val="00F74C26"/>
    <w:rsid w:val="00F766D5"/>
    <w:rsid w:val="00F8222C"/>
    <w:rsid w:val="00F95F95"/>
    <w:rsid w:val="00F96C7F"/>
    <w:rsid w:val="00FA03C9"/>
    <w:rsid w:val="00FB5B94"/>
    <w:rsid w:val="00FC5434"/>
    <w:rsid w:val="00FC608A"/>
    <w:rsid w:val="00FC70B5"/>
    <w:rsid w:val="00FD0B85"/>
    <w:rsid w:val="00FD29B6"/>
    <w:rsid w:val="00FE2E02"/>
    <w:rsid w:val="00FE795D"/>
    <w:rsid w:val="00FF1929"/>
    <w:rsid w:val="00FF464B"/>
    <w:rsid w:val="1B411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qFormat="1" w:uiPriority="99" w:semiHidden="0" w:name="List Bullet"/>
    <w:lsdException w:qFormat="1" w:uiPriority="99"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nhideWhenUsed="0" w:uiPriority="22" w:semiHidden="0" w:name="Strong"/>
    <w:lsdException w:unhideWhenUsed="0" w:uiPriority="20" w:semiHidden="0" w:name="Emphasis"/>
    <w:lsdException w:uiPriority="99" w:name="Document Map"/>
    <w:lsdException w:qFormat="1"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adjustRightInd w:val="0"/>
      <w:snapToGrid w:val="0"/>
      <w:spacing w:line="240" w:lineRule="auto"/>
      <w:ind w:left="0" w:firstLine="0"/>
      <w:jc w:val="both"/>
    </w:pPr>
    <w:rPr>
      <w:rFonts w:asciiTheme="minorHAnsi" w:hAnsiTheme="minorHAnsi" w:eastAsiaTheme="minorEastAsia" w:cstheme="minorBidi"/>
      <w:kern w:val="2"/>
      <w:sz w:val="21"/>
      <w:szCs w:val="21"/>
      <w:lang w:val="en-US" w:eastAsia="zh-CN" w:bidi="ar-SA"/>
    </w:rPr>
  </w:style>
  <w:style w:type="paragraph" w:styleId="2">
    <w:name w:val="heading 1"/>
    <w:basedOn w:val="3"/>
    <w:next w:val="3"/>
    <w:link w:val="33"/>
    <w:qFormat/>
    <w:uiPriority w:val="9"/>
    <w:pPr>
      <w:keepNext/>
      <w:keepLines/>
      <w:numPr>
        <w:ilvl w:val="0"/>
        <w:numId w:val="1"/>
      </w:numPr>
      <w:ind w:left="0" w:firstLine="0" w:firstLineChars="0"/>
      <w:jc w:val="left"/>
      <w:outlineLvl w:val="0"/>
    </w:pPr>
    <w:rPr>
      <w:rFonts w:eastAsia="黑体"/>
      <w:bCs/>
      <w:kern w:val="44"/>
      <w:szCs w:val="44"/>
    </w:rPr>
  </w:style>
  <w:style w:type="paragraph" w:styleId="5">
    <w:name w:val="heading 2"/>
    <w:basedOn w:val="1"/>
    <w:next w:val="3"/>
    <w:link w:val="32"/>
    <w:unhideWhenUsed/>
    <w:qFormat/>
    <w:uiPriority w:val="9"/>
    <w:pPr>
      <w:keepNext/>
      <w:keepLines/>
      <w:numPr>
        <w:ilvl w:val="1"/>
        <w:numId w:val="1"/>
      </w:numPr>
      <w:spacing w:line="360" w:lineRule="auto"/>
      <w:jc w:val="left"/>
      <w:outlineLvl w:val="1"/>
    </w:pPr>
    <w:rPr>
      <w:rFonts w:ascii="Times New Roman" w:hAnsi="Times New Roman" w:eastAsia="黑体" w:cstheme="majorBidi"/>
      <w:bCs/>
      <w:sz w:val="24"/>
      <w:szCs w:val="32"/>
    </w:rPr>
  </w:style>
  <w:style w:type="paragraph" w:styleId="6">
    <w:name w:val="heading 3"/>
    <w:basedOn w:val="1"/>
    <w:next w:val="3"/>
    <w:link w:val="34"/>
    <w:unhideWhenUsed/>
    <w:qFormat/>
    <w:uiPriority w:val="9"/>
    <w:pPr>
      <w:keepNext/>
      <w:keepLines/>
      <w:numPr>
        <w:ilvl w:val="2"/>
        <w:numId w:val="1"/>
      </w:numPr>
      <w:spacing w:line="360" w:lineRule="auto"/>
      <w:outlineLvl w:val="2"/>
    </w:pPr>
    <w:rPr>
      <w:rFonts w:ascii="Times New Roman" w:hAnsi="Times New Roman" w:eastAsia="宋体"/>
      <w:bCs/>
      <w:sz w:val="24"/>
      <w:szCs w:val="32"/>
    </w:rPr>
  </w:style>
  <w:style w:type="paragraph" w:styleId="7">
    <w:name w:val="heading 4"/>
    <w:basedOn w:val="1"/>
    <w:next w:val="3"/>
    <w:link w:val="35"/>
    <w:unhideWhenUsed/>
    <w:qFormat/>
    <w:uiPriority w:val="9"/>
    <w:pPr>
      <w:keepNext/>
      <w:keepLines/>
      <w:numPr>
        <w:ilvl w:val="3"/>
        <w:numId w:val="1"/>
      </w:numPr>
      <w:spacing w:line="360" w:lineRule="auto"/>
      <w:jc w:val="left"/>
      <w:outlineLvl w:val="3"/>
    </w:pPr>
    <w:rPr>
      <w:rFonts w:ascii="Times New Roman" w:hAnsi="Times New Roman" w:eastAsia="宋体" w:cstheme="majorBidi"/>
      <w:bCs/>
      <w:sz w:val="24"/>
      <w:szCs w:val="28"/>
    </w:rPr>
  </w:style>
  <w:style w:type="paragraph" w:styleId="8">
    <w:name w:val="heading 5"/>
    <w:basedOn w:val="1"/>
    <w:next w:val="1"/>
    <w:link w:val="42"/>
    <w:unhideWhenUsed/>
    <w:qFormat/>
    <w:uiPriority w:val="9"/>
    <w:pPr>
      <w:keepNext/>
      <w:keepLines/>
      <w:numPr>
        <w:ilvl w:val="4"/>
        <w:numId w:val="1"/>
      </w:numPr>
      <w:spacing w:before="280" w:after="290" w:line="376" w:lineRule="auto"/>
      <w:outlineLvl w:val="4"/>
    </w:pPr>
    <w:rPr>
      <w:b/>
      <w:bCs/>
      <w:sz w:val="28"/>
      <w:szCs w:val="28"/>
    </w:rPr>
  </w:style>
  <w:style w:type="paragraph" w:styleId="9">
    <w:name w:val="heading 6"/>
    <w:basedOn w:val="1"/>
    <w:next w:val="1"/>
    <w:link w:val="43"/>
    <w:unhideWhenUsed/>
    <w:qFormat/>
    <w:uiPriority w:val="9"/>
    <w:pPr>
      <w:keepNext/>
      <w:keepLines/>
      <w:numPr>
        <w:ilvl w:val="5"/>
        <w:numId w:val="1"/>
      </w:numPr>
      <w:spacing w:before="240" w:after="64" w:line="320" w:lineRule="auto"/>
      <w:outlineLvl w:val="5"/>
    </w:pPr>
    <w:rPr>
      <w:rFonts w:asciiTheme="majorHAnsi" w:hAnsiTheme="majorHAnsi" w:eastAsiaTheme="majorEastAsia" w:cstheme="majorBidi"/>
      <w:b/>
      <w:bCs/>
      <w:sz w:val="24"/>
      <w:szCs w:val="24"/>
    </w:rPr>
  </w:style>
  <w:style w:type="paragraph" w:styleId="10">
    <w:name w:val="heading 7"/>
    <w:basedOn w:val="1"/>
    <w:next w:val="1"/>
    <w:link w:val="44"/>
    <w:unhideWhenUsed/>
    <w:qFormat/>
    <w:uiPriority w:val="9"/>
    <w:pPr>
      <w:keepNext/>
      <w:keepLines/>
      <w:numPr>
        <w:ilvl w:val="6"/>
        <w:numId w:val="1"/>
      </w:numPr>
      <w:spacing w:before="240" w:after="64" w:line="320" w:lineRule="auto"/>
      <w:outlineLvl w:val="6"/>
    </w:pPr>
    <w:rPr>
      <w:b/>
      <w:bCs/>
      <w:sz w:val="24"/>
      <w:szCs w:val="24"/>
    </w:rPr>
  </w:style>
  <w:style w:type="paragraph" w:styleId="11">
    <w:name w:val="heading 8"/>
    <w:basedOn w:val="1"/>
    <w:next w:val="1"/>
    <w:link w:val="45"/>
    <w:unhideWhenUsed/>
    <w:qFormat/>
    <w:uiPriority w:val="9"/>
    <w:pPr>
      <w:keepNext/>
      <w:keepLines/>
      <w:numPr>
        <w:ilvl w:val="7"/>
        <w:numId w:val="1"/>
      </w:numPr>
      <w:spacing w:before="240" w:after="64" w:line="320" w:lineRule="auto"/>
      <w:outlineLvl w:val="7"/>
    </w:pPr>
    <w:rPr>
      <w:rFonts w:asciiTheme="majorHAnsi" w:hAnsiTheme="majorHAnsi" w:eastAsiaTheme="majorEastAsia" w:cstheme="majorBidi"/>
      <w:sz w:val="24"/>
      <w:szCs w:val="24"/>
    </w:rPr>
  </w:style>
  <w:style w:type="paragraph" w:styleId="12">
    <w:name w:val="heading 9"/>
    <w:basedOn w:val="1"/>
    <w:next w:val="1"/>
    <w:link w:val="46"/>
    <w:unhideWhenUsed/>
    <w:qFormat/>
    <w:uiPriority w:val="9"/>
    <w:pPr>
      <w:keepNext/>
      <w:keepLines/>
      <w:numPr>
        <w:ilvl w:val="8"/>
        <w:numId w:val="1"/>
      </w:numPr>
      <w:spacing w:before="240" w:after="64" w:line="320" w:lineRule="auto"/>
      <w:outlineLvl w:val="8"/>
    </w:pPr>
    <w:rPr>
      <w:rFonts w:asciiTheme="majorHAnsi" w:hAnsiTheme="majorHAnsi" w:eastAsiaTheme="majorEastAsia" w:cstheme="majorBidi"/>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3">
    <w:name w:val="Body Text First Indent"/>
    <w:basedOn w:val="4"/>
    <w:link w:val="38"/>
    <w:unhideWhenUsed/>
    <w:qFormat/>
    <w:uiPriority w:val="99"/>
    <w:pPr>
      <w:spacing w:after="0" w:line="360" w:lineRule="auto"/>
      <w:ind w:firstLine="200" w:firstLineChars="200"/>
    </w:pPr>
    <w:rPr>
      <w:rFonts w:ascii="Times New Roman" w:hAnsi="Times New Roman" w:eastAsia="宋体"/>
      <w:sz w:val="24"/>
    </w:rPr>
  </w:style>
  <w:style w:type="paragraph" w:styleId="4">
    <w:name w:val="Body Text"/>
    <w:basedOn w:val="1"/>
    <w:link w:val="37"/>
    <w:semiHidden/>
    <w:unhideWhenUsed/>
    <w:qFormat/>
    <w:uiPriority w:val="99"/>
    <w:pPr>
      <w:spacing w:after="120"/>
    </w:pPr>
  </w:style>
  <w:style w:type="paragraph" w:styleId="13">
    <w:name w:val="List Number"/>
    <w:basedOn w:val="3"/>
    <w:unhideWhenUsed/>
    <w:qFormat/>
    <w:uiPriority w:val="99"/>
    <w:pPr>
      <w:numPr>
        <w:ilvl w:val="0"/>
        <w:numId w:val="2"/>
      </w:numPr>
      <w:ind w:left="0" w:firstLine="200"/>
    </w:pPr>
  </w:style>
  <w:style w:type="paragraph" w:styleId="14">
    <w:name w:val="Normal Indent"/>
    <w:basedOn w:val="1"/>
    <w:link w:val="58"/>
    <w:qFormat/>
    <w:uiPriority w:val="0"/>
    <w:pPr>
      <w:widowControl w:val="0"/>
      <w:adjustRightInd/>
      <w:snapToGrid/>
      <w:ind w:firstLine="420" w:firstLineChars="200"/>
    </w:pPr>
    <w:rPr>
      <w:rFonts w:ascii="Times New Roman" w:hAnsi="Times New Roman" w:eastAsia="宋体" w:cs="Times New Roman"/>
      <w:sz w:val="20"/>
      <w:szCs w:val="20"/>
    </w:rPr>
  </w:style>
  <w:style w:type="paragraph" w:styleId="15">
    <w:name w:val="caption"/>
    <w:basedOn w:val="1"/>
    <w:next w:val="3"/>
    <w:link w:val="49"/>
    <w:unhideWhenUsed/>
    <w:qFormat/>
    <w:uiPriority w:val="0"/>
    <w:pPr>
      <w:jc w:val="center"/>
    </w:pPr>
    <w:rPr>
      <w:rFonts w:ascii="Times New Roman" w:hAnsi="Times New Roman" w:eastAsia="黑体" w:cstheme="majorBidi"/>
      <w:sz w:val="24"/>
      <w:szCs w:val="20"/>
    </w:rPr>
  </w:style>
  <w:style w:type="paragraph" w:styleId="16">
    <w:name w:val="List Bullet"/>
    <w:basedOn w:val="1"/>
    <w:unhideWhenUsed/>
    <w:qFormat/>
    <w:uiPriority w:val="99"/>
    <w:pPr>
      <w:numPr>
        <w:ilvl w:val="0"/>
        <w:numId w:val="3"/>
      </w:numPr>
      <w:contextualSpacing/>
    </w:pPr>
  </w:style>
  <w:style w:type="paragraph" w:styleId="17">
    <w:name w:val="toa heading"/>
    <w:basedOn w:val="1"/>
    <w:next w:val="1"/>
    <w:qFormat/>
    <w:uiPriority w:val="0"/>
    <w:pPr>
      <w:widowControl w:val="0"/>
      <w:adjustRightInd/>
      <w:snapToGrid/>
      <w:spacing w:before="240" w:after="120"/>
      <w:jc w:val="center"/>
    </w:pPr>
    <w:rPr>
      <w:rFonts w:ascii="Times New Roman" w:hAnsi="Times New Roman" w:eastAsia="宋体" w:cs="宋体"/>
      <w:smallCaps/>
      <w:kern w:val="0"/>
      <w:sz w:val="22"/>
      <w:szCs w:val="22"/>
      <w:u w:val="single"/>
    </w:rPr>
  </w:style>
  <w:style w:type="paragraph" w:styleId="18">
    <w:name w:val="Plain Text"/>
    <w:basedOn w:val="1"/>
    <w:link w:val="55"/>
    <w:unhideWhenUsed/>
    <w:qFormat/>
    <w:uiPriority w:val="0"/>
    <w:pPr>
      <w:widowControl w:val="0"/>
      <w:adjustRightInd/>
      <w:snapToGrid/>
    </w:pPr>
    <w:rPr>
      <w:rFonts w:ascii="宋体" w:hAnsi="Courier New" w:eastAsia="宋体" w:cs="Times New Roman"/>
      <w:szCs w:val="20"/>
    </w:rPr>
  </w:style>
  <w:style w:type="paragraph" w:styleId="19">
    <w:name w:val="Balloon Text"/>
    <w:basedOn w:val="1"/>
    <w:link w:val="41"/>
    <w:unhideWhenUsed/>
    <w:qFormat/>
    <w:uiPriority w:val="99"/>
    <w:rPr>
      <w:sz w:val="18"/>
      <w:szCs w:val="18"/>
    </w:rPr>
  </w:style>
  <w:style w:type="paragraph" w:styleId="20">
    <w:name w:val="footer"/>
    <w:basedOn w:val="1"/>
    <w:link w:val="48"/>
    <w:unhideWhenUsed/>
    <w:qFormat/>
    <w:uiPriority w:val="99"/>
    <w:pPr>
      <w:tabs>
        <w:tab w:val="center" w:pos="4153"/>
        <w:tab w:val="right" w:pos="8306"/>
      </w:tabs>
      <w:jc w:val="left"/>
    </w:pPr>
    <w:rPr>
      <w:rFonts w:ascii="Times New Roman" w:hAnsi="Times New Roman" w:eastAsia="宋体"/>
      <w:sz w:val="18"/>
      <w:szCs w:val="18"/>
    </w:rPr>
  </w:style>
  <w:style w:type="paragraph" w:styleId="21">
    <w:name w:val="header"/>
    <w:basedOn w:val="1"/>
    <w:link w:val="47"/>
    <w:unhideWhenUsed/>
    <w:qFormat/>
    <w:uiPriority w:val="99"/>
    <w:pPr>
      <w:pBdr>
        <w:bottom w:val="single" w:color="auto" w:sz="6" w:space="1"/>
      </w:pBdr>
      <w:tabs>
        <w:tab w:val="center" w:pos="4153"/>
        <w:tab w:val="right" w:pos="8306"/>
      </w:tabs>
      <w:jc w:val="center"/>
    </w:pPr>
    <w:rPr>
      <w:sz w:val="18"/>
      <w:szCs w:val="18"/>
    </w:rPr>
  </w:style>
  <w:style w:type="paragraph" w:styleId="22">
    <w:name w:val="toc 1"/>
    <w:basedOn w:val="1"/>
    <w:next w:val="1"/>
    <w:unhideWhenUsed/>
    <w:qFormat/>
    <w:uiPriority w:val="39"/>
    <w:pPr>
      <w:widowControl w:val="0"/>
      <w:adjustRightInd/>
      <w:snapToGrid/>
    </w:pPr>
    <w:rPr>
      <w:rFonts w:ascii="Times New Roman" w:hAnsi="Times New Roman" w:eastAsia="宋体" w:cs="Times New Roman"/>
      <w:szCs w:val="24"/>
    </w:rPr>
  </w:style>
  <w:style w:type="paragraph" w:styleId="23">
    <w:name w:val="toc 2"/>
    <w:basedOn w:val="1"/>
    <w:next w:val="1"/>
    <w:unhideWhenUsed/>
    <w:qFormat/>
    <w:uiPriority w:val="39"/>
    <w:pPr>
      <w:widowControl w:val="0"/>
      <w:adjustRightInd/>
      <w:snapToGrid/>
      <w:ind w:left="420" w:leftChars="200"/>
    </w:pPr>
    <w:rPr>
      <w:rFonts w:ascii="Times New Roman" w:hAnsi="Times New Roman" w:eastAsia="宋体" w:cs="Times New Roman"/>
      <w:szCs w:val="24"/>
    </w:rPr>
  </w:style>
  <w:style w:type="paragraph" w:styleId="24">
    <w:name w:val="Normal (Web)"/>
    <w:basedOn w:val="1"/>
    <w:semiHidden/>
    <w:unhideWhenUsed/>
    <w:qFormat/>
    <w:uiPriority w:val="99"/>
    <w:pPr>
      <w:adjustRightInd/>
      <w:snapToGrid/>
      <w:spacing w:before="100" w:beforeAutospacing="1" w:after="100" w:afterAutospacing="1"/>
      <w:jc w:val="left"/>
    </w:pPr>
    <w:rPr>
      <w:rFonts w:ascii="宋体" w:hAnsi="宋体" w:eastAsia="宋体" w:cs="宋体"/>
      <w:kern w:val="0"/>
      <w:sz w:val="24"/>
      <w:szCs w:val="24"/>
    </w:rPr>
  </w:style>
  <w:style w:type="paragraph" w:styleId="25">
    <w:name w:val="Title"/>
    <w:basedOn w:val="1"/>
    <w:next w:val="3"/>
    <w:link w:val="36"/>
    <w:qFormat/>
    <w:uiPriority w:val="10"/>
    <w:pPr>
      <w:spacing w:line="360" w:lineRule="auto"/>
      <w:jc w:val="center"/>
    </w:pPr>
    <w:rPr>
      <w:rFonts w:ascii="Times New Roman" w:hAnsi="Times New Roman" w:eastAsia="华文中宋" w:cstheme="majorBidi"/>
      <w:b/>
      <w:bCs/>
      <w:color w:val="FF0000"/>
      <w:sz w:val="36"/>
      <w:szCs w:val="32"/>
    </w:rPr>
  </w:style>
  <w:style w:type="table" w:styleId="27">
    <w:name w:val="Table Grid"/>
    <w:basedOn w:val="26"/>
    <w:qFormat/>
    <w:uiPriority w:val="59"/>
    <w:pPr>
      <w:jc w:val="center"/>
    </w:pPr>
    <w:rPr>
      <w:rFonts w:ascii="Times New Roman" w:hAnsi="Times New Roman"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vAlign w:val="center"/>
    </w:tcPr>
  </w:style>
  <w:style w:type="character" w:styleId="29">
    <w:name w:val="page number"/>
    <w:basedOn w:val="28"/>
    <w:unhideWhenUsed/>
    <w:qFormat/>
    <w:uiPriority w:val="99"/>
    <w:rPr>
      <w:rFonts w:ascii="Times New Roman" w:hAnsi="Times New Roman" w:eastAsia="Times New Roman"/>
      <w:sz w:val="18"/>
    </w:rPr>
  </w:style>
  <w:style w:type="character" w:styleId="30">
    <w:name w:val="Hyperlink"/>
    <w:basedOn w:val="28"/>
    <w:unhideWhenUsed/>
    <w:qFormat/>
    <w:uiPriority w:val="99"/>
    <w:rPr>
      <w:color w:val="0000FF" w:themeColor="hyperlink"/>
      <w:u w:val="single"/>
      <w14:textFill>
        <w14:solidFill>
          <w14:schemeClr w14:val="hlink"/>
        </w14:solidFill>
      </w14:textFill>
    </w:rPr>
  </w:style>
  <w:style w:type="character" w:styleId="31">
    <w:name w:val="annotation reference"/>
    <w:basedOn w:val="28"/>
    <w:unhideWhenUsed/>
    <w:qFormat/>
    <w:uiPriority w:val="0"/>
    <w:rPr>
      <w:sz w:val="21"/>
      <w:szCs w:val="21"/>
    </w:rPr>
  </w:style>
  <w:style w:type="character" w:customStyle="1" w:styleId="32">
    <w:name w:val="标题 2 字符"/>
    <w:basedOn w:val="28"/>
    <w:link w:val="5"/>
    <w:qFormat/>
    <w:uiPriority w:val="9"/>
    <w:rPr>
      <w:rFonts w:ascii="Times New Roman" w:hAnsi="Times New Roman" w:eastAsia="黑体" w:cstheme="majorBidi"/>
      <w:bCs/>
      <w:sz w:val="24"/>
      <w:szCs w:val="32"/>
    </w:rPr>
  </w:style>
  <w:style w:type="character" w:customStyle="1" w:styleId="33">
    <w:name w:val="标题 1 字符"/>
    <w:basedOn w:val="28"/>
    <w:link w:val="2"/>
    <w:qFormat/>
    <w:uiPriority w:val="9"/>
    <w:rPr>
      <w:rFonts w:ascii="Times New Roman" w:hAnsi="Times New Roman" w:eastAsia="黑体"/>
      <w:bCs/>
      <w:kern w:val="44"/>
      <w:sz w:val="24"/>
      <w:szCs w:val="44"/>
    </w:rPr>
  </w:style>
  <w:style w:type="character" w:customStyle="1" w:styleId="34">
    <w:name w:val="标题 3 字符"/>
    <w:basedOn w:val="28"/>
    <w:link w:val="6"/>
    <w:qFormat/>
    <w:uiPriority w:val="9"/>
    <w:rPr>
      <w:rFonts w:ascii="Times New Roman" w:hAnsi="Times New Roman" w:eastAsia="宋体"/>
      <w:bCs/>
      <w:sz w:val="24"/>
      <w:szCs w:val="32"/>
    </w:rPr>
  </w:style>
  <w:style w:type="character" w:customStyle="1" w:styleId="35">
    <w:name w:val="标题 4 字符"/>
    <w:basedOn w:val="28"/>
    <w:link w:val="7"/>
    <w:qFormat/>
    <w:uiPriority w:val="9"/>
    <w:rPr>
      <w:rFonts w:ascii="Times New Roman" w:hAnsi="Times New Roman" w:eastAsia="宋体" w:cstheme="majorBidi"/>
      <w:bCs/>
      <w:sz w:val="24"/>
      <w:szCs w:val="28"/>
    </w:rPr>
  </w:style>
  <w:style w:type="character" w:customStyle="1" w:styleId="36">
    <w:name w:val="标题 字符"/>
    <w:basedOn w:val="28"/>
    <w:link w:val="25"/>
    <w:qFormat/>
    <w:uiPriority w:val="10"/>
    <w:rPr>
      <w:rFonts w:ascii="Times New Roman" w:hAnsi="Times New Roman" w:eastAsia="华文中宋" w:cstheme="majorBidi"/>
      <w:b/>
      <w:bCs/>
      <w:color w:val="FF0000"/>
      <w:sz w:val="36"/>
      <w:szCs w:val="32"/>
    </w:rPr>
  </w:style>
  <w:style w:type="character" w:customStyle="1" w:styleId="37">
    <w:name w:val="正文文本 字符"/>
    <w:basedOn w:val="28"/>
    <w:link w:val="4"/>
    <w:semiHidden/>
    <w:qFormat/>
    <w:uiPriority w:val="99"/>
  </w:style>
  <w:style w:type="character" w:customStyle="1" w:styleId="38">
    <w:name w:val="正文首行缩进 字符"/>
    <w:basedOn w:val="37"/>
    <w:link w:val="3"/>
    <w:qFormat/>
    <w:uiPriority w:val="99"/>
    <w:rPr>
      <w:rFonts w:ascii="Times New Roman" w:hAnsi="Times New Roman" w:eastAsia="宋体"/>
      <w:sz w:val="24"/>
    </w:rPr>
  </w:style>
  <w:style w:type="paragraph" w:customStyle="1" w:styleId="39">
    <w:name w:val="表格文字"/>
    <w:basedOn w:val="1"/>
    <w:link w:val="40"/>
    <w:qFormat/>
    <w:uiPriority w:val="0"/>
    <w:pPr>
      <w:jc w:val="center"/>
    </w:pPr>
    <w:rPr>
      <w:rFonts w:ascii="Times New Roman" w:hAnsi="Times New Roman" w:eastAsia="宋体"/>
    </w:rPr>
  </w:style>
  <w:style w:type="character" w:customStyle="1" w:styleId="40">
    <w:name w:val="表格文字 Char"/>
    <w:basedOn w:val="28"/>
    <w:link w:val="39"/>
    <w:qFormat/>
    <w:uiPriority w:val="0"/>
    <w:rPr>
      <w:rFonts w:ascii="Times New Roman" w:hAnsi="Times New Roman" w:eastAsia="宋体"/>
    </w:rPr>
  </w:style>
  <w:style w:type="character" w:customStyle="1" w:styleId="41">
    <w:name w:val="批注框文本 字符"/>
    <w:basedOn w:val="28"/>
    <w:link w:val="19"/>
    <w:semiHidden/>
    <w:qFormat/>
    <w:uiPriority w:val="99"/>
    <w:rPr>
      <w:sz w:val="18"/>
      <w:szCs w:val="18"/>
    </w:rPr>
  </w:style>
  <w:style w:type="character" w:customStyle="1" w:styleId="42">
    <w:name w:val="标题 5 字符"/>
    <w:basedOn w:val="28"/>
    <w:link w:val="8"/>
    <w:semiHidden/>
    <w:qFormat/>
    <w:uiPriority w:val="9"/>
    <w:rPr>
      <w:b/>
      <w:bCs/>
      <w:sz w:val="28"/>
      <w:szCs w:val="28"/>
    </w:rPr>
  </w:style>
  <w:style w:type="character" w:customStyle="1" w:styleId="43">
    <w:name w:val="标题 6 字符"/>
    <w:basedOn w:val="28"/>
    <w:link w:val="9"/>
    <w:semiHidden/>
    <w:qFormat/>
    <w:uiPriority w:val="9"/>
    <w:rPr>
      <w:rFonts w:asciiTheme="majorHAnsi" w:hAnsiTheme="majorHAnsi" w:eastAsiaTheme="majorEastAsia" w:cstheme="majorBidi"/>
      <w:b/>
      <w:bCs/>
      <w:sz w:val="24"/>
      <w:szCs w:val="24"/>
    </w:rPr>
  </w:style>
  <w:style w:type="character" w:customStyle="1" w:styleId="44">
    <w:name w:val="标题 7 字符"/>
    <w:basedOn w:val="28"/>
    <w:link w:val="10"/>
    <w:semiHidden/>
    <w:qFormat/>
    <w:uiPriority w:val="9"/>
    <w:rPr>
      <w:b/>
      <w:bCs/>
      <w:sz w:val="24"/>
      <w:szCs w:val="24"/>
    </w:rPr>
  </w:style>
  <w:style w:type="character" w:customStyle="1" w:styleId="45">
    <w:name w:val="标题 8 字符"/>
    <w:basedOn w:val="28"/>
    <w:link w:val="11"/>
    <w:semiHidden/>
    <w:qFormat/>
    <w:uiPriority w:val="9"/>
    <w:rPr>
      <w:rFonts w:asciiTheme="majorHAnsi" w:hAnsiTheme="majorHAnsi" w:eastAsiaTheme="majorEastAsia" w:cstheme="majorBidi"/>
      <w:sz w:val="24"/>
      <w:szCs w:val="24"/>
    </w:rPr>
  </w:style>
  <w:style w:type="character" w:customStyle="1" w:styleId="46">
    <w:name w:val="标题 9 字符"/>
    <w:basedOn w:val="28"/>
    <w:link w:val="12"/>
    <w:semiHidden/>
    <w:qFormat/>
    <w:uiPriority w:val="9"/>
    <w:rPr>
      <w:rFonts w:asciiTheme="majorHAnsi" w:hAnsiTheme="majorHAnsi" w:eastAsiaTheme="majorEastAsia" w:cstheme="majorBidi"/>
    </w:rPr>
  </w:style>
  <w:style w:type="character" w:customStyle="1" w:styleId="47">
    <w:name w:val="页眉 字符"/>
    <w:basedOn w:val="28"/>
    <w:link w:val="21"/>
    <w:qFormat/>
    <w:uiPriority w:val="99"/>
    <w:rPr>
      <w:sz w:val="18"/>
      <w:szCs w:val="18"/>
    </w:rPr>
  </w:style>
  <w:style w:type="character" w:customStyle="1" w:styleId="48">
    <w:name w:val="页脚 字符"/>
    <w:basedOn w:val="28"/>
    <w:link w:val="20"/>
    <w:qFormat/>
    <w:uiPriority w:val="99"/>
    <w:rPr>
      <w:rFonts w:ascii="Times New Roman" w:hAnsi="Times New Roman" w:eastAsia="宋体"/>
      <w:sz w:val="18"/>
      <w:szCs w:val="18"/>
    </w:rPr>
  </w:style>
  <w:style w:type="character" w:customStyle="1" w:styleId="49">
    <w:name w:val="题注 字符1"/>
    <w:link w:val="15"/>
    <w:qFormat/>
    <w:uiPriority w:val="0"/>
    <w:rPr>
      <w:rFonts w:ascii="Times New Roman" w:hAnsi="Times New Roman" w:eastAsia="黑体" w:cstheme="majorBidi"/>
      <w:sz w:val="24"/>
      <w:szCs w:val="20"/>
    </w:rPr>
  </w:style>
  <w:style w:type="paragraph" w:customStyle="1" w:styleId="50">
    <w:name w:val="表头"/>
    <w:basedOn w:val="1"/>
    <w:qFormat/>
    <w:uiPriority w:val="0"/>
    <w:pPr>
      <w:widowControl w:val="0"/>
      <w:adjustRightInd/>
      <w:snapToGrid/>
      <w:spacing w:beforeLines="50" w:line="360" w:lineRule="auto"/>
      <w:jc w:val="center"/>
    </w:pPr>
    <w:rPr>
      <w:b/>
      <w:szCs w:val="22"/>
    </w:rPr>
  </w:style>
  <w:style w:type="character" w:customStyle="1" w:styleId="51">
    <w:name w:val="题注 Char1"/>
    <w:qFormat/>
    <w:uiPriority w:val="0"/>
    <w:rPr>
      <w:rFonts w:ascii="Times New Roman" w:hAnsi="Times New Roman" w:eastAsia="黑体" w:cstheme="majorBidi"/>
      <w:sz w:val="24"/>
      <w:szCs w:val="20"/>
    </w:rPr>
  </w:style>
  <w:style w:type="paragraph" w:customStyle="1" w:styleId="52">
    <w:name w:val="表格"/>
    <w:basedOn w:val="1"/>
    <w:qFormat/>
    <w:uiPriority w:val="0"/>
    <w:pPr>
      <w:widowControl w:val="0"/>
      <w:snapToGrid/>
      <w:spacing w:after="120"/>
      <w:textAlignment w:val="center"/>
    </w:pPr>
    <w:rPr>
      <w:rFonts w:ascii="宋体" w:hAnsi="宋体"/>
      <w:sz w:val="24"/>
      <w:szCs w:val="20"/>
    </w:rPr>
  </w:style>
  <w:style w:type="character" w:customStyle="1" w:styleId="53">
    <w:name w:val="正文首行缩进 Char1"/>
    <w:basedOn w:val="37"/>
    <w:qFormat/>
    <w:uiPriority w:val="99"/>
    <w:rPr>
      <w:rFonts w:ascii="Times New Roman" w:hAnsi="Times New Roman" w:eastAsia="宋体"/>
      <w:sz w:val="24"/>
    </w:rPr>
  </w:style>
  <w:style w:type="character" w:customStyle="1" w:styleId="54">
    <w:name w:val="0000样式 小四"/>
    <w:qFormat/>
    <w:uiPriority w:val="0"/>
    <w:rPr>
      <w:sz w:val="24"/>
    </w:rPr>
  </w:style>
  <w:style w:type="character" w:customStyle="1" w:styleId="55">
    <w:name w:val="纯文本 字符"/>
    <w:basedOn w:val="28"/>
    <w:link w:val="18"/>
    <w:qFormat/>
    <w:uiPriority w:val="0"/>
    <w:rPr>
      <w:rFonts w:ascii="宋体" w:hAnsi="Courier New" w:eastAsia="宋体" w:cs="Times New Roman"/>
      <w:szCs w:val="20"/>
    </w:rPr>
  </w:style>
  <w:style w:type="paragraph" w:customStyle="1" w:styleId="56">
    <w:name w:val="ctrl+~  正文"/>
    <w:basedOn w:val="1"/>
    <w:qFormat/>
    <w:uiPriority w:val="0"/>
    <w:pPr>
      <w:widowControl w:val="0"/>
      <w:adjustRightInd/>
      <w:snapToGrid/>
      <w:spacing w:line="480" w:lineRule="exact"/>
      <w:ind w:firstLine="480" w:firstLineChars="200"/>
    </w:pPr>
    <w:rPr>
      <w:rFonts w:ascii="Calibri" w:hAnsi="Calibri" w:eastAsia="Times New Roman" w:cs="Times New Roman"/>
      <w:sz w:val="24"/>
      <w:szCs w:val="20"/>
    </w:rPr>
  </w:style>
  <w:style w:type="paragraph" w:customStyle="1" w:styleId="57">
    <w:name w:val="Default"/>
    <w:qFormat/>
    <w:uiPriority w:val="99"/>
    <w:pPr>
      <w:widowControl w:val="0"/>
      <w:autoSpaceDE w:val="0"/>
      <w:autoSpaceDN w:val="0"/>
      <w:adjustRightInd w:val="0"/>
      <w:spacing w:line="240" w:lineRule="auto"/>
      <w:ind w:left="0" w:firstLine="0"/>
      <w:jc w:val="left"/>
    </w:pPr>
    <w:rPr>
      <w:rFonts w:ascii="Times New Roman" w:hAnsi="Times New Roman" w:eastAsia="宋体" w:cs="Times New Roman"/>
      <w:color w:val="000000"/>
      <w:kern w:val="0"/>
      <w:sz w:val="24"/>
      <w:szCs w:val="24"/>
      <w:lang w:val="en-US" w:eastAsia="zh-CN" w:bidi="ar-SA"/>
    </w:rPr>
  </w:style>
  <w:style w:type="character" w:customStyle="1" w:styleId="58">
    <w:name w:val="正文缩进 字符"/>
    <w:link w:val="14"/>
    <w:qFormat/>
    <w:uiPriority w:val="0"/>
    <w:rPr>
      <w:rFonts w:ascii="Times New Roman" w:hAnsi="Times New Roman" w:eastAsia="宋体" w:cs="Times New Roman"/>
      <w:sz w:val="20"/>
      <w:szCs w:val="20"/>
    </w:rPr>
  </w:style>
  <w:style w:type="character" w:customStyle="1" w:styleId="59">
    <w:name w:val="标题 2 Char1"/>
    <w:basedOn w:val="28"/>
    <w:qFormat/>
    <w:uiPriority w:val="9"/>
    <w:rPr>
      <w:rFonts w:ascii="Times New Roman" w:hAnsi="Times New Roman" w:eastAsia="黑体" w:cstheme="majorBidi"/>
      <w:bCs/>
      <w:sz w:val="24"/>
      <w:szCs w:val="32"/>
    </w:rPr>
  </w:style>
  <w:style w:type="character" w:customStyle="1" w:styleId="60">
    <w:name w:val="表格标题 Char"/>
    <w:link w:val="61"/>
    <w:qFormat/>
    <w:uiPriority w:val="0"/>
    <w:rPr>
      <w:rFonts w:ascii="Times New Roman" w:hAnsi="Times New Roman" w:eastAsia="黑体"/>
      <w:sz w:val="24"/>
    </w:rPr>
  </w:style>
  <w:style w:type="paragraph" w:customStyle="1" w:styleId="61">
    <w:name w:val="表格标题"/>
    <w:basedOn w:val="1"/>
    <w:link w:val="60"/>
    <w:qFormat/>
    <w:uiPriority w:val="0"/>
    <w:pPr>
      <w:widowControl w:val="0"/>
      <w:adjustRightInd/>
      <w:snapToGrid/>
      <w:spacing w:line="360" w:lineRule="auto"/>
      <w:jc w:val="center"/>
    </w:pPr>
    <w:rPr>
      <w:rFonts w:ascii="Times New Roman" w:hAnsi="Times New Roman" w:eastAsia="黑体"/>
      <w:sz w:val="24"/>
    </w:rPr>
  </w:style>
  <w:style w:type="paragraph" w:customStyle="1" w:styleId="62">
    <w:name w:val="表文"/>
    <w:qFormat/>
    <w:uiPriority w:val="99"/>
    <w:pPr>
      <w:widowControl w:val="0"/>
      <w:adjustRightInd w:val="0"/>
      <w:spacing w:line="312" w:lineRule="atLeast"/>
      <w:ind w:left="0" w:firstLine="0"/>
      <w:jc w:val="both"/>
      <w:textAlignment w:val="baseline"/>
    </w:pPr>
    <w:rPr>
      <w:rFonts w:ascii="Times New Roman" w:hAnsi="Times New Roman" w:eastAsia="宋体" w:cs="Times New Roman"/>
      <w:kern w:val="0"/>
      <w:sz w:val="21"/>
      <w:szCs w:val="21"/>
      <w:lang w:val="en-US" w:eastAsia="zh-CN" w:bidi="ar-SA"/>
    </w:rPr>
  </w:style>
  <w:style w:type="character" w:customStyle="1" w:styleId="63">
    <w:name w:val="题注 字符"/>
    <w:qFormat/>
    <w:uiPriority w:val="0"/>
    <w:rPr>
      <w:rFonts w:ascii="等线 Light" w:hAnsi="等线 Light" w:eastAsia="黑体"/>
      <w:kern w:val="2"/>
    </w:rPr>
  </w:style>
  <w:style w:type="character" w:customStyle="1" w:styleId="64">
    <w:name w:val="apple-converted-space"/>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5" Type="http://schemas.openxmlformats.org/officeDocument/2006/relationships/fontTable" Target="fontTable.xml"/><Relationship Id="rId44" Type="http://schemas.openxmlformats.org/officeDocument/2006/relationships/customXml" Target="../customXml/item2.xml"/><Relationship Id="rId43" Type="http://schemas.openxmlformats.org/officeDocument/2006/relationships/numbering" Target="numbering.xml"/><Relationship Id="rId42" Type="http://schemas.openxmlformats.org/officeDocument/2006/relationships/customXml" Target="../customXml/item1.xml"/><Relationship Id="rId41" Type="http://schemas.openxmlformats.org/officeDocument/2006/relationships/image" Target="media/image20.png"/><Relationship Id="rId40" Type="http://schemas.openxmlformats.org/officeDocument/2006/relationships/image" Target="media/image19.png"/><Relationship Id="rId4" Type="http://schemas.openxmlformats.org/officeDocument/2006/relationships/endnotes" Target="endnotes.xml"/><Relationship Id="rId39" Type="http://schemas.openxmlformats.org/officeDocument/2006/relationships/image" Target="media/image18.wmf"/><Relationship Id="rId38" Type="http://schemas.openxmlformats.org/officeDocument/2006/relationships/oleObject" Target="embeddings/oleObject9.bin"/><Relationship Id="rId37" Type="http://schemas.openxmlformats.org/officeDocument/2006/relationships/image" Target="media/image17.wmf"/><Relationship Id="rId36" Type="http://schemas.openxmlformats.org/officeDocument/2006/relationships/oleObject" Target="embeddings/oleObject8.bin"/><Relationship Id="rId35" Type="http://schemas.openxmlformats.org/officeDocument/2006/relationships/image" Target="media/image16.wmf"/><Relationship Id="rId34" Type="http://schemas.openxmlformats.org/officeDocument/2006/relationships/oleObject" Target="embeddings/oleObject7.bin"/><Relationship Id="rId33" Type="http://schemas.openxmlformats.org/officeDocument/2006/relationships/image" Target="media/image15.wmf"/><Relationship Id="rId32" Type="http://schemas.openxmlformats.org/officeDocument/2006/relationships/oleObject" Target="embeddings/oleObject6.bin"/><Relationship Id="rId31" Type="http://schemas.openxmlformats.org/officeDocument/2006/relationships/image" Target="media/image14.wmf"/><Relationship Id="rId30" Type="http://schemas.openxmlformats.org/officeDocument/2006/relationships/oleObject" Target="embeddings/oleObject5.bin"/><Relationship Id="rId3" Type="http://schemas.openxmlformats.org/officeDocument/2006/relationships/footnotes" Target="footnotes.xml"/><Relationship Id="rId29" Type="http://schemas.openxmlformats.org/officeDocument/2006/relationships/image" Target="media/image13.png"/><Relationship Id="rId28" Type="http://schemas.openxmlformats.org/officeDocument/2006/relationships/image" Target="media/image12.png"/><Relationship Id="rId27" Type="http://schemas.openxmlformats.org/officeDocument/2006/relationships/image" Target="media/image11.wmf"/><Relationship Id="rId26" Type="http://schemas.openxmlformats.org/officeDocument/2006/relationships/oleObject" Target="embeddings/oleObject4.bin"/><Relationship Id="rId25" Type="http://schemas.openxmlformats.org/officeDocument/2006/relationships/image" Target="media/image10.wmf"/><Relationship Id="rId24" Type="http://schemas.openxmlformats.org/officeDocument/2006/relationships/oleObject" Target="embeddings/oleObject3.bin"/><Relationship Id="rId23" Type="http://schemas.openxmlformats.org/officeDocument/2006/relationships/image" Target="media/image9.wmf"/><Relationship Id="rId22" Type="http://schemas.openxmlformats.org/officeDocument/2006/relationships/oleObject" Target="embeddings/oleObject2.bin"/><Relationship Id="rId21" Type="http://schemas.openxmlformats.org/officeDocument/2006/relationships/image" Target="media/image8.emf"/><Relationship Id="rId20" Type="http://schemas.openxmlformats.org/officeDocument/2006/relationships/package" Target="embeddings/Microsoft_Visio___3.vsdx"/><Relationship Id="rId2" Type="http://schemas.openxmlformats.org/officeDocument/2006/relationships/settings" Target="settings.xml"/><Relationship Id="rId19" Type="http://schemas.openxmlformats.org/officeDocument/2006/relationships/image" Target="media/image7.emf"/><Relationship Id="rId18" Type="http://schemas.openxmlformats.org/officeDocument/2006/relationships/oleObject" Target="embeddings/Microsoft_Visio_2003-2010___2.vsd"/><Relationship Id="rId17" Type="http://schemas.openxmlformats.org/officeDocument/2006/relationships/image" Target="media/image6.emf"/><Relationship Id="rId16" Type="http://schemas.openxmlformats.org/officeDocument/2006/relationships/oleObject" Target="embeddings/Microsoft_Visio_2003-2010___1.vsd"/><Relationship Id="rId15" Type="http://schemas.openxmlformats.org/officeDocument/2006/relationships/image" Target="media/image5.emf"/><Relationship Id="rId14" Type="http://schemas.openxmlformats.org/officeDocument/2006/relationships/oleObject" Target="embeddings/oleObject1.bin"/><Relationship Id="rId13" Type="http://schemas.openxmlformats.org/officeDocument/2006/relationships/image" Target="media/image4.jpe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F75C37-11F2-4FC4-BBA8-754988137C04}">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147</Pages>
  <Words>18624</Words>
  <Characters>106162</Characters>
  <Lines>884</Lines>
  <Paragraphs>249</Paragraphs>
  <TotalTime>9207</TotalTime>
  <ScaleCrop>false</ScaleCrop>
  <LinksUpToDate>false</LinksUpToDate>
  <CharactersWithSpaces>124537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2021-07-27T07:20:00Z</dcterms:created>
  <dc:creator>User</dc:creator>
  <cp:lastModifiedBy>✎aye</cp:lastModifiedBy>
  <cp:lastPrinted>2021-08-26T08:56:00Z</cp:lastPrinted>
  <dcterms:modified xsi:type="dcterms:W3CDTF">2021-12-14T08:01:19Z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FC2FD6B8954D4C8FB033A2FFEB2DCC7E</vt:lpwstr>
  </property>
</Properties>
</file>